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1E74C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74CD83" w14:textId="77777777" w:rsidR="00F35BAF" w:rsidRPr="00DB58B5" w:rsidRDefault="00F35BAF" w:rsidP="00C5697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FD03F1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38CF6DD" w14:textId="3957DE42" w:rsidR="00F35BAF" w:rsidRPr="00DB58B5" w:rsidRDefault="00C56970" w:rsidP="00C56970">
            <w:pPr>
              <w:jc w:val="right"/>
            </w:pPr>
            <w:r w:rsidRPr="00C56970">
              <w:rPr>
                <w:sz w:val="40"/>
              </w:rPr>
              <w:t>ECE</w:t>
            </w:r>
            <w:r>
              <w:t>/TRANS/WP.15/AC.1/2022/32</w:t>
            </w:r>
          </w:p>
        </w:tc>
      </w:tr>
      <w:tr w:rsidR="00F35BAF" w:rsidRPr="00DB58B5" w14:paraId="2A5410D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72CBB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548E52" wp14:editId="01E4E8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FE43F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6321E5" w14:textId="77777777" w:rsidR="00F35BAF" w:rsidRDefault="00C56970" w:rsidP="00C97039">
            <w:pPr>
              <w:spacing w:before="240"/>
            </w:pPr>
            <w:r>
              <w:t>Distr. générale</w:t>
            </w:r>
          </w:p>
          <w:p w14:paraId="1AE20DA4" w14:textId="77777777" w:rsidR="00C56970" w:rsidRDefault="00C56970" w:rsidP="00C56970">
            <w:pPr>
              <w:spacing w:line="240" w:lineRule="exact"/>
            </w:pPr>
            <w:r>
              <w:t>28 juin 2022</w:t>
            </w:r>
          </w:p>
          <w:p w14:paraId="4FC52489" w14:textId="77777777" w:rsidR="00C56970" w:rsidRDefault="00C56970" w:rsidP="00C56970">
            <w:pPr>
              <w:spacing w:line="240" w:lineRule="exact"/>
            </w:pPr>
            <w:r>
              <w:t>Français</w:t>
            </w:r>
          </w:p>
          <w:p w14:paraId="24820059" w14:textId="72A06382" w:rsidR="00C56970" w:rsidRPr="00DB58B5" w:rsidRDefault="00C56970" w:rsidP="00C56970">
            <w:pPr>
              <w:spacing w:line="240" w:lineRule="exact"/>
            </w:pPr>
            <w:r>
              <w:t>Original : anglais</w:t>
            </w:r>
          </w:p>
        </w:tc>
      </w:tr>
    </w:tbl>
    <w:p w14:paraId="76174FB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759F51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8E27D7C" w14:textId="49F05802" w:rsidR="00C06FF4" w:rsidRPr="00C06FF4" w:rsidRDefault="00C06FF4" w:rsidP="00C06FF4">
      <w:pPr>
        <w:spacing w:before="120" w:after="120"/>
        <w:rPr>
          <w:b/>
          <w:sz w:val="24"/>
          <w:szCs w:val="24"/>
          <w:lang w:val="fr-FR"/>
        </w:rPr>
      </w:pPr>
      <w:r w:rsidRPr="00C06FF4">
        <w:rPr>
          <w:b/>
          <w:bCs/>
          <w:sz w:val="24"/>
          <w:szCs w:val="24"/>
          <w:lang w:val="fr-FR"/>
        </w:rPr>
        <w:t xml:space="preserve">Groupe de travail des transports </w:t>
      </w:r>
      <w:r>
        <w:rPr>
          <w:b/>
          <w:bCs/>
          <w:sz w:val="24"/>
          <w:szCs w:val="24"/>
          <w:lang w:val="fr-FR"/>
        </w:rPr>
        <w:br/>
      </w:r>
      <w:r w:rsidRPr="00C06FF4">
        <w:rPr>
          <w:b/>
          <w:bCs/>
          <w:sz w:val="24"/>
          <w:szCs w:val="24"/>
          <w:lang w:val="fr-FR"/>
        </w:rPr>
        <w:t>de marchandises dangereuses</w:t>
      </w:r>
    </w:p>
    <w:p w14:paraId="758BF44B" w14:textId="09ABE9AD" w:rsidR="00C06FF4" w:rsidRPr="00402C88" w:rsidRDefault="00C06FF4" w:rsidP="00C06FF4">
      <w:pPr>
        <w:rPr>
          <w:b/>
          <w:lang w:val="fr-FR"/>
        </w:rPr>
      </w:pPr>
      <w:r w:rsidRPr="00402C88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402C88">
        <w:rPr>
          <w:b/>
          <w:bCs/>
          <w:lang w:val="fr-FR"/>
        </w:rPr>
        <w:t>experts du RID et du</w:t>
      </w:r>
      <w:r>
        <w:rPr>
          <w:b/>
          <w:bCs/>
          <w:lang w:val="fr-FR"/>
        </w:rPr>
        <w:t xml:space="preserve"> </w:t>
      </w:r>
      <w:r w:rsidRPr="00402C88">
        <w:rPr>
          <w:b/>
          <w:bCs/>
          <w:lang w:val="fr-FR"/>
        </w:rPr>
        <w:t xml:space="preserve">Groupe </w:t>
      </w:r>
      <w:r>
        <w:rPr>
          <w:b/>
          <w:bCs/>
          <w:lang w:val="fr-FR"/>
        </w:rPr>
        <w:br/>
      </w:r>
      <w:r w:rsidRPr="00402C88">
        <w:rPr>
          <w:b/>
          <w:bCs/>
          <w:lang w:val="fr-FR"/>
        </w:rPr>
        <w:t>de travail des transports de marchandises dangereuses</w:t>
      </w:r>
    </w:p>
    <w:p w14:paraId="1527E2BA" w14:textId="77777777" w:rsidR="00C06FF4" w:rsidRPr="00402C88" w:rsidRDefault="00C06FF4" w:rsidP="00C06FF4">
      <w:pPr>
        <w:rPr>
          <w:lang w:val="fr-FR"/>
        </w:rPr>
      </w:pPr>
      <w:r w:rsidRPr="00402C88">
        <w:rPr>
          <w:lang w:val="fr-FR"/>
        </w:rPr>
        <w:t>Genève, 12-16 septembre 2022</w:t>
      </w:r>
    </w:p>
    <w:p w14:paraId="3631A840" w14:textId="77777777" w:rsidR="00C06FF4" w:rsidRPr="00402C88" w:rsidRDefault="00C06FF4" w:rsidP="00C06FF4">
      <w:pPr>
        <w:rPr>
          <w:lang w:val="fr-FR"/>
        </w:rPr>
      </w:pPr>
      <w:r w:rsidRPr="00402C88">
        <w:rPr>
          <w:lang w:val="fr-FR"/>
        </w:rPr>
        <w:t>Point 3 de l</w:t>
      </w:r>
      <w:r>
        <w:rPr>
          <w:lang w:val="fr-FR"/>
        </w:rPr>
        <w:t>’</w:t>
      </w:r>
      <w:r w:rsidRPr="00402C88">
        <w:rPr>
          <w:lang w:val="fr-FR"/>
        </w:rPr>
        <w:t>ordre du jour provisoire</w:t>
      </w:r>
    </w:p>
    <w:p w14:paraId="2A107F4F" w14:textId="77777777" w:rsidR="00C06FF4" w:rsidRPr="00402C88" w:rsidRDefault="00C06FF4" w:rsidP="00C06FF4">
      <w:pPr>
        <w:rPr>
          <w:b/>
          <w:bCs/>
          <w:lang w:val="fr-FR"/>
        </w:rPr>
      </w:pPr>
      <w:r w:rsidRPr="00402C88">
        <w:rPr>
          <w:b/>
          <w:bCs/>
          <w:lang w:val="fr-FR"/>
        </w:rPr>
        <w:t>Normes</w:t>
      </w:r>
    </w:p>
    <w:p w14:paraId="55F0CE4B" w14:textId="62A9F593" w:rsidR="00C06FF4" w:rsidRPr="00402C88" w:rsidRDefault="00C06FF4" w:rsidP="00C06FF4">
      <w:pPr>
        <w:pStyle w:val="HChG"/>
        <w:rPr>
          <w:lang w:val="fr-FR"/>
        </w:rPr>
      </w:pPr>
      <w:r w:rsidRPr="00402C88">
        <w:rPr>
          <w:lang w:val="fr-FR"/>
        </w:rPr>
        <w:tab/>
      </w:r>
      <w:r w:rsidRPr="00402C88">
        <w:rPr>
          <w:lang w:val="fr-FR"/>
        </w:rPr>
        <w:tab/>
        <w:t xml:space="preserve">Références aux normes </w:t>
      </w:r>
      <w:r>
        <w:rPr>
          <w:lang w:val="fr-FR"/>
        </w:rPr>
        <w:t xml:space="preserve">qui ont </w:t>
      </w:r>
      <w:r w:rsidRPr="00402C88">
        <w:rPr>
          <w:lang w:val="fr-FR"/>
        </w:rPr>
        <w:t xml:space="preserve">déjà </w:t>
      </w:r>
      <w:r>
        <w:rPr>
          <w:lang w:val="fr-FR"/>
        </w:rPr>
        <w:t xml:space="preserve">été </w:t>
      </w:r>
      <w:r w:rsidRPr="00402C88">
        <w:rPr>
          <w:lang w:val="fr-FR"/>
        </w:rPr>
        <w:t xml:space="preserve">adoptées </w:t>
      </w:r>
      <w:r>
        <w:rPr>
          <w:lang w:val="fr-FR"/>
        </w:rPr>
        <w:br/>
      </w:r>
      <w:r w:rsidRPr="00402C88">
        <w:rPr>
          <w:lang w:val="fr-FR"/>
        </w:rPr>
        <w:t xml:space="preserve">par la Réunion commune mais </w:t>
      </w:r>
      <w:r>
        <w:rPr>
          <w:lang w:val="fr-FR"/>
        </w:rPr>
        <w:t xml:space="preserve">n’ont </w:t>
      </w:r>
      <w:r w:rsidRPr="00402C88">
        <w:rPr>
          <w:lang w:val="fr-FR"/>
        </w:rPr>
        <w:t xml:space="preserve">pas </w:t>
      </w:r>
      <w:r>
        <w:rPr>
          <w:lang w:val="fr-FR"/>
        </w:rPr>
        <w:t xml:space="preserve">été </w:t>
      </w:r>
      <w:r>
        <w:rPr>
          <w:lang w:val="fr-FR"/>
        </w:rPr>
        <w:br/>
      </w:r>
      <w:r w:rsidRPr="00402C88">
        <w:rPr>
          <w:lang w:val="fr-FR"/>
        </w:rPr>
        <w:t xml:space="preserve">intégrées dans les amendements </w:t>
      </w:r>
      <w:r>
        <w:rPr>
          <w:lang w:val="fr-FR"/>
        </w:rPr>
        <w:t xml:space="preserve">de </w:t>
      </w:r>
      <w:r w:rsidRPr="00402C88">
        <w:rPr>
          <w:lang w:val="fr-FR"/>
        </w:rPr>
        <w:t>2023</w:t>
      </w:r>
    </w:p>
    <w:p w14:paraId="1226EFDC" w14:textId="2912AF45" w:rsidR="00C06FF4" w:rsidRPr="00402C88" w:rsidRDefault="00C06FF4" w:rsidP="00C06FF4">
      <w:pPr>
        <w:pStyle w:val="H1G"/>
        <w:rPr>
          <w:szCs w:val="24"/>
          <w:lang w:val="fr-FR"/>
        </w:rPr>
      </w:pPr>
      <w:r w:rsidRPr="00402C88">
        <w:rPr>
          <w:lang w:val="fr-FR"/>
        </w:rPr>
        <w:tab/>
      </w:r>
      <w:r w:rsidRPr="00402C88">
        <w:rPr>
          <w:lang w:val="fr-FR"/>
        </w:rPr>
        <w:tab/>
        <w:t>Note du secrétariat</w:t>
      </w:r>
      <w:r w:rsidRPr="00C06FF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C06FF4">
        <w:rPr>
          <w:b w:val="0"/>
          <w:bCs/>
          <w:sz w:val="20"/>
          <w:vertAlign w:val="superscript"/>
          <w:lang w:val="fr-FR"/>
        </w:rPr>
        <w:t xml:space="preserve">, </w:t>
      </w:r>
      <w:r w:rsidRPr="00C06FF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7ACC91E0" w14:textId="77777777" w:rsidR="00C06FF4" w:rsidRPr="00402C88" w:rsidRDefault="00C06FF4" w:rsidP="00C06FF4">
      <w:pPr>
        <w:pStyle w:val="HChG"/>
        <w:rPr>
          <w:lang w:val="fr-FR"/>
        </w:rPr>
      </w:pPr>
      <w:r w:rsidRPr="00402C88">
        <w:rPr>
          <w:lang w:val="fr-FR"/>
        </w:rPr>
        <w:tab/>
      </w:r>
      <w:r w:rsidRPr="00402C88">
        <w:rPr>
          <w:lang w:val="fr-FR"/>
        </w:rPr>
        <w:tab/>
        <w:t>Introduction</w:t>
      </w:r>
    </w:p>
    <w:p w14:paraId="15053F1B" w14:textId="0D8FD673" w:rsidR="00C06FF4" w:rsidRPr="00402C88" w:rsidRDefault="00C06FF4" w:rsidP="00C06FF4">
      <w:pPr>
        <w:pStyle w:val="SingleTxtG"/>
        <w:rPr>
          <w:lang w:val="fr-FR"/>
        </w:rPr>
      </w:pPr>
      <w:r w:rsidRPr="00402C88">
        <w:rPr>
          <w:lang w:val="fr-FR"/>
        </w:rPr>
        <w:t>1.</w:t>
      </w:r>
      <w:r w:rsidRPr="00402C88">
        <w:rPr>
          <w:lang w:val="fr-FR"/>
        </w:rPr>
        <w:tab/>
        <w:t>Les versions révisées des normes EN 14025 et EN 13799 n</w:t>
      </w:r>
      <w:r>
        <w:rPr>
          <w:lang w:val="fr-FR"/>
        </w:rPr>
        <w:t>’</w:t>
      </w:r>
      <w:r w:rsidRPr="00402C88">
        <w:rPr>
          <w:lang w:val="fr-FR"/>
        </w:rPr>
        <w:t>étaient pas disponibles en temps voulu</w:t>
      </w:r>
      <w:r>
        <w:rPr>
          <w:lang w:val="fr-FR"/>
        </w:rPr>
        <w:t>,</w:t>
      </w:r>
      <w:r w:rsidRPr="00402C88">
        <w:rPr>
          <w:lang w:val="fr-FR"/>
        </w:rPr>
        <w:t xml:space="preserve"> le 1</w:t>
      </w:r>
      <w:r w:rsidRPr="00176E2F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402C88">
        <w:rPr>
          <w:lang w:val="fr-FR"/>
        </w:rPr>
        <w:t>juin 2022</w:t>
      </w:r>
      <w:r>
        <w:rPr>
          <w:lang w:val="fr-FR"/>
        </w:rPr>
        <w:t>,</w:t>
      </w:r>
      <w:r w:rsidRPr="00402C88">
        <w:rPr>
          <w:lang w:val="fr-FR"/>
        </w:rPr>
        <w:t xml:space="preserve"> et n</w:t>
      </w:r>
      <w:r>
        <w:rPr>
          <w:lang w:val="fr-FR"/>
        </w:rPr>
        <w:t>’</w:t>
      </w:r>
      <w:r w:rsidRPr="00402C88">
        <w:rPr>
          <w:lang w:val="fr-FR"/>
        </w:rPr>
        <w:t xml:space="preserve">ont donc pas été </w:t>
      </w:r>
      <w:r w:rsidRPr="00176E2F">
        <w:rPr>
          <w:lang w:val="fr-FR"/>
        </w:rPr>
        <w:t>intégrées dans</w:t>
      </w:r>
      <w:r w:rsidRPr="00402C88">
        <w:rPr>
          <w:i/>
          <w:iCs/>
          <w:lang w:val="fr-FR"/>
        </w:rPr>
        <w:t xml:space="preserve"> </w:t>
      </w:r>
      <w:r>
        <w:rPr>
          <w:lang w:val="fr-FR"/>
        </w:rPr>
        <w:t xml:space="preserve">les </w:t>
      </w:r>
      <w:r w:rsidRPr="00176E2F">
        <w:rPr>
          <w:lang w:val="fr-FR"/>
        </w:rPr>
        <w:t>proposition</w:t>
      </w:r>
      <w:r>
        <w:rPr>
          <w:lang w:val="fr-FR"/>
        </w:rPr>
        <w:t>s</w:t>
      </w:r>
      <w:r w:rsidRPr="00176E2F">
        <w:rPr>
          <w:lang w:val="fr-FR"/>
        </w:rPr>
        <w:t xml:space="preserve"> d</w:t>
      </w:r>
      <w:r>
        <w:rPr>
          <w:lang w:val="fr-FR"/>
        </w:rPr>
        <w:t>’</w:t>
      </w:r>
      <w:r w:rsidRPr="00176E2F">
        <w:rPr>
          <w:lang w:val="fr-FR"/>
        </w:rPr>
        <w:t>amendements à notifier</w:t>
      </w:r>
      <w:r w:rsidRPr="00402C88">
        <w:rPr>
          <w:i/>
          <w:iCs/>
          <w:lang w:val="fr-FR"/>
        </w:rPr>
        <w:t xml:space="preserve"> </w:t>
      </w:r>
      <w:r w:rsidRPr="00402C88">
        <w:rPr>
          <w:lang w:val="fr-FR"/>
        </w:rPr>
        <w:t xml:space="preserve">aux </w:t>
      </w:r>
      <w:r w:rsidRPr="00176E2F">
        <w:rPr>
          <w:lang w:val="fr-FR"/>
        </w:rPr>
        <w:t>États Parties au RI</w:t>
      </w:r>
      <w:r>
        <w:rPr>
          <w:lang w:val="fr-FR"/>
        </w:rPr>
        <w:t xml:space="preserve">D </w:t>
      </w:r>
      <w:r w:rsidRPr="00176E2F">
        <w:rPr>
          <w:lang w:val="fr-FR"/>
        </w:rPr>
        <w:t xml:space="preserve">et aux Parties contractantes </w:t>
      </w:r>
      <w:r>
        <w:rPr>
          <w:lang w:val="fr-FR"/>
        </w:rPr>
        <w:t xml:space="preserve">à </w:t>
      </w:r>
      <w:r w:rsidRPr="00176E2F">
        <w:rPr>
          <w:lang w:val="fr-FR"/>
        </w:rPr>
        <w:t>l</w:t>
      </w:r>
      <w:r>
        <w:rPr>
          <w:lang w:val="fr-FR"/>
        </w:rPr>
        <w:t>’</w:t>
      </w:r>
      <w:r w:rsidRPr="00176E2F">
        <w:rPr>
          <w:lang w:val="fr-FR"/>
        </w:rPr>
        <w:t>ADR</w:t>
      </w:r>
      <w:r>
        <w:rPr>
          <w:lang w:val="fr-FR"/>
        </w:rPr>
        <w:t xml:space="preserve"> </w:t>
      </w:r>
      <w:r w:rsidRPr="00176E2F">
        <w:rPr>
          <w:lang w:val="fr-FR"/>
        </w:rPr>
        <w:t>le 1</w:t>
      </w:r>
      <w:r w:rsidRPr="00176E2F">
        <w:rPr>
          <w:vertAlign w:val="superscript"/>
          <w:lang w:val="fr-FR"/>
        </w:rPr>
        <w:t xml:space="preserve">er </w:t>
      </w:r>
      <w:r w:rsidRPr="00176E2F">
        <w:rPr>
          <w:lang w:val="fr-FR"/>
        </w:rPr>
        <w:t>juillet 2022 pour entrée en vigueur le 1</w:t>
      </w:r>
      <w:r w:rsidRPr="00176E2F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176E2F">
        <w:rPr>
          <w:lang w:val="fr-FR"/>
        </w:rPr>
        <w:t>janvier 2023</w:t>
      </w:r>
      <w:r w:rsidRPr="00402C88">
        <w:rPr>
          <w:i/>
          <w:iCs/>
          <w:lang w:val="fr-FR"/>
        </w:rPr>
        <w:t>.</w:t>
      </w:r>
    </w:p>
    <w:p w14:paraId="0552A4B0" w14:textId="6222AD1A" w:rsidR="00C06FF4" w:rsidRPr="00402C88" w:rsidRDefault="00C06FF4" w:rsidP="00C06FF4">
      <w:pPr>
        <w:pStyle w:val="SingleTxtG"/>
        <w:rPr>
          <w:lang w:val="fr-FR"/>
        </w:rPr>
      </w:pPr>
      <w:r w:rsidRPr="00402C88">
        <w:rPr>
          <w:lang w:val="fr-FR"/>
        </w:rPr>
        <w:t>2.</w:t>
      </w:r>
      <w:r w:rsidRPr="00402C88">
        <w:rPr>
          <w:lang w:val="fr-FR"/>
        </w:rPr>
        <w:tab/>
        <w:t>Le secrétariat a élaboré les propositions d</w:t>
      </w:r>
      <w:r>
        <w:rPr>
          <w:lang w:val="fr-FR"/>
        </w:rPr>
        <w:t>’</w:t>
      </w:r>
      <w:r w:rsidRPr="00746300">
        <w:rPr>
          <w:lang w:val="fr-FR"/>
        </w:rPr>
        <w:t xml:space="preserve">amendements </w:t>
      </w:r>
      <w:r w:rsidRPr="00402C88">
        <w:rPr>
          <w:lang w:val="fr-FR"/>
        </w:rPr>
        <w:t>ci-après</w:t>
      </w:r>
      <w:r>
        <w:rPr>
          <w:lang w:val="fr-FR"/>
        </w:rPr>
        <w:t>,</w:t>
      </w:r>
      <w:r w:rsidRPr="00402C88">
        <w:rPr>
          <w:lang w:val="fr-FR"/>
        </w:rPr>
        <w:t xml:space="preserve"> </w:t>
      </w:r>
      <w:r w:rsidRPr="00746300">
        <w:rPr>
          <w:lang w:val="fr-FR"/>
        </w:rPr>
        <w:t>visant à référencer ces normes dans</w:t>
      </w:r>
      <w:r w:rsidRPr="00402C88">
        <w:rPr>
          <w:i/>
          <w:iCs/>
          <w:lang w:val="fr-FR"/>
        </w:rPr>
        <w:t xml:space="preserve"> </w:t>
      </w:r>
      <w:r w:rsidRPr="00402C88">
        <w:rPr>
          <w:lang w:val="fr-FR"/>
        </w:rPr>
        <w:t>le RID et l</w:t>
      </w:r>
      <w:r>
        <w:rPr>
          <w:lang w:val="fr-FR"/>
        </w:rPr>
        <w:t>’</w:t>
      </w:r>
      <w:r w:rsidRPr="00402C88">
        <w:rPr>
          <w:lang w:val="fr-FR"/>
        </w:rPr>
        <w:t>ADR 2025. Le Groupe de travail des normes de la Réunion commune est invité à confirmer que ces références sont toujours valables et que les dates d</w:t>
      </w:r>
      <w:r>
        <w:rPr>
          <w:lang w:val="fr-FR"/>
        </w:rPr>
        <w:t>’</w:t>
      </w:r>
      <w:r w:rsidRPr="00402C88">
        <w:rPr>
          <w:lang w:val="fr-FR"/>
        </w:rPr>
        <w:t>application sont correctement transposées pour une entrée en vigueur au 1</w:t>
      </w:r>
      <w:r w:rsidRPr="00746300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402C88">
        <w:rPr>
          <w:lang w:val="fr-FR"/>
        </w:rPr>
        <w:t>janvier 2025.</w:t>
      </w:r>
    </w:p>
    <w:p w14:paraId="4E84980D" w14:textId="77777777" w:rsidR="00C06FF4" w:rsidRPr="00402C88" w:rsidRDefault="00C06FF4" w:rsidP="00C06FF4">
      <w:pPr>
        <w:spacing w:after="120"/>
        <w:ind w:left="1134" w:right="1134"/>
        <w:jc w:val="both"/>
        <w:rPr>
          <w:lang w:val="fr-FR"/>
        </w:rPr>
      </w:pPr>
      <w:r w:rsidRPr="00402C88">
        <w:rPr>
          <w:lang w:val="fr-FR"/>
        </w:rPr>
        <w:t>3.</w:t>
      </w:r>
      <w:r w:rsidRPr="00402C88">
        <w:rPr>
          <w:lang w:val="fr-FR"/>
        </w:rPr>
        <w:tab/>
        <w:t>Au 6.8.2.6.1, pour la norme EN 14025:[2022], une correction a été effectuée concernant les paragraphes applicables de manière à inclure le 6.8.3.1.</w:t>
      </w:r>
    </w:p>
    <w:p w14:paraId="4FCA19B1" w14:textId="2136CFC6" w:rsidR="00C06FF4" w:rsidRPr="00402C88" w:rsidRDefault="00C06FF4" w:rsidP="00C06FF4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02C88">
        <w:rPr>
          <w:lang w:val="fr-FR"/>
        </w:rPr>
        <w:t>Propositions d</w:t>
      </w:r>
      <w:r>
        <w:rPr>
          <w:lang w:val="fr-FR"/>
        </w:rPr>
        <w:t>’</w:t>
      </w:r>
      <w:r w:rsidRPr="00402C88">
        <w:rPr>
          <w:lang w:val="fr-FR"/>
        </w:rPr>
        <w:t>amendements</w:t>
      </w:r>
    </w:p>
    <w:p w14:paraId="17487584" w14:textId="77777777" w:rsidR="00C06FF4" w:rsidRPr="00402C88" w:rsidRDefault="00C06FF4" w:rsidP="00C06FF4">
      <w:pPr>
        <w:spacing w:after="120"/>
        <w:ind w:left="2268" w:right="1134" w:hanging="1134"/>
        <w:jc w:val="both"/>
        <w:rPr>
          <w:lang w:val="fr-FR"/>
        </w:rPr>
      </w:pPr>
      <w:r w:rsidRPr="00402C88">
        <w:rPr>
          <w:lang w:val="fr-FR"/>
        </w:rPr>
        <w:t>6.2.4.1</w:t>
      </w:r>
      <w:r w:rsidRPr="00402C88">
        <w:rPr>
          <w:lang w:val="fr-FR"/>
        </w:rPr>
        <w:tab/>
        <w:t>Dans le tableau, sous « Pour les fermetures » :</w:t>
      </w:r>
    </w:p>
    <w:p w14:paraId="51D1171A" w14:textId="4540B167" w:rsidR="00C06FF4" w:rsidRPr="00402C88" w:rsidRDefault="00C06FF4" w:rsidP="00C06FF4">
      <w:pPr>
        <w:spacing w:after="120"/>
        <w:ind w:left="2694" w:right="1134" w:hanging="426"/>
        <w:jc w:val="both"/>
        <w:rPr>
          <w:lang w:val="fr-FR"/>
        </w:rPr>
      </w:pPr>
      <w:r>
        <w:rPr>
          <w:lang w:val="fr-FR"/>
        </w:rPr>
        <w:t>- A</w:t>
      </w:r>
      <w:r w:rsidRPr="00402C88">
        <w:rPr>
          <w:lang w:val="fr-FR"/>
        </w:rPr>
        <w:t>jouter la nouvelle rubrique suivante</w:t>
      </w:r>
      <w:r>
        <w:rPr>
          <w:lang w:val="fr-FR"/>
        </w:rPr>
        <w:t xml:space="preserve"> à la fin de la liste des rubriques</w:t>
      </w:r>
      <w:r w:rsidRPr="00402C88">
        <w:rPr>
          <w:lang w:val="fr-FR"/>
        </w:rPr>
        <w:t xml:space="preserve"> 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870"/>
        <w:gridCol w:w="1290"/>
        <w:gridCol w:w="968"/>
        <w:gridCol w:w="483"/>
      </w:tblGrid>
      <w:tr w:rsidR="00C06FF4" w:rsidRPr="00402C88" w14:paraId="6C565170" w14:textId="77777777" w:rsidTr="00B13794">
        <w:tc>
          <w:tcPr>
            <w:tcW w:w="1665" w:type="dxa"/>
            <w:vAlign w:val="center"/>
          </w:tcPr>
          <w:p w14:paraId="5D702B97" w14:textId="77777777" w:rsidR="00C06FF4" w:rsidRPr="00402C88" w:rsidRDefault="00C06FF4" w:rsidP="00B13794">
            <w:pPr>
              <w:widowControl w:val="0"/>
              <w:spacing w:before="60" w:after="60"/>
              <w:rPr>
                <w:lang w:val="fr-FR"/>
              </w:rPr>
            </w:pPr>
            <w:r w:rsidRPr="00402C88">
              <w:rPr>
                <w:lang w:val="fr-FR"/>
              </w:rPr>
              <w:t>EN 13799:[2022]</w:t>
            </w:r>
          </w:p>
        </w:tc>
        <w:tc>
          <w:tcPr>
            <w:tcW w:w="3402" w:type="dxa"/>
          </w:tcPr>
          <w:p w14:paraId="33453651" w14:textId="77777777" w:rsidR="00C06FF4" w:rsidRPr="00402C88" w:rsidRDefault="00C06FF4" w:rsidP="00B13794">
            <w:pPr>
              <w:widowControl w:val="0"/>
              <w:spacing w:before="60" w:after="120"/>
              <w:rPr>
                <w:lang w:val="fr-FR"/>
              </w:rPr>
            </w:pPr>
            <w:r w:rsidRPr="00402C88">
              <w:rPr>
                <w:lang w:val="fr-FR"/>
              </w:rPr>
              <w:t>Équipements pour GPL et leurs accessoires − Jauges de niveau pour les réservoirs de gaz de pétrole liquéfié (GPL)</w:t>
            </w:r>
          </w:p>
        </w:tc>
        <w:tc>
          <w:tcPr>
            <w:tcW w:w="1134" w:type="dxa"/>
            <w:vAlign w:val="center"/>
          </w:tcPr>
          <w:p w14:paraId="0141A1F0" w14:textId="77777777" w:rsidR="00C06FF4" w:rsidRPr="00402C88" w:rsidRDefault="00C06FF4" w:rsidP="00B13794">
            <w:pPr>
              <w:widowControl w:val="0"/>
              <w:spacing w:before="60" w:after="60"/>
              <w:rPr>
                <w:lang w:val="fr-FR"/>
              </w:rPr>
            </w:pPr>
            <w:r w:rsidRPr="00402C88">
              <w:rPr>
                <w:lang w:val="fr-FR"/>
              </w:rPr>
              <w:t>6.2.3.1 et 6.2.3.3</w:t>
            </w:r>
          </w:p>
        </w:tc>
        <w:tc>
          <w:tcPr>
            <w:tcW w:w="851" w:type="dxa"/>
            <w:vAlign w:val="center"/>
          </w:tcPr>
          <w:p w14:paraId="4DEE25DD" w14:textId="77777777" w:rsidR="00C06FF4" w:rsidRPr="00402C88" w:rsidRDefault="00C06FF4" w:rsidP="00B13794">
            <w:pPr>
              <w:widowControl w:val="0"/>
              <w:spacing w:before="60" w:after="60"/>
              <w:rPr>
                <w:lang w:val="fr-FR"/>
              </w:rPr>
            </w:pPr>
            <w:r w:rsidRPr="00402C88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02C88">
              <w:rPr>
                <w:lang w:val="fr-FR"/>
              </w:rPr>
              <w:t>à nouvel ordre</w:t>
            </w:r>
          </w:p>
        </w:tc>
        <w:tc>
          <w:tcPr>
            <w:tcW w:w="425" w:type="dxa"/>
            <w:vAlign w:val="center"/>
          </w:tcPr>
          <w:p w14:paraId="442F7989" w14:textId="77777777" w:rsidR="00C06FF4" w:rsidRPr="00402C88" w:rsidRDefault="00C06FF4" w:rsidP="00B13794">
            <w:pPr>
              <w:widowControl w:val="0"/>
              <w:spacing w:before="60" w:after="60"/>
              <w:rPr>
                <w:lang w:val="fr-FR"/>
              </w:rPr>
            </w:pPr>
          </w:p>
        </w:tc>
      </w:tr>
    </w:tbl>
    <w:p w14:paraId="467F1944" w14:textId="6757A88B" w:rsidR="00C06FF4" w:rsidRPr="00402C88" w:rsidRDefault="00C06FF4" w:rsidP="00C06FF4">
      <w:pPr>
        <w:keepNext/>
        <w:spacing w:before="240" w:after="120"/>
        <w:ind w:left="1134" w:right="1134"/>
        <w:jc w:val="both"/>
        <w:rPr>
          <w:i/>
          <w:iCs/>
          <w:lang w:val="fr-FR"/>
        </w:rPr>
      </w:pPr>
      <w:r w:rsidRPr="00402C88">
        <w:rPr>
          <w:i/>
          <w:iCs/>
          <w:lang w:val="fr-FR"/>
        </w:rPr>
        <w:lastRenderedPageBreak/>
        <w:t>(Document de référence</w:t>
      </w:r>
      <w:r>
        <w:rPr>
          <w:i/>
          <w:iCs/>
          <w:lang w:val="fr-FR"/>
        </w:rPr>
        <w:t> </w:t>
      </w:r>
      <w:r w:rsidRPr="00402C88">
        <w:rPr>
          <w:i/>
          <w:iCs/>
          <w:lang w:val="fr-FR"/>
        </w:rPr>
        <w:t xml:space="preserve">: ECE/TRANS/WP.15/AC.1/162 </w:t>
      </w:r>
      <w:r>
        <w:rPr>
          <w:i/>
          <w:iCs/>
          <w:lang w:val="fr-FR"/>
        </w:rPr>
        <w:t>(</w:t>
      </w:r>
      <w:r w:rsidRPr="00402C88">
        <w:rPr>
          <w:i/>
          <w:iCs/>
          <w:lang w:val="fr-FR"/>
        </w:rPr>
        <w:t>annexe II</w:t>
      </w:r>
      <w:r>
        <w:rPr>
          <w:i/>
          <w:iCs/>
          <w:lang w:val="fr-FR"/>
        </w:rPr>
        <w:t>)</w:t>
      </w:r>
      <w:r w:rsidRPr="00402C88">
        <w:rPr>
          <w:i/>
          <w:iCs/>
          <w:lang w:val="fr-FR"/>
        </w:rPr>
        <w:t>)</w:t>
      </w:r>
    </w:p>
    <w:p w14:paraId="14F92EFB" w14:textId="77777777" w:rsidR="00C06FF4" w:rsidRPr="00402C88" w:rsidRDefault="00C06FF4" w:rsidP="00C06FF4">
      <w:pPr>
        <w:spacing w:after="120"/>
        <w:ind w:left="1134" w:right="1134"/>
        <w:jc w:val="both"/>
        <w:rPr>
          <w:rFonts w:cs="Arial"/>
          <w:bCs/>
          <w:lang w:val="fr-FR"/>
        </w:rPr>
      </w:pPr>
      <w:r w:rsidRPr="00402C88">
        <w:rPr>
          <w:lang w:val="fr-FR"/>
        </w:rPr>
        <w:t>6.8.2.6.1</w:t>
      </w:r>
      <w:r w:rsidRPr="00402C88">
        <w:rPr>
          <w:lang w:val="fr-FR"/>
        </w:rPr>
        <w:tab/>
        <w:t>Dans le tableau, sous « Pour la conception et la construction des citernes » :</w:t>
      </w:r>
    </w:p>
    <w:p w14:paraId="368C0E87" w14:textId="4CA9EEC3" w:rsidR="00C06FF4" w:rsidRPr="00402C88" w:rsidRDefault="00C06FF4" w:rsidP="00C06FF4">
      <w:pPr>
        <w:spacing w:after="120"/>
        <w:ind w:left="2239" w:right="1134" w:hanging="113"/>
        <w:jc w:val="both"/>
        <w:rPr>
          <w:lang w:val="fr-FR"/>
        </w:rPr>
      </w:pPr>
      <w:r>
        <w:rPr>
          <w:i/>
          <w:iCs/>
          <w:lang w:val="fr-FR"/>
        </w:rPr>
        <w:t xml:space="preserve">- </w:t>
      </w:r>
      <w:r w:rsidRPr="005A0869">
        <w:rPr>
          <w:lang w:val="fr-FR"/>
        </w:rPr>
        <w:t>Pour la norme « EN 14025:2018 + AC:2020 », dans la colonne 4), remplacer « Jusqu</w:t>
      </w:r>
      <w:r>
        <w:rPr>
          <w:lang w:val="fr-FR"/>
        </w:rPr>
        <w:t>’</w:t>
      </w:r>
      <w:r w:rsidRPr="005A0869">
        <w:rPr>
          <w:lang w:val="fr-FR"/>
        </w:rPr>
        <w:t>à nouvel ordre » par « Entre le 1</w:t>
      </w:r>
      <w:r w:rsidRPr="005A086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 w:rsidRPr="005A0869">
        <w:rPr>
          <w:lang w:val="fr-FR"/>
        </w:rPr>
        <w:t>janvier 2021 et le 31 décembre [2026]</w:t>
      </w:r>
      <w:r>
        <w:rPr>
          <w:lang w:val="fr-FR"/>
        </w:rPr>
        <w:t> </w:t>
      </w:r>
      <w:r w:rsidRPr="005A0869">
        <w:rPr>
          <w:lang w:val="fr-FR"/>
        </w:rPr>
        <w:t>».</w:t>
      </w:r>
    </w:p>
    <w:p w14:paraId="3616257D" w14:textId="144A61C4" w:rsidR="00C06FF4" w:rsidRPr="00402C88" w:rsidRDefault="00C06FF4" w:rsidP="00C06FF4">
      <w:pPr>
        <w:spacing w:after="120"/>
        <w:ind w:left="1134" w:right="1134"/>
        <w:jc w:val="both"/>
        <w:rPr>
          <w:i/>
          <w:iCs/>
          <w:lang w:val="fr-FR"/>
        </w:rPr>
      </w:pPr>
      <w:r w:rsidRPr="00402C88">
        <w:rPr>
          <w:i/>
          <w:iCs/>
          <w:lang w:val="fr-FR"/>
        </w:rPr>
        <w:t>(Document de référence</w:t>
      </w:r>
      <w:r>
        <w:rPr>
          <w:i/>
          <w:iCs/>
          <w:lang w:val="fr-FR"/>
        </w:rPr>
        <w:t> </w:t>
      </w:r>
      <w:r w:rsidRPr="00402C88">
        <w:rPr>
          <w:i/>
          <w:iCs/>
          <w:lang w:val="fr-FR"/>
        </w:rPr>
        <w:t>: ECE/TRANS/WP.15/AC.1/164 (annexe I, sect</w:t>
      </w:r>
      <w:r>
        <w:rPr>
          <w:i/>
          <w:iCs/>
          <w:lang w:val="fr-FR"/>
        </w:rPr>
        <w:t>. </w:t>
      </w:r>
      <w:r w:rsidRPr="00402C88">
        <w:rPr>
          <w:i/>
          <w:iCs/>
          <w:lang w:val="fr-FR"/>
        </w:rPr>
        <w:t>A), tel que modifié)</w:t>
      </w:r>
    </w:p>
    <w:p w14:paraId="0AA8FB17" w14:textId="106D3BA7" w:rsidR="00C06FF4" w:rsidRPr="00402C88" w:rsidRDefault="00C06FF4" w:rsidP="00C06FF4">
      <w:pPr>
        <w:spacing w:after="120"/>
        <w:ind w:left="2239" w:right="1134" w:hanging="113"/>
        <w:jc w:val="both"/>
        <w:rPr>
          <w:rFonts w:cs="Arial"/>
          <w:lang w:val="fr-FR"/>
        </w:rPr>
      </w:pPr>
      <w:r>
        <w:rPr>
          <w:i/>
          <w:iCs/>
          <w:lang w:val="fr-FR"/>
        </w:rPr>
        <w:t xml:space="preserve">- </w:t>
      </w:r>
      <w:r w:rsidRPr="006C323F">
        <w:rPr>
          <w:lang w:val="fr-FR"/>
        </w:rPr>
        <w:t>Après la ligne pour la norme «</w:t>
      </w:r>
      <w:r>
        <w:rPr>
          <w:lang w:val="fr-FR"/>
        </w:rPr>
        <w:t> </w:t>
      </w:r>
      <w:r w:rsidRPr="006C323F">
        <w:rPr>
          <w:lang w:val="fr-FR"/>
        </w:rPr>
        <w:t>EN 14025:2018 + AC:2020</w:t>
      </w:r>
      <w:r>
        <w:rPr>
          <w:lang w:val="fr-FR"/>
        </w:rPr>
        <w:t> </w:t>
      </w:r>
      <w:r w:rsidRPr="006C323F">
        <w:rPr>
          <w:lang w:val="fr-FR"/>
        </w:rPr>
        <w:t>», ajouter la nouvelle ligne suivante</w:t>
      </w:r>
      <w:r>
        <w:rPr>
          <w:lang w:val="fr-FR"/>
        </w:rPr>
        <w:t> </w:t>
      </w:r>
      <w:r w:rsidRPr="006C323F">
        <w:rPr>
          <w:lang w:val="fr-FR"/>
        </w:rPr>
        <w:t>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668"/>
        <w:gridCol w:w="1081"/>
        <w:gridCol w:w="1036"/>
        <w:gridCol w:w="718"/>
      </w:tblGrid>
      <w:tr w:rsidR="00C06FF4" w:rsidRPr="00402C88" w14:paraId="2794CD7C" w14:textId="77777777" w:rsidTr="00B13794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A32" w14:textId="77777777" w:rsidR="00C06FF4" w:rsidRPr="00402C88" w:rsidRDefault="00C06FF4" w:rsidP="007D70BE">
            <w:pPr>
              <w:widowControl w:val="0"/>
              <w:tabs>
                <w:tab w:val="left" w:pos="720"/>
              </w:tabs>
              <w:spacing w:before="60" w:after="60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1)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36A" w14:textId="77777777" w:rsidR="00C06FF4" w:rsidRPr="00402C88" w:rsidRDefault="00C06FF4" w:rsidP="007D70BE">
            <w:pPr>
              <w:widowControl w:val="0"/>
              <w:tabs>
                <w:tab w:val="left" w:pos="720"/>
              </w:tabs>
              <w:spacing w:before="60" w:after="60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2)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ACA3" w14:textId="77777777" w:rsidR="00C06FF4" w:rsidRPr="00402C88" w:rsidRDefault="00C06FF4" w:rsidP="007D70BE">
            <w:pPr>
              <w:widowControl w:val="0"/>
              <w:tabs>
                <w:tab w:val="left" w:pos="720"/>
              </w:tabs>
              <w:spacing w:before="60" w:after="60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CEF7" w14:textId="77777777" w:rsidR="00C06FF4" w:rsidRPr="00402C88" w:rsidRDefault="00C06FF4" w:rsidP="007D70BE">
            <w:pPr>
              <w:widowControl w:val="0"/>
              <w:tabs>
                <w:tab w:val="left" w:pos="720"/>
              </w:tabs>
              <w:spacing w:before="60" w:after="60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4)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CD32" w14:textId="77777777" w:rsidR="00C06FF4" w:rsidRPr="00402C88" w:rsidRDefault="00C06FF4" w:rsidP="007D70BE">
            <w:pPr>
              <w:widowControl w:val="0"/>
              <w:tabs>
                <w:tab w:val="left" w:pos="720"/>
              </w:tabs>
              <w:spacing w:before="60" w:after="60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5)</w:t>
            </w:r>
          </w:p>
        </w:tc>
      </w:tr>
      <w:tr w:rsidR="00C06FF4" w:rsidRPr="00402C88" w14:paraId="6A90324D" w14:textId="77777777" w:rsidTr="00B13794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CB1E" w14:textId="77777777" w:rsidR="00C06FF4" w:rsidRPr="00402C88" w:rsidRDefault="00C06FF4" w:rsidP="00C06FF4">
            <w:pPr>
              <w:widowControl w:val="0"/>
              <w:tabs>
                <w:tab w:val="left" w:pos="720"/>
              </w:tabs>
              <w:spacing w:before="60" w:after="60" w:line="220" w:lineRule="atLeast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EN 14025:[2022]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F2CB" w14:textId="5B05C137" w:rsidR="00C06FF4" w:rsidRPr="00402C88" w:rsidRDefault="00C06FF4" w:rsidP="00C06FF4">
            <w:pPr>
              <w:widowControl w:val="0"/>
              <w:tabs>
                <w:tab w:val="left" w:pos="599"/>
              </w:tabs>
              <w:spacing w:before="60" w:after="60" w:line="220" w:lineRule="atLeast"/>
              <w:ind w:left="57" w:right="57"/>
              <w:rPr>
                <w:bCs/>
                <w:color w:val="000000"/>
                <w:lang w:val="fr-FR"/>
              </w:rPr>
            </w:pPr>
            <w:r w:rsidRPr="00402C88">
              <w:rPr>
                <w:lang w:val="fr-FR"/>
              </w:rPr>
              <w:t xml:space="preserve">Citernes destinées au transport de matières dangereuses </w:t>
            </w:r>
            <w:r>
              <w:rPr>
                <w:lang w:val="fr-FR"/>
              </w:rPr>
              <w:t>− </w:t>
            </w:r>
            <w:r w:rsidRPr="00402C88">
              <w:rPr>
                <w:lang w:val="fr-FR"/>
              </w:rPr>
              <w:t>citernes métalliques sous pression</w:t>
            </w:r>
            <w:r>
              <w:rPr>
                <w:lang w:val="fr-FR"/>
              </w:rPr>
              <w:t> −</w:t>
            </w:r>
            <w:r w:rsidRPr="00402C88">
              <w:rPr>
                <w:lang w:val="fr-FR"/>
              </w:rPr>
              <w:t xml:space="preserve"> conception et</w:t>
            </w:r>
            <w:r>
              <w:rPr>
                <w:lang w:val="fr-FR"/>
              </w:rPr>
              <w:t> </w:t>
            </w:r>
            <w:r w:rsidRPr="00402C88">
              <w:rPr>
                <w:lang w:val="fr-FR"/>
              </w:rPr>
              <w:t>fabrication</w:t>
            </w:r>
          </w:p>
          <w:p w14:paraId="142E5F18" w14:textId="77777777" w:rsidR="00C06FF4" w:rsidRPr="00402C88" w:rsidRDefault="00C06FF4" w:rsidP="00C06FF4">
            <w:pPr>
              <w:widowControl w:val="0"/>
              <w:tabs>
                <w:tab w:val="left" w:pos="446"/>
              </w:tabs>
              <w:spacing w:before="60" w:after="60" w:line="220" w:lineRule="atLeast"/>
              <w:ind w:left="57" w:right="57"/>
              <w:rPr>
                <w:rFonts w:cs="Arial"/>
                <w:bCs/>
                <w:i/>
                <w:lang w:val="fr-FR"/>
              </w:rPr>
            </w:pPr>
            <w:r w:rsidRPr="00402C88">
              <w:rPr>
                <w:b/>
                <w:bCs/>
                <w:i/>
                <w:iCs/>
                <w:lang w:val="fr-FR"/>
              </w:rPr>
              <w:t>NOTA :</w:t>
            </w:r>
            <w:r w:rsidRPr="00402C88">
              <w:rPr>
                <w:lang w:val="fr-FR"/>
              </w:rPr>
              <w:tab/>
            </w:r>
            <w:r w:rsidRPr="00402C88">
              <w:rPr>
                <w:i/>
                <w:iCs/>
                <w:lang w:val="fr-FR"/>
              </w:rPr>
              <w:t>Les matériaux des réservoirs doivent au moins être attestés par un certificat de type 3.1 délivré conformément à la norme EN 10204.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CD3F" w14:textId="77777777" w:rsidR="00C06FF4" w:rsidRPr="00402C88" w:rsidRDefault="00C06FF4" w:rsidP="00C06FF4">
            <w:pPr>
              <w:widowControl w:val="0"/>
              <w:tabs>
                <w:tab w:val="left" w:pos="720"/>
              </w:tabs>
              <w:spacing w:before="60" w:after="60" w:line="220" w:lineRule="atLeast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6.8.2.1 et 6.8.3.1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C633" w14:textId="77777777" w:rsidR="00C06FF4" w:rsidRPr="00402C88" w:rsidRDefault="00C06FF4" w:rsidP="007D70BE">
            <w:pPr>
              <w:widowControl w:val="0"/>
              <w:tabs>
                <w:tab w:val="left" w:pos="720"/>
              </w:tabs>
              <w:spacing w:before="60" w:after="60" w:line="220" w:lineRule="atLeast"/>
              <w:ind w:left="57" w:right="57"/>
              <w:rPr>
                <w:rFonts w:cs="Arial"/>
                <w:lang w:val="fr-FR"/>
              </w:rPr>
            </w:pPr>
            <w:r w:rsidRPr="00402C88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02C88">
              <w:rPr>
                <w:lang w:val="fr-FR"/>
              </w:rPr>
              <w:t>à nouvel ordre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3FA" w14:textId="77777777" w:rsidR="00C06FF4" w:rsidRPr="00402C88" w:rsidRDefault="00C06FF4" w:rsidP="00C06FF4">
            <w:pPr>
              <w:widowControl w:val="0"/>
              <w:tabs>
                <w:tab w:val="left" w:pos="720"/>
              </w:tabs>
              <w:spacing w:before="60" w:after="60" w:line="220" w:lineRule="atLeast"/>
              <w:ind w:left="57" w:right="57"/>
              <w:rPr>
                <w:rFonts w:cs="Arial"/>
                <w:lang w:val="fr-FR"/>
              </w:rPr>
            </w:pPr>
          </w:p>
        </w:tc>
      </w:tr>
    </w:tbl>
    <w:p w14:paraId="38E6B4ED" w14:textId="393A2EA0" w:rsidR="00C06FF4" w:rsidRPr="00402C88" w:rsidRDefault="00C06FF4" w:rsidP="00C06FF4">
      <w:pPr>
        <w:spacing w:before="240" w:after="120"/>
        <w:ind w:left="1134" w:right="1134"/>
        <w:jc w:val="both"/>
        <w:rPr>
          <w:i/>
          <w:iCs/>
          <w:lang w:val="fr-FR"/>
        </w:rPr>
      </w:pPr>
      <w:r w:rsidRPr="00402C88">
        <w:rPr>
          <w:i/>
          <w:iCs/>
          <w:lang w:val="fr-FR"/>
        </w:rPr>
        <w:t>(Document de référence : ECE/TRANS/WP.15/AC.1/164 (annexe I, sect</w:t>
      </w:r>
      <w:r w:rsidR="007D70BE">
        <w:rPr>
          <w:i/>
          <w:iCs/>
          <w:lang w:val="fr-FR"/>
        </w:rPr>
        <w:t>. </w:t>
      </w:r>
      <w:r w:rsidRPr="00402C88">
        <w:rPr>
          <w:i/>
          <w:iCs/>
          <w:lang w:val="fr-FR"/>
        </w:rPr>
        <w:t>A.))</w:t>
      </w:r>
    </w:p>
    <w:p w14:paraId="05B7B2BB" w14:textId="77777777" w:rsidR="00C06FF4" w:rsidRPr="00402C88" w:rsidRDefault="00C06FF4" w:rsidP="00C06FF4">
      <w:pPr>
        <w:spacing w:before="120" w:after="120"/>
        <w:ind w:left="2268" w:right="1134" w:hanging="1134"/>
        <w:jc w:val="both"/>
        <w:rPr>
          <w:lang w:val="fr-FR"/>
        </w:rPr>
      </w:pPr>
      <w:r w:rsidRPr="00402C88">
        <w:rPr>
          <w:lang w:val="fr-FR"/>
        </w:rPr>
        <w:t>6.8.2.6.1</w:t>
      </w:r>
      <w:r w:rsidRPr="00402C88">
        <w:rPr>
          <w:lang w:val="fr-FR"/>
        </w:rPr>
        <w:tab/>
        <w:t>Dans le tableau, sous « Pour les équipements » :</w:t>
      </w:r>
    </w:p>
    <w:p w14:paraId="7350601C" w14:textId="77777777" w:rsidR="00C06FF4" w:rsidRPr="00402C88" w:rsidRDefault="00C06FF4" w:rsidP="00C06FF4">
      <w:pPr>
        <w:spacing w:after="120"/>
        <w:ind w:left="2694" w:right="1134" w:hanging="426"/>
        <w:jc w:val="both"/>
        <w:rPr>
          <w:lang w:val="fr-FR"/>
        </w:rPr>
      </w:pPr>
      <w:r>
        <w:rPr>
          <w:lang w:val="fr-FR"/>
        </w:rPr>
        <w:t>- A</w:t>
      </w:r>
      <w:r w:rsidRPr="00402C88">
        <w:rPr>
          <w:lang w:val="fr-FR"/>
        </w:rPr>
        <w:t>jouter la nouvelle rubrique suivante</w:t>
      </w:r>
      <w:r w:rsidRPr="00100BA7">
        <w:rPr>
          <w:lang w:val="fr-FR"/>
        </w:rPr>
        <w:t xml:space="preserve"> </w:t>
      </w:r>
      <w:r>
        <w:rPr>
          <w:lang w:val="fr-FR"/>
        </w:rPr>
        <w:t>à la fin de la liste des rubriques</w:t>
      </w:r>
      <w:r w:rsidRPr="00402C88">
        <w:rPr>
          <w:lang w:val="fr-FR"/>
        </w:rPr>
        <w:t xml:space="preserve"> :</w:t>
      </w:r>
    </w:p>
    <w:tbl>
      <w:tblPr>
        <w:tblW w:w="8505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3870"/>
        <w:gridCol w:w="1290"/>
        <w:gridCol w:w="968"/>
        <w:gridCol w:w="483"/>
      </w:tblGrid>
      <w:tr w:rsidR="00C06FF4" w:rsidRPr="00402C88" w14:paraId="68426F88" w14:textId="77777777" w:rsidTr="007D70BE">
        <w:tc>
          <w:tcPr>
            <w:tcW w:w="1665" w:type="dxa"/>
            <w:vAlign w:val="center"/>
          </w:tcPr>
          <w:p w14:paraId="6D840A81" w14:textId="77777777" w:rsidR="00C06FF4" w:rsidRPr="00402C88" w:rsidRDefault="00C06FF4" w:rsidP="007D70BE">
            <w:pPr>
              <w:widowControl w:val="0"/>
              <w:spacing w:before="60" w:after="60"/>
              <w:ind w:left="57" w:right="57"/>
              <w:rPr>
                <w:strike/>
                <w:lang w:val="fr-FR"/>
              </w:rPr>
            </w:pPr>
            <w:r w:rsidRPr="00402C88">
              <w:rPr>
                <w:lang w:val="fr-FR"/>
              </w:rPr>
              <w:t>EN 13799:[2022]</w:t>
            </w:r>
          </w:p>
        </w:tc>
        <w:tc>
          <w:tcPr>
            <w:tcW w:w="3402" w:type="dxa"/>
          </w:tcPr>
          <w:p w14:paraId="7D93EC46" w14:textId="2A66E932" w:rsidR="00C06FF4" w:rsidRPr="00402C88" w:rsidRDefault="00C06FF4" w:rsidP="007D70BE">
            <w:pPr>
              <w:keepLines/>
              <w:widowControl w:val="0"/>
              <w:spacing w:before="60" w:after="60"/>
              <w:ind w:left="57" w:right="57"/>
              <w:rPr>
                <w:strike/>
                <w:lang w:val="fr-FR"/>
              </w:rPr>
            </w:pPr>
            <w:r w:rsidRPr="00402C88">
              <w:rPr>
                <w:lang w:val="fr-FR"/>
              </w:rPr>
              <w:t>Équipements pour GPL et leurs accessoires −</w:t>
            </w:r>
            <w:r w:rsidR="007D70BE">
              <w:rPr>
                <w:lang w:val="fr-FR"/>
              </w:rPr>
              <w:t> </w:t>
            </w:r>
            <w:r w:rsidRPr="00402C88">
              <w:rPr>
                <w:lang w:val="fr-FR"/>
              </w:rPr>
              <w:t>Jauges de niveau pour les réservoirs de gaz de pétrole liquéfié (GPL)</w:t>
            </w:r>
          </w:p>
        </w:tc>
        <w:tc>
          <w:tcPr>
            <w:tcW w:w="1134" w:type="dxa"/>
            <w:vAlign w:val="center"/>
          </w:tcPr>
          <w:p w14:paraId="2EDC2B8C" w14:textId="77777777" w:rsidR="00C06FF4" w:rsidRPr="00402C88" w:rsidRDefault="00C06FF4" w:rsidP="007D70BE">
            <w:pPr>
              <w:widowControl w:val="0"/>
              <w:spacing w:before="60" w:after="60"/>
              <w:ind w:left="57" w:right="57"/>
              <w:rPr>
                <w:lang w:val="fr-FR"/>
              </w:rPr>
            </w:pPr>
            <w:r w:rsidRPr="00402C88">
              <w:rPr>
                <w:lang w:val="fr-FR"/>
              </w:rPr>
              <w:t>6.8.2.2.1 et 6.8.2.2.11</w:t>
            </w:r>
          </w:p>
        </w:tc>
        <w:tc>
          <w:tcPr>
            <w:tcW w:w="851" w:type="dxa"/>
            <w:vAlign w:val="center"/>
          </w:tcPr>
          <w:p w14:paraId="4F7F65E9" w14:textId="77777777" w:rsidR="00C06FF4" w:rsidRPr="00402C88" w:rsidRDefault="00C06FF4" w:rsidP="007D70BE">
            <w:pPr>
              <w:widowControl w:val="0"/>
              <w:spacing w:before="60" w:after="60"/>
              <w:ind w:left="57" w:right="57"/>
              <w:rPr>
                <w:lang w:val="fr-FR"/>
              </w:rPr>
            </w:pPr>
            <w:r w:rsidRPr="00402C88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402C88">
              <w:rPr>
                <w:lang w:val="fr-FR"/>
              </w:rPr>
              <w:t>à nouvel ordre</w:t>
            </w:r>
          </w:p>
        </w:tc>
        <w:tc>
          <w:tcPr>
            <w:tcW w:w="425" w:type="dxa"/>
            <w:vAlign w:val="center"/>
          </w:tcPr>
          <w:p w14:paraId="6575837E" w14:textId="77777777" w:rsidR="00C06FF4" w:rsidRPr="00402C88" w:rsidRDefault="00C06FF4" w:rsidP="007D70BE">
            <w:pPr>
              <w:widowControl w:val="0"/>
              <w:spacing w:before="60" w:after="60"/>
              <w:ind w:left="57" w:right="57"/>
              <w:rPr>
                <w:strike/>
                <w:lang w:val="fr-FR"/>
              </w:rPr>
            </w:pPr>
          </w:p>
        </w:tc>
      </w:tr>
    </w:tbl>
    <w:p w14:paraId="57BDB0C9" w14:textId="490CDDE8" w:rsidR="00C06FF4" w:rsidRPr="00402C88" w:rsidRDefault="00C06FF4" w:rsidP="00C06FF4">
      <w:pPr>
        <w:spacing w:before="240" w:after="120"/>
        <w:ind w:left="1134" w:right="1134"/>
        <w:jc w:val="both"/>
        <w:rPr>
          <w:i/>
          <w:iCs/>
          <w:lang w:val="fr-FR"/>
        </w:rPr>
      </w:pPr>
      <w:r w:rsidRPr="00402C88">
        <w:rPr>
          <w:i/>
          <w:iCs/>
          <w:lang w:val="fr-FR"/>
        </w:rPr>
        <w:t>(Document de référence</w:t>
      </w:r>
      <w:r w:rsidR="007D70BE">
        <w:rPr>
          <w:i/>
          <w:iCs/>
          <w:lang w:val="fr-FR"/>
        </w:rPr>
        <w:t> </w:t>
      </w:r>
      <w:r w:rsidRPr="00402C88">
        <w:rPr>
          <w:i/>
          <w:iCs/>
          <w:lang w:val="fr-FR"/>
        </w:rPr>
        <w:t xml:space="preserve">: ECE/TRANS/WP.15/AC.1/162 </w:t>
      </w:r>
      <w:r>
        <w:rPr>
          <w:i/>
          <w:iCs/>
          <w:lang w:val="fr-FR"/>
        </w:rPr>
        <w:t>(</w:t>
      </w:r>
      <w:r w:rsidRPr="00402C88">
        <w:rPr>
          <w:i/>
          <w:iCs/>
          <w:lang w:val="fr-FR"/>
        </w:rPr>
        <w:t>annexe II</w:t>
      </w:r>
      <w:r>
        <w:rPr>
          <w:i/>
          <w:iCs/>
          <w:lang w:val="fr-FR"/>
        </w:rPr>
        <w:t>)</w:t>
      </w:r>
      <w:r w:rsidRPr="00402C88">
        <w:rPr>
          <w:i/>
          <w:iCs/>
          <w:lang w:val="fr-FR"/>
        </w:rPr>
        <w:t>)</w:t>
      </w:r>
    </w:p>
    <w:p w14:paraId="2333FCF1" w14:textId="3A82DA43" w:rsidR="00C06FF4" w:rsidRPr="00402C88" w:rsidRDefault="00C06FF4" w:rsidP="007D70BE">
      <w:pPr>
        <w:spacing w:before="120" w:after="120"/>
        <w:ind w:left="3402" w:right="1134" w:hanging="2268"/>
        <w:jc w:val="both"/>
        <w:rPr>
          <w:lang w:val="fr-FR"/>
        </w:rPr>
      </w:pPr>
      <w:r w:rsidRPr="00402C88">
        <w:rPr>
          <w:lang w:val="fr-FR"/>
        </w:rPr>
        <w:t>(ADR:) 6.8.4 d), TT11</w:t>
      </w:r>
      <w:r w:rsidRPr="00402C88">
        <w:rPr>
          <w:lang w:val="fr-FR"/>
        </w:rPr>
        <w:tab/>
        <w:t xml:space="preserve">Dans le premier paragraphe sous le tableau, remplacer « EN 14025:2018 » par </w:t>
      </w:r>
      <w:r w:rsidR="007D70BE">
        <w:rPr>
          <w:lang w:val="fr-FR"/>
        </w:rPr>
        <w:t>« </w:t>
      </w:r>
      <w:r w:rsidRPr="00402C88">
        <w:rPr>
          <w:lang w:val="fr-FR"/>
        </w:rPr>
        <w:t>EN 14025:[2022]</w:t>
      </w:r>
      <w:r w:rsidR="007D70BE">
        <w:rPr>
          <w:lang w:val="fr-FR"/>
        </w:rPr>
        <w:t> »</w:t>
      </w:r>
      <w:r w:rsidRPr="00402C88">
        <w:rPr>
          <w:lang w:val="fr-FR"/>
        </w:rPr>
        <w:t>.</w:t>
      </w:r>
    </w:p>
    <w:p w14:paraId="6A32F7BB" w14:textId="64303E83" w:rsidR="00F9573C" w:rsidRDefault="00C06FF4" w:rsidP="00C06FF4">
      <w:pPr>
        <w:spacing w:before="120" w:after="120"/>
        <w:ind w:left="1134" w:right="1134"/>
        <w:jc w:val="both"/>
        <w:rPr>
          <w:i/>
          <w:iCs/>
          <w:lang w:val="fr-FR"/>
        </w:rPr>
      </w:pPr>
      <w:r w:rsidRPr="00402C88">
        <w:rPr>
          <w:i/>
          <w:iCs/>
          <w:lang w:val="fr-FR"/>
        </w:rPr>
        <w:t>(Document de référence : ECE/TRANS/WP.15/AC.1/164 (annexe I, sect</w:t>
      </w:r>
      <w:r w:rsidR="007D70BE">
        <w:rPr>
          <w:i/>
          <w:iCs/>
          <w:lang w:val="fr-FR"/>
        </w:rPr>
        <w:t>. </w:t>
      </w:r>
      <w:r w:rsidRPr="00402C88">
        <w:rPr>
          <w:i/>
          <w:iCs/>
          <w:lang w:val="fr-FR"/>
        </w:rPr>
        <w:t>A))</w:t>
      </w:r>
    </w:p>
    <w:p w14:paraId="2DF9FEA7" w14:textId="37E0C23F" w:rsidR="00C06FF4" w:rsidRPr="00C06FF4" w:rsidRDefault="00C06FF4" w:rsidP="00C06FF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6FF4" w:rsidRPr="00C06FF4" w:rsidSect="00C569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63FD" w14:textId="77777777" w:rsidR="00813A90" w:rsidRDefault="00813A90" w:rsidP="00F95C08">
      <w:pPr>
        <w:spacing w:line="240" w:lineRule="auto"/>
      </w:pPr>
    </w:p>
  </w:endnote>
  <w:endnote w:type="continuationSeparator" w:id="0">
    <w:p w14:paraId="12A19977" w14:textId="77777777" w:rsidR="00813A90" w:rsidRPr="00AC3823" w:rsidRDefault="00813A90" w:rsidP="00AC3823">
      <w:pPr>
        <w:pStyle w:val="Footer"/>
      </w:pPr>
    </w:p>
  </w:endnote>
  <w:endnote w:type="continuationNotice" w:id="1">
    <w:p w14:paraId="12682463" w14:textId="77777777" w:rsidR="00813A90" w:rsidRDefault="00813A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149D" w14:textId="21DEDF73" w:rsidR="00C56970" w:rsidRPr="00C56970" w:rsidRDefault="00C56970" w:rsidP="00C56970">
    <w:pPr>
      <w:pStyle w:val="Footer"/>
      <w:tabs>
        <w:tab w:val="right" w:pos="9638"/>
      </w:tabs>
    </w:pPr>
    <w:r w:rsidRPr="00C56970">
      <w:rPr>
        <w:b/>
        <w:sz w:val="18"/>
      </w:rPr>
      <w:fldChar w:fldCharType="begin"/>
    </w:r>
    <w:r w:rsidRPr="00C56970">
      <w:rPr>
        <w:b/>
        <w:sz w:val="18"/>
      </w:rPr>
      <w:instrText xml:space="preserve"> PAGE  \* MERGEFORMAT </w:instrText>
    </w:r>
    <w:r w:rsidRPr="00C56970">
      <w:rPr>
        <w:b/>
        <w:sz w:val="18"/>
      </w:rPr>
      <w:fldChar w:fldCharType="separate"/>
    </w:r>
    <w:r w:rsidRPr="00C56970">
      <w:rPr>
        <w:b/>
        <w:noProof/>
        <w:sz w:val="18"/>
      </w:rPr>
      <w:t>2</w:t>
    </w:r>
    <w:r w:rsidRPr="00C56970">
      <w:rPr>
        <w:b/>
        <w:sz w:val="18"/>
      </w:rPr>
      <w:fldChar w:fldCharType="end"/>
    </w:r>
    <w:r>
      <w:rPr>
        <w:b/>
        <w:sz w:val="18"/>
      </w:rPr>
      <w:tab/>
    </w:r>
    <w:r>
      <w:t>GE.22-09993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5B4" w14:textId="7B6AD30D" w:rsidR="00C56970" w:rsidRPr="00C56970" w:rsidRDefault="00C56970" w:rsidP="00C56970">
    <w:pPr>
      <w:pStyle w:val="Footer"/>
      <w:tabs>
        <w:tab w:val="right" w:pos="9638"/>
      </w:tabs>
      <w:rPr>
        <w:b/>
        <w:sz w:val="18"/>
      </w:rPr>
    </w:pPr>
    <w:r>
      <w:t>GE.22-09993</w:t>
    </w:r>
    <w:r>
      <w:tab/>
    </w:r>
    <w:r w:rsidRPr="00C56970">
      <w:rPr>
        <w:b/>
        <w:sz w:val="18"/>
      </w:rPr>
      <w:fldChar w:fldCharType="begin"/>
    </w:r>
    <w:r w:rsidRPr="00C56970">
      <w:rPr>
        <w:b/>
        <w:sz w:val="18"/>
      </w:rPr>
      <w:instrText xml:space="preserve"> PAGE  \* MERGEFORMAT </w:instrText>
    </w:r>
    <w:r w:rsidRPr="00C56970">
      <w:rPr>
        <w:b/>
        <w:sz w:val="18"/>
      </w:rPr>
      <w:fldChar w:fldCharType="separate"/>
    </w:r>
    <w:r w:rsidRPr="00C56970">
      <w:rPr>
        <w:b/>
        <w:noProof/>
        <w:sz w:val="18"/>
      </w:rPr>
      <w:t>3</w:t>
    </w:r>
    <w:r w:rsidRPr="00C569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1886" w14:textId="1D0E8F25" w:rsidR="007F20FA" w:rsidRPr="00C56970" w:rsidRDefault="00C56970" w:rsidP="00C5697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3253307" wp14:editId="47E75A2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22-09993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AF372E" wp14:editId="0E17BDE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210722    210722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7639" w14:textId="77777777" w:rsidR="00813A90" w:rsidRPr="00AC3823" w:rsidRDefault="00813A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D2FDAB" w14:textId="77777777" w:rsidR="00813A90" w:rsidRPr="00AC3823" w:rsidRDefault="00813A9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049491" w14:textId="77777777" w:rsidR="00813A90" w:rsidRPr="00AC3823" w:rsidRDefault="00813A90">
      <w:pPr>
        <w:spacing w:line="240" w:lineRule="auto"/>
        <w:rPr>
          <w:sz w:val="2"/>
          <w:szCs w:val="2"/>
        </w:rPr>
      </w:pPr>
    </w:p>
  </w:footnote>
  <w:footnote w:id="2">
    <w:p w14:paraId="0FAC0E73" w14:textId="2A094ACF" w:rsidR="00C06FF4" w:rsidRPr="00C06FF4" w:rsidRDefault="00C06FF4">
      <w:pPr>
        <w:pStyle w:val="FootnoteText"/>
      </w:pPr>
      <w:r>
        <w:rPr>
          <w:rStyle w:val="FootnoteReference"/>
        </w:rPr>
        <w:tab/>
      </w:r>
      <w:r w:rsidRPr="00C06FF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A/76/6 (Sect. 20), par. 20.76.</w:t>
      </w:r>
    </w:p>
  </w:footnote>
  <w:footnote w:id="3">
    <w:p w14:paraId="4CDAACC1" w14:textId="03D8BA2E" w:rsidR="00C06FF4" w:rsidRPr="00C06FF4" w:rsidRDefault="00C06FF4">
      <w:pPr>
        <w:pStyle w:val="FootnoteText"/>
      </w:pPr>
      <w:r>
        <w:rPr>
          <w:rStyle w:val="FootnoteReference"/>
        </w:rPr>
        <w:tab/>
      </w:r>
      <w:r w:rsidRPr="00C06FF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OTIF/RID/RC/2022/32.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640E" w14:textId="71184457" w:rsidR="00C56970" w:rsidRPr="00C56970" w:rsidRDefault="00C30FE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13BD3">
      <w:t>ECE/TRANS/WP.15/AC.1/2022/32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410B" w14:textId="439A3B8D" w:rsidR="00C56970" w:rsidRPr="00C56970" w:rsidRDefault="00C30FEF" w:rsidP="00C5697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3BD3">
      <w:t>ECE/TRANS/WP.15/AC.1/2022/32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9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13BD3"/>
    <w:rsid w:val="005505B7"/>
    <w:rsid w:val="00573BE5"/>
    <w:rsid w:val="00586ED3"/>
    <w:rsid w:val="00596AA9"/>
    <w:rsid w:val="006E7C78"/>
    <w:rsid w:val="0071601D"/>
    <w:rsid w:val="007A62E6"/>
    <w:rsid w:val="007D70BE"/>
    <w:rsid w:val="007F20FA"/>
    <w:rsid w:val="0080684C"/>
    <w:rsid w:val="00813A90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06FF4"/>
    <w:rsid w:val="00C30FEF"/>
    <w:rsid w:val="00C56970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FCD72"/>
  <w15:docId w15:val="{C0E0EA6B-AE79-4518-8E02-5A73DA31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C06FF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B252D4A5-1E31-44B9-91A5-75A6AFC2F5FF}"/>
</file>

<file path=customXml/itemProps2.xml><?xml version="1.0" encoding="utf-8"?>
<ds:datastoreItem xmlns:ds="http://schemas.openxmlformats.org/officeDocument/2006/customXml" ds:itemID="{20986555-80CA-4EC3-992A-91C9C34A9606}"/>
</file>

<file path=customXml/itemProps3.xml><?xml version="1.0" encoding="utf-8"?>
<ds:datastoreItem xmlns:ds="http://schemas.openxmlformats.org/officeDocument/2006/customXml" ds:itemID="{2605E851-F664-4C3A-8AFC-AD89B19C2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ECE/TRANS/WP.15/AC.1/2022/32</vt:lpstr>
    </vt:vector>
  </TitlesOfParts>
  <Company>DCM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ECE/TRANS/WP.15/AC.1/2022/32</dc:title>
  <dc:subject/>
  <dc:creator>Maud DARICHE</dc:creator>
  <cp:keywords/>
  <cp:lastModifiedBy>Christine Barrio-Champeau</cp:lastModifiedBy>
  <cp:revision>2</cp:revision>
  <cp:lastPrinted>2022-07-21T15:48:00Z</cp:lastPrinted>
  <dcterms:created xsi:type="dcterms:W3CDTF">2022-07-25T11:50:00Z</dcterms:created>
  <dcterms:modified xsi:type="dcterms:W3CDTF">2022-07-25T11:50:00Z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