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CC25C5A" w14:textId="77777777" w:rsidTr="00C97039">
        <w:trPr>
          <w:trHeight w:hRule="exact" w:val="851"/>
        </w:trPr>
        <w:tc>
          <w:tcPr>
            <w:tcW w:w="1276" w:type="dxa"/>
            <w:tcBorders>
              <w:bottom w:val="single" w:sz="4" w:space="0" w:color="auto"/>
            </w:tcBorders>
          </w:tcPr>
          <w:p w14:paraId="1F1A7B85" w14:textId="77777777" w:rsidR="00F35BAF" w:rsidRPr="00DB58B5" w:rsidRDefault="00F35BAF" w:rsidP="00C97039"/>
        </w:tc>
        <w:tc>
          <w:tcPr>
            <w:tcW w:w="2268" w:type="dxa"/>
            <w:tcBorders>
              <w:bottom w:val="single" w:sz="4" w:space="0" w:color="auto"/>
            </w:tcBorders>
            <w:vAlign w:val="bottom"/>
          </w:tcPr>
          <w:p w14:paraId="5601675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E6867F" w14:textId="0B5E4CF7" w:rsidR="00F35BAF" w:rsidRPr="00DB58B5" w:rsidRDefault="00205E1E" w:rsidP="00205E1E">
            <w:pPr>
              <w:jc w:val="right"/>
            </w:pPr>
            <w:r w:rsidRPr="00205E1E">
              <w:rPr>
                <w:sz w:val="40"/>
              </w:rPr>
              <w:t>ECE</w:t>
            </w:r>
            <w:r>
              <w:t>/TRANS/WP.15/AC.1/2022/29</w:t>
            </w:r>
          </w:p>
        </w:tc>
      </w:tr>
      <w:tr w:rsidR="00F35BAF" w:rsidRPr="00DB58B5" w14:paraId="1875CA90" w14:textId="77777777" w:rsidTr="00C97039">
        <w:trPr>
          <w:trHeight w:hRule="exact" w:val="2835"/>
        </w:trPr>
        <w:tc>
          <w:tcPr>
            <w:tcW w:w="1276" w:type="dxa"/>
            <w:tcBorders>
              <w:top w:val="single" w:sz="4" w:space="0" w:color="auto"/>
              <w:bottom w:val="single" w:sz="12" w:space="0" w:color="auto"/>
            </w:tcBorders>
          </w:tcPr>
          <w:p w14:paraId="075DB49A" w14:textId="77777777" w:rsidR="00F35BAF" w:rsidRPr="00DB58B5" w:rsidRDefault="00F35BAF" w:rsidP="00C97039">
            <w:pPr>
              <w:spacing w:before="120"/>
              <w:jc w:val="center"/>
            </w:pPr>
            <w:r>
              <w:rPr>
                <w:noProof/>
                <w:lang w:eastAsia="fr-CH"/>
              </w:rPr>
              <w:drawing>
                <wp:inline distT="0" distB="0" distL="0" distR="0" wp14:anchorId="0FC5C606" wp14:editId="314A9E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E62B7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918EF0" w14:textId="77777777" w:rsidR="00F35BAF" w:rsidRDefault="00205E1E" w:rsidP="00C97039">
            <w:pPr>
              <w:spacing w:before="240"/>
            </w:pPr>
            <w:r>
              <w:t>Distr. générale</w:t>
            </w:r>
          </w:p>
          <w:p w14:paraId="25965C77" w14:textId="5DFC3687" w:rsidR="00205E1E" w:rsidRDefault="00205E1E" w:rsidP="00205E1E">
            <w:pPr>
              <w:spacing w:line="240" w:lineRule="exact"/>
            </w:pPr>
            <w:r>
              <w:t>21 juin 2022</w:t>
            </w:r>
          </w:p>
          <w:p w14:paraId="7F9CDB80" w14:textId="77777777" w:rsidR="00205E1E" w:rsidRDefault="00205E1E" w:rsidP="00205E1E">
            <w:pPr>
              <w:spacing w:line="240" w:lineRule="exact"/>
            </w:pPr>
            <w:r>
              <w:t>Français</w:t>
            </w:r>
          </w:p>
          <w:p w14:paraId="091F7FC8" w14:textId="29D2A579" w:rsidR="00205E1E" w:rsidRPr="00DB58B5" w:rsidRDefault="00205E1E" w:rsidP="00205E1E">
            <w:pPr>
              <w:spacing w:line="240" w:lineRule="exact"/>
            </w:pPr>
            <w:r>
              <w:t>Original : anglais</w:t>
            </w:r>
          </w:p>
        </w:tc>
      </w:tr>
    </w:tbl>
    <w:p w14:paraId="79E8C4E9" w14:textId="77777777" w:rsidR="007F20FA" w:rsidRPr="000312C0" w:rsidRDefault="007F20FA" w:rsidP="007F20FA">
      <w:pPr>
        <w:spacing w:before="120"/>
        <w:rPr>
          <w:b/>
          <w:sz w:val="28"/>
          <w:szCs w:val="28"/>
        </w:rPr>
      </w:pPr>
      <w:r w:rsidRPr="000312C0">
        <w:rPr>
          <w:b/>
          <w:sz w:val="28"/>
          <w:szCs w:val="28"/>
        </w:rPr>
        <w:t>Commission économique pour l’Europe</w:t>
      </w:r>
    </w:p>
    <w:p w14:paraId="71D70D3C" w14:textId="77777777" w:rsidR="007F20FA" w:rsidRDefault="007F20FA" w:rsidP="007F20FA">
      <w:pPr>
        <w:spacing w:before="120"/>
        <w:rPr>
          <w:sz w:val="28"/>
          <w:szCs w:val="28"/>
        </w:rPr>
      </w:pPr>
      <w:r w:rsidRPr="00685843">
        <w:rPr>
          <w:sz w:val="28"/>
          <w:szCs w:val="28"/>
        </w:rPr>
        <w:t>Comité des transports intérieurs</w:t>
      </w:r>
    </w:p>
    <w:p w14:paraId="57F41F7F" w14:textId="77777777" w:rsidR="00205E1E" w:rsidRPr="009E01B8" w:rsidRDefault="00205E1E" w:rsidP="00AF0CB5">
      <w:pPr>
        <w:spacing w:before="120"/>
        <w:rPr>
          <w:b/>
          <w:sz w:val="24"/>
          <w:szCs w:val="24"/>
        </w:rPr>
      </w:pPr>
      <w:r w:rsidRPr="009E01B8">
        <w:rPr>
          <w:b/>
          <w:sz w:val="24"/>
          <w:szCs w:val="24"/>
        </w:rPr>
        <w:t>Groupe de travail des transports de marchandises dangereuses</w:t>
      </w:r>
    </w:p>
    <w:p w14:paraId="4B69232D" w14:textId="5704BF9E" w:rsidR="00205E1E" w:rsidRPr="00926E87" w:rsidRDefault="00205E1E"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14:paraId="1B775F99" w14:textId="43F25562" w:rsidR="00205E1E" w:rsidRDefault="00205E1E" w:rsidP="00AF0CB5">
      <w:pPr>
        <w:spacing w:before="120"/>
      </w:pPr>
      <w:r>
        <w:t>Genève, 12-16 septembre 2022</w:t>
      </w:r>
    </w:p>
    <w:p w14:paraId="4D9B39C9" w14:textId="1F372811" w:rsidR="00205E1E" w:rsidRDefault="00205E1E" w:rsidP="00AF0CB5">
      <w:r w:rsidRPr="00B93E72">
        <w:t>Point</w:t>
      </w:r>
      <w:r>
        <w:t> 2</w:t>
      </w:r>
      <w:r w:rsidRPr="00B93E72">
        <w:t xml:space="preserve"> de l’ordre du jour provisoire</w:t>
      </w:r>
    </w:p>
    <w:p w14:paraId="1D24DA26" w14:textId="77777777" w:rsidR="00205E1E" w:rsidRPr="00BD3763" w:rsidRDefault="00205E1E" w:rsidP="00205E1E">
      <w:pPr>
        <w:rPr>
          <w:b/>
          <w:bCs/>
          <w:lang w:val="fr-FR"/>
        </w:rPr>
      </w:pPr>
      <w:r>
        <w:rPr>
          <w:b/>
          <w:bCs/>
          <w:lang w:val="fr-FR"/>
        </w:rPr>
        <w:t>Citernes</w:t>
      </w:r>
    </w:p>
    <w:p w14:paraId="29D1A3A5" w14:textId="7A80263C" w:rsidR="00205E1E" w:rsidRPr="00205E1E" w:rsidRDefault="00205E1E" w:rsidP="00205E1E">
      <w:pPr>
        <w:pStyle w:val="HChG"/>
        <w:rPr>
          <w:rStyle w:val="SingleTxtGChar"/>
        </w:rPr>
      </w:pPr>
      <w:r w:rsidRPr="00BD3763">
        <w:rPr>
          <w:lang w:val="fr-FR"/>
        </w:rPr>
        <w:tab/>
      </w:r>
      <w:r w:rsidRPr="00BD3763">
        <w:rPr>
          <w:lang w:val="fr-FR"/>
        </w:rPr>
        <w:tab/>
        <w:t xml:space="preserve">Prescriptions du </w:t>
      </w:r>
      <w:r>
        <w:rPr>
          <w:lang w:val="fr-FR"/>
        </w:rPr>
        <w:t>paragraphe </w:t>
      </w:r>
      <w:r w:rsidRPr="00BD3763">
        <w:rPr>
          <w:lang w:val="fr-FR"/>
        </w:rPr>
        <w:t>6.8.2.2.11 du RID et de l</w:t>
      </w:r>
      <w:r>
        <w:rPr>
          <w:lang w:val="fr-FR"/>
        </w:rPr>
        <w:t>’</w:t>
      </w:r>
      <w:r w:rsidRPr="00BD3763">
        <w:rPr>
          <w:lang w:val="fr-FR"/>
        </w:rPr>
        <w:t xml:space="preserve">ADR </w:t>
      </w:r>
      <w:r>
        <w:rPr>
          <w:lang w:val="fr-FR"/>
        </w:rPr>
        <w:br/>
      </w:r>
      <w:r w:rsidRPr="00BD3763">
        <w:rPr>
          <w:lang w:val="fr-FR"/>
        </w:rPr>
        <w:t>relatif aux jauges de niveau</w:t>
      </w:r>
    </w:p>
    <w:p w14:paraId="1569750D" w14:textId="39EA70A1" w:rsidR="00F9573C" w:rsidRDefault="00205E1E" w:rsidP="00205E1E">
      <w:pPr>
        <w:pStyle w:val="H1G"/>
        <w:rPr>
          <w:lang w:val="fr-FR"/>
        </w:rPr>
      </w:pPr>
      <w:r>
        <w:rPr>
          <w:lang w:val="fr-FR"/>
        </w:rPr>
        <w:tab/>
      </w:r>
      <w:r>
        <w:rPr>
          <w:lang w:val="fr-FR"/>
        </w:rPr>
        <w:tab/>
        <w:t>Communication du Gouvernement du Royaume-Uni</w:t>
      </w:r>
      <w:r w:rsidRPr="00205E1E">
        <w:rPr>
          <w:rStyle w:val="FootnoteReference"/>
          <w:b w:val="0"/>
          <w:bCs/>
          <w:sz w:val="20"/>
          <w:vertAlign w:val="baseline"/>
        </w:rPr>
        <w:footnoteReference w:customMarkFollows="1" w:id="2"/>
        <w:t>*</w:t>
      </w:r>
      <w:r w:rsidRPr="00205E1E">
        <w:rPr>
          <w:b w:val="0"/>
          <w:bCs/>
          <w:sz w:val="20"/>
          <w:vertAlign w:val="superscript"/>
        </w:rPr>
        <w:t xml:space="preserve">, </w:t>
      </w:r>
      <w:r w:rsidRPr="00205E1E">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05E1E" w14:paraId="2E81F9C3" w14:textId="77777777" w:rsidTr="00205E1E">
        <w:trPr>
          <w:jc w:val="center"/>
        </w:trPr>
        <w:tc>
          <w:tcPr>
            <w:tcW w:w="9628" w:type="dxa"/>
            <w:shd w:val="clear" w:color="auto" w:fill="auto"/>
          </w:tcPr>
          <w:p w14:paraId="4FCAB4AC" w14:textId="77777777" w:rsidR="00205E1E" w:rsidRDefault="00205E1E">
            <w:pPr>
              <w:spacing w:before="240" w:after="120"/>
              <w:ind w:left="255"/>
              <w:rPr>
                <w:i/>
                <w:sz w:val="24"/>
              </w:rPr>
            </w:pPr>
            <w:r>
              <w:rPr>
                <w:i/>
                <w:sz w:val="24"/>
              </w:rPr>
              <w:t>Résumé</w:t>
            </w:r>
          </w:p>
        </w:tc>
      </w:tr>
      <w:tr w:rsidR="00205E1E" w14:paraId="733FE675" w14:textId="77777777" w:rsidTr="00205E1E">
        <w:trPr>
          <w:jc w:val="center"/>
        </w:trPr>
        <w:tc>
          <w:tcPr>
            <w:tcW w:w="9628" w:type="dxa"/>
            <w:shd w:val="clear" w:color="auto" w:fill="auto"/>
          </w:tcPr>
          <w:p w14:paraId="4B57680F" w14:textId="513CCD8B" w:rsidR="00205E1E" w:rsidRDefault="00205E1E" w:rsidP="00205E1E">
            <w:pPr>
              <w:pStyle w:val="SingleTxtG"/>
              <w:kinsoku/>
              <w:overflowPunct/>
              <w:autoSpaceDE/>
              <w:autoSpaceDN/>
              <w:adjustRightInd/>
              <w:snapToGrid/>
              <w:spacing w:after="60"/>
              <w:ind w:left="2552" w:hanging="2268"/>
            </w:pPr>
            <w:r>
              <w:rPr>
                <w:b/>
                <w:bCs/>
                <w:lang w:val="fr-FR"/>
              </w:rPr>
              <w:t>Résumé analytique</w:t>
            </w:r>
            <w:r w:rsidRPr="00205E1E">
              <w:rPr>
                <w:lang w:val="fr-FR"/>
              </w:rPr>
              <w:t> :</w:t>
            </w:r>
            <w:r>
              <w:rPr>
                <w:lang w:val="fr-FR"/>
              </w:rPr>
              <w:tab/>
              <w:t xml:space="preserve">À la suite de l’examen du 6.8.2.2.11 du RID et de l’ADR à la session de mars 2022, le Royaume-Uni a été invité à soumettre des propositions tenant compte des opinions exprimées </w:t>
            </w:r>
            <w:r w:rsidRPr="00205E1E">
              <w:rPr>
                <w:rFonts w:eastAsia="SimSun"/>
                <w:lang w:eastAsia="zh-CN"/>
              </w:rPr>
              <w:t>par</w:t>
            </w:r>
            <w:r>
              <w:rPr>
                <w:lang w:val="fr-FR"/>
              </w:rPr>
              <w:t xml:space="preserve"> la plupart des experts ayant pris la parole. Le présent document contient des propositions d’amendements au</w:t>
            </w:r>
            <w:r w:rsidR="00B72B7A">
              <w:rPr>
                <w:lang w:val="fr-FR"/>
              </w:rPr>
              <w:t> </w:t>
            </w:r>
            <w:r>
              <w:rPr>
                <w:lang w:val="fr-FR"/>
              </w:rPr>
              <w:t>6.8.2.2.11 duRID et de l’ADR, ainsi que des dispositions transitoires.</w:t>
            </w:r>
          </w:p>
        </w:tc>
      </w:tr>
      <w:tr w:rsidR="00205E1E" w14:paraId="3BFF5281" w14:textId="77777777" w:rsidTr="00205E1E">
        <w:trPr>
          <w:jc w:val="center"/>
        </w:trPr>
        <w:tc>
          <w:tcPr>
            <w:tcW w:w="9628" w:type="dxa"/>
            <w:shd w:val="clear" w:color="auto" w:fill="auto"/>
          </w:tcPr>
          <w:p w14:paraId="49401F58" w14:textId="17BC0240" w:rsidR="00205E1E" w:rsidRDefault="00205E1E" w:rsidP="00205E1E">
            <w:pPr>
              <w:pStyle w:val="SingleTxtG"/>
              <w:kinsoku/>
              <w:overflowPunct/>
              <w:autoSpaceDE/>
              <w:autoSpaceDN/>
              <w:adjustRightInd/>
              <w:snapToGrid/>
              <w:spacing w:after="60"/>
              <w:ind w:left="2552" w:hanging="2268"/>
              <w:rPr>
                <w:b/>
                <w:bCs/>
                <w:lang w:val="fr-FR"/>
              </w:rPr>
            </w:pPr>
            <w:r>
              <w:rPr>
                <w:b/>
                <w:bCs/>
                <w:lang w:val="fr-FR"/>
              </w:rPr>
              <w:t>Mesure à prendre</w:t>
            </w:r>
            <w:r w:rsidRPr="00205E1E">
              <w:rPr>
                <w:lang w:val="fr-FR"/>
              </w:rPr>
              <w:t> :</w:t>
            </w:r>
            <w:r w:rsidRPr="00205E1E">
              <w:rPr>
                <w:lang w:val="fr-FR"/>
              </w:rPr>
              <w:tab/>
            </w:r>
            <w:r>
              <w:rPr>
                <w:lang w:val="fr-FR"/>
              </w:rPr>
              <w:t xml:space="preserve">Examen des propositions d’amendements au 6.8.2.2.11 du RID et de l’ADR et des dispositions </w:t>
            </w:r>
            <w:r w:rsidRPr="00205E1E">
              <w:rPr>
                <w:rFonts w:eastAsia="SimSun"/>
                <w:lang w:eastAsia="zh-CN"/>
              </w:rPr>
              <w:t>transitoires</w:t>
            </w:r>
            <w:r>
              <w:rPr>
                <w:lang w:val="fr-FR"/>
              </w:rPr>
              <w:t xml:space="preserve"> figurant dans le présent document.</w:t>
            </w:r>
          </w:p>
        </w:tc>
      </w:tr>
      <w:tr w:rsidR="00205E1E" w:rsidRPr="00205E1E" w14:paraId="62E38068" w14:textId="77777777" w:rsidTr="00205E1E">
        <w:trPr>
          <w:jc w:val="center"/>
        </w:trPr>
        <w:tc>
          <w:tcPr>
            <w:tcW w:w="9628" w:type="dxa"/>
            <w:shd w:val="clear" w:color="auto" w:fill="auto"/>
          </w:tcPr>
          <w:p w14:paraId="7223CFB0" w14:textId="3E92D2C2" w:rsidR="00205E1E" w:rsidRPr="00205E1E" w:rsidRDefault="00205E1E" w:rsidP="00205E1E">
            <w:pPr>
              <w:pStyle w:val="SingleTxtG"/>
              <w:kinsoku/>
              <w:overflowPunct/>
              <w:autoSpaceDE/>
              <w:autoSpaceDN/>
              <w:adjustRightInd/>
              <w:snapToGrid/>
              <w:spacing w:after="60"/>
              <w:ind w:left="2552" w:hanging="2268"/>
              <w:jc w:val="left"/>
              <w:rPr>
                <w:bCs/>
                <w:lang w:val="fr-FR"/>
              </w:rPr>
            </w:pPr>
            <w:r>
              <w:rPr>
                <w:b/>
                <w:bCs/>
                <w:lang w:val="fr-FR"/>
              </w:rPr>
              <w:t>Documents connexes</w:t>
            </w:r>
            <w:r w:rsidRPr="00205E1E">
              <w:rPr>
                <w:lang w:val="fr-FR"/>
              </w:rPr>
              <w:t> :</w:t>
            </w:r>
            <w:r w:rsidRPr="00205E1E">
              <w:rPr>
                <w:lang w:val="fr-FR"/>
              </w:rPr>
              <w:tab/>
            </w:r>
            <w:r>
              <w:rPr>
                <w:lang w:val="fr-FR"/>
              </w:rPr>
              <w:t xml:space="preserve">ECE/TRANS/WP.15/AC.1/2022/3 et document informel INF.9 de la session du </w:t>
            </w:r>
            <w:r w:rsidRPr="00205E1E">
              <w:rPr>
                <w:rFonts w:eastAsia="SimSun"/>
                <w:lang w:eastAsia="zh-CN"/>
              </w:rPr>
              <w:t>printemps</w:t>
            </w:r>
            <w:r>
              <w:rPr>
                <w:lang w:val="fr-FR"/>
              </w:rPr>
              <w:t xml:space="preserve"> 2022</w:t>
            </w:r>
            <w:bookmarkStart w:id="0" w:name="_Hlk89264015"/>
            <w:bookmarkEnd w:id="0"/>
            <w:r>
              <w:rPr>
                <w:lang w:val="fr-FR"/>
              </w:rPr>
              <w:t xml:space="preserve"> </w:t>
            </w:r>
            <w:r>
              <w:rPr>
                <w:lang w:val="fr-FR"/>
              </w:rPr>
              <w:br/>
            </w:r>
            <w:r w:rsidRPr="00205E1E">
              <w:t>ECE/TRANS/WP.15/AC.1/164/Add.1</w:t>
            </w:r>
          </w:p>
        </w:tc>
      </w:tr>
      <w:tr w:rsidR="00205E1E" w:rsidRPr="00205E1E" w14:paraId="3D809C82" w14:textId="77777777" w:rsidTr="00205E1E">
        <w:trPr>
          <w:jc w:val="center"/>
        </w:trPr>
        <w:tc>
          <w:tcPr>
            <w:tcW w:w="9628" w:type="dxa"/>
            <w:shd w:val="clear" w:color="auto" w:fill="auto"/>
          </w:tcPr>
          <w:p w14:paraId="7578FCA1" w14:textId="77777777" w:rsidR="00205E1E" w:rsidRPr="00205E1E" w:rsidRDefault="00205E1E"/>
        </w:tc>
      </w:tr>
    </w:tbl>
    <w:p w14:paraId="04DCC49F" w14:textId="77777777" w:rsidR="00205E1E" w:rsidRPr="00BD3763" w:rsidRDefault="00205E1E" w:rsidP="00205E1E">
      <w:pPr>
        <w:pStyle w:val="HChG"/>
        <w:rPr>
          <w:lang w:val="fr-FR"/>
        </w:rPr>
      </w:pPr>
      <w:r w:rsidRPr="00205E1E">
        <w:tab/>
      </w:r>
      <w:r w:rsidRPr="00205E1E">
        <w:tab/>
      </w:r>
      <w:r>
        <w:rPr>
          <w:lang w:val="fr-FR"/>
        </w:rPr>
        <w:t>Contexte</w:t>
      </w:r>
    </w:p>
    <w:p w14:paraId="246FC80D" w14:textId="77777777" w:rsidR="00205E1E" w:rsidRPr="00BD3763" w:rsidRDefault="00205E1E" w:rsidP="00205E1E">
      <w:pPr>
        <w:pStyle w:val="SingleTxtG"/>
        <w:rPr>
          <w:lang w:val="fr-FR"/>
        </w:rPr>
      </w:pPr>
      <w:r>
        <w:rPr>
          <w:lang w:val="fr-FR"/>
        </w:rPr>
        <w:t>1.</w:t>
      </w:r>
      <w:r>
        <w:rPr>
          <w:lang w:val="fr-FR"/>
        </w:rPr>
        <w:tab/>
        <w:t xml:space="preserve">À la session de mars 2022 de la Réunion commune, le Royaume-Uni a soumis le document officiel ECE/TRANS/WP.15/AC.1/2022/3 et le document informel INF.9 afin de solliciter un échange de vues sur l’interprétation du 6.8.2.2.11 du RID et de l’ADR, qui établit une disposition relative à certaines jauges de niveau. </w:t>
      </w:r>
    </w:p>
    <w:p w14:paraId="6F5A6EB7" w14:textId="184C35C5" w:rsidR="00205E1E" w:rsidRPr="00BD3763" w:rsidRDefault="00205E1E" w:rsidP="00205E1E">
      <w:pPr>
        <w:pStyle w:val="SingleTxtG"/>
        <w:keepNext/>
        <w:keepLines/>
        <w:rPr>
          <w:lang w:val="fr-FR"/>
        </w:rPr>
      </w:pPr>
      <w:r>
        <w:rPr>
          <w:lang w:val="fr-FR"/>
        </w:rPr>
        <w:lastRenderedPageBreak/>
        <w:t>2.</w:t>
      </w:r>
      <w:r>
        <w:rPr>
          <w:lang w:val="fr-FR"/>
        </w:rPr>
        <w:tab/>
        <w:t>Les paragraphes du rapport du Groupe de travail des citernes sur sa session de mars</w:t>
      </w:r>
      <w:r w:rsidR="00B72B7A">
        <w:rPr>
          <w:lang w:val="fr-FR"/>
        </w:rPr>
        <w:t> </w:t>
      </w:r>
      <w:r>
        <w:rPr>
          <w:lang w:val="fr-FR"/>
        </w:rPr>
        <w:t>2022 qui portent sur ces documents (ECE/TRANS/WP.15/AC.1/164/Add.1, par.</w:t>
      </w:r>
      <w:r w:rsidR="00B72B7A">
        <w:rPr>
          <w:lang w:val="fr-FR"/>
        </w:rPr>
        <w:t> </w:t>
      </w:r>
      <w:r>
        <w:rPr>
          <w:lang w:val="fr-FR"/>
        </w:rPr>
        <w:t>14 et 15) sont reproduits ci-dessous, et la principale conclusion a été mise en évidence en caractères gras par commodité :</w:t>
      </w:r>
    </w:p>
    <w:p w14:paraId="5F29F561" w14:textId="3EB773F9" w:rsidR="00205E1E" w:rsidRDefault="00205E1E" w:rsidP="00205E1E">
      <w:pPr>
        <w:pStyle w:val="SingleTxtG"/>
        <w:ind w:left="1701"/>
        <w:rPr>
          <w:lang w:val="fr-FR"/>
        </w:rPr>
      </w:pPr>
      <w:r>
        <w:rPr>
          <w:lang w:val="fr-FR"/>
        </w:rPr>
        <w:t>« 14.</w:t>
      </w:r>
      <w:r>
        <w:rPr>
          <w:lang w:val="fr-FR"/>
        </w:rPr>
        <w:tab/>
        <w:t xml:space="preserve">Des précisions ont été demandées concernant l’application des jauges de niveau aux citernes relevant du chapitre </w:t>
      </w:r>
      <w:r w:rsidR="00B72B7A">
        <w:rPr>
          <w:lang w:val="fr-FR"/>
        </w:rPr>
        <w:t> </w:t>
      </w:r>
      <w:r>
        <w:rPr>
          <w:lang w:val="fr-FR"/>
        </w:rPr>
        <w:t>6.8 du RID et de l’ADR. Les jauges de niveau sont autorisées en vertu du 6.8.2.2.11 si elles ne sont pas fabriquées dans un matériau fragile. Étant donné que certains matériaux transparents ne sont pas fragiles, contrairement au verre, la question a été posée de savoir si l’intention était que de tels matériaux puissent être utilisés.</w:t>
      </w:r>
    </w:p>
    <w:p w14:paraId="39E41E77" w14:textId="5C3539CA" w:rsidR="00205E1E" w:rsidRPr="00BD3763" w:rsidRDefault="00205E1E" w:rsidP="00205E1E">
      <w:pPr>
        <w:pStyle w:val="SingleTxtG"/>
        <w:ind w:left="1701"/>
        <w:rPr>
          <w:lang w:val="fr-FR"/>
        </w:rPr>
      </w:pPr>
      <w:r>
        <w:rPr>
          <w:lang w:val="fr-FR"/>
        </w:rPr>
        <w:t>15.</w:t>
      </w:r>
      <w:r>
        <w:rPr>
          <w:lang w:val="fr-FR"/>
        </w:rPr>
        <w:tab/>
        <w:t xml:space="preserve">La plupart des experts qui ont pris la parole estimaient que </w:t>
      </w:r>
      <w:r>
        <w:rPr>
          <w:b/>
          <w:lang w:val="fr-FR"/>
        </w:rPr>
        <w:t>les jauges de niveau de type « viseurs » ne devraient pas être autorisées sur les citernes relevant du chapitre</w:t>
      </w:r>
      <w:r w:rsidR="00B72B7A">
        <w:rPr>
          <w:b/>
          <w:lang w:val="fr-FR"/>
        </w:rPr>
        <w:t> </w:t>
      </w:r>
      <w:r>
        <w:rPr>
          <w:b/>
          <w:lang w:val="fr-FR"/>
        </w:rPr>
        <w:t>6.8</w:t>
      </w:r>
      <w:r>
        <w:rPr>
          <w:lang w:val="fr-FR"/>
        </w:rPr>
        <w:t>, mais acceptées sur celles relevant du chapitre</w:t>
      </w:r>
      <w:r w:rsidR="00B72B7A">
        <w:rPr>
          <w:lang w:val="fr-FR"/>
        </w:rPr>
        <w:t> </w:t>
      </w:r>
      <w:r>
        <w:rPr>
          <w:lang w:val="fr-FR"/>
        </w:rPr>
        <w:t>6.10 (citernes à déchets opérant sous vide). Le Royaume-Uni a été invité à soumettre une proposition à une session ultérieure. ».</w:t>
      </w:r>
    </w:p>
    <w:p w14:paraId="7F7192AB" w14:textId="1912D68E" w:rsidR="00205E1E" w:rsidRPr="00BD3763" w:rsidRDefault="00205E1E" w:rsidP="00205E1E">
      <w:pPr>
        <w:pStyle w:val="SingleTxtG"/>
        <w:rPr>
          <w:lang w:val="fr-FR"/>
        </w:rPr>
      </w:pPr>
      <w:r>
        <w:rPr>
          <w:lang w:val="fr-FR"/>
        </w:rPr>
        <w:t>3.</w:t>
      </w:r>
      <w:r>
        <w:rPr>
          <w:lang w:val="fr-FR"/>
        </w:rPr>
        <w:tab/>
        <w:t>Les propositions ci-après visent à tenir compte des vues exprimées par la plupart des experts ayant pris la parole à la session de mars</w:t>
      </w:r>
      <w:r w:rsidR="00B72B7A">
        <w:rPr>
          <w:lang w:val="fr-FR"/>
        </w:rPr>
        <w:t xml:space="preserve"> </w:t>
      </w:r>
      <w:r>
        <w:rPr>
          <w:lang w:val="fr-FR"/>
        </w:rPr>
        <w:t>2022.</w:t>
      </w:r>
    </w:p>
    <w:p w14:paraId="4314A959" w14:textId="77777777" w:rsidR="00205E1E" w:rsidRPr="00BD3763" w:rsidRDefault="00205E1E" w:rsidP="00205E1E">
      <w:pPr>
        <w:pStyle w:val="HChG"/>
        <w:rPr>
          <w:lang w:val="fr-FR"/>
        </w:rPr>
      </w:pPr>
      <w:r>
        <w:rPr>
          <w:lang w:val="fr-FR"/>
        </w:rPr>
        <w:tab/>
      </w:r>
      <w:r>
        <w:rPr>
          <w:lang w:val="fr-FR"/>
        </w:rPr>
        <w:tab/>
        <w:t>Propositions</w:t>
      </w:r>
    </w:p>
    <w:p w14:paraId="0AB1A5A9" w14:textId="77777777" w:rsidR="00205E1E" w:rsidRPr="00BD3763" w:rsidRDefault="00205E1E" w:rsidP="00205E1E">
      <w:pPr>
        <w:pStyle w:val="SingleTxtG"/>
        <w:rPr>
          <w:lang w:val="fr-FR"/>
        </w:rPr>
      </w:pPr>
      <w:r>
        <w:rPr>
          <w:lang w:val="fr-FR"/>
        </w:rPr>
        <w:t>4.</w:t>
      </w:r>
      <w:r>
        <w:rPr>
          <w:lang w:val="fr-FR"/>
        </w:rPr>
        <w:tab/>
        <w:t>Modifier le 6.8.2.2.11 du RID et de l’ADR comme suit (les modifications figurent en caractères gras et soulignés pour les ajouts et biffés pour les suppressions) :</w:t>
      </w:r>
    </w:p>
    <w:p w14:paraId="5C2CEE34" w14:textId="02BDB253" w:rsidR="00205E1E" w:rsidRPr="00BD3763" w:rsidRDefault="00205E1E" w:rsidP="00205E1E">
      <w:pPr>
        <w:pStyle w:val="SingleTxtG"/>
        <w:ind w:left="1701"/>
        <w:rPr>
          <w:iCs/>
          <w:lang w:val="fr-FR"/>
        </w:rPr>
      </w:pPr>
      <w:r>
        <w:rPr>
          <w:lang w:val="fr-FR"/>
        </w:rPr>
        <w:t xml:space="preserve">« Les jauges de niveau en verre ou dans d’autres matériaux </w:t>
      </w:r>
      <w:r>
        <w:rPr>
          <w:strike/>
          <w:lang w:val="fr-FR"/>
        </w:rPr>
        <w:t xml:space="preserve">fragiles </w:t>
      </w:r>
      <w:r>
        <w:rPr>
          <w:b/>
          <w:u w:val="single"/>
          <w:lang w:val="fr-FR"/>
        </w:rPr>
        <w:t xml:space="preserve">transparents ne doivent pas être utilisées pour indiquer le niveau du produit dans le réservoir si le verre ou l’autre matériau transparent peut, à tout moment, être </w:t>
      </w:r>
      <w:r>
        <w:rPr>
          <w:strike/>
          <w:lang w:val="fr-FR"/>
        </w:rPr>
        <w:t xml:space="preserve">qui sont </w:t>
      </w:r>
      <w:r>
        <w:rPr>
          <w:lang w:val="fr-FR"/>
        </w:rPr>
        <w:t>en contact direct avec le contenu du réservoir</w:t>
      </w:r>
      <w:r>
        <w:rPr>
          <w:strike/>
          <w:lang w:val="fr-FR"/>
        </w:rPr>
        <w:t>, ne doivent pas être utilisées</w:t>
      </w:r>
      <w:r>
        <w:rPr>
          <w:lang w:val="fr-FR"/>
        </w:rPr>
        <w:t>. ».</w:t>
      </w:r>
    </w:p>
    <w:p w14:paraId="42BB285E" w14:textId="77777777" w:rsidR="00205E1E" w:rsidRPr="00BD3763" w:rsidRDefault="00205E1E" w:rsidP="00205E1E">
      <w:pPr>
        <w:pStyle w:val="SingleTxtG"/>
        <w:rPr>
          <w:lang w:val="fr-FR"/>
        </w:rPr>
      </w:pPr>
      <w:r>
        <w:rPr>
          <w:lang w:val="fr-FR"/>
        </w:rPr>
        <w:t>5.</w:t>
      </w:r>
      <w:r>
        <w:rPr>
          <w:lang w:val="fr-FR"/>
        </w:rPr>
        <w:tab/>
        <w:t>Ajouter les dispositions transitoires suivantes :</w:t>
      </w:r>
    </w:p>
    <w:p w14:paraId="21087212" w14:textId="77777777" w:rsidR="00205E1E" w:rsidRPr="00DB30CD" w:rsidRDefault="00205E1E" w:rsidP="00205E1E">
      <w:pPr>
        <w:pStyle w:val="SingleTxtG"/>
        <w:ind w:left="1701"/>
        <w:rPr>
          <w:rFonts w:eastAsia="Times New Roman"/>
          <w:sz w:val="16"/>
          <w:szCs w:val="16"/>
          <w:lang w:val="fr-FR"/>
        </w:rPr>
      </w:pPr>
      <w:r w:rsidRPr="00DB30CD">
        <w:rPr>
          <w:lang w:val="fr-FR"/>
        </w:rPr>
        <w:t>(RID :)</w:t>
      </w:r>
    </w:p>
    <w:p w14:paraId="5C0CE0CC" w14:textId="77777777" w:rsidR="00205E1E" w:rsidRPr="00DB30CD" w:rsidRDefault="00205E1E" w:rsidP="00205E1E">
      <w:pPr>
        <w:pStyle w:val="SingleTxtG"/>
        <w:ind w:left="1701"/>
        <w:rPr>
          <w:rFonts w:eastAsia="Times New Roman"/>
          <w:sz w:val="16"/>
          <w:szCs w:val="16"/>
          <w:lang w:val="fr-FR"/>
        </w:rPr>
      </w:pPr>
      <w:r w:rsidRPr="00DB30CD">
        <w:rPr>
          <w:lang w:val="fr-FR"/>
        </w:rPr>
        <w:t>« 1.6.3.xx</w:t>
      </w:r>
      <w:r w:rsidRPr="00DB30CD">
        <w:rPr>
          <w:lang w:val="fr-FR"/>
        </w:rPr>
        <w:tab/>
        <w:t>Les wagons-citernes construits avant le 1</w:t>
      </w:r>
      <w:r w:rsidRPr="00DB30CD">
        <w:rPr>
          <w:vertAlign w:val="superscript"/>
          <w:lang w:val="fr-FR"/>
        </w:rPr>
        <w:t>er</w:t>
      </w:r>
      <w:r w:rsidRPr="00DB30CD">
        <w:rPr>
          <w:lang w:val="fr-FR"/>
        </w:rPr>
        <w:t> juillet 2025 conformément aux prescriptions applicables jusqu</w:t>
      </w:r>
      <w:r>
        <w:rPr>
          <w:lang w:val="fr-FR"/>
        </w:rPr>
        <w:t>’</w:t>
      </w:r>
      <w:r w:rsidRPr="00DB30CD">
        <w:rPr>
          <w:lang w:val="fr-FR"/>
        </w:rPr>
        <w:t>au 31 décembre 2024, mais qui ne sont pas conformes aux prescriptions du 6.8.2.2.11 applicables à partir du 1</w:t>
      </w:r>
      <w:r w:rsidRPr="00DB30CD">
        <w:rPr>
          <w:vertAlign w:val="superscript"/>
          <w:lang w:val="fr-FR"/>
        </w:rPr>
        <w:t>er</w:t>
      </w:r>
      <w:r w:rsidRPr="00DB30CD">
        <w:rPr>
          <w:lang w:val="fr-FR"/>
        </w:rPr>
        <w:t> janvier 2025, pourront encore être utilisés. »</w:t>
      </w:r>
    </w:p>
    <w:p w14:paraId="7518DE27" w14:textId="7B40BBE4" w:rsidR="00205E1E" w:rsidRPr="00DB30CD" w:rsidRDefault="00205E1E" w:rsidP="00205E1E">
      <w:pPr>
        <w:pStyle w:val="SingleTxtG"/>
        <w:ind w:left="1701"/>
        <w:rPr>
          <w:rFonts w:eastAsia="Times New Roman"/>
          <w:sz w:val="16"/>
          <w:szCs w:val="16"/>
          <w:lang w:val="fr-FR"/>
        </w:rPr>
      </w:pPr>
      <w:r w:rsidRPr="00DB30CD">
        <w:rPr>
          <w:lang w:val="fr-FR"/>
        </w:rPr>
        <w:t>(ADR :)</w:t>
      </w:r>
    </w:p>
    <w:p w14:paraId="553611A6" w14:textId="61BE2833" w:rsidR="00205E1E" w:rsidRDefault="00205E1E" w:rsidP="00205E1E">
      <w:pPr>
        <w:pStyle w:val="SingleTxtG"/>
        <w:ind w:left="1701"/>
        <w:rPr>
          <w:lang w:val="fr-FR"/>
        </w:rPr>
      </w:pPr>
      <w:r w:rsidRPr="00DB30CD">
        <w:rPr>
          <w:lang w:val="fr-FR"/>
        </w:rPr>
        <w:t>« 1.6.3.xx</w:t>
      </w:r>
      <w:r w:rsidRPr="00DB30CD">
        <w:rPr>
          <w:lang w:val="fr-FR"/>
        </w:rPr>
        <w:tab/>
        <w:t>Les citernes fixes (véhicules-citernes) et citernes démontables construites avant le 1</w:t>
      </w:r>
      <w:r w:rsidRPr="00DB30CD">
        <w:rPr>
          <w:vertAlign w:val="superscript"/>
          <w:lang w:val="fr-FR"/>
        </w:rPr>
        <w:t>er</w:t>
      </w:r>
      <w:r w:rsidR="00B72B7A">
        <w:rPr>
          <w:lang w:val="fr-FR"/>
        </w:rPr>
        <w:t> </w:t>
      </w:r>
      <w:r w:rsidRPr="00DB30CD">
        <w:rPr>
          <w:lang w:val="fr-FR"/>
        </w:rPr>
        <w:t>juillet 2025 conformément aux prescriptions applicables jusqu</w:t>
      </w:r>
      <w:r>
        <w:rPr>
          <w:lang w:val="fr-FR"/>
        </w:rPr>
        <w:t>’</w:t>
      </w:r>
      <w:r w:rsidRPr="00DB30CD">
        <w:rPr>
          <w:lang w:val="fr-FR"/>
        </w:rPr>
        <w:t>au 31</w:t>
      </w:r>
      <w:r w:rsidR="00B72B7A">
        <w:rPr>
          <w:lang w:val="fr-FR"/>
        </w:rPr>
        <w:t> </w:t>
      </w:r>
      <w:r w:rsidRPr="00DB30CD">
        <w:rPr>
          <w:lang w:val="fr-FR"/>
        </w:rPr>
        <w:t>décembre 2024, mais qui ne sont pas conformes aux prescriptions du</w:t>
      </w:r>
      <w:r w:rsidR="00B72B7A">
        <w:rPr>
          <w:lang w:val="fr-FR"/>
        </w:rPr>
        <w:t> </w:t>
      </w:r>
      <w:r w:rsidRPr="00DB30CD">
        <w:rPr>
          <w:lang w:val="fr-FR"/>
        </w:rPr>
        <w:t>6.8.2.2.11 applicables à partir du 1</w:t>
      </w:r>
      <w:r w:rsidRPr="00DB30CD">
        <w:rPr>
          <w:vertAlign w:val="superscript"/>
          <w:lang w:val="fr-FR"/>
        </w:rPr>
        <w:t>er</w:t>
      </w:r>
      <w:r w:rsidR="00B72B7A">
        <w:rPr>
          <w:lang w:val="fr-FR"/>
        </w:rPr>
        <w:t> </w:t>
      </w:r>
      <w:r w:rsidRPr="00DB30CD">
        <w:rPr>
          <w:lang w:val="fr-FR"/>
        </w:rPr>
        <w:t>janvier 2025</w:t>
      </w:r>
      <w:r>
        <w:rPr>
          <w:lang w:val="fr-FR"/>
        </w:rPr>
        <w:t>,</w:t>
      </w:r>
      <w:r w:rsidRPr="00DB30CD">
        <w:rPr>
          <w:lang w:val="fr-FR"/>
        </w:rPr>
        <w:t xml:space="preserve"> pourront encore être utilisées. »</w:t>
      </w:r>
      <w:r>
        <w:rPr>
          <w:lang w:val="fr-FR"/>
        </w:rPr>
        <w:t>.</w:t>
      </w:r>
    </w:p>
    <w:p w14:paraId="099F0B71" w14:textId="08B04C90" w:rsidR="00205E1E" w:rsidRPr="00205E1E" w:rsidRDefault="00205E1E" w:rsidP="00205E1E">
      <w:pPr>
        <w:pStyle w:val="SingleTxtG"/>
        <w:spacing w:before="240" w:after="0"/>
        <w:jc w:val="center"/>
        <w:rPr>
          <w:u w:val="single"/>
        </w:rPr>
      </w:pPr>
      <w:r>
        <w:rPr>
          <w:u w:val="single"/>
        </w:rPr>
        <w:tab/>
      </w:r>
      <w:r>
        <w:rPr>
          <w:u w:val="single"/>
        </w:rPr>
        <w:tab/>
      </w:r>
      <w:r>
        <w:rPr>
          <w:u w:val="single"/>
        </w:rPr>
        <w:tab/>
      </w:r>
      <w:r>
        <w:rPr>
          <w:u w:val="single"/>
        </w:rPr>
        <w:tab/>
      </w:r>
    </w:p>
    <w:sectPr w:rsidR="00205E1E" w:rsidRPr="00205E1E" w:rsidSect="00205E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1E32" w14:textId="77777777" w:rsidR="000826D6" w:rsidRDefault="000826D6" w:rsidP="00F95C08">
      <w:pPr>
        <w:spacing w:line="240" w:lineRule="auto"/>
      </w:pPr>
    </w:p>
  </w:endnote>
  <w:endnote w:type="continuationSeparator" w:id="0">
    <w:p w14:paraId="5BFE23DA" w14:textId="77777777" w:rsidR="000826D6" w:rsidRPr="00AC3823" w:rsidRDefault="000826D6" w:rsidP="00AC3823">
      <w:pPr>
        <w:pStyle w:val="Footer"/>
      </w:pPr>
    </w:p>
  </w:endnote>
  <w:endnote w:type="continuationNotice" w:id="1">
    <w:p w14:paraId="3870207F" w14:textId="77777777" w:rsidR="000826D6" w:rsidRDefault="000826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165C" w14:textId="62FD3944" w:rsidR="00205E1E" w:rsidRPr="00205E1E" w:rsidRDefault="00205E1E" w:rsidP="00205E1E">
    <w:pPr>
      <w:pStyle w:val="Footer"/>
      <w:tabs>
        <w:tab w:val="right" w:pos="9638"/>
      </w:tabs>
    </w:pPr>
    <w:r w:rsidRPr="00205E1E">
      <w:rPr>
        <w:b/>
        <w:sz w:val="18"/>
      </w:rPr>
      <w:fldChar w:fldCharType="begin"/>
    </w:r>
    <w:r w:rsidRPr="00205E1E">
      <w:rPr>
        <w:b/>
        <w:sz w:val="18"/>
      </w:rPr>
      <w:instrText xml:space="preserve"> PAGE  \* MERGEFORMAT </w:instrText>
    </w:r>
    <w:r w:rsidRPr="00205E1E">
      <w:rPr>
        <w:b/>
        <w:sz w:val="18"/>
      </w:rPr>
      <w:fldChar w:fldCharType="separate"/>
    </w:r>
    <w:r w:rsidRPr="00205E1E">
      <w:rPr>
        <w:b/>
        <w:noProof/>
        <w:sz w:val="18"/>
      </w:rPr>
      <w:t>2</w:t>
    </w:r>
    <w:r w:rsidRPr="00205E1E">
      <w:rPr>
        <w:b/>
        <w:sz w:val="18"/>
      </w:rPr>
      <w:fldChar w:fldCharType="end"/>
    </w:r>
    <w:r>
      <w:rPr>
        <w:b/>
        <w:sz w:val="18"/>
      </w:rPr>
      <w:tab/>
    </w:r>
    <w:r>
      <w:t>GE.22-09709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6D02" w14:textId="306F8C09" w:rsidR="00205E1E" w:rsidRPr="00205E1E" w:rsidRDefault="00205E1E" w:rsidP="00205E1E">
    <w:pPr>
      <w:pStyle w:val="Footer"/>
      <w:tabs>
        <w:tab w:val="right" w:pos="9638"/>
      </w:tabs>
      <w:rPr>
        <w:b/>
        <w:sz w:val="18"/>
      </w:rPr>
    </w:pPr>
    <w:r>
      <w:t>GE.22-09709</w:t>
    </w:r>
    <w:r>
      <w:tab/>
    </w:r>
    <w:r w:rsidRPr="00205E1E">
      <w:rPr>
        <w:b/>
        <w:sz w:val="18"/>
      </w:rPr>
      <w:fldChar w:fldCharType="begin"/>
    </w:r>
    <w:r w:rsidRPr="00205E1E">
      <w:rPr>
        <w:b/>
        <w:sz w:val="18"/>
      </w:rPr>
      <w:instrText xml:space="preserve"> PAGE  \* MERGEFORMAT </w:instrText>
    </w:r>
    <w:r w:rsidRPr="00205E1E">
      <w:rPr>
        <w:b/>
        <w:sz w:val="18"/>
      </w:rPr>
      <w:fldChar w:fldCharType="separate"/>
    </w:r>
    <w:r w:rsidRPr="00205E1E">
      <w:rPr>
        <w:b/>
        <w:noProof/>
        <w:sz w:val="18"/>
      </w:rPr>
      <w:t>3</w:t>
    </w:r>
    <w:r w:rsidRPr="00205E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524" w14:textId="3CAD2FF9" w:rsidR="007F20FA" w:rsidRPr="00205E1E" w:rsidRDefault="00205E1E" w:rsidP="00205E1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CF3626" wp14:editId="40AB1D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22-09709  (F)</w:t>
    </w:r>
    <w:r>
      <w:rPr>
        <w:noProof/>
        <w:sz w:val="20"/>
      </w:rPr>
      <w:drawing>
        <wp:anchor distT="0" distB="0" distL="114300" distR="114300" simplePos="0" relativeHeight="251660288" behindDoc="0" locked="0" layoutInCell="1" allowOverlap="1" wp14:anchorId="78801561" wp14:editId="336A38E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220722    220722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830A" w14:textId="77777777" w:rsidR="000826D6" w:rsidRPr="00AC3823" w:rsidRDefault="000826D6" w:rsidP="00AC3823">
      <w:pPr>
        <w:pStyle w:val="Footer"/>
        <w:tabs>
          <w:tab w:val="right" w:pos="2155"/>
        </w:tabs>
        <w:spacing w:after="80" w:line="240" w:lineRule="atLeast"/>
        <w:ind w:left="680"/>
        <w:rPr>
          <w:u w:val="single"/>
        </w:rPr>
      </w:pPr>
      <w:r>
        <w:rPr>
          <w:u w:val="single"/>
        </w:rPr>
        <w:tab/>
      </w:r>
    </w:p>
  </w:footnote>
  <w:footnote w:type="continuationSeparator" w:id="0">
    <w:p w14:paraId="1036CE83" w14:textId="77777777" w:rsidR="000826D6" w:rsidRPr="00AC3823" w:rsidRDefault="000826D6" w:rsidP="00AC3823">
      <w:pPr>
        <w:pStyle w:val="Footer"/>
        <w:tabs>
          <w:tab w:val="right" w:pos="2155"/>
        </w:tabs>
        <w:spacing w:after="80" w:line="240" w:lineRule="atLeast"/>
        <w:ind w:left="680"/>
        <w:rPr>
          <w:u w:val="single"/>
        </w:rPr>
      </w:pPr>
      <w:r>
        <w:rPr>
          <w:u w:val="single"/>
        </w:rPr>
        <w:tab/>
      </w:r>
    </w:p>
  </w:footnote>
  <w:footnote w:type="continuationNotice" w:id="1">
    <w:p w14:paraId="269B1090" w14:textId="77777777" w:rsidR="000826D6" w:rsidRPr="00AC3823" w:rsidRDefault="000826D6">
      <w:pPr>
        <w:spacing w:line="240" w:lineRule="auto"/>
        <w:rPr>
          <w:sz w:val="2"/>
          <w:szCs w:val="2"/>
        </w:rPr>
      </w:pPr>
    </w:p>
  </w:footnote>
  <w:footnote w:id="2">
    <w:p w14:paraId="0CC91D9D" w14:textId="40F747BF" w:rsidR="00205E1E" w:rsidRPr="00205E1E" w:rsidRDefault="00205E1E">
      <w:pPr>
        <w:pStyle w:val="FootnoteText"/>
      </w:pPr>
      <w:r>
        <w:rPr>
          <w:rStyle w:val="FootnoteReference"/>
        </w:rPr>
        <w:tab/>
      </w:r>
      <w:r w:rsidRPr="00205E1E">
        <w:rPr>
          <w:rStyle w:val="FootnoteReference"/>
          <w:sz w:val="20"/>
          <w:vertAlign w:val="baseline"/>
        </w:rPr>
        <w:t>*</w:t>
      </w:r>
      <w:r>
        <w:rPr>
          <w:rStyle w:val="FootnoteReference"/>
          <w:sz w:val="20"/>
          <w:vertAlign w:val="baseline"/>
        </w:rPr>
        <w:tab/>
      </w:r>
      <w:r>
        <w:rPr>
          <w:lang w:val="fr-FR"/>
        </w:rPr>
        <w:t>A/76/6 (Sect.</w:t>
      </w:r>
      <w:r w:rsidR="00B72B7A">
        <w:rPr>
          <w:lang w:val="fr-FR"/>
        </w:rPr>
        <w:t> </w:t>
      </w:r>
      <w:r>
        <w:rPr>
          <w:lang w:val="fr-FR"/>
        </w:rPr>
        <w:t>20), par.</w:t>
      </w:r>
      <w:r w:rsidR="00B72B7A">
        <w:rPr>
          <w:lang w:val="fr-FR"/>
        </w:rPr>
        <w:t> </w:t>
      </w:r>
      <w:r>
        <w:rPr>
          <w:lang w:val="fr-FR"/>
        </w:rPr>
        <w:t>20.76.</w:t>
      </w:r>
    </w:p>
  </w:footnote>
  <w:footnote w:id="3">
    <w:p w14:paraId="66B571BC" w14:textId="06B67839" w:rsidR="00205E1E" w:rsidRPr="00205E1E" w:rsidRDefault="00205E1E">
      <w:pPr>
        <w:pStyle w:val="FootnoteText"/>
      </w:pPr>
      <w:r>
        <w:rPr>
          <w:rStyle w:val="FootnoteReference"/>
        </w:rPr>
        <w:tab/>
      </w:r>
      <w:r w:rsidRPr="00205E1E">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FD4E" w14:textId="3F020391" w:rsidR="00205E1E" w:rsidRPr="00205E1E" w:rsidRDefault="001E211B">
    <w:pPr>
      <w:pStyle w:val="Header"/>
    </w:pPr>
    <w:r>
      <w:fldChar w:fldCharType="begin"/>
    </w:r>
    <w:r>
      <w:instrText xml:space="preserve"> TITLE  \* MERGEFORMAT </w:instrText>
    </w:r>
    <w:r>
      <w:fldChar w:fldCharType="separate"/>
    </w:r>
    <w:r w:rsidR="00205E1E">
      <w:t>ECE/TRANS/WP.15/AC.1/2022/29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308" w14:textId="2EC5FF0B" w:rsidR="00205E1E" w:rsidRPr="00205E1E" w:rsidRDefault="001E211B" w:rsidP="00205E1E">
    <w:pPr>
      <w:pStyle w:val="Header"/>
      <w:jc w:val="right"/>
    </w:pPr>
    <w:r>
      <w:fldChar w:fldCharType="begin"/>
    </w:r>
    <w:r>
      <w:instrText xml:space="preserve"> TITLE  \* MERGEFORMAT </w:instrText>
    </w:r>
    <w:r>
      <w:fldChar w:fldCharType="separate"/>
    </w:r>
    <w:r w:rsidR="00205E1E">
      <w:t>ECE/TRANS/WP.15/AC.1/2022/29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D6"/>
    <w:rsid w:val="00017F94"/>
    <w:rsid w:val="00023842"/>
    <w:rsid w:val="000334F9"/>
    <w:rsid w:val="00045FEB"/>
    <w:rsid w:val="0007796D"/>
    <w:rsid w:val="000826D6"/>
    <w:rsid w:val="000B7790"/>
    <w:rsid w:val="00111F2F"/>
    <w:rsid w:val="0014365E"/>
    <w:rsid w:val="00143C66"/>
    <w:rsid w:val="00176178"/>
    <w:rsid w:val="001E211B"/>
    <w:rsid w:val="001F525A"/>
    <w:rsid w:val="00201148"/>
    <w:rsid w:val="00205E1E"/>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2B7A"/>
    <w:rsid w:val="00B765F7"/>
    <w:rsid w:val="00B77993"/>
    <w:rsid w:val="00BA0CA9"/>
    <w:rsid w:val="00C02897"/>
    <w:rsid w:val="00C97039"/>
    <w:rsid w:val="00CF06F6"/>
    <w:rsid w:val="00D3439C"/>
    <w:rsid w:val="00D7622E"/>
    <w:rsid w:val="00DB1831"/>
    <w:rsid w:val="00DD3BFD"/>
    <w:rsid w:val="00DF6678"/>
    <w:rsid w:val="00E0299A"/>
    <w:rsid w:val="00E85C74"/>
    <w:rsid w:val="00EA1DBC"/>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8212A"/>
  <w15:docId w15:val="{F8B9FDEB-EFBD-4F4D-8414-D40DFEE8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205E1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227F5D6-3120-4778-8796-8C952A4BE9F4}"/>
</file>

<file path=customXml/itemProps2.xml><?xml version="1.0" encoding="utf-8"?>
<ds:datastoreItem xmlns:ds="http://schemas.openxmlformats.org/officeDocument/2006/customXml" ds:itemID="{FA2ADBD7-3BEA-4D0B-8FB4-AE8E4E098B01}"/>
</file>

<file path=customXml/itemProps3.xml><?xml version="1.0" encoding="utf-8"?>
<ds:datastoreItem xmlns:ds="http://schemas.openxmlformats.org/officeDocument/2006/customXml" ds:itemID="{8D0E1F83-FE34-4E21-86BA-D18002189F6F}"/>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ECE/TRANS/WP.15/AC.1/2022/29</dc:title>
  <dc:subject/>
  <dc:creator>Marie DESCHAMPS</dc:creator>
  <cp:keywords/>
  <cp:lastModifiedBy>Christine Barrio-Champeau</cp:lastModifiedBy>
  <cp:revision>2</cp:revision>
  <cp:lastPrinted>2014-05-14T10:59:00Z</cp:lastPrinted>
  <dcterms:created xsi:type="dcterms:W3CDTF">2022-07-25T11:34:00Z</dcterms:created>
  <dcterms:modified xsi:type="dcterms:W3CDTF">2022-07-25T11:34:00Z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