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DC80FAD" w14:textId="77777777" w:rsidTr="00387CD4">
        <w:trPr>
          <w:trHeight w:hRule="exact" w:val="851"/>
        </w:trPr>
        <w:tc>
          <w:tcPr>
            <w:tcW w:w="142" w:type="dxa"/>
            <w:tcBorders>
              <w:bottom w:val="single" w:sz="4" w:space="0" w:color="auto"/>
            </w:tcBorders>
          </w:tcPr>
          <w:p w14:paraId="672639A3" w14:textId="77777777" w:rsidR="002D5AAC" w:rsidRDefault="002D5AAC" w:rsidP="0018385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07DFD8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C74F42C" w14:textId="0E4573C3" w:rsidR="002D5AAC" w:rsidRDefault="0018385E" w:rsidP="0018385E">
            <w:pPr>
              <w:jc w:val="right"/>
            </w:pPr>
            <w:r w:rsidRPr="0018385E">
              <w:rPr>
                <w:sz w:val="40"/>
              </w:rPr>
              <w:t>ECE</w:t>
            </w:r>
            <w:r>
              <w:t>/TRANS/WP.15/AC.1/2022/28</w:t>
            </w:r>
          </w:p>
        </w:tc>
      </w:tr>
      <w:tr w:rsidR="002D5AAC" w:rsidRPr="00826E9A" w14:paraId="0DD108B5" w14:textId="77777777" w:rsidTr="00387CD4">
        <w:trPr>
          <w:trHeight w:hRule="exact" w:val="2835"/>
        </w:trPr>
        <w:tc>
          <w:tcPr>
            <w:tcW w:w="1280" w:type="dxa"/>
            <w:gridSpan w:val="2"/>
            <w:tcBorders>
              <w:top w:val="single" w:sz="4" w:space="0" w:color="auto"/>
              <w:bottom w:val="single" w:sz="12" w:space="0" w:color="auto"/>
            </w:tcBorders>
          </w:tcPr>
          <w:p w14:paraId="2F0E5BEE" w14:textId="77777777" w:rsidR="002D5AAC" w:rsidRDefault="002E5067" w:rsidP="00387CD4">
            <w:pPr>
              <w:spacing w:before="120"/>
              <w:jc w:val="center"/>
            </w:pPr>
            <w:r>
              <w:rPr>
                <w:noProof/>
                <w:lang w:val="fr-CH" w:eastAsia="fr-CH"/>
              </w:rPr>
              <w:drawing>
                <wp:inline distT="0" distB="0" distL="0" distR="0" wp14:anchorId="4390B105" wp14:editId="20E3EA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E98B8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5A9382A" w14:textId="2AF06531" w:rsidR="002D5AAC" w:rsidRDefault="0018385E" w:rsidP="00387CD4">
            <w:pPr>
              <w:spacing w:before="240"/>
              <w:rPr>
                <w:lang w:val="en-US"/>
              </w:rPr>
            </w:pPr>
            <w:r>
              <w:rPr>
                <w:lang w:val="en-US"/>
              </w:rPr>
              <w:t>Distr.: General</w:t>
            </w:r>
          </w:p>
          <w:p w14:paraId="673DD2F9" w14:textId="77777777" w:rsidR="0018385E" w:rsidRDefault="0018385E" w:rsidP="0018385E">
            <w:pPr>
              <w:spacing w:line="240" w:lineRule="exact"/>
              <w:rPr>
                <w:lang w:val="en-US"/>
              </w:rPr>
            </w:pPr>
            <w:r>
              <w:rPr>
                <w:lang w:val="en-US"/>
              </w:rPr>
              <w:t>21 June 2022</w:t>
            </w:r>
          </w:p>
          <w:p w14:paraId="2BF4854A" w14:textId="77777777" w:rsidR="0018385E" w:rsidRDefault="0018385E" w:rsidP="0018385E">
            <w:pPr>
              <w:spacing w:line="240" w:lineRule="exact"/>
              <w:rPr>
                <w:lang w:val="en-US"/>
              </w:rPr>
            </w:pPr>
            <w:r>
              <w:rPr>
                <w:lang w:val="en-US"/>
              </w:rPr>
              <w:t>Russian</w:t>
            </w:r>
          </w:p>
          <w:p w14:paraId="1E99D019" w14:textId="44632AFC" w:rsidR="0018385E" w:rsidRPr="008D53B6" w:rsidRDefault="0018385E" w:rsidP="0018385E">
            <w:pPr>
              <w:spacing w:line="240" w:lineRule="exact"/>
              <w:rPr>
                <w:lang w:val="en-US"/>
              </w:rPr>
            </w:pPr>
            <w:r>
              <w:rPr>
                <w:lang w:val="en-US"/>
              </w:rPr>
              <w:t>Original: English</w:t>
            </w:r>
          </w:p>
        </w:tc>
      </w:tr>
    </w:tbl>
    <w:p w14:paraId="2747AF0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500D891" w14:textId="77777777" w:rsidR="0018385E" w:rsidRPr="0018385E" w:rsidRDefault="0018385E" w:rsidP="0018385E">
      <w:pPr>
        <w:spacing w:before="120"/>
        <w:rPr>
          <w:sz w:val="28"/>
          <w:szCs w:val="28"/>
        </w:rPr>
      </w:pPr>
      <w:r w:rsidRPr="0018385E">
        <w:rPr>
          <w:sz w:val="28"/>
          <w:szCs w:val="28"/>
        </w:rPr>
        <w:t>Комитет по внутреннему транспорту</w:t>
      </w:r>
    </w:p>
    <w:p w14:paraId="1C81101D" w14:textId="77777777" w:rsidR="0018385E" w:rsidRPr="0018385E" w:rsidRDefault="0018385E" w:rsidP="0018385E">
      <w:pPr>
        <w:spacing w:before="120"/>
        <w:rPr>
          <w:b/>
          <w:sz w:val="24"/>
          <w:szCs w:val="24"/>
        </w:rPr>
      </w:pPr>
      <w:r w:rsidRPr="0018385E">
        <w:rPr>
          <w:b/>
          <w:bCs/>
          <w:sz w:val="24"/>
          <w:szCs w:val="24"/>
        </w:rPr>
        <w:t>Рабочая группа по перевозкам опасных грузов</w:t>
      </w:r>
    </w:p>
    <w:p w14:paraId="1E53EF6B" w14:textId="11CA6B27" w:rsidR="0018385E" w:rsidRPr="0072167E" w:rsidRDefault="0018385E" w:rsidP="0018385E">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1514AF45" w14:textId="77777777" w:rsidR="0018385E" w:rsidRPr="0072167E" w:rsidRDefault="0018385E" w:rsidP="0018385E">
      <w:r>
        <w:t>Женева, 12–16 сентября 2022 года</w:t>
      </w:r>
    </w:p>
    <w:p w14:paraId="5594A3E9" w14:textId="77777777" w:rsidR="0018385E" w:rsidRPr="0072167E" w:rsidRDefault="0018385E" w:rsidP="0018385E">
      <w:r>
        <w:t>Пункт 5 b) предварительной повестки дня</w:t>
      </w:r>
    </w:p>
    <w:p w14:paraId="4261042D" w14:textId="1D7D804D" w:rsidR="0018385E" w:rsidRPr="0018385E" w:rsidRDefault="0018385E" w:rsidP="0018385E">
      <w:pPr>
        <w:pStyle w:val="Default"/>
        <w:rPr>
          <w:b/>
          <w:bCs/>
          <w:sz w:val="20"/>
          <w:szCs w:val="20"/>
          <w:lang w:val="ru-RU"/>
        </w:rPr>
      </w:pPr>
      <w:r w:rsidRPr="0018385E">
        <w:rPr>
          <w:b/>
          <w:bCs/>
          <w:sz w:val="20"/>
          <w:szCs w:val="20"/>
          <w:lang w:val="ru-RU"/>
        </w:rPr>
        <w:t xml:space="preserve">Предложения о внесении поправок </w:t>
      </w:r>
      <w:r w:rsidRPr="0018385E">
        <w:rPr>
          <w:b/>
          <w:bCs/>
          <w:sz w:val="20"/>
          <w:szCs w:val="20"/>
          <w:lang w:val="ru-RU"/>
        </w:rPr>
        <w:br/>
        <w:t>в МПОГ/ДОПОГ/ВОПОГ: новые предложения</w:t>
      </w:r>
    </w:p>
    <w:p w14:paraId="1EEA06B8" w14:textId="77777777" w:rsidR="0018385E" w:rsidRPr="0072167E" w:rsidRDefault="0018385E" w:rsidP="00EC5076">
      <w:pPr>
        <w:pStyle w:val="HChG"/>
        <w:rPr>
          <w:szCs w:val="28"/>
        </w:rPr>
      </w:pPr>
      <w:r>
        <w:tab/>
      </w:r>
      <w:r>
        <w:tab/>
        <w:t>Прямая доставка опасных грузов конечным клиентам (транспортные пакеты)</w:t>
      </w:r>
    </w:p>
    <w:p w14:paraId="1310888E" w14:textId="0D8A4478" w:rsidR="0018385E" w:rsidRDefault="0018385E" w:rsidP="0018385E">
      <w:pPr>
        <w:pStyle w:val="H1G"/>
        <w:rPr>
          <w:b w:val="0"/>
          <w:bCs/>
          <w:sz w:val="20"/>
        </w:rPr>
      </w:pPr>
      <w:r>
        <w:tab/>
      </w:r>
      <w:r>
        <w:tab/>
      </w:r>
      <w:r>
        <w:rPr>
          <w:bCs/>
        </w:rPr>
        <w:t>Передано Советом по вопросам безопасной перевозки вредных материалов (COSTHA)</w:t>
      </w:r>
      <w:r w:rsidR="00EC5076" w:rsidRPr="00EC5076">
        <w:rPr>
          <w:rStyle w:val="FootnoteReference"/>
          <w:b w:val="0"/>
          <w:sz w:val="20"/>
          <w:vertAlign w:val="baseline"/>
        </w:rPr>
        <w:footnoteReference w:customMarkFollows="1" w:id="1"/>
        <w:t>*</w:t>
      </w:r>
      <w:r>
        <w:t xml:space="preserve"> </w:t>
      </w:r>
      <w:r w:rsidR="00EC5076" w:rsidRPr="00EC5076">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EC5076" w:rsidRPr="00EC5076" w14:paraId="07E8979E" w14:textId="77777777" w:rsidTr="00850215">
        <w:trPr>
          <w:jc w:val="center"/>
        </w:trPr>
        <w:tc>
          <w:tcPr>
            <w:tcW w:w="9637" w:type="dxa"/>
            <w:tcBorders>
              <w:bottom w:val="nil"/>
            </w:tcBorders>
          </w:tcPr>
          <w:p w14:paraId="1A714ECC" w14:textId="77777777" w:rsidR="00EC5076" w:rsidRPr="00EC5076" w:rsidRDefault="00EC5076" w:rsidP="00850215">
            <w:pPr>
              <w:tabs>
                <w:tab w:val="left" w:pos="255"/>
              </w:tabs>
              <w:spacing w:before="240" w:after="120"/>
              <w:rPr>
                <w:rFonts w:cs="Times New Roman"/>
                <w:sz w:val="24"/>
              </w:rPr>
            </w:pPr>
            <w:r w:rsidRPr="00EC5076">
              <w:rPr>
                <w:rFonts w:cs="Times New Roman"/>
              </w:rPr>
              <w:tab/>
            </w:r>
            <w:r w:rsidRPr="00EC5076">
              <w:rPr>
                <w:rFonts w:cs="Times New Roman"/>
                <w:i/>
                <w:sz w:val="24"/>
              </w:rPr>
              <w:t>Резюме</w:t>
            </w:r>
          </w:p>
        </w:tc>
      </w:tr>
      <w:tr w:rsidR="00EC5076" w:rsidRPr="00EC5076" w14:paraId="74AA8770" w14:textId="77777777" w:rsidTr="00850215">
        <w:trPr>
          <w:jc w:val="center"/>
        </w:trPr>
        <w:tc>
          <w:tcPr>
            <w:tcW w:w="9637" w:type="dxa"/>
            <w:tcBorders>
              <w:top w:val="nil"/>
              <w:bottom w:val="nil"/>
            </w:tcBorders>
            <w:shd w:val="clear" w:color="auto" w:fill="auto"/>
          </w:tcPr>
          <w:p w14:paraId="010D4206" w14:textId="185A620B" w:rsidR="00EC5076" w:rsidRPr="00EC5076" w:rsidRDefault="00EC5076" w:rsidP="00AE4261">
            <w:pPr>
              <w:pStyle w:val="SingleTxtG"/>
              <w:ind w:left="3119" w:hanging="2552"/>
            </w:pPr>
            <w:r>
              <w:rPr>
                <w:b/>
                <w:bCs/>
              </w:rPr>
              <w:t>Существо предложения:</w:t>
            </w:r>
            <w:r>
              <w:rPr>
                <w:b/>
                <w:bCs/>
              </w:rPr>
              <w:tab/>
            </w:r>
            <w:r>
              <w:tab/>
              <w:t>В последние годы увеличился объем опасных грузов, доставляемых непосредственно конечным потребителям. Однако МПОГ/ДОПОГ/</w:t>
            </w:r>
            <w:r w:rsidR="00364AC2">
              <w:t>В</w:t>
            </w:r>
            <w:r>
              <w:t>ОПОГ в том виде, в котором они составлены, в основном охватывают перевозки между предприятиями, независимо от того, являются ли эти предприятия производителями, грузоотправителями, розничными точками или распределительными пунктами. Непосредственной доставкой товара конечному потребителю исторически занимались компании по доставке посылок, почтовые службы и сами потребители. С</w:t>
            </w:r>
            <w:r w:rsidR="00364AC2">
              <w:t> </w:t>
            </w:r>
            <w:r>
              <w:t>этой целью в правилах предусмотрены исключения, призванные ограничить требования к перевозке некоторых из этих видов грузов.</w:t>
            </w:r>
          </w:p>
        </w:tc>
      </w:tr>
      <w:tr w:rsidR="00EC5076" w:rsidRPr="00EC5076" w14:paraId="0DFDFD38" w14:textId="77777777" w:rsidTr="00850215">
        <w:trPr>
          <w:jc w:val="center"/>
        </w:trPr>
        <w:tc>
          <w:tcPr>
            <w:tcW w:w="9637" w:type="dxa"/>
            <w:tcBorders>
              <w:top w:val="nil"/>
              <w:bottom w:val="nil"/>
            </w:tcBorders>
            <w:shd w:val="clear" w:color="auto" w:fill="auto"/>
          </w:tcPr>
          <w:p w14:paraId="16386EC3" w14:textId="37E9F43C" w:rsidR="00EC5076" w:rsidRPr="00EC5076" w:rsidRDefault="00EC5076" w:rsidP="00AE4261">
            <w:pPr>
              <w:pStyle w:val="SingleTxtG"/>
              <w:ind w:left="3119" w:hanging="2552"/>
            </w:pPr>
            <w:r>
              <w:rPr>
                <w:b/>
                <w:bCs/>
              </w:rPr>
              <w:t>Предлагаемое решение:</w:t>
            </w:r>
            <w:r>
              <w:tab/>
            </w:r>
            <w:r>
              <w:tab/>
            </w:r>
            <w:r w:rsidRPr="00EC5076">
              <w:t>Внести</w:t>
            </w:r>
            <w:r>
              <w:t xml:space="preserve"> изменения в требования к </w:t>
            </w:r>
            <w:r w:rsidR="00364AC2">
              <w:t>«</w:t>
            </w:r>
            <w:r>
              <w:t>транспортным пакетам</w:t>
            </w:r>
            <w:r w:rsidR="00364AC2">
              <w:t>»</w:t>
            </w:r>
            <w:r>
              <w:t xml:space="preserve"> в</w:t>
            </w:r>
            <w:r w:rsidR="00385293">
              <w:rPr>
                <w:lang w:val="en-US"/>
              </w:rPr>
              <w:t> </w:t>
            </w:r>
            <w:r>
              <w:t>МПОГ/ДОПОГ/ВОПОГ.</w:t>
            </w:r>
          </w:p>
        </w:tc>
      </w:tr>
      <w:tr w:rsidR="00EC5076" w:rsidRPr="00EC5076" w14:paraId="69B967F9" w14:textId="77777777" w:rsidTr="00850215">
        <w:trPr>
          <w:jc w:val="center"/>
        </w:trPr>
        <w:tc>
          <w:tcPr>
            <w:tcW w:w="9637" w:type="dxa"/>
            <w:tcBorders>
              <w:top w:val="nil"/>
              <w:bottom w:val="nil"/>
            </w:tcBorders>
            <w:shd w:val="clear" w:color="auto" w:fill="auto"/>
          </w:tcPr>
          <w:p w14:paraId="303A4DB8" w14:textId="77777777" w:rsidR="00EC5076" w:rsidRDefault="00EC5076" w:rsidP="00E003B3">
            <w:pPr>
              <w:pStyle w:val="SingleTxtG"/>
              <w:spacing w:after="0"/>
              <w:ind w:left="3119" w:hanging="2552"/>
            </w:pPr>
            <w:r>
              <w:rPr>
                <w:b/>
                <w:bCs/>
              </w:rPr>
              <w:t>Справочные документы:</w:t>
            </w:r>
            <w:r>
              <w:tab/>
            </w:r>
            <w:r w:rsidRPr="00EC5076">
              <w:t xml:space="preserve">Неофициальный </w:t>
            </w:r>
            <w:r>
              <w:t>документ INF.31 (COSTHA) весенней сессии 2022 года</w:t>
            </w:r>
          </w:p>
          <w:p w14:paraId="566E8A38" w14:textId="3C242F78" w:rsidR="00EC5076" w:rsidRPr="00EC5076" w:rsidRDefault="00EC5076" w:rsidP="00E003B3">
            <w:pPr>
              <w:pStyle w:val="SingleTxtG"/>
              <w:ind w:left="3119"/>
            </w:pPr>
            <w:r>
              <w:t>Документ ST/SG/AC.10/C.3/2022/27</w:t>
            </w:r>
          </w:p>
        </w:tc>
      </w:tr>
      <w:tr w:rsidR="00EC5076" w:rsidRPr="00EC5076" w14:paraId="1A482338" w14:textId="77777777" w:rsidTr="00850215">
        <w:trPr>
          <w:jc w:val="center"/>
        </w:trPr>
        <w:tc>
          <w:tcPr>
            <w:tcW w:w="9637" w:type="dxa"/>
            <w:tcBorders>
              <w:top w:val="nil"/>
            </w:tcBorders>
          </w:tcPr>
          <w:p w14:paraId="4D1ADAC9" w14:textId="77777777" w:rsidR="00EC5076" w:rsidRPr="00EC5076" w:rsidRDefault="00EC5076" w:rsidP="00850215">
            <w:pPr>
              <w:rPr>
                <w:rFonts w:cs="Times New Roman"/>
              </w:rPr>
            </w:pPr>
          </w:p>
        </w:tc>
      </w:tr>
    </w:tbl>
    <w:p w14:paraId="4348FDC3" w14:textId="377D6A0B" w:rsidR="0018385E" w:rsidRPr="00826E9A" w:rsidRDefault="002E0377" w:rsidP="00826E9A">
      <w:pPr>
        <w:pStyle w:val="SingleTxtG"/>
      </w:pPr>
      <w:r w:rsidRPr="00826E9A">
        <w:lastRenderedPageBreak/>
        <w:t>1.</w:t>
      </w:r>
      <w:r w:rsidRPr="00826E9A">
        <w:tab/>
      </w:r>
      <w:r w:rsidR="0018385E" w:rsidRPr="00826E9A">
        <w:t>На состоявшейся в марте 2022 года сессии Совместного совещания Комиссии экспертов МПОГ и Рабочей группы по перевозкам опасных грузов (WP.15/AC.1) COSTHA представил неофициальный документ INF.31 для целей обсуждения и сбора материалов для будущего предложения. Несмотря на то, что документ был представлен с опозданием, многие делегации смогли прислать первоначальные замечания по этому вопросу, за что COSTHA выразил им благодарность.</w:t>
      </w:r>
    </w:p>
    <w:p w14:paraId="623C0112" w14:textId="71432207" w:rsidR="0018385E" w:rsidRPr="00826E9A" w:rsidRDefault="002E0377" w:rsidP="00826E9A">
      <w:pPr>
        <w:pStyle w:val="SingleTxtG"/>
      </w:pPr>
      <w:r w:rsidRPr="00826E9A">
        <w:t>2.</w:t>
      </w:r>
      <w:r w:rsidRPr="00826E9A">
        <w:tab/>
      </w:r>
      <w:r w:rsidR="0018385E" w:rsidRPr="00826E9A">
        <w:t xml:space="preserve">COSTHA хотел бы еще раз обратить внимание Совместного совещания на различия в определении термина </w:t>
      </w:r>
      <w:r w:rsidR="00364AC2" w:rsidRPr="00826E9A">
        <w:t>«</w:t>
      </w:r>
      <w:r w:rsidR="0018385E" w:rsidRPr="00826E9A">
        <w:t>транспортный пакет</w:t>
      </w:r>
      <w:r w:rsidR="00364AC2" w:rsidRPr="00826E9A">
        <w:t>»</w:t>
      </w:r>
      <w:r w:rsidR="0018385E" w:rsidRPr="00826E9A">
        <w:t xml:space="preserve"> в Типовых правилах ООН и МПОГ/ДОПОГ/ВОПОГ. Такие различия в определениях имеют последствия на региональном уровне и за пределами стран, которые используют приложения к МПОГ/ДОПОГ/ВОПОГ для регулирования наземных перевозок.</w:t>
      </w:r>
    </w:p>
    <w:p w14:paraId="33020A93" w14:textId="386762B9" w:rsidR="0018385E" w:rsidRPr="00826E9A" w:rsidRDefault="002E0377" w:rsidP="00826E9A">
      <w:pPr>
        <w:pStyle w:val="SingleTxtG"/>
      </w:pPr>
      <w:r w:rsidRPr="00826E9A">
        <w:t>3.</w:t>
      </w:r>
      <w:r w:rsidRPr="00826E9A">
        <w:tab/>
      </w:r>
      <w:r w:rsidR="0018385E" w:rsidRPr="00826E9A">
        <w:t xml:space="preserve">COSTHA считает, что некоторые минимальные требования, такие как </w:t>
      </w:r>
      <w:r w:rsidR="00364AC2" w:rsidRPr="00826E9A">
        <w:t>«</w:t>
      </w:r>
      <w:r w:rsidR="0018385E" w:rsidRPr="00826E9A">
        <w:t>подходящая тара наружная</w:t>
      </w:r>
      <w:r w:rsidR="00364AC2" w:rsidRPr="00826E9A">
        <w:t>»</w:t>
      </w:r>
      <w:r w:rsidR="0018385E" w:rsidRPr="00826E9A">
        <w:t xml:space="preserve"> и маркировка, возможно</w:t>
      </w:r>
      <w:r w:rsidR="00364AC2" w:rsidRPr="00826E9A">
        <w:t>,</w:t>
      </w:r>
      <w:r w:rsidR="0018385E" w:rsidRPr="00826E9A">
        <w:t xml:space="preserve"> нуждаются в уточнении. Например, когда опасные грузы, упакованные в ограниченных количествах, объединяются в транспортный пакет, правила требуют, чтобы такой пакет нес маркировку в соответствии с разделом 3.4.11 МПОГ/ДОПОГ/ВОПОГ (маркировка LQ и </w:t>
      </w:r>
      <w:r w:rsidR="00364AC2" w:rsidRPr="00826E9A">
        <w:t>«</w:t>
      </w:r>
      <w:r w:rsidR="0018385E" w:rsidRPr="00826E9A">
        <w:t>транспортный пакет</w:t>
      </w:r>
      <w:r w:rsidR="00364AC2" w:rsidRPr="00826E9A">
        <w:t>»</w:t>
      </w:r>
      <w:r w:rsidR="0018385E" w:rsidRPr="00826E9A">
        <w:t>). Тем не менее компании, осуществляющие прямую доставку (доставка посылок и почтовые службы), имеют сложившуюся практику использования погрузочно-разгрузочного средства (мешка) во время операций по доставке. Хотя такие мешки повышают безопасность посылок при перевозке в целом, обеспечивая еще один уровень безопасного хранения и защиты, они используются в основном для облегчения перевозки нескольких посылок путем их размещения в грузовом автомобиле, а также для облегчения управления двухколесным транспортным средством при обращении с дополнительными пакетами. Эти мешки затем выгружаются в ходе разных остановок по маршруту доставки. Подобные мешки используются и в других операциях, таких как доставка на двухколесном транспортном средстве и ручная доставка. В почтовых службах и других операциях по доставке, связанных с ручной переноской посылок, мешки используются часто, и до нашего сведения было доведено, что такие мешки рассматриваются некоторыми компетентными органами как транспортные пакеты.</w:t>
      </w:r>
    </w:p>
    <w:p w14:paraId="705C669E" w14:textId="77777777" w:rsidR="0018385E" w:rsidRPr="004D2E8F" w:rsidRDefault="0018385E" w:rsidP="0018385E">
      <w:pPr>
        <w:pStyle w:val="HChG"/>
        <w:ind w:left="1170" w:firstLine="0"/>
      </w:pPr>
      <w:r>
        <w:rPr>
          <w:bCs/>
        </w:rPr>
        <w:t>Определение транспортного пакета</w:t>
      </w:r>
    </w:p>
    <w:p w14:paraId="23D9A49A" w14:textId="1C3856D1" w:rsidR="0018385E" w:rsidRPr="007513C0" w:rsidRDefault="002E0377" w:rsidP="00826E9A">
      <w:pPr>
        <w:pStyle w:val="SingleTxtG"/>
        <w:tabs>
          <w:tab w:val="clear" w:pos="2268"/>
          <w:tab w:val="clear" w:pos="2835"/>
        </w:tabs>
        <w:rPr>
          <w:i/>
          <w:iCs/>
        </w:rPr>
      </w:pPr>
      <w:r w:rsidRPr="007513C0">
        <w:t>4.</w:t>
      </w:r>
      <w:r w:rsidRPr="007513C0">
        <w:tab/>
      </w:r>
      <w:r w:rsidR="0018385E">
        <w:t xml:space="preserve">В Типовых правилах ООН </w:t>
      </w:r>
      <w:r w:rsidR="0018385E" w:rsidRPr="00385293">
        <w:t>транспортный пакет</w:t>
      </w:r>
      <w:r w:rsidR="0018385E">
        <w:rPr>
          <w:i/>
          <w:iCs/>
        </w:rPr>
        <w:t xml:space="preserve"> означает оболочку, используемую одним грузоотправителем для объединения одной или нескольких упаковок в отдельную единицу в целях облегчения операций</w:t>
      </w:r>
      <w:r w:rsidR="0018385E">
        <w:t xml:space="preserve">. </w:t>
      </w:r>
      <w:r w:rsidR="0018385E">
        <w:rPr>
          <w:i/>
          <w:iCs/>
        </w:rPr>
        <w:t>Примерами пакета являются несколько упаковок, которые:</w:t>
      </w:r>
    </w:p>
    <w:p w14:paraId="6F8C5C51" w14:textId="77777777" w:rsidR="0018385E" w:rsidRPr="0072167E" w:rsidRDefault="0018385E" w:rsidP="000E7241">
      <w:pPr>
        <w:pStyle w:val="ListParagraph"/>
        <w:spacing w:after="120"/>
        <w:ind w:left="1701" w:right="1134"/>
        <w:contextualSpacing w:val="0"/>
        <w:jc w:val="both"/>
        <w:rPr>
          <w:i/>
          <w:iCs/>
          <w:lang w:val="ru-RU"/>
        </w:rPr>
      </w:pPr>
      <w:r>
        <w:rPr>
          <w:i/>
          <w:iCs/>
          <w:lang w:val="ru-RU"/>
        </w:rPr>
        <w:t>1)</w:t>
      </w:r>
      <w:r>
        <w:rPr>
          <w:lang w:val="ru-RU"/>
        </w:rPr>
        <w:tab/>
      </w:r>
      <w:r>
        <w:rPr>
          <w:i/>
          <w:iCs/>
          <w:lang w:val="ru-RU"/>
        </w:rPr>
        <w:t>помещаются или штабелируются на приспособлении для пакетной загрузки, таком как, например, поддон, и закрепляются при помощи пластмассовой ленты, термоусадочного материала, растягивающейся пленки или других подходящих средств;</w:t>
      </w:r>
      <w:r>
        <w:rPr>
          <w:lang w:val="ru-RU"/>
        </w:rPr>
        <w:t xml:space="preserve"> </w:t>
      </w:r>
      <w:r>
        <w:rPr>
          <w:i/>
          <w:iCs/>
          <w:lang w:val="ru-RU"/>
        </w:rPr>
        <w:t>или</w:t>
      </w:r>
    </w:p>
    <w:p w14:paraId="76BE8E5A" w14:textId="77777777" w:rsidR="0018385E" w:rsidRPr="0072167E" w:rsidRDefault="0018385E" w:rsidP="00AE3EAC">
      <w:pPr>
        <w:pStyle w:val="ListParagraph"/>
        <w:spacing w:after="120"/>
        <w:ind w:left="1701" w:right="1134"/>
        <w:contextualSpacing w:val="0"/>
        <w:jc w:val="both"/>
        <w:rPr>
          <w:i/>
          <w:iCs/>
          <w:lang w:val="ru-RU"/>
        </w:rPr>
      </w:pPr>
      <w:r>
        <w:rPr>
          <w:i/>
          <w:iCs/>
          <w:lang w:val="ru-RU"/>
        </w:rPr>
        <w:t>2)</w:t>
      </w:r>
      <w:r>
        <w:rPr>
          <w:lang w:val="ru-RU"/>
        </w:rPr>
        <w:tab/>
      </w:r>
      <w:r>
        <w:rPr>
          <w:i/>
          <w:iCs/>
          <w:lang w:val="ru-RU"/>
        </w:rPr>
        <w:t>помещаются в защитную наружную тару, такую как, например, ящик или обрешетка.</w:t>
      </w:r>
    </w:p>
    <w:p w14:paraId="07680783" w14:textId="7B879A53" w:rsidR="0018385E" w:rsidRPr="00D8161B" w:rsidRDefault="002E0377" w:rsidP="00826E9A">
      <w:pPr>
        <w:pStyle w:val="SingleTxtG"/>
        <w:tabs>
          <w:tab w:val="clear" w:pos="2268"/>
          <w:tab w:val="clear" w:pos="2835"/>
        </w:tabs>
        <w:rPr>
          <w:i/>
          <w:iCs/>
        </w:rPr>
      </w:pPr>
      <w:r w:rsidRPr="00D8161B">
        <w:t>5.</w:t>
      </w:r>
      <w:r w:rsidRPr="00D8161B">
        <w:tab/>
      </w:r>
      <w:r w:rsidR="0018385E">
        <w:t xml:space="preserve">В МПОГ/ДОПОГ/ВОПОГ пакет транспортный </w:t>
      </w:r>
      <w:r w:rsidR="0018385E">
        <w:rPr>
          <w:i/>
          <w:iCs/>
        </w:rPr>
        <w:t>означает оболочку, используемую (одним грузоотправителем в случае радиоактивных материалов) для объединения одной или нескольких упаковок в отдельную единицу с целью облегчения погрузочно-разгрузочных операций и укладки во время перевозки.</w:t>
      </w:r>
      <w:r w:rsidR="0018385E">
        <w:t xml:space="preserve"> </w:t>
      </w:r>
      <w:r w:rsidR="0018385E">
        <w:rPr>
          <w:i/>
          <w:iCs/>
        </w:rPr>
        <w:t>Примерами пакета являются:</w:t>
      </w:r>
    </w:p>
    <w:p w14:paraId="3CF4E6F6" w14:textId="77777777" w:rsidR="0018385E" w:rsidRPr="0072167E" w:rsidRDefault="0018385E" w:rsidP="000E7241">
      <w:pPr>
        <w:pStyle w:val="ListParagraph"/>
        <w:spacing w:after="120"/>
        <w:ind w:left="1699" w:right="1134"/>
        <w:contextualSpacing w:val="0"/>
        <w:jc w:val="both"/>
        <w:rPr>
          <w:i/>
          <w:iCs/>
          <w:lang w:val="ru-RU"/>
        </w:rPr>
      </w:pPr>
      <w:r>
        <w:rPr>
          <w:i/>
          <w:iCs/>
          <w:lang w:val="ru-RU"/>
        </w:rPr>
        <w:t>a)</w:t>
      </w:r>
      <w:r>
        <w:rPr>
          <w:lang w:val="ru-RU"/>
        </w:rPr>
        <w:tab/>
      </w:r>
      <w:r>
        <w:rPr>
          <w:i/>
          <w:iCs/>
          <w:lang w:val="ru-RU"/>
        </w:rPr>
        <w:t>приспособления для пакетной загрузки, как, например, поддон, на который помещаются и на котором штабелируются несколько упаковок, закрепляемых при помощи пластмассовой ленты, термоусадочного материала, растягивающейся пленки или других подходящих средств;</w:t>
      </w:r>
      <w:r>
        <w:rPr>
          <w:lang w:val="ru-RU"/>
        </w:rPr>
        <w:t xml:space="preserve"> </w:t>
      </w:r>
      <w:r>
        <w:rPr>
          <w:i/>
          <w:iCs/>
          <w:lang w:val="ru-RU"/>
        </w:rPr>
        <w:t>или</w:t>
      </w:r>
    </w:p>
    <w:p w14:paraId="1A4D31F4" w14:textId="77777777" w:rsidR="0018385E" w:rsidRPr="0072167E" w:rsidRDefault="0018385E" w:rsidP="000E7241">
      <w:pPr>
        <w:pStyle w:val="ListParagraph"/>
        <w:spacing w:after="120"/>
        <w:ind w:left="1699" w:right="1134"/>
        <w:contextualSpacing w:val="0"/>
        <w:jc w:val="both"/>
        <w:rPr>
          <w:i/>
          <w:iCs/>
          <w:lang w:val="ru-RU"/>
        </w:rPr>
      </w:pPr>
      <w:r>
        <w:rPr>
          <w:i/>
          <w:iCs/>
          <w:lang w:val="ru-RU"/>
        </w:rPr>
        <w:t>b)</w:t>
      </w:r>
      <w:r>
        <w:rPr>
          <w:lang w:val="ru-RU"/>
        </w:rPr>
        <w:tab/>
      </w:r>
      <w:r>
        <w:rPr>
          <w:i/>
          <w:iCs/>
          <w:lang w:val="ru-RU"/>
        </w:rPr>
        <w:t>защитная наружная тара, например ящик или обрешетка.</w:t>
      </w:r>
    </w:p>
    <w:p w14:paraId="1E82152A" w14:textId="5423C69F" w:rsidR="0018385E" w:rsidRPr="0072167E" w:rsidRDefault="002E0377" w:rsidP="00826E9A">
      <w:pPr>
        <w:pStyle w:val="SingleTxtG"/>
        <w:tabs>
          <w:tab w:val="clear" w:pos="2268"/>
          <w:tab w:val="clear" w:pos="2835"/>
        </w:tabs>
      </w:pPr>
      <w:r w:rsidRPr="0072167E">
        <w:lastRenderedPageBreak/>
        <w:t>6.</w:t>
      </w:r>
      <w:r w:rsidRPr="0072167E">
        <w:tab/>
      </w:r>
      <w:r w:rsidR="0018385E">
        <w:t>В Технических инструкциях Международной организации гражданской авиации (ИКАО), Международном кодексе морской перевозки опасных грузов (МКМПОГ), Правилах перевозки опасных материалов Министерства транспорта США (СФНА-49 МТ США) и в Правилах перевозки опасных грузов Министерства транспорта Канады определение транспортного пакета аналогично определению Типовых правил ООН.</w:t>
      </w:r>
    </w:p>
    <w:p w14:paraId="7F72B695" w14:textId="0433D94B" w:rsidR="0018385E" w:rsidRPr="00D8161B" w:rsidRDefault="002E0377" w:rsidP="00826E9A">
      <w:pPr>
        <w:pStyle w:val="SingleTxtG"/>
        <w:tabs>
          <w:tab w:val="clear" w:pos="2268"/>
          <w:tab w:val="clear" w:pos="2835"/>
        </w:tabs>
      </w:pPr>
      <w:r w:rsidRPr="00D8161B">
        <w:t>7.</w:t>
      </w:r>
      <w:r w:rsidRPr="00D8161B">
        <w:tab/>
      </w:r>
      <w:r w:rsidR="0018385E">
        <w:t>По мнению COSTHA требования МПОГ/ДОПОГ/ВОПОГ в этом отношении не согласованы, поэтому COSTHA предлагает нижеприведенные поправки к правилам, чтобы помочь смягчить последствия этого и облегчить перевозку таких упаковок опасных грузов в ограниченных количествах.</w:t>
      </w:r>
    </w:p>
    <w:p w14:paraId="6ED37986" w14:textId="726ABF25" w:rsidR="0018385E" w:rsidRPr="0072167E" w:rsidRDefault="002E0377" w:rsidP="00826E9A">
      <w:pPr>
        <w:pStyle w:val="SingleTxtG"/>
        <w:tabs>
          <w:tab w:val="clear" w:pos="2268"/>
          <w:tab w:val="clear" w:pos="2835"/>
        </w:tabs>
      </w:pPr>
      <w:r w:rsidRPr="0072167E">
        <w:t>8.</w:t>
      </w:r>
      <w:r w:rsidRPr="0072167E">
        <w:tab/>
      </w:r>
      <w:r w:rsidR="0018385E">
        <w:t>Настоящий документ представляется Совместному совещанию в качестве временного</w:t>
      </w:r>
      <w:r w:rsidR="0018385E" w:rsidRPr="00A71E85">
        <w:t xml:space="preserve"> </w:t>
      </w:r>
      <w:r w:rsidR="0018385E">
        <w:t>до представления/обсуждения документа ST/SG/AC.10/C.3/2022/27 на шестидесятой сессии Подкомитета экспертов ООН по перевозке опасных грузов (ПКЭПОГ ООН). Просьба обратить внимание на то, что приведенные ниже предложения являются независимыми и могут быть изменены после обсуждения в ПКЭПОГ ООН.</w:t>
      </w:r>
    </w:p>
    <w:p w14:paraId="41E9EC36" w14:textId="69277CF4" w:rsidR="0018385E" w:rsidRPr="00492250" w:rsidRDefault="00364AC2" w:rsidP="00364AC2">
      <w:pPr>
        <w:pStyle w:val="HChG"/>
        <w:rPr>
          <w:szCs w:val="28"/>
        </w:rPr>
      </w:pPr>
      <w:r>
        <w:tab/>
      </w:r>
      <w:r>
        <w:tab/>
      </w:r>
      <w:r w:rsidR="0018385E">
        <w:t>Предложения</w:t>
      </w:r>
    </w:p>
    <w:p w14:paraId="4617A810" w14:textId="77777777" w:rsidR="0018385E" w:rsidRPr="00492250" w:rsidRDefault="0018385E" w:rsidP="0018385E">
      <w:pPr>
        <w:pStyle w:val="SingleTxtG"/>
        <w:spacing w:before="240"/>
        <w:ind w:left="1170" w:right="1138"/>
        <w:jc w:val="left"/>
        <w:rPr>
          <w:u w:val="single"/>
        </w:rPr>
      </w:pPr>
      <w:r>
        <w:rPr>
          <w:u w:val="single"/>
        </w:rPr>
        <w:t>Вариант 1</w:t>
      </w:r>
    </w:p>
    <w:p w14:paraId="14973C7D" w14:textId="266B034F" w:rsidR="0018385E" w:rsidRPr="0072167E" w:rsidRDefault="002E0377" w:rsidP="00826E9A">
      <w:pPr>
        <w:pStyle w:val="SingleTxtG"/>
        <w:tabs>
          <w:tab w:val="clear" w:pos="2268"/>
          <w:tab w:val="clear" w:pos="2835"/>
        </w:tabs>
      </w:pPr>
      <w:r w:rsidRPr="0072167E">
        <w:t>9.</w:t>
      </w:r>
      <w:r w:rsidRPr="0072167E">
        <w:tab/>
      </w:r>
      <w:r w:rsidR="0018385E">
        <w:t>В разделе 1.2.1 МПОГ/ДОПОГ/ВОПОГ внести изменения в определение транспортного пакета, чтобы привести его в соответствие с определением, содержащимся в Типовых правилах ООН (см. пункт 3 выше).</w:t>
      </w:r>
    </w:p>
    <w:p w14:paraId="08F8569D" w14:textId="149228B7" w:rsidR="0018385E" w:rsidRPr="0072167E" w:rsidRDefault="00364AC2" w:rsidP="00826E9A">
      <w:pPr>
        <w:pStyle w:val="SingleTxtG"/>
        <w:ind w:left="1701"/>
        <w:rPr>
          <w:i/>
          <w:iCs/>
        </w:rPr>
      </w:pPr>
      <w:r>
        <w:t>«</w:t>
      </w:r>
      <w:r w:rsidR="0018385E">
        <w:t xml:space="preserve">Пакет транспортный </w:t>
      </w:r>
      <w:r w:rsidR="0018385E">
        <w:rPr>
          <w:i/>
          <w:iCs/>
        </w:rPr>
        <w:t xml:space="preserve">означает оболочку, используемую </w:t>
      </w:r>
      <w:r w:rsidR="0018385E">
        <w:rPr>
          <w:i/>
          <w:iCs/>
          <w:strike/>
        </w:rPr>
        <w:t>(</w:t>
      </w:r>
      <w:r w:rsidR="0018385E">
        <w:rPr>
          <w:i/>
          <w:iCs/>
        </w:rPr>
        <w:t xml:space="preserve">одним грузоотправителем </w:t>
      </w:r>
      <w:r w:rsidR="0018385E">
        <w:rPr>
          <w:i/>
          <w:iCs/>
          <w:strike/>
        </w:rPr>
        <w:t>в случае радиоактивных материалов)</w:t>
      </w:r>
      <w:r w:rsidR="0018385E" w:rsidRPr="002E0377">
        <w:rPr>
          <w:i/>
          <w:iCs/>
        </w:rPr>
        <w:t xml:space="preserve"> </w:t>
      </w:r>
      <w:r w:rsidR="0018385E">
        <w:rPr>
          <w:i/>
          <w:iCs/>
        </w:rPr>
        <w:t>для объединения одной или нескольких упаковок в отдельную единицу с целью облегчения погрузочно-разгрузочных операций и укладки во время перевозки.</w:t>
      </w:r>
      <w:r w:rsidR="0018385E">
        <w:t xml:space="preserve"> </w:t>
      </w:r>
      <w:r w:rsidR="0018385E">
        <w:rPr>
          <w:i/>
          <w:iCs/>
        </w:rPr>
        <w:t>Примерами пакета являются:</w:t>
      </w:r>
      <w:r w:rsidR="0018385E">
        <w:t xml:space="preserve"> </w:t>
      </w:r>
    </w:p>
    <w:p w14:paraId="3A1F7849" w14:textId="77777777" w:rsidR="0018385E" w:rsidRPr="0072167E" w:rsidRDefault="0018385E" w:rsidP="00826E9A">
      <w:pPr>
        <w:pStyle w:val="ListParagraph"/>
        <w:spacing w:after="120"/>
        <w:ind w:left="1701" w:right="1134"/>
        <w:contextualSpacing w:val="0"/>
        <w:jc w:val="both"/>
        <w:rPr>
          <w:i/>
          <w:iCs/>
          <w:lang w:val="ru-RU"/>
        </w:rPr>
      </w:pPr>
      <w:r>
        <w:rPr>
          <w:i/>
          <w:iCs/>
          <w:lang w:val="ru-RU"/>
        </w:rPr>
        <w:t>a)</w:t>
      </w:r>
      <w:r>
        <w:rPr>
          <w:lang w:val="ru-RU"/>
        </w:rPr>
        <w:tab/>
      </w:r>
      <w:r>
        <w:rPr>
          <w:i/>
          <w:iCs/>
          <w:lang w:val="ru-RU"/>
        </w:rPr>
        <w:t>приспособления для пакетной загрузки, как, например, поддон, на который помещаются и на котором штабелируются несколько упаковок, закрепляемых при помощи пластмассовой ленты, термоусадочного материала, растягивающейся пленки или других подходящих средств;</w:t>
      </w:r>
      <w:r>
        <w:rPr>
          <w:lang w:val="ru-RU"/>
        </w:rPr>
        <w:t xml:space="preserve"> </w:t>
      </w:r>
      <w:r>
        <w:rPr>
          <w:i/>
          <w:iCs/>
          <w:lang w:val="ru-RU"/>
        </w:rPr>
        <w:t>или</w:t>
      </w:r>
      <w:r>
        <w:rPr>
          <w:lang w:val="ru-RU"/>
        </w:rPr>
        <w:t xml:space="preserve"> </w:t>
      </w:r>
    </w:p>
    <w:p w14:paraId="64566BA6" w14:textId="3DA81B88" w:rsidR="0018385E" w:rsidRPr="0072167E" w:rsidRDefault="0018385E" w:rsidP="00826E9A">
      <w:pPr>
        <w:pStyle w:val="ListParagraph"/>
        <w:spacing w:after="120"/>
        <w:ind w:left="1701" w:right="1134"/>
        <w:contextualSpacing w:val="0"/>
        <w:jc w:val="both"/>
        <w:rPr>
          <w:i/>
          <w:iCs/>
          <w:lang w:val="ru-RU"/>
        </w:rPr>
      </w:pPr>
      <w:r>
        <w:rPr>
          <w:i/>
          <w:iCs/>
          <w:lang w:val="ru-RU"/>
        </w:rPr>
        <w:t>b)</w:t>
      </w:r>
      <w:r>
        <w:rPr>
          <w:lang w:val="ru-RU"/>
        </w:rPr>
        <w:tab/>
      </w:r>
      <w:r>
        <w:rPr>
          <w:i/>
          <w:iCs/>
          <w:lang w:val="ru-RU"/>
        </w:rPr>
        <w:t>защитная наружная тара, например ящик или обрешетка</w:t>
      </w:r>
      <w:r>
        <w:rPr>
          <w:lang w:val="ru-RU"/>
        </w:rPr>
        <w:t>.</w:t>
      </w:r>
      <w:r w:rsidR="00364AC2">
        <w:rPr>
          <w:lang w:val="ru-RU"/>
        </w:rPr>
        <w:t>»</w:t>
      </w:r>
      <w:r>
        <w:rPr>
          <w:lang w:val="ru-RU"/>
        </w:rPr>
        <w:t>.</w:t>
      </w:r>
    </w:p>
    <w:p w14:paraId="626CA50E" w14:textId="77777777" w:rsidR="0018385E" w:rsidRPr="00492250" w:rsidRDefault="0018385E" w:rsidP="0018385E">
      <w:pPr>
        <w:pStyle w:val="SingleTxtG"/>
        <w:spacing w:before="240"/>
        <w:ind w:right="1138"/>
        <w:jc w:val="left"/>
        <w:rPr>
          <w:u w:val="single"/>
        </w:rPr>
      </w:pPr>
      <w:r>
        <w:rPr>
          <w:u w:val="single"/>
        </w:rPr>
        <w:t>Вариант 2</w:t>
      </w:r>
    </w:p>
    <w:p w14:paraId="7D04FD8C" w14:textId="78BA841B" w:rsidR="0018385E" w:rsidRPr="00826E9A" w:rsidRDefault="002E0377" w:rsidP="00826E9A">
      <w:pPr>
        <w:pStyle w:val="SingleTxtG"/>
      </w:pPr>
      <w:r w:rsidRPr="00826E9A">
        <w:t>10.</w:t>
      </w:r>
      <w:r w:rsidRPr="00826E9A">
        <w:tab/>
      </w:r>
      <w:r w:rsidR="0018385E" w:rsidRPr="00826E9A">
        <w:t>Изменить раздел 3.4.11 МПОГ/ДОПОГ/ВОПОГ следующим образом (новый текст подчеркнут, исключенный текст зачеркнут):</w:t>
      </w:r>
    </w:p>
    <w:p w14:paraId="437FE08A" w14:textId="60103783" w:rsidR="0018385E" w:rsidRPr="0072167E" w:rsidRDefault="002E0377" w:rsidP="00826E9A">
      <w:pPr>
        <w:pStyle w:val="SingleTxtG"/>
        <w:spacing w:before="240"/>
        <w:ind w:left="1693"/>
      </w:pPr>
      <w:r>
        <w:t>«</w:t>
      </w:r>
      <w:r w:rsidR="0018385E">
        <w:t>3.4.11</w:t>
      </w:r>
      <w:r w:rsidR="0018385E">
        <w:tab/>
        <w:t>Использование транспортных пакетов</w:t>
      </w:r>
    </w:p>
    <w:p w14:paraId="1BD5F191" w14:textId="77777777" w:rsidR="0018385E" w:rsidRPr="0072167E" w:rsidRDefault="0018385E" w:rsidP="00826E9A">
      <w:pPr>
        <w:pStyle w:val="SingleTxtG"/>
        <w:ind w:left="1693"/>
      </w:pPr>
      <w:r>
        <w:t>В случае транспортного пакета, содержащего опасные грузы, упакованные в ограниченных количествах, применяются следующие требования:</w:t>
      </w:r>
    </w:p>
    <w:p w14:paraId="79A0FC92" w14:textId="77777777" w:rsidR="0018385E" w:rsidRPr="0072167E" w:rsidRDefault="0018385E" w:rsidP="00826E9A">
      <w:pPr>
        <w:pStyle w:val="SingleTxtG"/>
        <w:ind w:left="1693"/>
      </w:pPr>
      <w:r>
        <w:t>Если не видны маркировочные знаки, характеризующие все содержащиеся в транспортном пакете опасные грузы, на транспортный пакет:</w:t>
      </w:r>
    </w:p>
    <w:p w14:paraId="30067662" w14:textId="425C7BA2" w:rsidR="0018385E" w:rsidRPr="0072167E" w:rsidRDefault="002E0377" w:rsidP="00826E9A">
      <w:pPr>
        <w:pStyle w:val="SingleTxtG"/>
        <w:tabs>
          <w:tab w:val="clear" w:pos="1701"/>
          <w:tab w:val="clear" w:pos="2835"/>
        </w:tabs>
        <w:ind w:left="2053" w:hanging="360"/>
      </w:pPr>
      <w:r w:rsidRPr="002E0377">
        <w:t>–</w:t>
      </w:r>
      <w:r w:rsidRPr="002E0377">
        <w:tab/>
      </w:r>
      <w:r w:rsidR="0018385E">
        <w:t xml:space="preserve">должен наноситься маркировочный знак в виде слов </w:t>
      </w:r>
      <w:r w:rsidR="00364AC2">
        <w:t>«</w:t>
      </w:r>
      <w:r w:rsidR="0018385E">
        <w:t>ТРАНСПОРТНЫЙ ПАКЕТ</w:t>
      </w:r>
      <w:r w:rsidR="00364AC2">
        <w:t>»</w:t>
      </w:r>
      <w:r w:rsidR="0018385E">
        <w:t xml:space="preserve">. Высота букв на маркировочном знаке </w:t>
      </w:r>
      <w:r w:rsidR="00364AC2">
        <w:t>«</w:t>
      </w:r>
      <w:r w:rsidR="0018385E">
        <w:t>ТРАНСПОРТНЫЙ ПАКЕТ</w:t>
      </w:r>
      <w:r w:rsidR="00364AC2">
        <w:t>»</w:t>
      </w:r>
      <w:r w:rsidR="0018385E">
        <w:t xml:space="preserve"> должна составлять не менее 12 мм. Данный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w:t>
      </w:r>
      <w:r>
        <w:t>—</w:t>
      </w:r>
      <w:r w:rsidR="0018385E">
        <w:t xml:space="preserve">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 и</w:t>
      </w:r>
    </w:p>
    <w:p w14:paraId="02F8657F" w14:textId="1DE42C9A" w:rsidR="0018385E" w:rsidRPr="0072167E" w:rsidRDefault="002E0377" w:rsidP="00826E9A">
      <w:pPr>
        <w:pStyle w:val="SingleTxtG"/>
        <w:tabs>
          <w:tab w:val="clear" w:pos="1701"/>
          <w:tab w:val="clear" w:pos="2835"/>
        </w:tabs>
        <w:ind w:left="2053" w:hanging="360"/>
      </w:pPr>
      <w:r w:rsidRPr="002E0377">
        <w:t>–</w:t>
      </w:r>
      <w:r w:rsidRPr="002E0377">
        <w:tab/>
      </w:r>
      <w:r w:rsidR="0018385E">
        <w:t>должны наноситься маркировочные знаки, предписанные настоящей главой.</w:t>
      </w:r>
    </w:p>
    <w:p w14:paraId="0E5A6F17" w14:textId="558F2D0B" w:rsidR="0018385E" w:rsidRPr="0072167E" w:rsidRDefault="0018385E" w:rsidP="00826E9A">
      <w:pPr>
        <w:pStyle w:val="SingleTxtG"/>
        <w:ind w:left="1701"/>
      </w:pPr>
      <w:r>
        <w:lastRenderedPageBreak/>
        <w:t>За исключением воздушной перевозки</w:t>
      </w:r>
      <w:r w:rsidR="002E0377">
        <w:t>,</w:t>
      </w:r>
      <w:r>
        <w:t xml:space="preserve"> остальные положения подраздела 5.1.2.1 применяются только в том случае, если в транспортном пакете содержатся другие опасные грузы, не упакованные в ограниченных количествах, причем применяются только в отношении этих других опасных грузов.</w:t>
      </w:r>
    </w:p>
    <w:p w14:paraId="3E647071" w14:textId="40CC0ABA" w:rsidR="0018385E" w:rsidRPr="0072167E" w:rsidRDefault="0018385E" w:rsidP="00826E9A">
      <w:pPr>
        <w:pStyle w:val="SingleTxtG"/>
        <w:ind w:left="1701"/>
        <w:rPr>
          <w:u w:val="single"/>
        </w:rPr>
      </w:pPr>
      <w:r>
        <w:rPr>
          <w:u w:val="single"/>
        </w:rPr>
        <w:t>Только для внутренних перевозок, если перевозчик подготавливает транспортный пакет, эти требования к маркировке не применяются, если транспортный пакет содержит не более [XX] упаковок опасных грузов, упакованных в ограниченных количествах</w:t>
      </w:r>
      <w:r w:rsidRPr="002E0377">
        <w:t>.</w:t>
      </w:r>
      <w:r w:rsidR="00364AC2">
        <w:t>»</w:t>
      </w:r>
      <w:r>
        <w:t>.</w:t>
      </w:r>
    </w:p>
    <w:p w14:paraId="2E3A7A8A" w14:textId="744C7457" w:rsidR="0018385E" w:rsidRPr="00826E9A" w:rsidRDefault="002E0377" w:rsidP="00826E9A">
      <w:pPr>
        <w:pStyle w:val="SingleTxtG"/>
      </w:pPr>
      <w:r w:rsidRPr="00826E9A">
        <w:t>11.</w:t>
      </w:r>
      <w:r w:rsidRPr="00826E9A">
        <w:tab/>
      </w:r>
      <w:r w:rsidR="0018385E" w:rsidRPr="00826E9A">
        <w:t>Изменить подраздел 3.5.4.3 МПОГ/ДОПОГ/ВОПОГ следующим образом (новый текст подчеркнут):</w:t>
      </w:r>
    </w:p>
    <w:p w14:paraId="147BD1A8" w14:textId="7C896D1C" w:rsidR="0018385E" w:rsidRPr="0072167E" w:rsidRDefault="00364AC2" w:rsidP="00826E9A">
      <w:pPr>
        <w:pStyle w:val="SingleTxtG"/>
        <w:spacing w:before="240"/>
        <w:ind w:left="1693"/>
      </w:pPr>
      <w:r>
        <w:t>«</w:t>
      </w:r>
      <w:r w:rsidR="0018385E">
        <w:t>3.5.4.3 Использование транспортных пакетов</w:t>
      </w:r>
    </w:p>
    <w:p w14:paraId="6D26E57B" w14:textId="77777777" w:rsidR="0018385E" w:rsidRPr="0072167E" w:rsidRDefault="0018385E" w:rsidP="00826E9A">
      <w:pPr>
        <w:pStyle w:val="SingleTxtG"/>
        <w:ind w:left="1693"/>
      </w:pPr>
      <w:r>
        <w:t>В случае транспортного пакета, содержащего опасные грузы, упакованные в освобожденных количествах, применяются следующие требования:</w:t>
      </w:r>
    </w:p>
    <w:p w14:paraId="083E9C85" w14:textId="77777777" w:rsidR="0018385E" w:rsidRPr="0072167E" w:rsidRDefault="0018385E" w:rsidP="00826E9A">
      <w:pPr>
        <w:pStyle w:val="SingleTxtG"/>
        <w:ind w:left="1693"/>
      </w:pPr>
      <w:r>
        <w:t>Если не видны маркировочные знаки, характеризующие все содержащиеся в транспортном пакете опасные грузы, на транспортный пакет:</w:t>
      </w:r>
    </w:p>
    <w:p w14:paraId="65073F1B" w14:textId="3185B77C" w:rsidR="0018385E" w:rsidRPr="0072167E" w:rsidRDefault="002E0377" w:rsidP="00826E9A">
      <w:pPr>
        <w:pStyle w:val="SingleTxtG"/>
        <w:tabs>
          <w:tab w:val="clear" w:pos="1701"/>
          <w:tab w:val="clear" w:pos="2835"/>
        </w:tabs>
        <w:ind w:left="2053" w:hanging="360"/>
      </w:pPr>
      <w:r w:rsidRPr="002E0377">
        <w:t>–</w:t>
      </w:r>
      <w:r w:rsidRPr="002E0377">
        <w:tab/>
      </w:r>
      <w:r w:rsidR="0018385E" w:rsidRPr="002E0377">
        <w:t>должен</w:t>
      </w:r>
      <w:r w:rsidR="0018385E">
        <w:t xml:space="preserve"> наноситься маркировочный знак в виде слов </w:t>
      </w:r>
      <w:r w:rsidR="00364AC2">
        <w:t>«</w:t>
      </w:r>
      <w:r w:rsidR="0018385E">
        <w:t>ТРАНСПОРТНЫЙ ПАКЕТ</w:t>
      </w:r>
      <w:r w:rsidR="00364AC2">
        <w:t>»</w:t>
      </w:r>
      <w:r w:rsidR="0018385E">
        <w:t xml:space="preserve">. Высота букв на маркировочном знаке </w:t>
      </w:r>
      <w:r w:rsidR="00364AC2">
        <w:t>«</w:t>
      </w:r>
      <w:r w:rsidR="0018385E">
        <w:t>ТРАНСПОРТНЫЙ ПАКЕТ</w:t>
      </w:r>
      <w:r w:rsidR="00364AC2">
        <w:t>»</w:t>
      </w:r>
      <w:r w:rsidR="0018385E">
        <w:t xml:space="preserve"> должна составлять не менее 12 мм. Данный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w:t>
      </w:r>
      <w:r>
        <w:t>—</w:t>
      </w:r>
      <w:r w:rsidR="0018385E">
        <w:t xml:space="preserve">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 и</w:t>
      </w:r>
    </w:p>
    <w:p w14:paraId="620CCFC4" w14:textId="43AC33A3" w:rsidR="0018385E" w:rsidRPr="0072167E" w:rsidRDefault="002E0377" w:rsidP="00826E9A">
      <w:pPr>
        <w:pStyle w:val="SingleTxtG"/>
        <w:tabs>
          <w:tab w:val="clear" w:pos="1701"/>
          <w:tab w:val="clear" w:pos="2835"/>
        </w:tabs>
        <w:ind w:left="2053" w:hanging="360"/>
      </w:pPr>
      <w:r>
        <w:t>–</w:t>
      </w:r>
      <w:r w:rsidRPr="002E0377">
        <w:tab/>
      </w:r>
      <w:r w:rsidR="0018385E">
        <w:t>должны наноситься маркировочные знаки, предписанные настоящей главой.</w:t>
      </w:r>
    </w:p>
    <w:p w14:paraId="208B6DB1" w14:textId="77777777" w:rsidR="0018385E" w:rsidRPr="0072167E" w:rsidRDefault="0018385E" w:rsidP="00826E9A">
      <w:pPr>
        <w:pStyle w:val="SingleTxtG"/>
        <w:ind w:left="1701"/>
      </w:pPr>
      <w:r>
        <w:t>Остальные положения подраздела 5.1.2.1 применяются только в том случае, если в транспортном пакете содержатся другие опасные грузы, не упакованные в освобожденных количествах, и только в отношении этих других опасных грузов.</w:t>
      </w:r>
    </w:p>
    <w:p w14:paraId="1FFBF0D3" w14:textId="173FA45A" w:rsidR="0018385E" w:rsidRPr="0072167E" w:rsidRDefault="0018385E" w:rsidP="00826E9A">
      <w:pPr>
        <w:pStyle w:val="SingleTxtG"/>
        <w:ind w:left="1701"/>
        <w:rPr>
          <w:u w:val="single"/>
        </w:rPr>
      </w:pPr>
      <w:r>
        <w:rPr>
          <w:u w:val="single"/>
        </w:rPr>
        <w:t>Только для внутренних перевозок, если перевозчик подготавливает транспортный пакет, эти требования к маркировке не применяются, если транспортный пакет содержит не более [XX] упаковок опасных грузов, упакованных в освобожденных количествах</w:t>
      </w:r>
      <w:r>
        <w:t>.</w:t>
      </w:r>
      <w:r w:rsidR="00364AC2">
        <w:t>»</w:t>
      </w:r>
      <w:r>
        <w:t>.</w:t>
      </w:r>
    </w:p>
    <w:p w14:paraId="1F529A1C" w14:textId="77777777" w:rsidR="0018385E" w:rsidRPr="0072167E" w:rsidRDefault="0018385E" w:rsidP="00826E9A">
      <w:pPr>
        <w:pStyle w:val="SingleTxtG"/>
        <w:ind w:left="1701"/>
        <w:rPr>
          <w:b/>
          <w:bCs/>
          <w:sz w:val="28"/>
          <w:szCs w:val="28"/>
        </w:rPr>
      </w:pPr>
      <w:r>
        <w:t>Изменить специальное положение 188, пункт f), МПОГ/ДОПОГ/ВОПОГ следующим образом:</w:t>
      </w:r>
    </w:p>
    <w:p w14:paraId="3EEED447" w14:textId="13A8A418" w:rsidR="0018385E" w:rsidRPr="0072167E" w:rsidRDefault="00190518" w:rsidP="00826E9A">
      <w:pPr>
        <w:pStyle w:val="ListParagraph"/>
        <w:keepNext/>
        <w:keepLines/>
        <w:spacing w:after="120" w:line="240" w:lineRule="auto"/>
        <w:ind w:left="1699" w:right="1134"/>
        <w:contextualSpacing w:val="0"/>
        <w:jc w:val="both"/>
        <w:rPr>
          <w:lang w:val="ru-RU"/>
        </w:rPr>
      </w:pPr>
      <w:r>
        <w:rPr>
          <w:lang w:val="ru-RU"/>
        </w:rPr>
        <w:t>«</w:t>
      </w:r>
      <w:r w:rsidR="0018385E">
        <w:rPr>
          <w:lang w:val="ru-RU"/>
        </w:rPr>
        <w:t>188</w:t>
      </w:r>
    </w:p>
    <w:p w14:paraId="6B5272CB" w14:textId="77777777" w:rsidR="0018385E" w:rsidRPr="0072167E" w:rsidRDefault="0018385E" w:rsidP="00826E9A">
      <w:pPr>
        <w:pStyle w:val="ListParagraph"/>
        <w:keepNext/>
        <w:keepLines/>
        <w:spacing w:after="120" w:line="240" w:lineRule="auto"/>
        <w:ind w:left="1699" w:right="1134"/>
        <w:contextualSpacing w:val="0"/>
        <w:jc w:val="both"/>
        <w:rPr>
          <w:lang w:val="ru-RU"/>
        </w:rPr>
      </w:pPr>
      <w:r>
        <w:rPr>
          <w:lang w:val="ru-RU"/>
        </w:rPr>
        <w:t>Элементы и батареи, предъявляемые к перевозке, не подпадают под действие других положений ДОПОГ, если они отвечают следующим требованиям:</w:t>
      </w:r>
    </w:p>
    <w:p w14:paraId="550ACF21" w14:textId="272F3690" w:rsidR="0018385E" w:rsidRPr="0072167E" w:rsidRDefault="0018385E" w:rsidP="00826E9A">
      <w:pPr>
        <w:keepNext/>
        <w:keepLines/>
        <w:spacing w:after="120" w:line="240" w:lineRule="auto"/>
        <w:ind w:left="1132" w:right="1134" w:firstLine="567"/>
        <w:jc w:val="both"/>
      </w:pPr>
      <w:r>
        <w:t>a)–e) ...</w:t>
      </w:r>
    </w:p>
    <w:p w14:paraId="1AB908B8" w14:textId="77777777" w:rsidR="0018385E" w:rsidRPr="0072167E" w:rsidRDefault="0018385E" w:rsidP="00826E9A">
      <w:pPr>
        <w:spacing w:after="120" w:line="240" w:lineRule="auto"/>
        <w:ind w:left="2268" w:right="1134" w:hanging="569"/>
        <w:jc w:val="both"/>
      </w:pPr>
      <w:r>
        <w:t>f)</w:t>
      </w:r>
      <w:r>
        <w:tab/>
        <w:t>на каждой упаковке должен иметься соответствующий маркировочный знак литиевых батарей, изображенный в подразделе 5.2.1.9;</w:t>
      </w:r>
    </w:p>
    <w:p w14:paraId="47904B9E" w14:textId="77777777" w:rsidR="0018385E" w:rsidRPr="0072167E" w:rsidRDefault="0018385E" w:rsidP="00826E9A">
      <w:pPr>
        <w:pStyle w:val="ListParagraph"/>
        <w:spacing w:after="120" w:line="240" w:lineRule="auto"/>
        <w:ind w:left="2242" w:right="1134" w:firstLine="8"/>
        <w:contextualSpacing w:val="0"/>
        <w:jc w:val="both"/>
        <w:rPr>
          <w:lang w:val="ru-RU"/>
        </w:rPr>
      </w:pPr>
      <w:r>
        <w:rPr>
          <w:lang w:val="ru-RU"/>
        </w:rPr>
        <w:t>это требование не применяется к:</w:t>
      </w:r>
    </w:p>
    <w:p w14:paraId="05B1BEE6" w14:textId="70504637" w:rsidR="0018385E" w:rsidRPr="002E0377" w:rsidRDefault="002E0377" w:rsidP="00826E9A">
      <w:pPr>
        <w:spacing w:after="120" w:line="240" w:lineRule="auto"/>
        <w:ind w:left="2799" w:right="1134" w:hanging="557"/>
        <w:jc w:val="both"/>
      </w:pPr>
      <w:r w:rsidRPr="0072167E">
        <w:rPr>
          <w:rFonts w:eastAsia="Times New Roman" w:cs="Times New Roman"/>
          <w:szCs w:val="20"/>
          <w:lang w:eastAsia="fr-FR"/>
        </w:rPr>
        <w:t>i)</w:t>
      </w:r>
      <w:r w:rsidRPr="0072167E">
        <w:rPr>
          <w:rFonts w:eastAsia="Times New Roman" w:cs="Times New Roman"/>
          <w:szCs w:val="20"/>
          <w:lang w:eastAsia="fr-FR"/>
        </w:rPr>
        <w:tab/>
      </w:r>
      <w:r w:rsidR="0018385E" w:rsidRPr="002E0377">
        <w:t>упаковкам, содержащим дисковые элементы, установленные в оборудовании (включая монтажные платы); и</w:t>
      </w:r>
    </w:p>
    <w:p w14:paraId="0EF53082" w14:textId="0D627E82" w:rsidR="0018385E" w:rsidRPr="002E0377" w:rsidRDefault="002E0377" w:rsidP="00826E9A">
      <w:pPr>
        <w:spacing w:after="120" w:line="240" w:lineRule="auto"/>
        <w:ind w:left="2796" w:right="1134" w:hanging="556"/>
        <w:jc w:val="both"/>
      </w:pPr>
      <w:r w:rsidRPr="0072167E">
        <w:rPr>
          <w:rFonts w:eastAsia="Times New Roman" w:cs="Times New Roman"/>
          <w:szCs w:val="20"/>
          <w:lang w:eastAsia="fr-FR"/>
        </w:rPr>
        <w:t>ii)</w:t>
      </w:r>
      <w:r w:rsidRPr="0072167E">
        <w:rPr>
          <w:rFonts w:eastAsia="Times New Roman" w:cs="Times New Roman"/>
          <w:szCs w:val="20"/>
          <w:lang w:eastAsia="fr-FR"/>
        </w:rPr>
        <w:tab/>
      </w:r>
      <w:r w:rsidR="0018385E" w:rsidRPr="002E0377">
        <w:t>упаковкам, содержащим не более четырех элементов или двух батарей, установленных в оборудовании, если груз состоит из не более двух упаковок;</w:t>
      </w:r>
    </w:p>
    <w:p w14:paraId="6F52B27B" w14:textId="1F6D4686" w:rsidR="0018385E" w:rsidRPr="0072167E" w:rsidRDefault="0018385E" w:rsidP="00826E9A">
      <w:pPr>
        <w:pStyle w:val="ListParagraph"/>
        <w:spacing w:after="120" w:line="240" w:lineRule="auto"/>
        <w:ind w:left="1695" w:right="1134"/>
        <w:contextualSpacing w:val="0"/>
        <w:jc w:val="both"/>
        <w:rPr>
          <w:lang w:val="ru-RU"/>
        </w:rPr>
      </w:pPr>
      <w:r>
        <w:rPr>
          <w:lang w:val="ru-RU"/>
        </w:rPr>
        <w:t xml:space="preserve">Когда упаковки помещены в транспортный пакет, маркировочный знак литиевых батарей должен быть четко видимым или воспроизведен на наружной поверхности транспортного пакета. На транспортный пакет должен наноситься </w:t>
      </w:r>
      <w:r>
        <w:rPr>
          <w:lang w:val="ru-RU"/>
        </w:rPr>
        <w:lastRenderedPageBreak/>
        <w:t xml:space="preserve">маркировочный знак в виде слов </w:t>
      </w:r>
      <w:r w:rsidR="00364AC2">
        <w:rPr>
          <w:lang w:val="ru-RU"/>
        </w:rPr>
        <w:t>«</w:t>
      </w:r>
      <w:r>
        <w:rPr>
          <w:lang w:val="ru-RU"/>
        </w:rPr>
        <w:t>ТРАНСПОРТНЫЙ ПАКЕТ</w:t>
      </w:r>
      <w:r w:rsidR="00364AC2">
        <w:rPr>
          <w:lang w:val="ru-RU"/>
        </w:rPr>
        <w:t>»</w:t>
      </w:r>
      <w:r>
        <w:rPr>
          <w:lang w:val="ru-RU"/>
        </w:rPr>
        <w:t xml:space="preserve">. Высота букв на маркировочном знаке </w:t>
      </w:r>
      <w:r w:rsidR="00364AC2">
        <w:rPr>
          <w:lang w:val="ru-RU"/>
        </w:rPr>
        <w:t>«</w:t>
      </w:r>
      <w:r>
        <w:rPr>
          <w:lang w:val="ru-RU"/>
        </w:rPr>
        <w:t>ТРАНСПОРТНЫЙ ПАКЕТ</w:t>
      </w:r>
      <w:r w:rsidR="00364AC2">
        <w:rPr>
          <w:lang w:val="ru-RU"/>
        </w:rPr>
        <w:t>»</w:t>
      </w:r>
      <w:r>
        <w:rPr>
          <w:lang w:val="ru-RU"/>
        </w:rPr>
        <w:t xml:space="preserve"> должна составлять не менее 12 мм.</w:t>
      </w:r>
    </w:p>
    <w:p w14:paraId="52960EEB" w14:textId="6819DA36" w:rsidR="0018385E" w:rsidRPr="0072167E" w:rsidRDefault="0018385E" w:rsidP="00826E9A">
      <w:pPr>
        <w:pStyle w:val="SingleTxtG"/>
        <w:ind w:left="1701"/>
        <w:rPr>
          <w:u w:val="single"/>
        </w:rPr>
      </w:pPr>
      <w:r>
        <w:rPr>
          <w:u w:val="single"/>
        </w:rPr>
        <w:t>Только для внутренних перевозок, если перевозчик подготавливает транспортный пакет, эти требования к маркировке не применяются, если транспортный пакет содержит не более [XX] упаковок опасных грузов, упакованных в соответствии с настоящим специальным положением</w:t>
      </w:r>
      <w:r w:rsidRPr="00553F0F">
        <w:t>.</w:t>
      </w:r>
      <w:r w:rsidR="00364AC2">
        <w:t>»</w:t>
      </w:r>
      <w:r>
        <w:t>.</w:t>
      </w:r>
    </w:p>
    <w:p w14:paraId="61C73F7C" w14:textId="0D9148BF" w:rsidR="0018385E" w:rsidRPr="00492250" w:rsidRDefault="00AE4261" w:rsidP="00AE4261">
      <w:pPr>
        <w:pStyle w:val="HChG"/>
        <w:rPr>
          <w:szCs w:val="28"/>
        </w:rPr>
      </w:pPr>
      <w:r>
        <w:tab/>
      </w:r>
      <w:r>
        <w:tab/>
      </w:r>
      <w:r w:rsidR="0018385E">
        <w:t>Обоснование</w:t>
      </w:r>
    </w:p>
    <w:p w14:paraId="33DB6A63" w14:textId="692E8E8E" w:rsidR="0018385E" w:rsidRPr="00D8161B" w:rsidRDefault="002E0377" w:rsidP="00826E9A">
      <w:pPr>
        <w:pStyle w:val="SingleTxtG"/>
        <w:tabs>
          <w:tab w:val="clear" w:pos="2268"/>
          <w:tab w:val="clear" w:pos="2835"/>
        </w:tabs>
      </w:pPr>
      <w:r w:rsidRPr="00D8161B">
        <w:t>12.</w:t>
      </w:r>
      <w:r w:rsidRPr="00D8161B">
        <w:tab/>
      </w:r>
      <w:r w:rsidR="0018385E">
        <w:t xml:space="preserve">В рамках ДОПОГ такие мешки могут быть истолкованы как соответствующие определению </w:t>
      </w:r>
      <w:r w:rsidR="00364AC2">
        <w:t>«</w:t>
      </w:r>
      <w:r w:rsidR="0018385E">
        <w:t>транспортный пакет</w:t>
      </w:r>
      <w:r w:rsidR="00364AC2">
        <w:t>»</w:t>
      </w:r>
      <w:r w:rsidR="0018385E">
        <w:t xml:space="preserve"> (</w:t>
      </w:r>
      <w:r w:rsidR="00364AC2">
        <w:t>«</w:t>
      </w:r>
      <w:r w:rsidR="0018385E">
        <w:t>оболочка, используемая для объединения одной или нескольких упаковок</w:t>
      </w:r>
      <w:r w:rsidR="00364AC2">
        <w:t>»</w:t>
      </w:r>
      <w:r w:rsidR="0018385E">
        <w:t>). Однако на протяжении всего маршрута доставки содержимое этих мешков постоянно меняется по мере того, как водитель доставляет отдельные посылки. Поскольку эти мешки содержат как маркированные, так и немаркированные опасные грузы, водитель/доставщик в любой момент времени не будет знать, когда из мешка будет извлечен последний маркированный пакет с опасными грузами. В соответствии с требованиями, как только последняя упаковка, содержащая опасные грузы, будет извлечена из мешка, маркировка, требуемая для транспортного пакета, должна быть удалена с внешней стороны мешка, поскольку она более не применима или не уместна. Если не удалить такую маркировку, то возникнет сообщение о несуществующей опасности, и это приведет к нарушению правил. Соблюдение таких требований и удаление маркировки налагает бремя на водителя/доставщика, основной обязанностью которого является безопасная перевозка и доставка посылок. По мнению COSTHA внесение изменений в предложенные правила поможет облегчить такое бремя без увеличения неоправданных рисков.</w:t>
      </w:r>
    </w:p>
    <w:p w14:paraId="1C17A009" w14:textId="54EFCED4" w:rsidR="00E12C5F" w:rsidRPr="008D53B6" w:rsidRDefault="0018385E" w:rsidP="0018385E">
      <w:pPr>
        <w:spacing w:before="240"/>
        <w:jc w:val="center"/>
      </w:pPr>
      <w:r w:rsidRPr="00D8161B">
        <w:rPr>
          <w:u w:val="single"/>
        </w:rPr>
        <w:tab/>
      </w:r>
      <w:r w:rsidRPr="00D8161B">
        <w:rPr>
          <w:u w:val="single"/>
        </w:rPr>
        <w:tab/>
      </w:r>
      <w:r w:rsidRPr="00D8161B">
        <w:rPr>
          <w:u w:val="single"/>
        </w:rPr>
        <w:tab/>
      </w:r>
    </w:p>
    <w:sectPr w:rsidR="00E12C5F" w:rsidRPr="008D53B6" w:rsidSect="0018385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FB7B" w14:textId="77777777" w:rsidR="00B94A69" w:rsidRPr="00A312BC" w:rsidRDefault="00B94A69" w:rsidP="00A312BC"/>
  </w:endnote>
  <w:endnote w:type="continuationSeparator" w:id="0">
    <w:p w14:paraId="721E6B08" w14:textId="77777777" w:rsidR="00B94A69" w:rsidRPr="00A312BC" w:rsidRDefault="00B94A6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502" w14:textId="19EB3EC8" w:rsidR="0018385E" w:rsidRPr="0018385E" w:rsidRDefault="0018385E">
    <w:pPr>
      <w:pStyle w:val="Footer"/>
    </w:pPr>
    <w:r w:rsidRPr="0018385E">
      <w:rPr>
        <w:b/>
        <w:sz w:val="18"/>
      </w:rPr>
      <w:fldChar w:fldCharType="begin"/>
    </w:r>
    <w:r w:rsidRPr="0018385E">
      <w:rPr>
        <w:b/>
        <w:sz w:val="18"/>
      </w:rPr>
      <w:instrText xml:space="preserve"> PAGE  \* MERGEFORMAT </w:instrText>
    </w:r>
    <w:r w:rsidRPr="0018385E">
      <w:rPr>
        <w:b/>
        <w:sz w:val="18"/>
      </w:rPr>
      <w:fldChar w:fldCharType="separate"/>
    </w:r>
    <w:r w:rsidRPr="0018385E">
      <w:rPr>
        <w:b/>
        <w:noProof/>
        <w:sz w:val="18"/>
      </w:rPr>
      <w:t>2</w:t>
    </w:r>
    <w:r w:rsidRPr="0018385E">
      <w:rPr>
        <w:b/>
        <w:sz w:val="18"/>
      </w:rPr>
      <w:fldChar w:fldCharType="end"/>
    </w:r>
    <w:r>
      <w:rPr>
        <w:b/>
        <w:sz w:val="18"/>
      </w:rPr>
      <w:tab/>
    </w:r>
    <w:r>
      <w:t>GE.22-09708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20FD" w14:textId="744FB084" w:rsidR="0018385E" w:rsidRPr="0018385E" w:rsidRDefault="0018385E" w:rsidP="0018385E">
    <w:pPr>
      <w:pStyle w:val="Footer"/>
      <w:tabs>
        <w:tab w:val="clear" w:pos="9639"/>
        <w:tab w:val="right" w:pos="9638"/>
      </w:tabs>
      <w:rPr>
        <w:b/>
        <w:sz w:val="18"/>
      </w:rPr>
    </w:pPr>
    <w:r>
      <w:t>GE.22-09708</w:t>
    </w:r>
    <w:r>
      <w:tab/>
    </w:r>
    <w:r w:rsidRPr="0018385E">
      <w:rPr>
        <w:b/>
        <w:sz w:val="18"/>
      </w:rPr>
      <w:fldChar w:fldCharType="begin"/>
    </w:r>
    <w:r w:rsidRPr="0018385E">
      <w:rPr>
        <w:b/>
        <w:sz w:val="18"/>
      </w:rPr>
      <w:instrText xml:space="preserve"> PAGE  \* MERGEFORMAT </w:instrText>
    </w:r>
    <w:r w:rsidRPr="0018385E">
      <w:rPr>
        <w:b/>
        <w:sz w:val="18"/>
      </w:rPr>
      <w:fldChar w:fldCharType="separate"/>
    </w:r>
    <w:r w:rsidRPr="0018385E">
      <w:rPr>
        <w:b/>
        <w:noProof/>
        <w:sz w:val="18"/>
      </w:rPr>
      <w:t>3</w:t>
    </w:r>
    <w:r w:rsidRPr="001838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D674" w14:textId="6977BF76" w:rsidR="00042B72" w:rsidRPr="0018385E" w:rsidRDefault="0018385E" w:rsidP="0018385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38E257C" wp14:editId="740C909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22-09708  (R)</w:t>
    </w:r>
    <w:r>
      <w:rPr>
        <w:noProof/>
      </w:rPr>
      <w:drawing>
        <wp:anchor distT="0" distB="0" distL="114300" distR="114300" simplePos="0" relativeHeight="251659264" behindDoc="0" locked="0" layoutInCell="1" allowOverlap="1" wp14:anchorId="2F30395D" wp14:editId="15B4A87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230622  2</w:t>
    </w:r>
    <w:r w:rsidR="00385293">
      <w:rPr>
        <w:lang w:val="en-US"/>
      </w:rPr>
      <w:t>7</w:t>
    </w:r>
    <w:r>
      <w:rPr>
        <w:lang w:val="en-US"/>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C5B8" w14:textId="77777777" w:rsidR="00B94A69" w:rsidRPr="001075E9" w:rsidRDefault="00B94A69" w:rsidP="001075E9">
      <w:pPr>
        <w:tabs>
          <w:tab w:val="right" w:pos="2155"/>
        </w:tabs>
        <w:spacing w:after="80" w:line="240" w:lineRule="auto"/>
        <w:ind w:left="680"/>
        <w:rPr>
          <w:u w:val="single"/>
        </w:rPr>
      </w:pPr>
      <w:r>
        <w:rPr>
          <w:u w:val="single"/>
        </w:rPr>
        <w:tab/>
      </w:r>
    </w:p>
  </w:footnote>
  <w:footnote w:type="continuationSeparator" w:id="0">
    <w:p w14:paraId="3564E7D5" w14:textId="77777777" w:rsidR="00B94A69" w:rsidRDefault="00B94A69" w:rsidP="00407B78">
      <w:pPr>
        <w:tabs>
          <w:tab w:val="right" w:pos="2155"/>
        </w:tabs>
        <w:spacing w:after="80"/>
        <w:ind w:left="680"/>
        <w:rPr>
          <w:u w:val="single"/>
        </w:rPr>
      </w:pPr>
      <w:r>
        <w:rPr>
          <w:u w:val="single"/>
        </w:rPr>
        <w:tab/>
      </w:r>
    </w:p>
  </w:footnote>
  <w:footnote w:id="1">
    <w:p w14:paraId="70D9E10A" w14:textId="4C3031FE" w:rsidR="00EC5076" w:rsidRPr="00385293" w:rsidRDefault="00EC5076">
      <w:pPr>
        <w:pStyle w:val="FootnoteText"/>
        <w:rPr>
          <w:sz w:val="20"/>
        </w:rPr>
      </w:pPr>
      <w:r>
        <w:tab/>
      </w:r>
      <w:r w:rsidRPr="00EC5076">
        <w:rPr>
          <w:rStyle w:val="FootnoteReference"/>
          <w:sz w:val="20"/>
          <w:vertAlign w:val="baseline"/>
        </w:rPr>
        <w:t>*</w:t>
      </w:r>
      <w:r w:rsidRPr="00EC5076">
        <w:rPr>
          <w:rStyle w:val="FootnoteReference"/>
          <w:vertAlign w:val="baseline"/>
        </w:rPr>
        <w:tab/>
      </w:r>
      <w:r>
        <w:t>A/76/6 (разд. 20), п. 20.76.</w:t>
      </w:r>
    </w:p>
  </w:footnote>
  <w:footnote w:id="2">
    <w:p w14:paraId="2A3825F1" w14:textId="24D80025" w:rsidR="00EC5076" w:rsidRPr="00EC5076" w:rsidRDefault="00EC5076">
      <w:pPr>
        <w:pStyle w:val="FootnoteText"/>
        <w:rPr>
          <w:sz w:val="20"/>
        </w:rPr>
      </w:pPr>
      <w:r>
        <w:tab/>
      </w:r>
      <w:r w:rsidRPr="00EC5076">
        <w:rPr>
          <w:rStyle w:val="FootnoteReference"/>
          <w:sz w:val="20"/>
          <w:vertAlign w:val="baseline"/>
        </w:rPr>
        <w:t>**</w:t>
      </w:r>
      <w:r w:rsidRPr="00EC5076">
        <w:rPr>
          <w:rStyle w:val="FootnoteReference"/>
          <w:vertAlign w:val="baseline"/>
        </w:rPr>
        <w:tab/>
      </w:r>
      <w:r>
        <w:t>Распространено Межправительственной организацией по международным железнодорожным перевозкам (ОТИФ) под условным обозначением OTIF/RID/RC/2022/28.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FF3F" w14:textId="7D624B63" w:rsidR="0018385E" w:rsidRPr="0018385E" w:rsidRDefault="009D1B08">
    <w:pPr>
      <w:pStyle w:val="Header"/>
    </w:pPr>
    <w:fldSimple w:instr=" TITLE  \* MERGEFORMAT ">
      <w:r>
        <w:t>ECE/TRANS/WP.15/AC.1/2022/28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B7C6" w14:textId="0B246AF7" w:rsidR="0018385E" w:rsidRPr="0018385E" w:rsidRDefault="009D1B08" w:rsidP="0018385E">
    <w:pPr>
      <w:pStyle w:val="Header"/>
      <w:jc w:val="right"/>
    </w:pPr>
    <w:fldSimple w:instr=" TITLE  \* MERGEFORMAT ">
      <w:r>
        <w:t>ECE/TRANS/WP.15/AC.1/2022/28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C7C8" w14:textId="77777777" w:rsidR="0018385E" w:rsidRDefault="0018385E" w:rsidP="0018385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19A569D"/>
    <w:multiLevelType w:val="hybridMultilevel"/>
    <w:tmpl w:val="B3EE382A"/>
    <w:lvl w:ilvl="0" w:tplc="FDBEFC60">
      <w:start w:val="9"/>
      <w:numFmt w:val="bullet"/>
      <w:lvlText w:val="-"/>
      <w:lvlJc w:val="left"/>
      <w:pPr>
        <w:ind w:left="2053" w:hanging="360"/>
      </w:pPr>
      <w:rPr>
        <w:rFonts w:ascii="Times New Roman" w:eastAsia="Times New Roman" w:hAnsi="Times New Roman" w:cs="Times New Roman" w:hint="default"/>
      </w:rPr>
    </w:lvl>
    <w:lvl w:ilvl="1" w:tplc="10090003" w:tentative="1">
      <w:start w:val="1"/>
      <w:numFmt w:val="bullet"/>
      <w:lvlText w:val="o"/>
      <w:lvlJc w:val="left"/>
      <w:pPr>
        <w:ind w:left="2773" w:hanging="360"/>
      </w:pPr>
      <w:rPr>
        <w:rFonts w:ascii="Courier New" w:hAnsi="Courier New" w:cs="Courier New" w:hint="default"/>
      </w:rPr>
    </w:lvl>
    <w:lvl w:ilvl="2" w:tplc="10090005" w:tentative="1">
      <w:start w:val="1"/>
      <w:numFmt w:val="bullet"/>
      <w:lvlText w:val=""/>
      <w:lvlJc w:val="left"/>
      <w:pPr>
        <w:ind w:left="3493" w:hanging="360"/>
      </w:pPr>
      <w:rPr>
        <w:rFonts w:ascii="Wingdings" w:hAnsi="Wingdings" w:hint="default"/>
      </w:rPr>
    </w:lvl>
    <w:lvl w:ilvl="3" w:tplc="10090001" w:tentative="1">
      <w:start w:val="1"/>
      <w:numFmt w:val="bullet"/>
      <w:lvlText w:val=""/>
      <w:lvlJc w:val="left"/>
      <w:pPr>
        <w:ind w:left="4213" w:hanging="360"/>
      </w:pPr>
      <w:rPr>
        <w:rFonts w:ascii="Symbol" w:hAnsi="Symbol" w:hint="default"/>
      </w:rPr>
    </w:lvl>
    <w:lvl w:ilvl="4" w:tplc="10090003" w:tentative="1">
      <w:start w:val="1"/>
      <w:numFmt w:val="bullet"/>
      <w:lvlText w:val="o"/>
      <w:lvlJc w:val="left"/>
      <w:pPr>
        <w:ind w:left="4933" w:hanging="360"/>
      </w:pPr>
      <w:rPr>
        <w:rFonts w:ascii="Courier New" w:hAnsi="Courier New" w:cs="Courier New" w:hint="default"/>
      </w:rPr>
    </w:lvl>
    <w:lvl w:ilvl="5" w:tplc="10090005" w:tentative="1">
      <w:start w:val="1"/>
      <w:numFmt w:val="bullet"/>
      <w:lvlText w:val=""/>
      <w:lvlJc w:val="left"/>
      <w:pPr>
        <w:ind w:left="5653" w:hanging="360"/>
      </w:pPr>
      <w:rPr>
        <w:rFonts w:ascii="Wingdings" w:hAnsi="Wingdings" w:hint="default"/>
      </w:rPr>
    </w:lvl>
    <w:lvl w:ilvl="6" w:tplc="10090001" w:tentative="1">
      <w:start w:val="1"/>
      <w:numFmt w:val="bullet"/>
      <w:lvlText w:val=""/>
      <w:lvlJc w:val="left"/>
      <w:pPr>
        <w:ind w:left="6373" w:hanging="360"/>
      </w:pPr>
      <w:rPr>
        <w:rFonts w:ascii="Symbol" w:hAnsi="Symbol" w:hint="default"/>
      </w:rPr>
    </w:lvl>
    <w:lvl w:ilvl="7" w:tplc="10090003" w:tentative="1">
      <w:start w:val="1"/>
      <w:numFmt w:val="bullet"/>
      <w:lvlText w:val="o"/>
      <w:lvlJc w:val="left"/>
      <w:pPr>
        <w:ind w:left="7093" w:hanging="360"/>
      </w:pPr>
      <w:rPr>
        <w:rFonts w:ascii="Courier New" w:hAnsi="Courier New" w:cs="Courier New" w:hint="default"/>
      </w:rPr>
    </w:lvl>
    <w:lvl w:ilvl="8" w:tplc="10090005" w:tentative="1">
      <w:start w:val="1"/>
      <w:numFmt w:val="bullet"/>
      <w:lvlText w:val=""/>
      <w:lvlJc w:val="left"/>
      <w:pPr>
        <w:ind w:left="7813"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61005A3"/>
    <w:multiLevelType w:val="hybridMultilevel"/>
    <w:tmpl w:val="B5168ADA"/>
    <w:lvl w:ilvl="0" w:tplc="632CF05A">
      <w:start w:val="1"/>
      <w:numFmt w:val="decimal"/>
      <w:lvlText w:val="%1."/>
      <w:lvlJc w:val="left"/>
      <w:pPr>
        <w:ind w:left="1693" w:hanging="555"/>
      </w:pPr>
      <w:rPr>
        <w:rFonts w:hint="default"/>
        <w:b w:val="0"/>
        <w:bCs w:val="0"/>
        <w:i w:val="0"/>
        <w:iCs w:val="0"/>
        <w:sz w:val="20"/>
        <w:szCs w:val="20"/>
      </w:rPr>
    </w:lvl>
    <w:lvl w:ilvl="1" w:tplc="10090019">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abstractNum w:abstractNumId="20" w15:restartNumberingAfterBreak="0">
    <w:nsid w:val="7C5B02A1"/>
    <w:multiLevelType w:val="hybridMultilevel"/>
    <w:tmpl w:val="172A172E"/>
    <w:lvl w:ilvl="0" w:tplc="017A0C7A">
      <w:start w:val="1"/>
      <w:numFmt w:val="lowerRoman"/>
      <w:lvlText w:val="%1)"/>
      <w:lvlJc w:val="left"/>
      <w:pPr>
        <w:ind w:left="2413" w:hanging="720"/>
      </w:pPr>
      <w:rPr>
        <w:rFonts w:hint="default"/>
      </w:rPr>
    </w:lvl>
    <w:lvl w:ilvl="1" w:tplc="10090019" w:tentative="1">
      <w:start w:val="1"/>
      <w:numFmt w:val="lowerLetter"/>
      <w:lvlText w:val="%2."/>
      <w:lvlJc w:val="left"/>
      <w:pPr>
        <w:ind w:left="2773" w:hanging="360"/>
      </w:pPr>
    </w:lvl>
    <w:lvl w:ilvl="2" w:tplc="1009001B" w:tentative="1">
      <w:start w:val="1"/>
      <w:numFmt w:val="lowerRoman"/>
      <w:lvlText w:val="%3."/>
      <w:lvlJc w:val="right"/>
      <w:pPr>
        <w:ind w:left="3493" w:hanging="180"/>
      </w:pPr>
    </w:lvl>
    <w:lvl w:ilvl="3" w:tplc="1009000F" w:tentative="1">
      <w:start w:val="1"/>
      <w:numFmt w:val="decimal"/>
      <w:lvlText w:val="%4."/>
      <w:lvlJc w:val="left"/>
      <w:pPr>
        <w:ind w:left="4213" w:hanging="360"/>
      </w:pPr>
    </w:lvl>
    <w:lvl w:ilvl="4" w:tplc="10090019" w:tentative="1">
      <w:start w:val="1"/>
      <w:numFmt w:val="lowerLetter"/>
      <w:lvlText w:val="%5."/>
      <w:lvlJc w:val="left"/>
      <w:pPr>
        <w:ind w:left="4933" w:hanging="360"/>
      </w:pPr>
    </w:lvl>
    <w:lvl w:ilvl="5" w:tplc="1009001B" w:tentative="1">
      <w:start w:val="1"/>
      <w:numFmt w:val="lowerRoman"/>
      <w:lvlText w:val="%6."/>
      <w:lvlJc w:val="right"/>
      <w:pPr>
        <w:ind w:left="5653" w:hanging="180"/>
      </w:pPr>
    </w:lvl>
    <w:lvl w:ilvl="6" w:tplc="1009000F" w:tentative="1">
      <w:start w:val="1"/>
      <w:numFmt w:val="decimal"/>
      <w:lvlText w:val="%7."/>
      <w:lvlJc w:val="left"/>
      <w:pPr>
        <w:ind w:left="6373" w:hanging="360"/>
      </w:pPr>
    </w:lvl>
    <w:lvl w:ilvl="7" w:tplc="10090019" w:tentative="1">
      <w:start w:val="1"/>
      <w:numFmt w:val="lowerLetter"/>
      <w:lvlText w:val="%8."/>
      <w:lvlJc w:val="left"/>
      <w:pPr>
        <w:ind w:left="7093" w:hanging="360"/>
      </w:pPr>
    </w:lvl>
    <w:lvl w:ilvl="8" w:tplc="1009001B" w:tentative="1">
      <w:start w:val="1"/>
      <w:numFmt w:val="lowerRoman"/>
      <w:lvlText w:val="%9."/>
      <w:lvlJc w:val="right"/>
      <w:pPr>
        <w:ind w:left="7813" w:hanging="18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9"/>
  </w:num>
  <w:num w:numId="23">
    <w:abstractNumId w:val="11"/>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69"/>
    <w:rsid w:val="00033EE1"/>
    <w:rsid w:val="00042B72"/>
    <w:rsid w:val="000558BD"/>
    <w:rsid w:val="000B57E7"/>
    <w:rsid w:val="000B6373"/>
    <w:rsid w:val="000E190E"/>
    <w:rsid w:val="000E4E5B"/>
    <w:rsid w:val="000E7241"/>
    <w:rsid w:val="000F09DF"/>
    <w:rsid w:val="000F61B2"/>
    <w:rsid w:val="001075E9"/>
    <w:rsid w:val="0014152F"/>
    <w:rsid w:val="00180183"/>
    <w:rsid w:val="0018024D"/>
    <w:rsid w:val="0018385E"/>
    <w:rsid w:val="0018649F"/>
    <w:rsid w:val="00190518"/>
    <w:rsid w:val="00196389"/>
    <w:rsid w:val="001B3EF6"/>
    <w:rsid w:val="001C7A89"/>
    <w:rsid w:val="00255343"/>
    <w:rsid w:val="0027151D"/>
    <w:rsid w:val="002A2EFC"/>
    <w:rsid w:val="002B0106"/>
    <w:rsid w:val="002B74B1"/>
    <w:rsid w:val="002C0E18"/>
    <w:rsid w:val="002D5AAC"/>
    <w:rsid w:val="002E0377"/>
    <w:rsid w:val="002E5067"/>
    <w:rsid w:val="002F405F"/>
    <w:rsid w:val="002F7EEC"/>
    <w:rsid w:val="00301299"/>
    <w:rsid w:val="00305C08"/>
    <w:rsid w:val="00307FB6"/>
    <w:rsid w:val="00317339"/>
    <w:rsid w:val="00322004"/>
    <w:rsid w:val="003402C2"/>
    <w:rsid w:val="00364AC2"/>
    <w:rsid w:val="00381C24"/>
    <w:rsid w:val="00385293"/>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53F0F"/>
    <w:rsid w:val="005639C1"/>
    <w:rsid w:val="005709E0"/>
    <w:rsid w:val="00572E19"/>
    <w:rsid w:val="005961C8"/>
    <w:rsid w:val="005966F1"/>
    <w:rsid w:val="005D7914"/>
    <w:rsid w:val="005E2B41"/>
    <w:rsid w:val="005F0B42"/>
    <w:rsid w:val="00617A43"/>
    <w:rsid w:val="006345DB"/>
    <w:rsid w:val="00640F49"/>
    <w:rsid w:val="00680D03"/>
    <w:rsid w:val="00681A10"/>
    <w:rsid w:val="006A1000"/>
    <w:rsid w:val="006A1ED8"/>
    <w:rsid w:val="006C2031"/>
    <w:rsid w:val="006D461A"/>
    <w:rsid w:val="006F35EE"/>
    <w:rsid w:val="007021FF"/>
    <w:rsid w:val="00712895"/>
    <w:rsid w:val="00734ACB"/>
    <w:rsid w:val="00757357"/>
    <w:rsid w:val="00792497"/>
    <w:rsid w:val="00806737"/>
    <w:rsid w:val="00825F8D"/>
    <w:rsid w:val="00826E9A"/>
    <w:rsid w:val="00834B71"/>
    <w:rsid w:val="00851A2F"/>
    <w:rsid w:val="0086445C"/>
    <w:rsid w:val="00894693"/>
    <w:rsid w:val="008A08D7"/>
    <w:rsid w:val="008A37C8"/>
    <w:rsid w:val="008B6909"/>
    <w:rsid w:val="008D53B6"/>
    <w:rsid w:val="008F7609"/>
    <w:rsid w:val="00906890"/>
    <w:rsid w:val="00911BE4"/>
    <w:rsid w:val="009329F7"/>
    <w:rsid w:val="00951972"/>
    <w:rsid w:val="009608F3"/>
    <w:rsid w:val="009A24AC"/>
    <w:rsid w:val="009C59D7"/>
    <w:rsid w:val="009C6FE6"/>
    <w:rsid w:val="009D1B08"/>
    <w:rsid w:val="009D7E7D"/>
    <w:rsid w:val="00A14DA8"/>
    <w:rsid w:val="00A312BC"/>
    <w:rsid w:val="00A84021"/>
    <w:rsid w:val="00A84D35"/>
    <w:rsid w:val="00A917B3"/>
    <w:rsid w:val="00AB4B51"/>
    <w:rsid w:val="00AE3EAC"/>
    <w:rsid w:val="00AE4261"/>
    <w:rsid w:val="00B10CC7"/>
    <w:rsid w:val="00B36DF7"/>
    <w:rsid w:val="00B539E7"/>
    <w:rsid w:val="00B62458"/>
    <w:rsid w:val="00B94A69"/>
    <w:rsid w:val="00BC18B2"/>
    <w:rsid w:val="00BD33EE"/>
    <w:rsid w:val="00BE1CC7"/>
    <w:rsid w:val="00C02019"/>
    <w:rsid w:val="00C106D6"/>
    <w:rsid w:val="00C119AE"/>
    <w:rsid w:val="00C41B89"/>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03B3"/>
    <w:rsid w:val="00E12C5F"/>
    <w:rsid w:val="00E73F76"/>
    <w:rsid w:val="00EA2C9F"/>
    <w:rsid w:val="00EA420E"/>
    <w:rsid w:val="00EC5076"/>
    <w:rsid w:val="00ED0BDA"/>
    <w:rsid w:val="00EE142A"/>
    <w:rsid w:val="00EF1360"/>
    <w:rsid w:val="00EF3220"/>
    <w:rsid w:val="00F2523A"/>
    <w:rsid w:val="00F314AF"/>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FC936"/>
  <w15:docId w15:val="{0C6E7AE8-613B-4674-8677-5905FB4E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18385E"/>
    <w:rPr>
      <w:lang w:val="ru-RU" w:eastAsia="en-US"/>
    </w:rPr>
  </w:style>
  <w:style w:type="paragraph" w:styleId="ListParagraph">
    <w:name w:val="List Paragraph"/>
    <w:basedOn w:val="Normal"/>
    <w:uiPriority w:val="34"/>
    <w:qFormat/>
    <w:rsid w:val="0018385E"/>
    <w:pPr>
      <w:ind w:left="720"/>
      <w:contextualSpacing/>
    </w:pPr>
    <w:rPr>
      <w:rFonts w:eastAsia="Times New Roman" w:cs="Times New Roman"/>
      <w:szCs w:val="20"/>
      <w:lang w:val="en-GB" w:eastAsia="fr-FR"/>
    </w:rPr>
  </w:style>
  <w:style w:type="paragraph" w:customStyle="1" w:styleId="Default">
    <w:name w:val="Default"/>
    <w:rsid w:val="0018385E"/>
    <w:pPr>
      <w:autoSpaceDE w:val="0"/>
      <w:autoSpaceDN w:val="0"/>
      <w:adjustRightInd w:val="0"/>
    </w:pPr>
    <w:rPr>
      <w:color w:val="000000"/>
      <w:sz w:val="24"/>
      <w:szCs w:val="24"/>
      <w:lang w:val="en-CA" w:eastAsia="fr-FR"/>
    </w:rPr>
  </w:style>
  <w:style w:type="character" w:customStyle="1" w:styleId="HChGChar">
    <w:name w:val="_ H _Ch_G Char"/>
    <w:link w:val="HChG"/>
    <w:qFormat/>
    <w:rsid w:val="0018385E"/>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619F409-B9AA-4075-B1F8-ECB28ABBD1D2}"/>
</file>

<file path=customXml/itemProps2.xml><?xml version="1.0" encoding="utf-8"?>
<ds:datastoreItem xmlns:ds="http://schemas.openxmlformats.org/officeDocument/2006/customXml" ds:itemID="{489090AC-CD4E-40F6-B502-5F87D76F4D62}"/>
</file>

<file path=customXml/itemProps3.xml><?xml version="1.0" encoding="utf-8"?>
<ds:datastoreItem xmlns:ds="http://schemas.openxmlformats.org/officeDocument/2006/customXml" ds:itemID="{36B10C30-703C-4C07-AA92-B2F8244BADC5}"/>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10451</Characters>
  <Application>Microsoft Office Word</Application>
  <DocSecurity>0</DocSecurity>
  <Lines>87</Lines>
  <Paragraphs>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ECE/TRANS/WP.15/AC.1/2022/28</vt:lpstr>
      <vt:lpstr>A/</vt:lpstr>
      <vt:lpstr>A/</vt:lpstr>
    </vt:vector>
  </TitlesOfParts>
  <Company>DCM</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ECE/TRANS/WP.15/AC.1/2022/28</dc:title>
  <dc:subject/>
  <dc:creator>Olga OVTCHINNIKOVA</dc:creator>
  <cp:keywords/>
  <cp:lastModifiedBy>Christine Barrio-Champeau</cp:lastModifiedBy>
  <cp:revision>2</cp:revision>
  <cp:lastPrinted>2022-06-27T12:28:00Z</cp:lastPrinted>
  <dcterms:created xsi:type="dcterms:W3CDTF">2022-07-25T11:36:00Z</dcterms:created>
  <dcterms:modified xsi:type="dcterms:W3CDTF">2022-07-25T11:36:00Z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