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0E0803" w14:textId="77777777" w:rsidTr="00C97039">
        <w:trPr>
          <w:trHeight w:hRule="exact" w:val="851"/>
        </w:trPr>
        <w:tc>
          <w:tcPr>
            <w:tcW w:w="1276" w:type="dxa"/>
            <w:tcBorders>
              <w:bottom w:val="single" w:sz="4" w:space="0" w:color="auto"/>
            </w:tcBorders>
          </w:tcPr>
          <w:p w14:paraId="4E877852" w14:textId="77777777" w:rsidR="00F35BAF" w:rsidRPr="00DB58B5" w:rsidRDefault="00F35BAF" w:rsidP="00C97039"/>
        </w:tc>
        <w:tc>
          <w:tcPr>
            <w:tcW w:w="2268" w:type="dxa"/>
            <w:tcBorders>
              <w:bottom w:val="single" w:sz="4" w:space="0" w:color="auto"/>
            </w:tcBorders>
            <w:vAlign w:val="bottom"/>
          </w:tcPr>
          <w:p w14:paraId="3E1FD10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A3FC2C" w14:textId="06F62CBB" w:rsidR="00F35BAF" w:rsidRPr="00DB58B5" w:rsidRDefault="00291F6B" w:rsidP="00291F6B">
            <w:pPr>
              <w:jc w:val="right"/>
            </w:pPr>
            <w:r w:rsidRPr="00291F6B">
              <w:rPr>
                <w:sz w:val="40"/>
              </w:rPr>
              <w:t>ECE</w:t>
            </w:r>
            <w:r>
              <w:t>/TRANS/WP.15/AC.1/2022/28</w:t>
            </w:r>
          </w:p>
        </w:tc>
      </w:tr>
      <w:tr w:rsidR="00F35BAF" w:rsidRPr="00DB58B5" w14:paraId="4D32D724" w14:textId="77777777" w:rsidTr="00C97039">
        <w:trPr>
          <w:trHeight w:hRule="exact" w:val="2835"/>
        </w:trPr>
        <w:tc>
          <w:tcPr>
            <w:tcW w:w="1276" w:type="dxa"/>
            <w:tcBorders>
              <w:top w:val="single" w:sz="4" w:space="0" w:color="auto"/>
              <w:bottom w:val="single" w:sz="12" w:space="0" w:color="auto"/>
            </w:tcBorders>
          </w:tcPr>
          <w:p w14:paraId="385647BD" w14:textId="77777777" w:rsidR="00F35BAF" w:rsidRPr="00DB58B5" w:rsidRDefault="00F35BAF" w:rsidP="00C97039">
            <w:pPr>
              <w:spacing w:before="120"/>
              <w:jc w:val="center"/>
            </w:pPr>
            <w:r>
              <w:rPr>
                <w:noProof/>
                <w:lang w:eastAsia="fr-CH"/>
              </w:rPr>
              <w:drawing>
                <wp:inline distT="0" distB="0" distL="0" distR="0" wp14:anchorId="4402D2D5" wp14:editId="3B5F04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0ADF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D8ED2B9" w14:textId="77777777" w:rsidR="00F35BAF" w:rsidRDefault="00291F6B" w:rsidP="00C97039">
            <w:pPr>
              <w:spacing w:before="240"/>
            </w:pPr>
            <w:r>
              <w:t>Distr. générale</w:t>
            </w:r>
          </w:p>
          <w:p w14:paraId="7A14A88D" w14:textId="3225CF1A" w:rsidR="00291F6B" w:rsidRDefault="00291F6B" w:rsidP="00291F6B">
            <w:pPr>
              <w:spacing w:line="240" w:lineRule="exact"/>
            </w:pPr>
            <w:r>
              <w:t>21 juin 2022</w:t>
            </w:r>
          </w:p>
          <w:p w14:paraId="5A204E28" w14:textId="77777777" w:rsidR="00291F6B" w:rsidRDefault="00291F6B" w:rsidP="00291F6B">
            <w:pPr>
              <w:spacing w:line="240" w:lineRule="exact"/>
            </w:pPr>
            <w:r>
              <w:t>Français</w:t>
            </w:r>
          </w:p>
          <w:p w14:paraId="7933A44B" w14:textId="239FD382" w:rsidR="00291F6B" w:rsidRPr="00DB58B5" w:rsidRDefault="00291F6B" w:rsidP="00291F6B">
            <w:pPr>
              <w:spacing w:line="240" w:lineRule="exact"/>
            </w:pPr>
            <w:r>
              <w:t>Original : anglais</w:t>
            </w:r>
          </w:p>
        </w:tc>
      </w:tr>
    </w:tbl>
    <w:p w14:paraId="327470B2" w14:textId="77777777" w:rsidR="007F20FA" w:rsidRPr="000312C0" w:rsidRDefault="007F20FA" w:rsidP="007F20FA">
      <w:pPr>
        <w:spacing w:before="120"/>
        <w:rPr>
          <w:b/>
          <w:sz w:val="28"/>
          <w:szCs w:val="28"/>
        </w:rPr>
      </w:pPr>
      <w:r w:rsidRPr="000312C0">
        <w:rPr>
          <w:b/>
          <w:sz w:val="28"/>
          <w:szCs w:val="28"/>
        </w:rPr>
        <w:t>Commission économique pour l’Europe</w:t>
      </w:r>
    </w:p>
    <w:p w14:paraId="381436BB" w14:textId="77777777" w:rsidR="007F20FA" w:rsidRDefault="007F20FA" w:rsidP="007F20FA">
      <w:pPr>
        <w:spacing w:before="120"/>
        <w:rPr>
          <w:sz w:val="28"/>
          <w:szCs w:val="28"/>
        </w:rPr>
      </w:pPr>
      <w:r w:rsidRPr="00685843">
        <w:rPr>
          <w:sz w:val="28"/>
          <w:szCs w:val="28"/>
        </w:rPr>
        <w:t>Comité des transports intérieurs</w:t>
      </w:r>
    </w:p>
    <w:p w14:paraId="793B5A9C" w14:textId="77777777" w:rsidR="00291F6B" w:rsidRDefault="00291F6B" w:rsidP="00291F6B">
      <w:pPr>
        <w:spacing w:before="120"/>
        <w:rPr>
          <w:b/>
          <w:sz w:val="24"/>
          <w:szCs w:val="24"/>
        </w:rPr>
      </w:pPr>
      <w:r w:rsidRPr="009E01B8">
        <w:rPr>
          <w:b/>
          <w:sz w:val="24"/>
          <w:szCs w:val="24"/>
        </w:rPr>
        <w:t>Groupe de travail des transports de marchandises dangereuses</w:t>
      </w:r>
    </w:p>
    <w:p w14:paraId="7510059C" w14:textId="77777777" w:rsidR="00291F6B" w:rsidRPr="003C08BB" w:rsidRDefault="00291F6B" w:rsidP="00291F6B">
      <w:pPr>
        <w:spacing w:before="120"/>
        <w:rPr>
          <w:b/>
          <w:bCs/>
          <w:sz w:val="24"/>
          <w:szCs w:val="24"/>
        </w:rPr>
      </w:pPr>
      <w:r w:rsidRPr="003C08BB">
        <w:rPr>
          <w:b/>
          <w:bCs/>
          <w:lang w:val="fr-FR"/>
        </w:rPr>
        <w:t xml:space="preserve">Réunion commune de la Commission d’experts du RID </w:t>
      </w:r>
      <w:r>
        <w:rPr>
          <w:b/>
          <w:bCs/>
          <w:lang w:val="fr-FR"/>
        </w:rPr>
        <w:br/>
      </w:r>
      <w:r w:rsidRPr="003C08BB">
        <w:rPr>
          <w:b/>
          <w:bCs/>
          <w:lang w:val="fr-FR"/>
        </w:rPr>
        <w:t>et du Groupe de travail des transports de marchandises dangereuses</w:t>
      </w:r>
    </w:p>
    <w:p w14:paraId="02B42417" w14:textId="77777777" w:rsidR="00291F6B" w:rsidRPr="00042D1E" w:rsidRDefault="00291F6B" w:rsidP="00291F6B">
      <w:r w:rsidRPr="00042D1E">
        <w:rPr>
          <w:lang w:val="fr-FR"/>
        </w:rPr>
        <w:t>Genève, 12-16</w:t>
      </w:r>
      <w:r>
        <w:rPr>
          <w:lang w:val="fr-FR"/>
        </w:rPr>
        <w:t> </w:t>
      </w:r>
      <w:r w:rsidRPr="00042D1E">
        <w:rPr>
          <w:lang w:val="fr-FR"/>
        </w:rPr>
        <w:t>septembre 2022</w:t>
      </w:r>
    </w:p>
    <w:p w14:paraId="53D947EB" w14:textId="7DC58ACA" w:rsidR="00291F6B" w:rsidRDefault="00291F6B" w:rsidP="00291F6B">
      <w:r w:rsidRPr="00B93E72">
        <w:t>Point</w:t>
      </w:r>
      <w:r>
        <w:t> 5 b)</w:t>
      </w:r>
      <w:r w:rsidRPr="00B93E72">
        <w:t xml:space="preserve"> de l’ordre du jour provisoire</w:t>
      </w:r>
    </w:p>
    <w:p w14:paraId="5E259A42" w14:textId="75CA48A6" w:rsidR="00291F6B" w:rsidRPr="00AE5856" w:rsidRDefault="00291F6B" w:rsidP="00291F6B">
      <w:pPr>
        <w:rPr>
          <w:b/>
          <w:bCs/>
          <w:lang w:val="fr-FR"/>
        </w:rPr>
      </w:pPr>
      <w:r w:rsidRPr="00B376D1">
        <w:rPr>
          <w:b/>
          <w:bCs/>
          <w:lang w:val="fr-FR"/>
        </w:rPr>
        <w:t>Propositions d</w:t>
      </w:r>
      <w:r>
        <w:rPr>
          <w:b/>
          <w:bCs/>
          <w:lang w:val="fr-FR"/>
        </w:rPr>
        <w:t>’</w:t>
      </w:r>
      <w:r w:rsidRPr="00B376D1">
        <w:rPr>
          <w:b/>
          <w:bCs/>
          <w:lang w:val="fr-FR"/>
        </w:rPr>
        <w:t>amendements au RID, à l</w:t>
      </w:r>
      <w:r>
        <w:rPr>
          <w:b/>
          <w:bCs/>
          <w:lang w:val="fr-FR"/>
        </w:rPr>
        <w:t>’</w:t>
      </w:r>
      <w:r w:rsidRPr="00B376D1">
        <w:rPr>
          <w:b/>
          <w:bCs/>
          <w:lang w:val="fr-FR"/>
        </w:rPr>
        <w:t>ADR et à l</w:t>
      </w:r>
      <w:r>
        <w:rPr>
          <w:b/>
          <w:bCs/>
          <w:lang w:val="fr-FR"/>
        </w:rPr>
        <w:t>’</w:t>
      </w:r>
      <w:r w:rsidRPr="00B376D1">
        <w:rPr>
          <w:b/>
          <w:bCs/>
          <w:lang w:val="fr-FR"/>
        </w:rPr>
        <w:t>ADN</w:t>
      </w:r>
      <w:r w:rsidR="00AD630E">
        <w:rPr>
          <w:b/>
          <w:bCs/>
          <w:lang w:val="fr-FR"/>
        </w:rPr>
        <w:t> </w:t>
      </w:r>
      <w:r w:rsidRPr="00B376D1">
        <w:rPr>
          <w:b/>
          <w:bCs/>
          <w:lang w:val="fr-FR"/>
        </w:rPr>
        <w:t xml:space="preserve">: </w:t>
      </w:r>
      <w:r w:rsidR="00AD630E">
        <w:rPr>
          <w:b/>
          <w:bCs/>
          <w:lang w:val="fr-FR"/>
        </w:rPr>
        <w:br/>
      </w:r>
      <w:r w:rsidRPr="00B376D1">
        <w:rPr>
          <w:b/>
          <w:bCs/>
          <w:lang w:val="fr-FR"/>
        </w:rPr>
        <w:t>nouvelles propositions</w:t>
      </w:r>
    </w:p>
    <w:p w14:paraId="639BB68F" w14:textId="3A79069A" w:rsidR="00291F6B" w:rsidRPr="00AE5856" w:rsidRDefault="00291F6B" w:rsidP="00691200">
      <w:pPr>
        <w:pStyle w:val="HChG"/>
        <w:rPr>
          <w:lang w:val="fr-FR"/>
        </w:rPr>
      </w:pPr>
      <w:r w:rsidRPr="000D379C">
        <w:rPr>
          <w:lang w:val="fr-FR"/>
        </w:rPr>
        <w:tab/>
      </w:r>
      <w:r w:rsidRPr="000D379C">
        <w:rPr>
          <w:lang w:val="fr-FR"/>
        </w:rPr>
        <w:tab/>
        <w:t>Livraison directe de marchandises dangereuses aux</w:t>
      </w:r>
      <w:r w:rsidR="00691200">
        <w:rPr>
          <w:lang w:val="fr-FR"/>
        </w:rPr>
        <w:t> </w:t>
      </w:r>
      <w:r w:rsidRPr="000D379C">
        <w:rPr>
          <w:lang w:val="fr-FR"/>
        </w:rPr>
        <w:t>consommateurs finaux (suremballages)</w:t>
      </w:r>
    </w:p>
    <w:p w14:paraId="63591701" w14:textId="340F4EA7" w:rsidR="00F9573C" w:rsidRDefault="00291F6B" w:rsidP="00691200">
      <w:pPr>
        <w:pStyle w:val="H1G"/>
        <w:rPr>
          <w:lang w:val="fr-FR"/>
        </w:rPr>
      </w:pPr>
      <w:r w:rsidRPr="000D379C">
        <w:rPr>
          <w:sz w:val="28"/>
          <w:lang w:val="fr-FR"/>
        </w:rPr>
        <w:tab/>
      </w:r>
      <w:r w:rsidRPr="000D379C">
        <w:rPr>
          <w:sz w:val="28"/>
          <w:lang w:val="fr-FR"/>
        </w:rPr>
        <w:tab/>
      </w:r>
      <w:r w:rsidRPr="00B376D1">
        <w:rPr>
          <w:lang w:val="fr-FR"/>
        </w:rPr>
        <w:t>Communication du Council on Safe Transportation of Hazardous Articles (COSTHA)</w:t>
      </w:r>
      <w:r w:rsidRPr="00691200">
        <w:rPr>
          <w:rStyle w:val="FootnoteReference"/>
          <w:b w:val="0"/>
          <w:sz w:val="20"/>
          <w:szCs w:val="24"/>
          <w:vertAlign w:val="baseline"/>
        </w:rPr>
        <w:footnoteReference w:customMarkFollows="1" w:id="2"/>
        <w:t>*</w:t>
      </w:r>
      <w:r w:rsidRPr="00691200">
        <w:rPr>
          <w:rStyle w:val="FootnoteReference"/>
          <w:b w:val="0"/>
          <w:sz w:val="20"/>
          <w:szCs w:val="24"/>
        </w:rPr>
        <w:t>,</w:t>
      </w:r>
      <w:r w:rsidRPr="00691200">
        <w:rPr>
          <w:b w:val="0"/>
          <w:vertAlign w:val="superscript"/>
        </w:rPr>
        <w:t xml:space="preserve"> </w:t>
      </w:r>
      <w:r w:rsidRPr="00691200">
        <w:rPr>
          <w:rStyle w:val="FootnoteReference"/>
          <w:b w:val="0"/>
          <w:sz w:val="20"/>
          <w:szCs w:val="24"/>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91F6B" w14:paraId="42666967" w14:textId="77777777" w:rsidTr="00FC0420">
        <w:trPr>
          <w:jc w:val="center"/>
        </w:trPr>
        <w:tc>
          <w:tcPr>
            <w:tcW w:w="9628" w:type="dxa"/>
            <w:shd w:val="clear" w:color="auto" w:fill="auto"/>
          </w:tcPr>
          <w:p w14:paraId="0C5C0CDE" w14:textId="77777777" w:rsidR="00291F6B" w:rsidRDefault="00291F6B" w:rsidP="00FC0420">
            <w:pPr>
              <w:spacing w:before="240" w:after="120"/>
              <w:ind w:left="255"/>
              <w:rPr>
                <w:i/>
                <w:sz w:val="24"/>
              </w:rPr>
            </w:pPr>
            <w:r>
              <w:rPr>
                <w:i/>
                <w:sz w:val="24"/>
              </w:rPr>
              <w:t>Résumé</w:t>
            </w:r>
          </w:p>
        </w:tc>
      </w:tr>
      <w:tr w:rsidR="00291F6B" w14:paraId="3E45B2F3" w14:textId="77777777" w:rsidTr="00FC0420">
        <w:trPr>
          <w:jc w:val="center"/>
        </w:trPr>
        <w:tc>
          <w:tcPr>
            <w:tcW w:w="9628" w:type="dxa"/>
            <w:shd w:val="clear" w:color="auto" w:fill="auto"/>
          </w:tcPr>
          <w:p w14:paraId="6DE67C91" w14:textId="52A31F8A" w:rsidR="00291F6B" w:rsidRDefault="00291F6B" w:rsidP="00FC0420">
            <w:pPr>
              <w:kinsoku/>
              <w:overflowPunct/>
              <w:autoSpaceDE/>
              <w:autoSpaceDN/>
              <w:adjustRightInd/>
              <w:snapToGrid/>
              <w:spacing w:after="120"/>
              <w:ind w:left="3402" w:right="713" w:hanging="3136"/>
              <w:jc w:val="both"/>
            </w:pPr>
            <w:r w:rsidRPr="00C210F4">
              <w:rPr>
                <w:b/>
                <w:bCs/>
                <w:lang w:val="fr-FR"/>
              </w:rPr>
              <w:t>Résumé analytique</w:t>
            </w:r>
            <w:r>
              <w:rPr>
                <w:lang w:val="fr-FR"/>
              </w:rPr>
              <w:t> </w:t>
            </w:r>
            <w:r w:rsidRPr="00042D1E">
              <w:rPr>
                <w:lang w:val="fr-FR"/>
              </w:rPr>
              <w:t>:</w:t>
            </w:r>
            <w:r w:rsidRPr="00042D1E">
              <w:rPr>
                <w:lang w:val="fr-FR"/>
              </w:rPr>
              <w:tab/>
            </w:r>
            <w:r w:rsidRPr="000D379C">
              <w:rPr>
                <w:lang w:val="fr-FR"/>
              </w:rPr>
              <w:t xml:space="preserve">Le volume de marchandises dangereuses livrées directement aux consommateurs finaux est en augmentation depuis quelques années. Néanmoins, dans sa version actuelle, le </w:t>
            </w:r>
            <w:r>
              <w:rPr>
                <w:lang w:val="fr-FR"/>
              </w:rPr>
              <w:t xml:space="preserve">texte du </w:t>
            </w:r>
            <w:r w:rsidRPr="000D379C">
              <w:rPr>
                <w:lang w:val="fr-FR"/>
              </w:rPr>
              <w:t>RID</w:t>
            </w:r>
            <w:r>
              <w:rPr>
                <w:lang w:val="fr-FR"/>
              </w:rPr>
              <w:t>, de l’</w:t>
            </w:r>
            <w:r w:rsidRPr="000D379C">
              <w:rPr>
                <w:lang w:val="fr-FR"/>
              </w:rPr>
              <w:t>ADR</w:t>
            </w:r>
            <w:r>
              <w:rPr>
                <w:lang w:val="fr-FR"/>
              </w:rPr>
              <w:t xml:space="preserve"> et de l’</w:t>
            </w:r>
            <w:r w:rsidRPr="000D379C">
              <w:rPr>
                <w:lang w:val="fr-FR"/>
              </w:rPr>
              <w:t>ADN vise principalement le transport d</w:t>
            </w:r>
            <w:r>
              <w:rPr>
                <w:lang w:val="fr-FR"/>
              </w:rPr>
              <w:t>’</w:t>
            </w:r>
            <w:r w:rsidRPr="000D379C">
              <w:rPr>
                <w:lang w:val="fr-FR"/>
              </w:rPr>
              <w:t>entreprise à entreprise, qu</w:t>
            </w:r>
            <w:r>
              <w:rPr>
                <w:lang w:val="fr-FR"/>
              </w:rPr>
              <w:t>’</w:t>
            </w:r>
            <w:r w:rsidRPr="000D379C">
              <w:rPr>
                <w:lang w:val="fr-FR"/>
              </w:rPr>
              <w:t>il s</w:t>
            </w:r>
            <w:r>
              <w:rPr>
                <w:lang w:val="fr-FR"/>
              </w:rPr>
              <w:t>’</w:t>
            </w:r>
            <w:r w:rsidRPr="000D379C">
              <w:rPr>
                <w:lang w:val="fr-FR"/>
              </w:rPr>
              <w:t>agisse de fabricants, d</w:t>
            </w:r>
            <w:r>
              <w:rPr>
                <w:lang w:val="fr-FR"/>
              </w:rPr>
              <w:t>’</w:t>
            </w:r>
            <w:r w:rsidRPr="000D379C">
              <w:rPr>
                <w:lang w:val="fr-FR"/>
              </w:rPr>
              <w:t>expéditeurs, de détaillants ou de sites de distribution. La livraison directe au consommateur final est généralement assurée par des entreprises spécialisées, les services postaux ou le consommateur lui-même. À cette fin, les Règlements prévoient des exceptions visant à limiter les prescriptions applicables au transport de certains types de marchandises.</w:t>
            </w:r>
          </w:p>
        </w:tc>
      </w:tr>
      <w:tr w:rsidR="00291F6B" w14:paraId="7029A97C" w14:textId="77777777" w:rsidTr="00FC0420">
        <w:trPr>
          <w:jc w:val="center"/>
        </w:trPr>
        <w:tc>
          <w:tcPr>
            <w:tcW w:w="9628" w:type="dxa"/>
            <w:shd w:val="clear" w:color="auto" w:fill="auto"/>
          </w:tcPr>
          <w:p w14:paraId="12EED9E4" w14:textId="303EDC83" w:rsidR="00291F6B" w:rsidRPr="00594201" w:rsidRDefault="00291F6B" w:rsidP="00FC0420">
            <w:pPr>
              <w:kinsoku/>
              <w:overflowPunct/>
              <w:autoSpaceDE/>
              <w:autoSpaceDN/>
              <w:adjustRightInd/>
              <w:snapToGrid/>
              <w:spacing w:after="120"/>
              <w:ind w:left="3402" w:right="713" w:hanging="3136"/>
              <w:jc w:val="both"/>
            </w:pPr>
            <w:r w:rsidRPr="00C210F4">
              <w:rPr>
                <w:b/>
                <w:bCs/>
                <w:lang w:val="fr-FR"/>
              </w:rPr>
              <w:t>Mesure à prendre</w:t>
            </w:r>
            <w:r>
              <w:rPr>
                <w:lang w:val="fr-FR"/>
              </w:rPr>
              <w:t> </w:t>
            </w:r>
            <w:r w:rsidRPr="00042D1E">
              <w:rPr>
                <w:lang w:val="fr-FR"/>
              </w:rPr>
              <w:t>:</w:t>
            </w:r>
            <w:r w:rsidRPr="00042D1E">
              <w:rPr>
                <w:lang w:val="fr-FR"/>
              </w:rPr>
              <w:tab/>
            </w:r>
            <w:r w:rsidRPr="000D379C">
              <w:rPr>
                <w:lang w:val="fr-FR"/>
              </w:rPr>
              <w:t xml:space="preserve">Modifier les prescriptions relatives au </w:t>
            </w:r>
            <w:r w:rsidR="00691200">
              <w:rPr>
                <w:lang w:val="fr-FR"/>
              </w:rPr>
              <w:t>« </w:t>
            </w:r>
            <w:r w:rsidRPr="000D379C">
              <w:rPr>
                <w:lang w:val="fr-FR"/>
              </w:rPr>
              <w:t>suremballage</w:t>
            </w:r>
            <w:r w:rsidR="00691200">
              <w:rPr>
                <w:lang w:val="fr-FR"/>
              </w:rPr>
              <w:t> »</w:t>
            </w:r>
            <w:r w:rsidRPr="000D379C">
              <w:rPr>
                <w:lang w:val="fr-FR"/>
              </w:rPr>
              <w:t xml:space="preserve"> dans le RID</w:t>
            </w:r>
            <w:r>
              <w:rPr>
                <w:lang w:val="fr-FR"/>
              </w:rPr>
              <w:t>, l’</w:t>
            </w:r>
            <w:r w:rsidRPr="000D379C">
              <w:rPr>
                <w:lang w:val="fr-FR"/>
              </w:rPr>
              <w:t>ADR</w:t>
            </w:r>
            <w:r>
              <w:rPr>
                <w:lang w:val="fr-FR"/>
              </w:rPr>
              <w:t xml:space="preserve"> et l’</w:t>
            </w:r>
            <w:r w:rsidRPr="000D379C">
              <w:rPr>
                <w:lang w:val="fr-FR"/>
              </w:rPr>
              <w:t>ADN.</w:t>
            </w:r>
          </w:p>
        </w:tc>
      </w:tr>
      <w:tr w:rsidR="00291F6B" w14:paraId="0F1CBB84" w14:textId="77777777" w:rsidTr="00FC0420">
        <w:trPr>
          <w:jc w:val="center"/>
        </w:trPr>
        <w:tc>
          <w:tcPr>
            <w:tcW w:w="9628" w:type="dxa"/>
            <w:shd w:val="clear" w:color="auto" w:fill="auto"/>
          </w:tcPr>
          <w:p w14:paraId="0957F9F4" w14:textId="4CC3503B" w:rsidR="00291F6B" w:rsidRPr="00291F6B" w:rsidRDefault="00291F6B" w:rsidP="00291F6B">
            <w:pPr>
              <w:kinsoku/>
              <w:overflowPunct/>
              <w:autoSpaceDE/>
              <w:autoSpaceDN/>
              <w:adjustRightInd/>
              <w:snapToGrid/>
              <w:spacing w:after="120"/>
              <w:ind w:left="3402" w:right="713" w:hanging="3136"/>
              <w:jc w:val="both"/>
              <w:rPr>
                <w:szCs w:val="10"/>
                <w:lang w:val="fr-FR"/>
              </w:rPr>
            </w:pPr>
            <w:r w:rsidRPr="00C210F4">
              <w:rPr>
                <w:b/>
                <w:bCs/>
                <w:lang w:val="fr-FR"/>
              </w:rPr>
              <w:t>Documents connexes</w:t>
            </w:r>
            <w:r>
              <w:rPr>
                <w:lang w:val="fr-FR"/>
              </w:rPr>
              <w:t> </w:t>
            </w:r>
            <w:r w:rsidRPr="00042D1E">
              <w:rPr>
                <w:lang w:val="fr-FR"/>
              </w:rPr>
              <w:t>:</w:t>
            </w:r>
            <w:r w:rsidRPr="00042D1E">
              <w:rPr>
                <w:lang w:val="fr-FR"/>
              </w:rPr>
              <w:tab/>
            </w:r>
            <w:r w:rsidRPr="00691200">
              <w:rPr>
                <w:spacing w:val="-3"/>
                <w:lang w:val="fr-FR"/>
              </w:rPr>
              <w:t>Document informel INF.31 (COSTHA) de la session de printemps 2022</w:t>
            </w:r>
            <w:bookmarkStart w:id="0" w:name="_Hlk89264015"/>
            <w:bookmarkEnd w:id="0"/>
            <w:r>
              <w:rPr>
                <w:lang w:val="fr-FR"/>
              </w:rPr>
              <w:t xml:space="preserve"> </w:t>
            </w:r>
            <w:r>
              <w:rPr>
                <w:lang w:val="fr-FR"/>
              </w:rPr>
              <w:br/>
            </w:r>
            <w:r w:rsidRPr="000D379C">
              <w:rPr>
                <w:lang w:val="fr-FR"/>
              </w:rPr>
              <w:t>Document ST/SG/AC.10/C.3/2022/27</w:t>
            </w:r>
          </w:p>
        </w:tc>
      </w:tr>
      <w:tr w:rsidR="00291F6B" w14:paraId="643C47EE" w14:textId="77777777" w:rsidTr="00FC0420">
        <w:trPr>
          <w:jc w:val="center"/>
        </w:trPr>
        <w:tc>
          <w:tcPr>
            <w:tcW w:w="9628" w:type="dxa"/>
            <w:shd w:val="clear" w:color="auto" w:fill="auto"/>
          </w:tcPr>
          <w:p w14:paraId="5C52816E" w14:textId="77777777" w:rsidR="00291F6B" w:rsidRDefault="00291F6B" w:rsidP="00FC0420"/>
        </w:tc>
      </w:tr>
    </w:tbl>
    <w:p w14:paraId="027DDA63" w14:textId="191C9F94" w:rsidR="00291F6B" w:rsidRPr="00691200" w:rsidRDefault="00291F6B" w:rsidP="00691200">
      <w:pPr>
        <w:pStyle w:val="SingleTxtG"/>
      </w:pPr>
    </w:p>
    <w:p w14:paraId="0F46BB70" w14:textId="5D03D4EB" w:rsidR="00291F6B" w:rsidRPr="00AE5856" w:rsidRDefault="00291F6B" w:rsidP="00691200">
      <w:pPr>
        <w:pStyle w:val="SingleTxtG"/>
        <w:keepNext/>
        <w:keepLines/>
        <w:rPr>
          <w:lang w:val="fr-FR"/>
        </w:rPr>
      </w:pPr>
      <w:r>
        <w:rPr>
          <w:lang w:val="fr-FR"/>
        </w:rPr>
        <w:lastRenderedPageBreak/>
        <w:t>1.</w:t>
      </w:r>
      <w:r>
        <w:rPr>
          <w:lang w:val="fr-FR"/>
        </w:rPr>
        <w:tab/>
      </w:r>
      <w:r w:rsidRPr="000D379C">
        <w:rPr>
          <w:lang w:val="fr-FR"/>
        </w:rPr>
        <w:t>À la session de mars 2022 de la Réunion commune de la Commission d</w:t>
      </w:r>
      <w:r>
        <w:rPr>
          <w:lang w:val="fr-FR"/>
        </w:rPr>
        <w:t>’</w:t>
      </w:r>
      <w:r w:rsidRPr="000D379C">
        <w:rPr>
          <w:lang w:val="fr-FR"/>
        </w:rPr>
        <w:t>experts du RID et du Groupe de travail des transports de marchandises dangereuses (Réunion commune RID/ADR/ADN), le COSTHA a présenté le document informel INF.31 aux fins d</w:t>
      </w:r>
      <w:r>
        <w:rPr>
          <w:lang w:val="fr-FR"/>
        </w:rPr>
        <w:t>’</w:t>
      </w:r>
      <w:r w:rsidRPr="000D379C">
        <w:rPr>
          <w:lang w:val="fr-FR"/>
        </w:rPr>
        <w:t>examen et pour recueillir des contributions en vue d</w:t>
      </w:r>
      <w:r>
        <w:rPr>
          <w:lang w:val="fr-FR"/>
        </w:rPr>
        <w:t>’</w:t>
      </w:r>
      <w:r w:rsidRPr="000D379C">
        <w:rPr>
          <w:lang w:val="fr-FR"/>
        </w:rPr>
        <w:t xml:space="preserve">une future proposition. </w:t>
      </w:r>
      <w:r w:rsidRPr="00546A9D">
        <w:rPr>
          <w:lang w:val="fr-FR"/>
        </w:rPr>
        <w:t xml:space="preserve">Malgré la soumission tardive de ce document, de nombreuses délégations avaient formulé des observations </w:t>
      </w:r>
      <w:r>
        <w:rPr>
          <w:lang w:val="fr-FR"/>
        </w:rPr>
        <w:t xml:space="preserve">initiales </w:t>
      </w:r>
      <w:r w:rsidRPr="00546A9D">
        <w:rPr>
          <w:lang w:val="fr-FR"/>
        </w:rPr>
        <w:t>sur le sujet, et le COSTHA leur en était reconnaissant.</w:t>
      </w:r>
    </w:p>
    <w:p w14:paraId="279177C1" w14:textId="177D0322" w:rsidR="00291F6B" w:rsidRPr="00AE5856" w:rsidRDefault="00691200" w:rsidP="00691200">
      <w:pPr>
        <w:pStyle w:val="SingleTxtG"/>
        <w:rPr>
          <w:lang w:val="fr-FR"/>
        </w:rPr>
      </w:pPr>
      <w:r>
        <w:rPr>
          <w:lang w:val="fr-FR"/>
        </w:rPr>
        <w:t>2.</w:t>
      </w:r>
      <w:r>
        <w:rPr>
          <w:lang w:val="fr-FR"/>
        </w:rPr>
        <w:tab/>
      </w:r>
      <w:r w:rsidR="00291F6B" w:rsidRPr="000D379C">
        <w:rPr>
          <w:lang w:val="fr-FR"/>
        </w:rPr>
        <w:t>Le COSTHA souhaite une nouvelle fois attirer l</w:t>
      </w:r>
      <w:r w:rsidR="00291F6B">
        <w:rPr>
          <w:lang w:val="fr-FR"/>
        </w:rPr>
        <w:t>’</w:t>
      </w:r>
      <w:r w:rsidR="00291F6B" w:rsidRPr="000D379C">
        <w:rPr>
          <w:lang w:val="fr-FR"/>
        </w:rPr>
        <w:t>attention de la Réunion commune sur les différences constatées entre le Règlement type de l</w:t>
      </w:r>
      <w:r w:rsidR="00291F6B">
        <w:rPr>
          <w:lang w:val="fr-FR"/>
        </w:rPr>
        <w:t>’</w:t>
      </w:r>
      <w:r w:rsidR="00291F6B" w:rsidRPr="000D379C">
        <w:rPr>
          <w:lang w:val="fr-FR"/>
        </w:rPr>
        <w:t>ONU et le RID</w:t>
      </w:r>
      <w:r w:rsidR="00291F6B">
        <w:rPr>
          <w:lang w:val="fr-FR"/>
        </w:rPr>
        <w:t>, l’</w:t>
      </w:r>
      <w:r w:rsidR="00291F6B" w:rsidRPr="000D379C">
        <w:rPr>
          <w:lang w:val="fr-FR"/>
        </w:rPr>
        <w:t>ADR</w:t>
      </w:r>
      <w:r w:rsidR="00291F6B">
        <w:rPr>
          <w:lang w:val="fr-FR"/>
        </w:rPr>
        <w:t xml:space="preserve"> et l’</w:t>
      </w:r>
      <w:r w:rsidR="00291F6B" w:rsidRPr="000D379C">
        <w:rPr>
          <w:lang w:val="fr-FR"/>
        </w:rPr>
        <w:t>ADN dans l</w:t>
      </w:r>
      <w:r w:rsidR="00291F6B">
        <w:rPr>
          <w:lang w:val="fr-FR"/>
        </w:rPr>
        <w:t>’</w:t>
      </w:r>
      <w:r w:rsidR="00291F6B" w:rsidRPr="000D379C">
        <w:rPr>
          <w:lang w:val="fr-FR"/>
        </w:rPr>
        <w:t>acception du terme « suremballage</w:t>
      </w:r>
      <w:r>
        <w:rPr>
          <w:lang w:val="fr-FR"/>
        </w:rPr>
        <w:t> </w:t>
      </w:r>
      <w:r w:rsidR="00291F6B" w:rsidRPr="000D379C">
        <w:rPr>
          <w:lang w:val="fr-FR"/>
        </w:rPr>
        <w:t>». Ces différences</w:t>
      </w:r>
      <w:r w:rsidR="00291F6B">
        <w:rPr>
          <w:lang w:val="fr-FR"/>
        </w:rPr>
        <w:t xml:space="preserve"> </w:t>
      </w:r>
      <w:r w:rsidR="00291F6B" w:rsidRPr="000D379C">
        <w:rPr>
          <w:lang w:val="fr-FR"/>
        </w:rPr>
        <w:t>ont des répercussions au niveau régional et au-delà des pays qui utilisent les annexes du RID</w:t>
      </w:r>
      <w:r w:rsidR="00291F6B">
        <w:rPr>
          <w:lang w:val="fr-FR"/>
        </w:rPr>
        <w:t>, de l’</w:t>
      </w:r>
      <w:r w:rsidR="00291F6B" w:rsidRPr="000D379C">
        <w:rPr>
          <w:lang w:val="fr-FR"/>
        </w:rPr>
        <w:t>ADR</w:t>
      </w:r>
      <w:r w:rsidR="00291F6B">
        <w:rPr>
          <w:lang w:val="fr-FR"/>
        </w:rPr>
        <w:t xml:space="preserve"> et de l’</w:t>
      </w:r>
      <w:r w:rsidR="00291F6B" w:rsidRPr="000D379C">
        <w:rPr>
          <w:lang w:val="fr-FR"/>
        </w:rPr>
        <w:t>ADN pour réglementer leurs moyens de transport terrestre.</w:t>
      </w:r>
    </w:p>
    <w:p w14:paraId="12ABE635" w14:textId="6D844C96" w:rsidR="00291F6B" w:rsidRPr="00AE5856" w:rsidRDefault="00691200" w:rsidP="00691200">
      <w:pPr>
        <w:pStyle w:val="SingleTxtG"/>
        <w:rPr>
          <w:lang w:val="fr-FR"/>
        </w:rPr>
      </w:pPr>
      <w:r>
        <w:rPr>
          <w:lang w:val="fr-FR"/>
        </w:rPr>
        <w:t>3.</w:t>
      </w:r>
      <w:r>
        <w:rPr>
          <w:lang w:val="fr-FR"/>
        </w:rPr>
        <w:tab/>
      </w:r>
      <w:r w:rsidR="00291F6B" w:rsidRPr="000D379C">
        <w:rPr>
          <w:lang w:val="fr-FR"/>
        </w:rPr>
        <w:t xml:space="preserve">Le COSTHA estime que certaines prescriptions minimales, relatives notamment aux </w:t>
      </w:r>
      <w:r>
        <w:rPr>
          <w:lang w:val="fr-FR"/>
        </w:rPr>
        <w:t>« </w:t>
      </w:r>
      <w:r w:rsidR="00291F6B" w:rsidRPr="000D379C">
        <w:rPr>
          <w:lang w:val="fr-FR"/>
        </w:rPr>
        <w:t>emballages extérieurs appropriés</w:t>
      </w:r>
      <w:r>
        <w:rPr>
          <w:lang w:val="fr-FR"/>
        </w:rPr>
        <w:t> »</w:t>
      </w:r>
      <w:r w:rsidR="00291F6B" w:rsidRPr="000D379C">
        <w:rPr>
          <w:lang w:val="fr-FR"/>
        </w:rPr>
        <w:t xml:space="preserve"> et aux marquages, mériteraient d</w:t>
      </w:r>
      <w:r w:rsidR="00291F6B">
        <w:rPr>
          <w:lang w:val="fr-FR"/>
        </w:rPr>
        <w:t>’</w:t>
      </w:r>
      <w:r w:rsidR="00291F6B" w:rsidRPr="000D379C">
        <w:rPr>
          <w:lang w:val="fr-FR"/>
        </w:rPr>
        <w:t>être précisées. À titre d</w:t>
      </w:r>
      <w:r w:rsidR="00291F6B">
        <w:rPr>
          <w:lang w:val="fr-FR"/>
        </w:rPr>
        <w:t>’</w:t>
      </w:r>
      <w:r w:rsidR="00291F6B" w:rsidRPr="000D379C">
        <w:rPr>
          <w:lang w:val="fr-FR"/>
        </w:rPr>
        <w:t>exemple, lorsque des marchandises dangereuses emballées en quantités limitées sont regroupées dans un suremballage, il est prévu dans les Règlements que celui-ci soit marqué conformément au 3.4.11 du RID</w:t>
      </w:r>
      <w:r w:rsidR="00291F6B">
        <w:rPr>
          <w:lang w:val="fr-FR"/>
        </w:rPr>
        <w:t>, de l’</w:t>
      </w:r>
      <w:r w:rsidR="00291F6B" w:rsidRPr="000D379C">
        <w:rPr>
          <w:lang w:val="fr-FR"/>
        </w:rPr>
        <w:t>ADR</w:t>
      </w:r>
      <w:r w:rsidR="00291F6B">
        <w:rPr>
          <w:lang w:val="fr-FR"/>
        </w:rPr>
        <w:t xml:space="preserve"> et de l’</w:t>
      </w:r>
      <w:r w:rsidR="00291F6B" w:rsidRPr="000D379C">
        <w:rPr>
          <w:lang w:val="fr-FR"/>
        </w:rPr>
        <w:t>ADN (marque correspondant aux marchandises transportées en quantité limitée et marque «</w:t>
      </w:r>
      <w:r w:rsidR="00AD630E">
        <w:rPr>
          <w:lang w:val="fr-FR"/>
        </w:rPr>
        <w:t> </w:t>
      </w:r>
      <w:r w:rsidR="00291F6B" w:rsidRPr="000D379C">
        <w:rPr>
          <w:lang w:val="fr-FR"/>
        </w:rPr>
        <w:t>SUREMBALLAGE</w:t>
      </w:r>
      <w:r w:rsidR="00AD630E">
        <w:rPr>
          <w:lang w:val="fr-FR"/>
        </w:rPr>
        <w:t> </w:t>
      </w:r>
      <w:r w:rsidR="00291F6B" w:rsidRPr="000D379C">
        <w:rPr>
          <w:lang w:val="fr-FR"/>
        </w:rPr>
        <w:t>»). Cependant, les entreprises de vente directe aux consommateurs (qui ont recours à des sociétés de livraison de colis et aux services postaux) utilisent généralement des sacs de manutention pour effectuer leurs livraisons. Si les sacs améliorent la sécurité des colis pendant le transport</w:t>
      </w:r>
      <w:r w:rsidR="00291F6B">
        <w:rPr>
          <w:lang w:val="fr-FR"/>
        </w:rPr>
        <w:t>,</w:t>
      </w:r>
      <w:r w:rsidR="00291F6B" w:rsidRPr="000D379C">
        <w:rPr>
          <w:lang w:val="fr-FR"/>
        </w:rPr>
        <w:t xml:space="preserve"> puisqu</w:t>
      </w:r>
      <w:r w:rsidR="00291F6B">
        <w:rPr>
          <w:lang w:val="fr-FR"/>
        </w:rPr>
        <w:t>’</w:t>
      </w:r>
      <w:r w:rsidR="00291F6B" w:rsidRPr="000D379C">
        <w:rPr>
          <w:lang w:val="fr-FR"/>
        </w:rPr>
        <w:t>ils offrent un niveau de confinement et de protection supplémentaire, ils sont surtout utilisés pour faciliter le transport de plusieurs colis en permettant d</w:t>
      </w:r>
      <w:r w:rsidR="00291F6B">
        <w:rPr>
          <w:lang w:val="fr-FR"/>
        </w:rPr>
        <w:t>’</w:t>
      </w:r>
      <w:r w:rsidR="00291F6B" w:rsidRPr="000D379C">
        <w:rPr>
          <w:lang w:val="fr-FR"/>
        </w:rPr>
        <w:t>organiser le chargement à l</w:t>
      </w:r>
      <w:r w:rsidR="00291F6B">
        <w:rPr>
          <w:lang w:val="fr-FR"/>
        </w:rPr>
        <w:t>’</w:t>
      </w:r>
      <w:r w:rsidR="00291F6B" w:rsidRPr="000D379C">
        <w:rPr>
          <w:lang w:val="fr-FR"/>
        </w:rPr>
        <w:t>intérieur des camion de livraison, mais aussi, en cas de livraison par vélo, pour faciliter la conduite du vélo et le chargement de paquets supplémentaires. Ces sacs sont ensuite déchargés à différents arrêts le long d</w:t>
      </w:r>
      <w:r w:rsidR="00291F6B">
        <w:rPr>
          <w:lang w:val="fr-FR"/>
        </w:rPr>
        <w:t>’</w:t>
      </w:r>
      <w:r w:rsidR="00291F6B" w:rsidRPr="000D379C">
        <w:rPr>
          <w:lang w:val="fr-FR"/>
        </w:rPr>
        <w:t>un itinéraire de livraison. On utilise des sacs du même type pour d</w:t>
      </w:r>
      <w:r w:rsidR="00291F6B">
        <w:rPr>
          <w:lang w:val="fr-FR"/>
        </w:rPr>
        <w:t>’</w:t>
      </w:r>
      <w:r w:rsidR="00291F6B" w:rsidRPr="000D379C">
        <w:rPr>
          <w:lang w:val="fr-FR"/>
        </w:rPr>
        <w:t>autres opérations telles que la livraison à vélo et la remise en main propre. Les</w:t>
      </w:r>
      <w:r w:rsidR="00AD630E">
        <w:rPr>
          <w:lang w:val="fr-FR"/>
        </w:rPr>
        <w:t> </w:t>
      </w:r>
      <w:r w:rsidR="00291F6B" w:rsidRPr="000D379C">
        <w:rPr>
          <w:lang w:val="fr-FR"/>
        </w:rPr>
        <w:t>services postaux et les autres entreprises de livraison qui pratiquent le transport manuel de colis utilisent souvent des sacs. Or, il a été porté à notre attention que ces sacs sont considérés comme des suremballages par certaines autorités compétentes.</w:t>
      </w:r>
    </w:p>
    <w:p w14:paraId="67AB307B" w14:textId="69AE18DC" w:rsidR="00291F6B" w:rsidRPr="000D379C" w:rsidRDefault="00691200" w:rsidP="00691200">
      <w:pPr>
        <w:pStyle w:val="HChG"/>
      </w:pPr>
      <w:r>
        <w:rPr>
          <w:lang w:val="fr-FR"/>
        </w:rPr>
        <w:tab/>
      </w:r>
      <w:r>
        <w:rPr>
          <w:lang w:val="fr-FR"/>
        </w:rPr>
        <w:tab/>
      </w:r>
      <w:r w:rsidR="00291F6B" w:rsidRPr="000D379C">
        <w:rPr>
          <w:lang w:val="fr-FR"/>
        </w:rPr>
        <w:t xml:space="preserve">Définition </w:t>
      </w:r>
      <w:r w:rsidR="00291F6B">
        <w:rPr>
          <w:lang w:val="fr-FR"/>
        </w:rPr>
        <w:t>d’un</w:t>
      </w:r>
      <w:r w:rsidR="00291F6B" w:rsidRPr="000D379C">
        <w:rPr>
          <w:lang w:val="fr-FR"/>
        </w:rPr>
        <w:t xml:space="preserve"> suremballage</w:t>
      </w:r>
    </w:p>
    <w:p w14:paraId="2D6FC57D" w14:textId="30C78152" w:rsidR="00291F6B" w:rsidRPr="00AE5856" w:rsidRDefault="00691200" w:rsidP="00691200">
      <w:pPr>
        <w:pStyle w:val="SingleTxtG"/>
        <w:rPr>
          <w:i/>
          <w:iCs/>
          <w:lang w:val="fr-FR"/>
        </w:rPr>
      </w:pPr>
      <w:r>
        <w:rPr>
          <w:lang w:val="fr-FR"/>
        </w:rPr>
        <w:t>4.</w:t>
      </w:r>
      <w:r>
        <w:rPr>
          <w:lang w:val="fr-FR"/>
        </w:rPr>
        <w:tab/>
      </w:r>
      <w:r w:rsidR="00291F6B" w:rsidRPr="000D379C">
        <w:rPr>
          <w:lang w:val="fr-FR"/>
        </w:rPr>
        <w:t xml:space="preserve">Dans le Règlement type, on entend par </w:t>
      </w:r>
      <w:r w:rsidR="00291F6B">
        <w:rPr>
          <w:lang w:val="fr-FR"/>
        </w:rPr>
        <w:t>« </w:t>
      </w:r>
      <w:r w:rsidR="00291F6B" w:rsidRPr="000D379C">
        <w:rPr>
          <w:lang w:val="fr-FR"/>
        </w:rPr>
        <w:t>suremballage</w:t>
      </w:r>
      <w:r w:rsidR="00291F6B">
        <w:rPr>
          <w:lang w:val="fr-FR"/>
        </w:rPr>
        <w:t>ۛ »</w:t>
      </w:r>
      <w:r w:rsidR="00291F6B" w:rsidRPr="000D379C">
        <w:rPr>
          <w:lang w:val="fr-FR"/>
        </w:rPr>
        <w:t xml:space="preserve"> </w:t>
      </w:r>
      <w:r w:rsidR="00291F6B" w:rsidRPr="000D379C">
        <w:rPr>
          <w:i/>
          <w:iCs/>
          <w:lang w:val="fr-FR"/>
        </w:rPr>
        <w:t>une enveloppe utilisée par un même expéditeur pour emballer un ou plusieurs colis sous la forme d</w:t>
      </w:r>
      <w:r w:rsidR="00291F6B">
        <w:rPr>
          <w:i/>
          <w:iCs/>
          <w:lang w:val="fr-FR"/>
        </w:rPr>
        <w:t>’</w:t>
      </w:r>
      <w:r w:rsidR="00291F6B" w:rsidRPr="000D379C">
        <w:rPr>
          <w:i/>
          <w:iCs/>
          <w:lang w:val="fr-FR"/>
        </w:rPr>
        <w:t>une unité plus facile à manutentionner</w:t>
      </w:r>
      <w:r w:rsidR="00291F6B" w:rsidRPr="000D379C">
        <w:rPr>
          <w:lang w:val="fr-FR"/>
        </w:rPr>
        <w:t xml:space="preserve"> (...) </w:t>
      </w:r>
      <w:r w:rsidR="00291F6B" w:rsidRPr="000D379C">
        <w:rPr>
          <w:i/>
          <w:iCs/>
          <w:lang w:val="fr-FR"/>
        </w:rPr>
        <w:t>au cours du transport</w:t>
      </w:r>
      <w:r w:rsidR="00291F6B" w:rsidRPr="000D379C">
        <w:rPr>
          <w:lang w:val="fr-FR"/>
        </w:rPr>
        <w:t xml:space="preserve">. </w:t>
      </w:r>
      <w:r w:rsidR="00291F6B" w:rsidRPr="000D379C">
        <w:rPr>
          <w:i/>
          <w:iCs/>
          <w:lang w:val="fr-FR"/>
        </w:rPr>
        <w:t>On peut citer comme exemples de suremballages plusieurs colis qui sont</w:t>
      </w:r>
      <w:r w:rsidR="0087740A">
        <w:rPr>
          <w:i/>
          <w:iCs/>
          <w:lang w:val="fr-FR"/>
        </w:rPr>
        <w:t> </w:t>
      </w:r>
      <w:r w:rsidR="00291F6B" w:rsidRPr="000D379C">
        <w:rPr>
          <w:i/>
          <w:iCs/>
          <w:lang w:val="fr-FR"/>
        </w:rPr>
        <w:t>:</w:t>
      </w:r>
    </w:p>
    <w:p w14:paraId="33F807FB" w14:textId="25C867C1" w:rsidR="00291F6B" w:rsidRPr="0087740A" w:rsidRDefault="00291F6B" w:rsidP="0087740A">
      <w:pPr>
        <w:pStyle w:val="SingleTxtG"/>
        <w:ind w:left="1701"/>
        <w:rPr>
          <w:i/>
          <w:iCs/>
          <w:lang w:val="fr-FR"/>
        </w:rPr>
      </w:pPr>
      <w:r w:rsidRPr="0087740A">
        <w:rPr>
          <w:i/>
          <w:iCs/>
          <w:lang w:val="fr-FR"/>
        </w:rPr>
        <w:t>1)</w:t>
      </w:r>
      <w:r w:rsidRPr="0087740A">
        <w:rPr>
          <w:i/>
          <w:iCs/>
          <w:lang w:val="fr-FR"/>
        </w:rPr>
        <w:tab/>
      </w:r>
      <w:r w:rsidR="0087740A">
        <w:rPr>
          <w:i/>
          <w:iCs/>
          <w:lang w:val="fr-FR"/>
        </w:rPr>
        <w:t>P</w:t>
      </w:r>
      <w:r w:rsidRPr="0087740A">
        <w:rPr>
          <w:i/>
          <w:iCs/>
          <w:lang w:val="fr-FR"/>
        </w:rPr>
        <w:t>lacés ou gerbés sur un plateau de chargement, tel qu’une palette, et assujettis par une bande de plastique, une housse de film rétractable ou étirable ou par d’autres moyens adéquats</w:t>
      </w:r>
      <w:r w:rsidR="0087740A" w:rsidRPr="0087740A">
        <w:rPr>
          <w:i/>
          <w:iCs/>
          <w:lang w:val="fr-FR"/>
        </w:rPr>
        <w:t> </w:t>
      </w:r>
      <w:r w:rsidRPr="0087740A">
        <w:rPr>
          <w:i/>
          <w:iCs/>
          <w:lang w:val="fr-FR"/>
        </w:rPr>
        <w:t>; ou</w:t>
      </w:r>
    </w:p>
    <w:p w14:paraId="4D56EB2B" w14:textId="7ED90A06" w:rsidR="00291F6B" w:rsidRPr="00AE5856" w:rsidRDefault="00291F6B" w:rsidP="0087740A">
      <w:pPr>
        <w:pStyle w:val="SingleTxtG"/>
        <w:ind w:left="1701"/>
        <w:rPr>
          <w:i/>
          <w:iCs/>
          <w:lang w:val="fr-FR"/>
        </w:rPr>
      </w:pPr>
      <w:r w:rsidRPr="000D379C">
        <w:rPr>
          <w:i/>
          <w:iCs/>
          <w:lang w:val="fr-FR"/>
        </w:rPr>
        <w:t>2)</w:t>
      </w:r>
      <w:r w:rsidRPr="000D379C">
        <w:rPr>
          <w:lang w:val="fr-FR"/>
        </w:rPr>
        <w:tab/>
      </w:r>
      <w:r w:rsidR="0087740A">
        <w:rPr>
          <w:i/>
          <w:iCs/>
          <w:lang w:val="fr-FR"/>
        </w:rPr>
        <w:t>P</w:t>
      </w:r>
      <w:r w:rsidRPr="000D379C">
        <w:rPr>
          <w:i/>
          <w:iCs/>
          <w:lang w:val="fr-FR"/>
        </w:rPr>
        <w:t>lacés dans un emballage extérieur de protection tel qu</w:t>
      </w:r>
      <w:r>
        <w:rPr>
          <w:i/>
          <w:iCs/>
          <w:lang w:val="fr-FR"/>
        </w:rPr>
        <w:t>’</w:t>
      </w:r>
      <w:r w:rsidRPr="000D379C">
        <w:rPr>
          <w:i/>
          <w:iCs/>
          <w:lang w:val="fr-FR"/>
        </w:rPr>
        <w:t>une caisse ou une harasse.</w:t>
      </w:r>
    </w:p>
    <w:p w14:paraId="1A88B94C" w14:textId="21E35B5D" w:rsidR="00291F6B" w:rsidRPr="00AE5856" w:rsidRDefault="0087740A" w:rsidP="00691200">
      <w:pPr>
        <w:pStyle w:val="SingleTxtG"/>
        <w:rPr>
          <w:i/>
          <w:iCs/>
          <w:lang w:val="fr-FR"/>
        </w:rPr>
      </w:pPr>
      <w:r>
        <w:rPr>
          <w:lang w:val="fr-FR"/>
        </w:rPr>
        <w:t>5.</w:t>
      </w:r>
      <w:r>
        <w:rPr>
          <w:lang w:val="fr-FR"/>
        </w:rPr>
        <w:tab/>
      </w:r>
      <w:r w:rsidR="00291F6B" w:rsidRPr="000D379C">
        <w:rPr>
          <w:lang w:val="fr-FR"/>
        </w:rPr>
        <w:t>Selon les termes du RID/ADR/ADN, on entend par «</w:t>
      </w:r>
      <w:r>
        <w:rPr>
          <w:lang w:val="fr-FR"/>
        </w:rPr>
        <w:t> </w:t>
      </w:r>
      <w:r w:rsidR="00291F6B" w:rsidRPr="000D379C">
        <w:rPr>
          <w:lang w:val="fr-FR"/>
        </w:rPr>
        <w:t>suremballage</w:t>
      </w:r>
      <w:r>
        <w:rPr>
          <w:lang w:val="fr-FR"/>
        </w:rPr>
        <w:t> </w:t>
      </w:r>
      <w:r w:rsidR="00291F6B" w:rsidRPr="000D379C">
        <w:rPr>
          <w:lang w:val="fr-FR"/>
        </w:rPr>
        <w:t xml:space="preserve">» </w:t>
      </w:r>
      <w:r w:rsidR="00291F6B" w:rsidRPr="00D3556B">
        <w:rPr>
          <w:i/>
          <w:iCs/>
          <w:lang w:val="fr-FR"/>
        </w:rPr>
        <w:t>une enveloppe utilisée (dans le cas des matières radioactives, par un même expéditeur) pour contenir un ou plusieurs colis et en faire une unité plus facile à manutentionner et à arrimer au cours du transport. E</w:t>
      </w:r>
      <w:r w:rsidR="00291F6B" w:rsidRPr="000D379C">
        <w:rPr>
          <w:i/>
          <w:iCs/>
          <w:lang w:val="fr-FR"/>
        </w:rPr>
        <w:t>xemples de suremballages</w:t>
      </w:r>
      <w:r>
        <w:rPr>
          <w:i/>
          <w:iCs/>
          <w:lang w:val="fr-FR"/>
        </w:rPr>
        <w:t> </w:t>
      </w:r>
      <w:r w:rsidR="00291F6B" w:rsidRPr="000D379C">
        <w:rPr>
          <w:i/>
          <w:iCs/>
          <w:lang w:val="fr-FR"/>
        </w:rPr>
        <w:t>:</w:t>
      </w:r>
    </w:p>
    <w:p w14:paraId="0A3968F0" w14:textId="7080FE01" w:rsidR="00291F6B" w:rsidRPr="00AE5856" w:rsidRDefault="00291F6B" w:rsidP="0087740A">
      <w:pPr>
        <w:pStyle w:val="SingleTxtG"/>
        <w:ind w:left="1701"/>
        <w:rPr>
          <w:i/>
          <w:iCs/>
          <w:lang w:val="fr-FR"/>
        </w:rPr>
      </w:pPr>
      <w:r w:rsidRPr="000D379C">
        <w:rPr>
          <w:i/>
          <w:iCs/>
          <w:lang w:val="fr-FR"/>
        </w:rPr>
        <w:t>a)</w:t>
      </w:r>
      <w:r w:rsidRPr="000D379C">
        <w:rPr>
          <w:lang w:val="fr-FR"/>
        </w:rPr>
        <w:tab/>
      </w:r>
      <w:r w:rsidR="0087740A">
        <w:rPr>
          <w:i/>
          <w:iCs/>
          <w:lang w:val="fr-FR"/>
        </w:rPr>
        <w:t>U</w:t>
      </w:r>
      <w:r w:rsidRPr="000D379C">
        <w:rPr>
          <w:i/>
          <w:iCs/>
          <w:lang w:val="fr-FR"/>
        </w:rPr>
        <w:t>n plateau de chargement, tel qu</w:t>
      </w:r>
      <w:r>
        <w:rPr>
          <w:i/>
          <w:iCs/>
          <w:lang w:val="fr-FR"/>
        </w:rPr>
        <w:t>’</w:t>
      </w:r>
      <w:r w:rsidRPr="000D379C">
        <w:rPr>
          <w:i/>
          <w:iCs/>
          <w:lang w:val="fr-FR"/>
        </w:rPr>
        <w:t>une palette sur laquelle plusieurs colis sont placés ou gerbés et assujettis par une bande de plastique, une housse de film rétractable ou étirable ou par d</w:t>
      </w:r>
      <w:r>
        <w:rPr>
          <w:i/>
          <w:iCs/>
          <w:lang w:val="fr-FR"/>
        </w:rPr>
        <w:t>’</w:t>
      </w:r>
      <w:r w:rsidRPr="000D379C">
        <w:rPr>
          <w:i/>
          <w:iCs/>
          <w:lang w:val="fr-FR"/>
        </w:rPr>
        <w:t>autres moyens adéquats</w:t>
      </w:r>
      <w:r w:rsidR="0087740A">
        <w:rPr>
          <w:i/>
          <w:iCs/>
          <w:lang w:val="fr-FR"/>
        </w:rPr>
        <w:t> </w:t>
      </w:r>
      <w:r w:rsidRPr="000D379C">
        <w:rPr>
          <w:i/>
          <w:iCs/>
          <w:lang w:val="fr-FR"/>
        </w:rPr>
        <w:t>;</w:t>
      </w:r>
      <w:r w:rsidRPr="000D379C">
        <w:rPr>
          <w:lang w:val="fr-FR"/>
        </w:rPr>
        <w:t xml:space="preserve"> </w:t>
      </w:r>
      <w:r w:rsidRPr="000D379C">
        <w:rPr>
          <w:i/>
          <w:iCs/>
          <w:lang w:val="fr-FR"/>
        </w:rPr>
        <w:t>ou</w:t>
      </w:r>
    </w:p>
    <w:p w14:paraId="577B67DF" w14:textId="72F0C426" w:rsidR="00291F6B" w:rsidRPr="00AE5856" w:rsidRDefault="00291F6B" w:rsidP="0087740A">
      <w:pPr>
        <w:pStyle w:val="SingleTxtG"/>
        <w:ind w:left="1701"/>
        <w:rPr>
          <w:i/>
          <w:iCs/>
          <w:lang w:val="fr-FR"/>
        </w:rPr>
      </w:pPr>
      <w:r w:rsidRPr="000D379C">
        <w:rPr>
          <w:i/>
          <w:iCs/>
          <w:lang w:val="fr-FR"/>
        </w:rPr>
        <w:t>b)</w:t>
      </w:r>
      <w:r w:rsidRPr="000D379C">
        <w:rPr>
          <w:lang w:val="fr-FR"/>
        </w:rPr>
        <w:tab/>
      </w:r>
      <w:r w:rsidR="0087740A">
        <w:rPr>
          <w:i/>
          <w:iCs/>
          <w:lang w:val="fr-FR"/>
        </w:rPr>
        <w:t>U</w:t>
      </w:r>
      <w:r w:rsidRPr="000D379C">
        <w:rPr>
          <w:i/>
          <w:iCs/>
          <w:lang w:val="fr-FR"/>
        </w:rPr>
        <w:t>n emballage extérieur de protection tel qu</w:t>
      </w:r>
      <w:r>
        <w:rPr>
          <w:i/>
          <w:iCs/>
          <w:lang w:val="fr-FR"/>
        </w:rPr>
        <w:t>’</w:t>
      </w:r>
      <w:r w:rsidRPr="000D379C">
        <w:rPr>
          <w:i/>
          <w:iCs/>
          <w:lang w:val="fr-FR"/>
        </w:rPr>
        <w:t>une caisse ou une harasse.</w:t>
      </w:r>
    </w:p>
    <w:p w14:paraId="344CC80E" w14:textId="1A2694A7" w:rsidR="00291F6B" w:rsidRPr="00AE5856" w:rsidRDefault="0087740A" w:rsidP="00691200">
      <w:pPr>
        <w:pStyle w:val="SingleTxtG"/>
        <w:rPr>
          <w:lang w:val="fr-FR"/>
        </w:rPr>
      </w:pPr>
      <w:r>
        <w:rPr>
          <w:lang w:val="fr-FR"/>
        </w:rPr>
        <w:t>6.</w:t>
      </w:r>
      <w:r>
        <w:rPr>
          <w:lang w:val="fr-FR"/>
        </w:rPr>
        <w:tab/>
      </w:r>
      <w:r w:rsidR="00291F6B" w:rsidRPr="000D379C">
        <w:rPr>
          <w:lang w:val="fr-FR"/>
        </w:rPr>
        <w:t>Dans les Instructions techniques de l</w:t>
      </w:r>
      <w:r w:rsidR="00291F6B">
        <w:rPr>
          <w:lang w:val="fr-FR"/>
        </w:rPr>
        <w:t>’</w:t>
      </w:r>
      <w:r w:rsidR="00291F6B" w:rsidRPr="000D379C">
        <w:rPr>
          <w:lang w:val="fr-FR"/>
        </w:rPr>
        <w:t>Organisation de l</w:t>
      </w:r>
      <w:r w:rsidR="00291F6B">
        <w:rPr>
          <w:lang w:val="fr-FR"/>
        </w:rPr>
        <w:t>’</w:t>
      </w:r>
      <w:r w:rsidR="00291F6B" w:rsidRPr="000D379C">
        <w:rPr>
          <w:lang w:val="fr-FR"/>
        </w:rPr>
        <w:t>aviation civile internationale (OACI), le Code maritime international des marchandises dangereuses (Code IMDG), le Règlement sur les matières dangereuses du Département des transports des États-Unis (US</w:t>
      </w:r>
      <w:r>
        <w:rPr>
          <w:lang w:val="fr-FR"/>
        </w:rPr>
        <w:t> </w:t>
      </w:r>
      <w:r w:rsidR="00291F6B" w:rsidRPr="000D379C">
        <w:rPr>
          <w:lang w:val="fr-FR"/>
        </w:rPr>
        <w:t>DOT</w:t>
      </w:r>
      <w:r>
        <w:rPr>
          <w:lang w:val="fr-FR"/>
        </w:rPr>
        <w:t> </w:t>
      </w:r>
      <w:r w:rsidR="00291F6B" w:rsidRPr="000D379C">
        <w:rPr>
          <w:lang w:val="fr-FR"/>
        </w:rPr>
        <w:t>49</w:t>
      </w:r>
      <w:r>
        <w:rPr>
          <w:lang w:val="fr-FR"/>
        </w:rPr>
        <w:t> </w:t>
      </w:r>
      <w:r w:rsidR="00291F6B" w:rsidRPr="000D379C">
        <w:rPr>
          <w:lang w:val="fr-FR"/>
        </w:rPr>
        <w:t xml:space="preserve">CFR) et le Règlement sur le transport des marchandises dangereuses de </w:t>
      </w:r>
      <w:r w:rsidR="00291F6B" w:rsidRPr="000D379C">
        <w:rPr>
          <w:lang w:val="fr-FR"/>
        </w:rPr>
        <w:lastRenderedPageBreak/>
        <w:t>Transports Canada, la définition d</w:t>
      </w:r>
      <w:r w:rsidR="00291F6B">
        <w:rPr>
          <w:lang w:val="fr-FR"/>
        </w:rPr>
        <w:t>’</w:t>
      </w:r>
      <w:r w:rsidR="00291F6B" w:rsidRPr="000D379C">
        <w:rPr>
          <w:lang w:val="fr-FR"/>
        </w:rPr>
        <w:t>un suremballage est la même que celle donnée dans le Règlement type.</w:t>
      </w:r>
    </w:p>
    <w:p w14:paraId="00A38619" w14:textId="6B4EFDE3" w:rsidR="00291F6B" w:rsidRPr="00AE5856" w:rsidRDefault="0087740A" w:rsidP="00691200">
      <w:pPr>
        <w:pStyle w:val="SingleTxtG"/>
        <w:rPr>
          <w:lang w:val="fr-FR"/>
        </w:rPr>
      </w:pPr>
      <w:r>
        <w:rPr>
          <w:lang w:val="fr-FR"/>
        </w:rPr>
        <w:t>7.</w:t>
      </w:r>
      <w:r>
        <w:rPr>
          <w:lang w:val="fr-FR"/>
        </w:rPr>
        <w:tab/>
      </w:r>
      <w:r w:rsidR="00291F6B" w:rsidRPr="00EE212C">
        <w:rPr>
          <w:lang w:val="fr-FR"/>
        </w:rPr>
        <w:t>Le COSTHA est d</w:t>
      </w:r>
      <w:r w:rsidR="00291F6B">
        <w:rPr>
          <w:lang w:val="fr-FR"/>
        </w:rPr>
        <w:t>’</w:t>
      </w:r>
      <w:r w:rsidR="00291F6B" w:rsidRPr="00EE212C">
        <w:rPr>
          <w:lang w:val="fr-FR"/>
        </w:rPr>
        <w:t>avis que les prescriptions du RID</w:t>
      </w:r>
      <w:r w:rsidR="00291F6B">
        <w:rPr>
          <w:lang w:val="fr-FR"/>
        </w:rPr>
        <w:t>, de l’</w:t>
      </w:r>
      <w:r w:rsidR="00291F6B" w:rsidRPr="00EE212C">
        <w:rPr>
          <w:lang w:val="fr-FR"/>
        </w:rPr>
        <w:t>ADR</w:t>
      </w:r>
      <w:r w:rsidR="00291F6B">
        <w:rPr>
          <w:lang w:val="fr-FR"/>
        </w:rPr>
        <w:t xml:space="preserve"> et de l’</w:t>
      </w:r>
      <w:r w:rsidR="00291F6B" w:rsidRPr="00EE212C">
        <w:rPr>
          <w:lang w:val="fr-FR"/>
        </w:rPr>
        <w:t>ADN ne sont pas harmonisées sur ce point et propose par conséquent d</w:t>
      </w:r>
      <w:r w:rsidR="00291F6B">
        <w:rPr>
          <w:lang w:val="fr-FR"/>
        </w:rPr>
        <w:t>’</w:t>
      </w:r>
      <w:r w:rsidR="00291F6B" w:rsidRPr="00EE212C">
        <w:rPr>
          <w:lang w:val="fr-FR"/>
        </w:rPr>
        <w:t>apporter les modifications suivantes aux Règlements pour contribuer à limiter les répercussions et faciliter le transport des colis de marchandises dangereuses en quantités limitées.</w:t>
      </w:r>
    </w:p>
    <w:p w14:paraId="1C5C2BB9" w14:textId="077B00AB" w:rsidR="00291F6B" w:rsidRPr="00AE5856" w:rsidRDefault="0087740A" w:rsidP="00691200">
      <w:pPr>
        <w:pStyle w:val="SingleTxtG"/>
        <w:rPr>
          <w:lang w:val="fr-FR"/>
        </w:rPr>
      </w:pPr>
      <w:r>
        <w:rPr>
          <w:lang w:val="fr-FR"/>
        </w:rPr>
        <w:t>8.</w:t>
      </w:r>
      <w:r>
        <w:rPr>
          <w:lang w:val="fr-FR"/>
        </w:rPr>
        <w:tab/>
      </w:r>
      <w:r w:rsidR="00291F6B" w:rsidRPr="000D379C">
        <w:rPr>
          <w:lang w:val="fr-FR"/>
        </w:rPr>
        <w:t>Le présent document est soumis à la Réunion commune en tant que document provisoire</w:t>
      </w:r>
      <w:r w:rsidR="00291F6B">
        <w:rPr>
          <w:lang w:val="fr-FR"/>
        </w:rPr>
        <w:t>,</w:t>
      </w:r>
      <w:r w:rsidR="00291F6B" w:rsidRPr="000D379C">
        <w:rPr>
          <w:lang w:val="fr-FR"/>
        </w:rPr>
        <w:t xml:space="preserve">  </w:t>
      </w:r>
      <w:r w:rsidR="00291F6B">
        <w:rPr>
          <w:lang w:val="fr-FR"/>
        </w:rPr>
        <w:t xml:space="preserve">parallèlement au </w:t>
      </w:r>
      <w:r w:rsidR="00291F6B" w:rsidRPr="000D379C">
        <w:rPr>
          <w:lang w:val="fr-FR"/>
        </w:rPr>
        <w:t>document ST/SG/AC.10/C.3/2022/27</w:t>
      </w:r>
      <w:r w:rsidR="00291F6B">
        <w:rPr>
          <w:lang w:val="fr-FR"/>
        </w:rPr>
        <w:t>,</w:t>
      </w:r>
      <w:r w:rsidR="00291F6B" w:rsidRPr="000D379C">
        <w:rPr>
          <w:lang w:val="fr-FR"/>
        </w:rPr>
        <w:t xml:space="preserve">  </w:t>
      </w:r>
      <w:r w:rsidR="00291F6B">
        <w:rPr>
          <w:lang w:val="fr-FR"/>
        </w:rPr>
        <w:t xml:space="preserve">qui doit être </w:t>
      </w:r>
      <w:r w:rsidR="00291F6B" w:rsidRPr="000D379C">
        <w:rPr>
          <w:lang w:val="fr-FR"/>
        </w:rPr>
        <w:t>présenté</w:t>
      </w:r>
      <w:r w:rsidR="00291F6B">
        <w:rPr>
          <w:lang w:val="fr-FR"/>
        </w:rPr>
        <w:t xml:space="preserve"> et </w:t>
      </w:r>
      <w:r w:rsidR="00291F6B" w:rsidRPr="000D379C">
        <w:rPr>
          <w:lang w:val="fr-FR"/>
        </w:rPr>
        <w:t>examiné à la soixantième session du Sous-Comité d</w:t>
      </w:r>
      <w:r w:rsidR="00291F6B">
        <w:rPr>
          <w:lang w:val="fr-FR"/>
        </w:rPr>
        <w:t>’</w:t>
      </w:r>
      <w:r w:rsidR="00291F6B" w:rsidRPr="000D379C">
        <w:rPr>
          <w:lang w:val="fr-FR"/>
        </w:rPr>
        <w:t xml:space="preserve">experts du transport des marchandises dangereuses (SCETMD). </w:t>
      </w:r>
      <w:r w:rsidR="00291F6B">
        <w:rPr>
          <w:lang w:val="fr-FR"/>
        </w:rPr>
        <w:t>On</w:t>
      </w:r>
      <w:r w:rsidR="00291F6B" w:rsidRPr="000D379C">
        <w:rPr>
          <w:lang w:val="fr-FR"/>
        </w:rPr>
        <w:t xml:space="preserve"> noter</w:t>
      </w:r>
      <w:r w:rsidR="00291F6B">
        <w:rPr>
          <w:lang w:val="fr-FR"/>
        </w:rPr>
        <w:t>a</w:t>
      </w:r>
      <w:r w:rsidR="00291F6B" w:rsidRPr="000D379C">
        <w:rPr>
          <w:lang w:val="fr-FR"/>
        </w:rPr>
        <w:t xml:space="preserve"> que les propositions ci-dessous sont indépendantes et  </w:t>
      </w:r>
      <w:r w:rsidR="00291F6B">
        <w:rPr>
          <w:lang w:val="fr-FR"/>
        </w:rPr>
        <w:t xml:space="preserve">pourraient </w:t>
      </w:r>
      <w:r w:rsidR="00291F6B" w:rsidRPr="000D379C">
        <w:rPr>
          <w:lang w:val="fr-FR"/>
        </w:rPr>
        <w:t>être modifiées après les débats au sein du SCETMD.</w:t>
      </w:r>
    </w:p>
    <w:p w14:paraId="17062C5B" w14:textId="11E8E4F9" w:rsidR="00291F6B" w:rsidRPr="000D379C" w:rsidRDefault="00691200" w:rsidP="00691200">
      <w:pPr>
        <w:pStyle w:val="HChG"/>
        <w:rPr>
          <w:sz w:val="32"/>
          <w:szCs w:val="32"/>
        </w:rPr>
      </w:pPr>
      <w:r>
        <w:rPr>
          <w:lang w:val="fr-FR"/>
        </w:rPr>
        <w:tab/>
      </w:r>
      <w:r>
        <w:rPr>
          <w:lang w:val="fr-FR"/>
        </w:rPr>
        <w:tab/>
      </w:r>
      <w:r w:rsidR="00291F6B" w:rsidRPr="000D379C">
        <w:rPr>
          <w:lang w:val="fr-FR"/>
        </w:rPr>
        <w:t>Propositions</w:t>
      </w:r>
    </w:p>
    <w:p w14:paraId="62E05D5C" w14:textId="630A91B0" w:rsidR="00291F6B" w:rsidRPr="0087740A" w:rsidRDefault="00691200" w:rsidP="0087740A">
      <w:pPr>
        <w:pStyle w:val="SingleTxtG"/>
        <w:rPr>
          <w:u w:val="single"/>
        </w:rPr>
      </w:pPr>
      <w:r>
        <w:rPr>
          <w:lang w:val="fr-FR"/>
        </w:rPr>
        <w:tab/>
      </w:r>
      <w:r w:rsidR="00291F6B" w:rsidRPr="0087740A">
        <w:rPr>
          <w:u w:val="single"/>
          <w:lang w:val="fr-FR"/>
        </w:rPr>
        <w:t>Option 1</w:t>
      </w:r>
    </w:p>
    <w:p w14:paraId="546A80C1" w14:textId="4352390B" w:rsidR="00291F6B" w:rsidRPr="00AE5856" w:rsidRDefault="0087740A" w:rsidP="00691200">
      <w:pPr>
        <w:pStyle w:val="SingleTxtG"/>
        <w:rPr>
          <w:lang w:val="fr-FR"/>
        </w:rPr>
      </w:pPr>
      <w:r>
        <w:rPr>
          <w:lang w:val="fr-FR"/>
        </w:rPr>
        <w:t>9.</w:t>
      </w:r>
      <w:r>
        <w:rPr>
          <w:lang w:val="fr-FR"/>
        </w:rPr>
        <w:tab/>
      </w:r>
      <w:r w:rsidR="00291F6B" w:rsidRPr="000D379C">
        <w:rPr>
          <w:lang w:val="fr-FR"/>
        </w:rPr>
        <w:t>Au 1.2.1 du RID</w:t>
      </w:r>
      <w:r w:rsidR="00291F6B">
        <w:rPr>
          <w:lang w:val="fr-FR"/>
        </w:rPr>
        <w:t>, de l’</w:t>
      </w:r>
      <w:r w:rsidR="00291F6B" w:rsidRPr="000D379C">
        <w:rPr>
          <w:lang w:val="fr-FR"/>
        </w:rPr>
        <w:t>ADR</w:t>
      </w:r>
      <w:r w:rsidR="00291F6B">
        <w:rPr>
          <w:lang w:val="fr-FR"/>
        </w:rPr>
        <w:t xml:space="preserve"> et de l’</w:t>
      </w:r>
      <w:r w:rsidR="00291F6B" w:rsidRPr="000D379C">
        <w:rPr>
          <w:lang w:val="fr-FR"/>
        </w:rPr>
        <w:t xml:space="preserve">ADN, modifier la définition du terme </w:t>
      </w:r>
      <w:r>
        <w:rPr>
          <w:lang w:val="fr-FR"/>
        </w:rPr>
        <w:t>« </w:t>
      </w:r>
      <w:r w:rsidR="00291F6B" w:rsidRPr="000D379C">
        <w:rPr>
          <w:lang w:val="fr-FR"/>
        </w:rPr>
        <w:t>suremballage</w:t>
      </w:r>
      <w:r>
        <w:rPr>
          <w:lang w:val="fr-FR"/>
        </w:rPr>
        <w:t> »</w:t>
      </w:r>
      <w:r w:rsidR="00291F6B" w:rsidRPr="000D379C">
        <w:rPr>
          <w:lang w:val="fr-FR"/>
        </w:rPr>
        <w:t xml:space="preserve"> de manière à l</w:t>
      </w:r>
      <w:r w:rsidR="00291F6B">
        <w:rPr>
          <w:lang w:val="fr-FR"/>
        </w:rPr>
        <w:t>’</w:t>
      </w:r>
      <w:r w:rsidR="00291F6B" w:rsidRPr="000D379C">
        <w:rPr>
          <w:lang w:val="fr-FR"/>
        </w:rPr>
        <w:t>harmoniser avec celle du Règlement type de l</w:t>
      </w:r>
      <w:r w:rsidR="00291F6B">
        <w:rPr>
          <w:lang w:val="fr-FR"/>
        </w:rPr>
        <w:t>’</w:t>
      </w:r>
      <w:r w:rsidR="00291F6B" w:rsidRPr="000D379C">
        <w:rPr>
          <w:lang w:val="fr-FR"/>
        </w:rPr>
        <w:t>ONU (voir paragraphe</w:t>
      </w:r>
      <w:r>
        <w:rPr>
          <w:lang w:val="fr-FR"/>
        </w:rPr>
        <w:t> </w:t>
      </w:r>
      <w:r w:rsidR="00291F6B" w:rsidRPr="000D379C">
        <w:rPr>
          <w:lang w:val="fr-FR"/>
        </w:rPr>
        <w:t>3 ci-dessus).</w:t>
      </w:r>
    </w:p>
    <w:p w14:paraId="14DA44AE" w14:textId="7C4969E5" w:rsidR="00291F6B" w:rsidRPr="00AE5856" w:rsidRDefault="0087740A" w:rsidP="0087740A">
      <w:pPr>
        <w:pStyle w:val="SingleTxtG"/>
        <w:ind w:left="1701"/>
        <w:rPr>
          <w:i/>
          <w:iCs/>
          <w:lang w:val="fr-FR"/>
        </w:rPr>
      </w:pPr>
      <w:r>
        <w:rPr>
          <w:lang w:val="fr-FR"/>
        </w:rPr>
        <w:t>« </w:t>
      </w:r>
      <w:r w:rsidR="00291F6B" w:rsidRPr="000D379C">
        <w:rPr>
          <w:lang w:val="fr-FR"/>
        </w:rPr>
        <w:t xml:space="preserve">On entend par </w:t>
      </w:r>
      <w:r>
        <w:rPr>
          <w:lang w:val="fr-FR"/>
        </w:rPr>
        <w:t>“</w:t>
      </w:r>
      <w:r w:rsidR="00291F6B" w:rsidRPr="000D379C">
        <w:rPr>
          <w:lang w:val="fr-FR"/>
        </w:rPr>
        <w:t>suremballage</w:t>
      </w:r>
      <w:r>
        <w:rPr>
          <w:lang w:val="fr-FR"/>
        </w:rPr>
        <w:t>ˮ</w:t>
      </w:r>
      <w:r w:rsidR="00291F6B" w:rsidRPr="000D379C">
        <w:rPr>
          <w:lang w:val="fr-FR"/>
        </w:rPr>
        <w:t xml:space="preserve"> </w:t>
      </w:r>
      <w:r w:rsidR="00291F6B" w:rsidRPr="0081672E">
        <w:rPr>
          <w:i/>
          <w:iCs/>
          <w:lang w:val="fr-FR"/>
        </w:rPr>
        <w:t xml:space="preserve">une enveloppe utilisée </w:t>
      </w:r>
      <w:r w:rsidR="00291F6B" w:rsidRPr="0081672E">
        <w:rPr>
          <w:i/>
          <w:iCs/>
          <w:strike/>
          <w:lang w:val="fr-FR"/>
        </w:rPr>
        <w:t>(dans le cas des matières radioactives,</w:t>
      </w:r>
      <w:r w:rsidR="00291F6B" w:rsidRPr="0081672E">
        <w:rPr>
          <w:i/>
          <w:iCs/>
          <w:lang w:val="fr-FR"/>
        </w:rPr>
        <w:t xml:space="preserve"> par un même expéditeur</w:t>
      </w:r>
      <w:r w:rsidR="00291F6B" w:rsidRPr="0081672E">
        <w:rPr>
          <w:i/>
          <w:iCs/>
          <w:strike/>
          <w:lang w:val="fr-FR"/>
        </w:rPr>
        <w:t xml:space="preserve">) </w:t>
      </w:r>
      <w:r w:rsidR="00291F6B" w:rsidRPr="0081672E">
        <w:rPr>
          <w:i/>
          <w:iCs/>
          <w:lang w:val="fr-FR"/>
        </w:rPr>
        <w:t xml:space="preserve">pour contenir un ou plusieurs colis et en faire une unité plus facile à manutentionner et à arrimer au cours du transport. </w:t>
      </w:r>
      <w:r w:rsidR="00291F6B" w:rsidRPr="000D379C">
        <w:rPr>
          <w:i/>
          <w:iCs/>
          <w:lang w:val="fr-FR"/>
        </w:rPr>
        <w:t>Exemples de suremballages</w:t>
      </w:r>
      <w:r>
        <w:rPr>
          <w:i/>
          <w:iCs/>
          <w:lang w:val="fr-FR"/>
        </w:rPr>
        <w:t> </w:t>
      </w:r>
      <w:r w:rsidR="00291F6B" w:rsidRPr="000D379C">
        <w:rPr>
          <w:i/>
          <w:iCs/>
          <w:lang w:val="fr-FR"/>
        </w:rPr>
        <w:t>:</w:t>
      </w:r>
    </w:p>
    <w:p w14:paraId="14899584" w14:textId="5597202B" w:rsidR="00291F6B" w:rsidRPr="00AE5856" w:rsidRDefault="00291F6B" w:rsidP="0087740A">
      <w:pPr>
        <w:pStyle w:val="SingleTxtG"/>
        <w:ind w:left="1701"/>
        <w:rPr>
          <w:i/>
          <w:iCs/>
          <w:lang w:val="fr-FR"/>
        </w:rPr>
      </w:pPr>
      <w:r w:rsidRPr="000D379C">
        <w:rPr>
          <w:i/>
          <w:iCs/>
          <w:lang w:val="fr-FR"/>
        </w:rPr>
        <w:t>a)</w:t>
      </w:r>
      <w:r w:rsidRPr="000D379C">
        <w:rPr>
          <w:lang w:val="fr-FR"/>
        </w:rPr>
        <w:tab/>
      </w:r>
      <w:r w:rsidR="0087740A">
        <w:rPr>
          <w:i/>
          <w:iCs/>
          <w:lang w:val="fr-FR"/>
        </w:rPr>
        <w:t>U</w:t>
      </w:r>
      <w:r w:rsidRPr="000D379C">
        <w:rPr>
          <w:i/>
          <w:iCs/>
          <w:lang w:val="fr-FR"/>
        </w:rPr>
        <w:t>n plateau de chargement, tel qu</w:t>
      </w:r>
      <w:r>
        <w:rPr>
          <w:i/>
          <w:iCs/>
          <w:lang w:val="fr-FR"/>
        </w:rPr>
        <w:t>’</w:t>
      </w:r>
      <w:r w:rsidRPr="000D379C">
        <w:rPr>
          <w:i/>
          <w:iCs/>
          <w:lang w:val="fr-FR"/>
        </w:rPr>
        <w:t>une palette sur laquelle plusieurs colis sont placés ou gerbés et assujettis par une bande de plastique, une housse de film rétractable ou étirable ou par d</w:t>
      </w:r>
      <w:r>
        <w:rPr>
          <w:i/>
          <w:iCs/>
          <w:lang w:val="fr-FR"/>
        </w:rPr>
        <w:t>’</w:t>
      </w:r>
      <w:r w:rsidRPr="000D379C">
        <w:rPr>
          <w:i/>
          <w:iCs/>
          <w:lang w:val="fr-FR"/>
        </w:rPr>
        <w:t>autres moyens adéquats</w:t>
      </w:r>
      <w:r w:rsidR="0087740A">
        <w:rPr>
          <w:i/>
          <w:iCs/>
          <w:lang w:val="fr-FR"/>
        </w:rPr>
        <w:t> </w:t>
      </w:r>
      <w:r w:rsidRPr="000D379C">
        <w:rPr>
          <w:i/>
          <w:iCs/>
          <w:lang w:val="fr-FR"/>
        </w:rPr>
        <w:t>;</w:t>
      </w:r>
      <w:r w:rsidRPr="000D379C">
        <w:rPr>
          <w:lang w:val="fr-FR"/>
        </w:rPr>
        <w:t xml:space="preserve"> </w:t>
      </w:r>
      <w:r w:rsidRPr="000D379C">
        <w:rPr>
          <w:i/>
          <w:iCs/>
          <w:lang w:val="fr-FR"/>
        </w:rPr>
        <w:t>ou</w:t>
      </w:r>
    </w:p>
    <w:p w14:paraId="7D39954F" w14:textId="2454D4DF" w:rsidR="00291F6B" w:rsidRPr="00AE5856" w:rsidRDefault="00291F6B" w:rsidP="0087740A">
      <w:pPr>
        <w:pStyle w:val="SingleTxtG"/>
        <w:ind w:left="1701"/>
        <w:rPr>
          <w:i/>
          <w:iCs/>
          <w:lang w:val="fr-FR"/>
        </w:rPr>
      </w:pPr>
      <w:r w:rsidRPr="000D379C">
        <w:rPr>
          <w:i/>
          <w:iCs/>
          <w:lang w:val="fr-FR"/>
        </w:rPr>
        <w:t>b)</w:t>
      </w:r>
      <w:r w:rsidRPr="000D379C">
        <w:rPr>
          <w:lang w:val="fr-FR"/>
        </w:rPr>
        <w:tab/>
      </w:r>
      <w:r w:rsidR="0087740A">
        <w:rPr>
          <w:i/>
          <w:iCs/>
          <w:lang w:val="fr-FR"/>
        </w:rPr>
        <w:t>U</w:t>
      </w:r>
      <w:r w:rsidRPr="00DD7239">
        <w:rPr>
          <w:i/>
          <w:iCs/>
          <w:lang w:val="fr-FR"/>
        </w:rPr>
        <w:t>n emballage extérieur de protection tel qu</w:t>
      </w:r>
      <w:r>
        <w:rPr>
          <w:i/>
          <w:iCs/>
          <w:lang w:val="fr-FR"/>
        </w:rPr>
        <w:t>’</w:t>
      </w:r>
      <w:r w:rsidRPr="00DD7239">
        <w:rPr>
          <w:i/>
          <w:iCs/>
          <w:lang w:val="fr-FR"/>
        </w:rPr>
        <w:t>une caisse ou une harasse.</w:t>
      </w:r>
      <w:r w:rsidR="0087740A">
        <w:rPr>
          <w:lang w:val="fr-FR"/>
        </w:rPr>
        <w:t> »</w:t>
      </w:r>
      <w:r>
        <w:rPr>
          <w:lang w:val="fr-FR"/>
        </w:rPr>
        <w:t>.</w:t>
      </w:r>
    </w:p>
    <w:p w14:paraId="2521E5EC" w14:textId="26B7DC9A" w:rsidR="00291F6B" w:rsidRPr="0087740A" w:rsidRDefault="00691200" w:rsidP="0087740A">
      <w:pPr>
        <w:pStyle w:val="SingleTxtG"/>
        <w:rPr>
          <w:u w:val="single"/>
        </w:rPr>
      </w:pPr>
      <w:r w:rsidRPr="0087740A">
        <w:rPr>
          <w:u w:val="single"/>
          <w:lang w:val="fr-FR"/>
        </w:rPr>
        <w:tab/>
      </w:r>
      <w:r w:rsidR="00291F6B" w:rsidRPr="0087740A">
        <w:rPr>
          <w:u w:val="single"/>
          <w:lang w:val="fr-FR"/>
        </w:rPr>
        <w:t>Option 2</w:t>
      </w:r>
    </w:p>
    <w:p w14:paraId="207E49B5" w14:textId="7A24567B" w:rsidR="00291F6B" w:rsidRPr="00AE5856" w:rsidRDefault="0087740A" w:rsidP="00691200">
      <w:pPr>
        <w:pStyle w:val="SingleTxtG"/>
        <w:rPr>
          <w:lang w:val="fr-FR"/>
        </w:rPr>
      </w:pPr>
      <w:r>
        <w:rPr>
          <w:lang w:val="fr-FR"/>
        </w:rPr>
        <w:t>10.</w:t>
      </w:r>
      <w:r>
        <w:rPr>
          <w:lang w:val="fr-FR"/>
        </w:rPr>
        <w:tab/>
      </w:r>
      <w:r w:rsidR="00291F6B" w:rsidRPr="000D379C">
        <w:rPr>
          <w:lang w:val="fr-FR"/>
        </w:rPr>
        <w:t>Modifier le 3.4.11 du RID</w:t>
      </w:r>
      <w:r w:rsidR="00291F6B">
        <w:rPr>
          <w:lang w:val="fr-FR"/>
        </w:rPr>
        <w:t>, de l’</w:t>
      </w:r>
      <w:r w:rsidR="00291F6B" w:rsidRPr="000D379C">
        <w:rPr>
          <w:lang w:val="fr-FR"/>
        </w:rPr>
        <w:t>ADR</w:t>
      </w:r>
      <w:r w:rsidR="00291F6B">
        <w:rPr>
          <w:lang w:val="fr-FR"/>
        </w:rPr>
        <w:t xml:space="preserve"> et de l’</w:t>
      </w:r>
      <w:r w:rsidR="00291F6B" w:rsidRPr="000D379C">
        <w:rPr>
          <w:lang w:val="fr-FR"/>
        </w:rPr>
        <w:t>ADN comme suit (les ajouts sont soulignés, les suppressions sont biffées)</w:t>
      </w:r>
      <w:r>
        <w:rPr>
          <w:lang w:val="fr-FR"/>
        </w:rPr>
        <w:t> </w:t>
      </w:r>
      <w:r w:rsidR="00291F6B" w:rsidRPr="000D379C">
        <w:rPr>
          <w:lang w:val="fr-FR"/>
        </w:rPr>
        <w:t>:</w:t>
      </w:r>
    </w:p>
    <w:p w14:paraId="27DE565C" w14:textId="5668239A" w:rsidR="00291F6B" w:rsidRPr="00AE5856" w:rsidRDefault="0087740A" w:rsidP="0087740A">
      <w:pPr>
        <w:pStyle w:val="SingleTxtG"/>
        <w:ind w:left="1701"/>
        <w:rPr>
          <w:lang w:val="fr-FR"/>
        </w:rPr>
      </w:pPr>
      <w:r>
        <w:rPr>
          <w:lang w:val="fr-FR"/>
        </w:rPr>
        <w:t>« </w:t>
      </w:r>
      <w:r w:rsidR="00291F6B" w:rsidRPr="000D379C">
        <w:rPr>
          <w:lang w:val="fr-FR"/>
        </w:rPr>
        <w:t>3.4.11</w:t>
      </w:r>
      <w:r w:rsidR="00291F6B" w:rsidRPr="000D379C">
        <w:rPr>
          <w:lang w:val="fr-FR"/>
        </w:rPr>
        <w:tab/>
        <w:t>Utilisation des suremballages</w:t>
      </w:r>
    </w:p>
    <w:p w14:paraId="17A3C457" w14:textId="77777777" w:rsidR="00291F6B" w:rsidRPr="00AE5856" w:rsidRDefault="00291F6B" w:rsidP="0087740A">
      <w:pPr>
        <w:pStyle w:val="SingleTxtG"/>
        <w:ind w:left="1701"/>
        <w:rPr>
          <w:lang w:val="fr-FR"/>
        </w:rPr>
      </w:pPr>
      <w:r w:rsidRPr="000D379C">
        <w:rPr>
          <w:lang w:val="fr-FR"/>
        </w:rPr>
        <w:t>Les dispositions suivantes s</w:t>
      </w:r>
      <w:r>
        <w:rPr>
          <w:lang w:val="fr-FR"/>
        </w:rPr>
        <w:t>’</w:t>
      </w:r>
      <w:r w:rsidRPr="000D379C">
        <w:rPr>
          <w:lang w:val="fr-FR"/>
        </w:rPr>
        <w:t>appliquent pour un suremballage contenant des marchandises dangereuses emballées en quantités limitées :</w:t>
      </w:r>
    </w:p>
    <w:p w14:paraId="00B00AF0" w14:textId="77777777" w:rsidR="00291F6B" w:rsidRPr="00AE5856" w:rsidRDefault="00291F6B" w:rsidP="0087740A">
      <w:pPr>
        <w:pStyle w:val="SingleTxtG"/>
        <w:ind w:left="1701"/>
        <w:rPr>
          <w:lang w:val="fr-FR"/>
        </w:rPr>
      </w:pPr>
      <w:r w:rsidRPr="000D379C">
        <w:rPr>
          <w:lang w:val="fr-FR"/>
        </w:rPr>
        <w:t>À moins que les marques représentatives de toutes les marchandises dangereuses contenues dans le suremballage soient visibles, celui-ci doit :</w:t>
      </w:r>
    </w:p>
    <w:p w14:paraId="7CA037AE" w14:textId="2B21DAAF" w:rsidR="00291F6B" w:rsidRPr="00AE5856" w:rsidRDefault="0087740A" w:rsidP="0087740A">
      <w:pPr>
        <w:pStyle w:val="SingleTxtG"/>
        <w:ind w:left="2268" w:hanging="567"/>
        <w:rPr>
          <w:lang w:val="fr-FR"/>
        </w:rPr>
      </w:pPr>
      <w:r>
        <w:rPr>
          <w:lang w:val="fr-FR"/>
        </w:rPr>
        <w:t>−</w:t>
      </w:r>
      <w:r>
        <w:rPr>
          <w:lang w:val="fr-FR"/>
        </w:rPr>
        <w:tab/>
      </w:r>
      <w:r w:rsidR="00291F6B" w:rsidRPr="000D379C">
        <w:rPr>
          <w:lang w:val="fr-FR"/>
        </w:rPr>
        <w:t xml:space="preserve">Porter une marque indiquant le mot </w:t>
      </w:r>
      <w:r>
        <w:rPr>
          <w:lang w:val="fr-FR"/>
        </w:rPr>
        <w:t>“</w:t>
      </w:r>
      <w:r w:rsidR="00291F6B" w:rsidRPr="000D379C">
        <w:rPr>
          <w:lang w:val="fr-FR"/>
        </w:rPr>
        <w:t>SUREMBALLAGE</w:t>
      </w:r>
      <w:r>
        <w:rPr>
          <w:lang w:val="fr-FR"/>
        </w:rPr>
        <w:t>ˮ</w:t>
      </w:r>
      <w:r w:rsidR="00291F6B" w:rsidRPr="000D379C">
        <w:rPr>
          <w:lang w:val="fr-FR"/>
        </w:rPr>
        <w:t>. Les lettres de la marque “SUREMBALLAGE” doivent mesurer au moins 12</w:t>
      </w:r>
      <w:r>
        <w:rPr>
          <w:lang w:val="fr-FR"/>
        </w:rPr>
        <w:t> </w:t>
      </w:r>
      <w:r w:rsidR="00291F6B" w:rsidRPr="000D379C">
        <w:rPr>
          <w:lang w:val="fr-FR"/>
        </w:rPr>
        <w:t>mm de hauteur. La marque doit être dans une langue officielle du pays d</w:t>
      </w:r>
      <w:r w:rsidR="00291F6B">
        <w:rPr>
          <w:lang w:val="fr-FR"/>
        </w:rPr>
        <w:t>’</w:t>
      </w:r>
      <w:r w:rsidR="00291F6B" w:rsidRPr="000D379C">
        <w:rPr>
          <w:lang w:val="fr-FR"/>
        </w:rPr>
        <w:t>origine et également, si cette langue n</w:t>
      </w:r>
      <w:r w:rsidR="00291F6B">
        <w:rPr>
          <w:lang w:val="fr-FR"/>
        </w:rPr>
        <w:t>’</w:t>
      </w:r>
      <w:r w:rsidR="00291F6B" w:rsidRPr="000D379C">
        <w:rPr>
          <w:lang w:val="fr-FR"/>
        </w:rPr>
        <w:t>est pas l</w:t>
      </w:r>
      <w:r w:rsidR="00291F6B">
        <w:rPr>
          <w:lang w:val="fr-FR"/>
        </w:rPr>
        <w:t>’</w:t>
      </w:r>
      <w:r w:rsidR="00291F6B" w:rsidRPr="000D379C">
        <w:rPr>
          <w:lang w:val="fr-FR"/>
        </w:rPr>
        <w:t>anglais, le français ou l</w:t>
      </w:r>
      <w:r w:rsidR="00291F6B">
        <w:rPr>
          <w:lang w:val="fr-FR"/>
        </w:rPr>
        <w:t>’</w:t>
      </w:r>
      <w:r w:rsidR="00291F6B" w:rsidRPr="000D379C">
        <w:rPr>
          <w:lang w:val="fr-FR"/>
        </w:rPr>
        <w:t>allemand, en anglais, français ou allemand à moins que des accords conclus entre les pays intéressés au transport, s</w:t>
      </w:r>
      <w:r w:rsidR="00291F6B">
        <w:rPr>
          <w:lang w:val="fr-FR"/>
        </w:rPr>
        <w:t>’</w:t>
      </w:r>
      <w:r w:rsidR="00291F6B" w:rsidRPr="000D379C">
        <w:rPr>
          <w:lang w:val="fr-FR"/>
        </w:rPr>
        <w:t>il en existe, n</w:t>
      </w:r>
      <w:r w:rsidR="00291F6B">
        <w:rPr>
          <w:lang w:val="fr-FR"/>
        </w:rPr>
        <w:t>’</w:t>
      </w:r>
      <w:r w:rsidR="00291F6B" w:rsidRPr="000D379C">
        <w:rPr>
          <w:lang w:val="fr-FR"/>
        </w:rPr>
        <w:t>en disposent autrement ; et</w:t>
      </w:r>
    </w:p>
    <w:p w14:paraId="29850BA5" w14:textId="30F3E367" w:rsidR="00291F6B" w:rsidRPr="00AE5856" w:rsidRDefault="0087740A" w:rsidP="0087740A">
      <w:pPr>
        <w:pStyle w:val="SingleTxtG"/>
        <w:ind w:left="2268" w:hanging="567"/>
        <w:rPr>
          <w:lang w:val="fr-FR"/>
        </w:rPr>
      </w:pPr>
      <w:r>
        <w:rPr>
          <w:lang w:val="fr-FR"/>
        </w:rPr>
        <w:t>−</w:t>
      </w:r>
      <w:r>
        <w:rPr>
          <w:lang w:val="fr-FR"/>
        </w:rPr>
        <w:tab/>
      </w:r>
      <w:r w:rsidR="00291F6B" w:rsidRPr="000D379C">
        <w:rPr>
          <w:lang w:val="fr-FR"/>
        </w:rPr>
        <w:t>Porter les marques requises dans le présent chapitre.</w:t>
      </w:r>
    </w:p>
    <w:p w14:paraId="701C7A80" w14:textId="77777777" w:rsidR="00291F6B" w:rsidRPr="00AE5856" w:rsidRDefault="00291F6B" w:rsidP="0087740A">
      <w:pPr>
        <w:pStyle w:val="SingleTxtG"/>
        <w:ind w:left="1701"/>
        <w:rPr>
          <w:lang w:val="fr-FR"/>
        </w:rPr>
      </w:pPr>
      <w:r w:rsidRPr="000D379C">
        <w:rPr>
          <w:lang w:val="fr-FR"/>
        </w:rPr>
        <w:t>Sauf dans le cas du transport aérien, les autres dispositions énoncées au 5.1.2.1 sont applicables uniquement si d</w:t>
      </w:r>
      <w:r>
        <w:rPr>
          <w:lang w:val="fr-FR"/>
        </w:rPr>
        <w:t>’</w:t>
      </w:r>
      <w:r w:rsidRPr="000D379C">
        <w:rPr>
          <w:lang w:val="fr-FR"/>
        </w:rPr>
        <w:t>autres marchandises dangereuses, qui ne sont pas emballées en quantités limitées, sont contenues dans le suremballage. Ces dispositions s</w:t>
      </w:r>
      <w:r>
        <w:rPr>
          <w:lang w:val="fr-FR"/>
        </w:rPr>
        <w:t>’</w:t>
      </w:r>
      <w:r w:rsidRPr="000D379C">
        <w:rPr>
          <w:lang w:val="fr-FR"/>
        </w:rPr>
        <w:t>appliquent alors uniquement en relation avec ces autres marchandises dangereuses.</w:t>
      </w:r>
    </w:p>
    <w:p w14:paraId="0F947E3C" w14:textId="2961BD84" w:rsidR="00291F6B" w:rsidRPr="00AE5856" w:rsidRDefault="00291F6B" w:rsidP="0087740A">
      <w:pPr>
        <w:pStyle w:val="SingleTxtG"/>
        <w:ind w:left="1701"/>
        <w:rPr>
          <w:u w:val="single"/>
          <w:lang w:val="fr-FR"/>
        </w:rPr>
      </w:pPr>
      <w:r w:rsidRPr="00183784">
        <w:rPr>
          <w:u w:val="single"/>
          <w:lang w:val="fr-FR"/>
        </w:rPr>
        <w:t>Pour le transport intérieur uniquement, dans le cas où le transporteur prépare le suremballage, ces prescriptions de marquage ne s</w:t>
      </w:r>
      <w:r>
        <w:rPr>
          <w:u w:val="single"/>
          <w:lang w:val="fr-FR"/>
        </w:rPr>
        <w:t>’</w:t>
      </w:r>
      <w:r w:rsidRPr="00183784">
        <w:rPr>
          <w:u w:val="single"/>
          <w:lang w:val="fr-FR"/>
        </w:rPr>
        <w:t>appliquent pas si le suremballage ne contient pas plus de [XX] colis de marchandises dangereuses emballées en quantités limitées.</w:t>
      </w:r>
      <w:r w:rsidR="0087740A">
        <w:rPr>
          <w:lang w:val="fr-FR"/>
        </w:rPr>
        <w:t> »</w:t>
      </w:r>
      <w:r>
        <w:rPr>
          <w:lang w:val="fr-FR"/>
        </w:rPr>
        <w:t>.</w:t>
      </w:r>
    </w:p>
    <w:p w14:paraId="4EBB6F7B" w14:textId="2FD2B908" w:rsidR="00291F6B" w:rsidRPr="00AE5856" w:rsidRDefault="0087740A" w:rsidP="00691200">
      <w:pPr>
        <w:pStyle w:val="SingleTxtG"/>
        <w:rPr>
          <w:lang w:val="fr-FR"/>
        </w:rPr>
      </w:pPr>
      <w:r>
        <w:rPr>
          <w:lang w:val="fr-FR"/>
        </w:rPr>
        <w:lastRenderedPageBreak/>
        <w:t>11.</w:t>
      </w:r>
      <w:r>
        <w:rPr>
          <w:lang w:val="fr-FR"/>
        </w:rPr>
        <w:tab/>
      </w:r>
      <w:r w:rsidR="00291F6B" w:rsidRPr="000D379C">
        <w:rPr>
          <w:lang w:val="fr-FR"/>
        </w:rPr>
        <w:t>Modifier le 3.5.4.3 du RID</w:t>
      </w:r>
      <w:r w:rsidR="00291F6B">
        <w:rPr>
          <w:lang w:val="fr-FR"/>
        </w:rPr>
        <w:t>, de l’</w:t>
      </w:r>
      <w:r w:rsidR="00291F6B" w:rsidRPr="000D379C">
        <w:rPr>
          <w:lang w:val="fr-FR"/>
        </w:rPr>
        <w:t>ADR</w:t>
      </w:r>
      <w:r w:rsidR="00291F6B">
        <w:rPr>
          <w:lang w:val="fr-FR"/>
        </w:rPr>
        <w:t xml:space="preserve"> et de l’</w:t>
      </w:r>
      <w:r w:rsidR="00291F6B" w:rsidRPr="000D379C">
        <w:rPr>
          <w:lang w:val="fr-FR"/>
        </w:rPr>
        <w:t>ADN comme suit (les ajouts sont soulignés)</w:t>
      </w:r>
      <w:r w:rsidR="00291F6B">
        <w:rPr>
          <w:lang w:val="fr-FR"/>
        </w:rPr>
        <w:t> </w:t>
      </w:r>
      <w:r w:rsidR="00291F6B" w:rsidRPr="000D379C">
        <w:rPr>
          <w:lang w:val="fr-FR"/>
        </w:rPr>
        <w:t>:</w:t>
      </w:r>
    </w:p>
    <w:p w14:paraId="07B0978E" w14:textId="310809E0" w:rsidR="00291F6B" w:rsidRPr="00AE5856" w:rsidRDefault="0087740A" w:rsidP="0087740A">
      <w:pPr>
        <w:pStyle w:val="SingleTxtG"/>
        <w:ind w:left="1701"/>
        <w:rPr>
          <w:lang w:val="fr-FR"/>
        </w:rPr>
      </w:pPr>
      <w:r>
        <w:rPr>
          <w:lang w:val="fr-FR"/>
        </w:rPr>
        <w:t>« </w:t>
      </w:r>
      <w:r w:rsidR="00291F6B" w:rsidRPr="000D379C">
        <w:rPr>
          <w:lang w:val="fr-FR"/>
        </w:rPr>
        <w:t>3.5.4.3</w:t>
      </w:r>
      <w:r>
        <w:rPr>
          <w:lang w:val="fr-FR"/>
        </w:rPr>
        <w:tab/>
      </w:r>
      <w:r w:rsidR="00291F6B" w:rsidRPr="000D379C">
        <w:rPr>
          <w:lang w:val="fr-FR"/>
        </w:rPr>
        <w:t>Utilisation des suremballages</w:t>
      </w:r>
    </w:p>
    <w:p w14:paraId="1CB2DC35" w14:textId="774636D2" w:rsidR="00291F6B" w:rsidRPr="00AE5856" w:rsidRDefault="00291F6B" w:rsidP="0087740A">
      <w:pPr>
        <w:pStyle w:val="SingleTxtG"/>
        <w:ind w:left="1701"/>
        <w:rPr>
          <w:lang w:val="fr-FR"/>
        </w:rPr>
      </w:pPr>
      <w:r w:rsidRPr="000D379C">
        <w:rPr>
          <w:lang w:val="fr-FR"/>
        </w:rPr>
        <w:t>Les dispositions suivantes s</w:t>
      </w:r>
      <w:r>
        <w:rPr>
          <w:lang w:val="fr-FR"/>
        </w:rPr>
        <w:t>’</w:t>
      </w:r>
      <w:r w:rsidRPr="000D379C">
        <w:rPr>
          <w:lang w:val="fr-FR"/>
        </w:rPr>
        <w:t>appliquent pour un suremballage contenant des marchandises dangereuses emballées en quantités exceptées</w:t>
      </w:r>
      <w:r w:rsidR="0087740A">
        <w:rPr>
          <w:lang w:val="fr-FR"/>
        </w:rPr>
        <w:t> </w:t>
      </w:r>
      <w:r w:rsidRPr="000D379C">
        <w:rPr>
          <w:lang w:val="fr-FR"/>
        </w:rPr>
        <w:t>:</w:t>
      </w:r>
    </w:p>
    <w:p w14:paraId="14B6AAE2" w14:textId="5BB20183" w:rsidR="00291F6B" w:rsidRPr="00AE5856" w:rsidRDefault="00291F6B" w:rsidP="0087740A">
      <w:pPr>
        <w:pStyle w:val="SingleTxtG"/>
        <w:ind w:left="1701"/>
        <w:rPr>
          <w:lang w:val="fr-FR"/>
        </w:rPr>
      </w:pPr>
      <w:r w:rsidRPr="000D379C">
        <w:rPr>
          <w:lang w:val="fr-FR"/>
        </w:rPr>
        <w:t>À moins que les marques représentatives de toutes les marchandises dangereuses contenues dans le suremballage soient visibles, celui-ci doit</w:t>
      </w:r>
      <w:r w:rsidR="0087740A">
        <w:rPr>
          <w:lang w:val="fr-FR"/>
        </w:rPr>
        <w:t> </w:t>
      </w:r>
      <w:r w:rsidRPr="000D379C">
        <w:rPr>
          <w:lang w:val="fr-FR"/>
        </w:rPr>
        <w:t>:</w:t>
      </w:r>
    </w:p>
    <w:p w14:paraId="3EC65A79" w14:textId="1BE86692" w:rsidR="00291F6B" w:rsidRPr="00AE5856" w:rsidRDefault="0087740A" w:rsidP="0087740A">
      <w:pPr>
        <w:pStyle w:val="SingleTxtG"/>
        <w:ind w:left="2268" w:hanging="567"/>
        <w:rPr>
          <w:lang w:val="fr-FR"/>
        </w:rPr>
      </w:pPr>
      <w:r>
        <w:rPr>
          <w:lang w:val="fr-FR"/>
        </w:rPr>
        <w:t>−</w:t>
      </w:r>
      <w:r>
        <w:rPr>
          <w:lang w:val="fr-FR"/>
        </w:rPr>
        <w:tab/>
      </w:r>
      <w:r w:rsidR="00291F6B" w:rsidRPr="000D379C">
        <w:rPr>
          <w:lang w:val="fr-FR"/>
        </w:rPr>
        <w:t xml:space="preserve">Porter une marque indiquant le mot </w:t>
      </w:r>
      <w:r>
        <w:rPr>
          <w:lang w:val="fr-FR"/>
        </w:rPr>
        <w:t>“</w:t>
      </w:r>
      <w:r w:rsidR="00291F6B" w:rsidRPr="000D379C">
        <w:rPr>
          <w:lang w:val="fr-FR"/>
        </w:rPr>
        <w:t>SUREMBALLAGE</w:t>
      </w:r>
      <w:r>
        <w:rPr>
          <w:lang w:val="fr-FR"/>
        </w:rPr>
        <w:t>ˮ</w:t>
      </w:r>
      <w:r w:rsidR="00291F6B" w:rsidRPr="000D379C">
        <w:rPr>
          <w:lang w:val="fr-FR"/>
        </w:rPr>
        <w:t>. Les lettres de la marque “SUREMBALLAGE” doivent mesurer au moins 12</w:t>
      </w:r>
      <w:r>
        <w:rPr>
          <w:lang w:val="fr-FR"/>
        </w:rPr>
        <w:t> </w:t>
      </w:r>
      <w:r w:rsidR="00291F6B" w:rsidRPr="000D379C">
        <w:rPr>
          <w:lang w:val="fr-FR"/>
        </w:rPr>
        <w:t>mm de hauteur. La marque doit être dans une langue officielle du pays d</w:t>
      </w:r>
      <w:r w:rsidR="00291F6B">
        <w:rPr>
          <w:lang w:val="fr-FR"/>
        </w:rPr>
        <w:t>’</w:t>
      </w:r>
      <w:r w:rsidR="00291F6B" w:rsidRPr="000D379C">
        <w:rPr>
          <w:lang w:val="fr-FR"/>
        </w:rPr>
        <w:t>origine et également, si cette langue n</w:t>
      </w:r>
      <w:r w:rsidR="00291F6B">
        <w:rPr>
          <w:lang w:val="fr-FR"/>
        </w:rPr>
        <w:t>’</w:t>
      </w:r>
      <w:r w:rsidR="00291F6B" w:rsidRPr="000D379C">
        <w:rPr>
          <w:lang w:val="fr-FR"/>
        </w:rPr>
        <w:t>est pas l</w:t>
      </w:r>
      <w:r w:rsidR="00291F6B">
        <w:rPr>
          <w:lang w:val="fr-FR"/>
        </w:rPr>
        <w:t>’</w:t>
      </w:r>
      <w:r w:rsidR="00291F6B" w:rsidRPr="000D379C">
        <w:rPr>
          <w:lang w:val="fr-FR"/>
        </w:rPr>
        <w:t>anglais, le français ou l</w:t>
      </w:r>
      <w:r w:rsidR="00291F6B">
        <w:rPr>
          <w:lang w:val="fr-FR"/>
        </w:rPr>
        <w:t>’</w:t>
      </w:r>
      <w:r w:rsidR="00291F6B" w:rsidRPr="000D379C">
        <w:rPr>
          <w:lang w:val="fr-FR"/>
        </w:rPr>
        <w:t>allemand, en anglais, français ou allemand à moins que des accords conclus entre les pays intéressés au transport, s</w:t>
      </w:r>
      <w:r w:rsidR="00291F6B">
        <w:rPr>
          <w:lang w:val="fr-FR"/>
        </w:rPr>
        <w:t>’</w:t>
      </w:r>
      <w:r w:rsidR="00291F6B" w:rsidRPr="000D379C">
        <w:rPr>
          <w:lang w:val="fr-FR"/>
        </w:rPr>
        <w:t>il en existe, n</w:t>
      </w:r>
      <w:r w:rsidR="00291F6B">
        <w:rPr>
          <w:lang w:val="fr-FR"/>
        </w:rPr>
        <w:t>’</w:t>
      </w:r>
      <w:r w:rsidR="00291F6B" w:rsidRPr="000D379C">
        <w:rPr>
          <w:lang w:val="fr-FR"/>
        </w:rPr>
        <w:t>en disposent autrement</w:t>
      </w:r>
      <w:r>
        <w:rPr>
          <w:lang w:val="fr-FR"/>
        </w:rPr>
        <w:t> </w:t>
      </w:r>
      <w:r w:rsidR="00291F6B" w:rsidRPr="000D379C">
        <w:rPr>
          <w:lang w:val="fr-FR"/>
        </w:rPr>
        <w:t>; et</w:t>
      </w:r>
    </w:p>
    <w:p w14:paraId="5A899A8A" w14:textId="6119FBD1" w:rsidR="00291F6B" w:rsidRPr="00AE5856" w:rsidRDefault="0087740A" w:rsidP="0087740A">
      <w:pPr>
        <w:pStyle w:val="SingleTxtG"/>
        <w:ind w:left="2268" w:hanging="567"/>
        <w:rPr>
          <w:lang w:val="fr-FR"/>
        </w:rPr>
      </w:pPr>
      <w:r>
        <w:rPr>
          <w:lang w:val="fr-FR"/>
        </w:rPr>
        <w:t>−</w:t>
      </w:r>
      <w:r>
        <w:rPr>
          <w:lang w:val="fr-FR"/>
        </w:rPr>
        <w:tab/>
      </w:r>
      <w:r w:rsidR="00291F6B" w:rsidRPr="000D379C">
        <w:rPr>
          <w:lang w:val="fr-FR"/>
        </w:rPr>
        <w:t>Porter les marques requises dans le présent chapitre.</w:t>
      </w:r>
    </w:p>
    <w:p w14:paraId="6BFA7E04" w14:textId="77777777" w:rsidR="00291F6B" w:rsidRPr="00AE5856" w:rsidRDefault="00291F6B" w:rsidP="00691200">
      <w:pPr>
        <w:pStyle w:val="SingleTxtG"/>
        <w:rPr>
          <w:lang w:val="fr-FR"/>
        </w:rPr>
      </w:pPr>
      <w:r w:rsidRPr="000D379C">
        <w:rPr>
          <w:lang w:val="fr-FR"/>
        </w:rPr>
        <w:t>Les autres dispositions énoncées au 5.1.2.1 sont applicables uniquement si d</w:t>
      </w:r>
      <w:r>
        <w:rPr>
          <w:lang w:val="fr-FR"/>
        </w:rPr>
        <w:t>’</w:t>
      </w:r>
      <w:r w:rsidRPr="000D379C">
        <w:rPr>
          <w:lang w:val="fr-FR"/>
        </w:rPr>
        <w:t>autres marchandises dangereuses, qui ne sont pas emballées en quantités exceptées, sont contenues dans le suremballage. Ces dispositions s</w:t>
      </w:r>
      <w:r>
        <w:rPr>
          <w:lang w:val="fr-FR"/>
        </w:rPr>
        <w:t>’</w:t>
      </w:r>
      <w:r w:rsidRPr="000D379C">
        <w:rPr>
          <w:lang w:val="fr-FR"/>
        </w:rPr>
        <w:t>appliquent alors uniquement en relation avec ces autres marchandises dangereuses.</w:t>
      </w:r>
    </w:p>
    <w:p w14:paraId="03C15026" w14:textId="3EAA1952" w:rsidR="00291F6B" w:rsidRPr="00AE5856" w:rsidRDefault="00291F6B" w:rsidP="00691200">
      <w:pPr>
        <w:pStyle w:val="SingleTxtG"/>
        <w:rPr>
          <w:u w:val="single"/>
          <w:lang w:val="fr-FR"/>
        </w:rPr>
      </w:pPr>
      <w:r w:rsidRPr="00183784">
        <w:rPr>
          <w:u w:val="single"/>
          <w:lang w:val="fr-FR"/>
        </w:rPr>
        <w:t>Pour le transport intérieur uniquement, dans le cas où le transporteur prépare le suremballage, ces prescriptions de marquage ne s</w:t>
      </w:r>
      <w:r>
        <w:rPr>
          <w:u w:val="single"/>
          <w:lang w:val="fr-FR"/>
        </w:rPr>
        <w:t>’</w:t>
      </w:r>
      <w:r w:rsidRPr="00183784">
        <w:rPr>
          <w:u w:val="single"/>
          <w:lang w:val="fr-FR"/>
        </w:rPr>
        <w:t>appliquent pas si le suremballage ne contient pas plus de [XX] colis de marchandises dangereuses emballées en quantités exceptées.</w:t>
      </w:r>
      <w:r w:rsidR="0087740A">
        <w:rPr>
          <w:lang w:val="fr-FR"/>
        </w:rPr>
        <w:t> »</w:t>
      </w:r>
      <w:r>
        <w:rPr>
          <w:lang w:val="fr-FR"/>
        </w:rPr>
        <w:t>.</w:t>
      </w:r>
    </w:p>
    <w:p w14:paraId="2A2C7C7A" w14:textId="56980036" w:rsidR="00291F6B" w:rsidRPr="00AE5856" w:rsidRDefault="00291F6B" w:rsidP="00691200">
      <w:pPr>
        <w:pStyle w:val="SingleTxtG"/>
        <w:rPr>
          <w:b/>
          <w:bCs/>
          <w:sz w:val="32"/>
          <w:szCs w:val="32"/>
          <w:lang w:val="fr-FR"/>
        </w:rPr>
      </w:pPr>
      <w:r w:rsidRPr="000D379C">
        <w:rPr>
          <w:lang w:val="fr-FR"/>
        </w:rPr>
        <w:t>Modifier la disposition spéciale 188, paragraphe</w:t>
      </w:r>
      <w:r w:rsidR="0087740A">
        <w:rPr>
          <w:lang w:val="fr-FR"/>
        </w:rPr>
        <w:t> </w:t>
      </w:r>
      <w:r w:rsidRPr="000D379C">
        <w:rPr>
          <w:lang w:val="fr-FR"/>
        </w:rPr>
        <w:t xml:space="preserve">f), </w:t>
      </w:r>
      <w:r>
        <w:rPr>
          <w:lang w:val="fr-FR"/>
        </w:rPr>
        <w:t xml:space="preserve">dans le </w:t>
      </w:r>
      <w:r w:rsidRPr="000D379C">
        <w:rPr>
          <w:lang w:val="fr-FR"/>
        </w:rPr>
        <w:t>RID</w:t>
      </w:r>
      <w:r>
        <w:rPr>
          <w:lang w:val="fr-FR"/>
        </w:rPr>
        <w:t>, l’</w:t>
      </w:r>
      <w:r w:rsidRPr="000D379C">
        <w:rPr>
          <w:lang w:val="fr-FR"/>
        </w:rPr>
        <w:t>ADR</w:t>
      </w:r>
      <w:r>
        <w:rPr>
          <w:lang w:val="fr-FR"/>
        </w:rPr>
        <w:t xml:space="preserve"> et l’</w:t>
      </w:r>
      <w:r w:rsidRPr="000D379C">
        <w:rPr>
          <w:lang w:val="fr-FR"/>
        </w:rPr>
        <w:t>ADN comme suit :</w:t>
      </w:r>
    </w:p>
    <w:p w14:paraId="07B0106B" w14:textId="387CCC5C" w:rsidR="00291F6B" w:rsidRPr="00AE5856" w:rsidRDefault="0087740A" w:rsidP="00691200">
      <w:pPr>
        <w:pStyle w:val="SingleTxtG"/>
        <w:rPr>
          <w:lang w:val="fr-FR"/>
        </w:rPr>
      </w:pPr>
      <w:r>
        <w:rPr>
          <w:lang w:val="fr-FR"/>
        </w:rPr>
        <w:t>« </w:t>
      </w:r>
      <w:r w:rsidR="00291F6B" w:rsidRPr="000D379C">
        <w:rPr>
          <w:lang w:val="fr-FR"/>
        </w:rPr>
        <w:t>188.</w:t>
      </w:r>
    </w:p>
    <w:p w14:paraId="08727FEA" w14:textId="77777777" w:rsidR="00291F6B" w:rsidRPr="00AE5856" w:rsidRDefault="00291F6B" w:rsidP="00691200">
      <w:pPr>
        <w:pStyle w:val="SingleTxtG"/>
        <w:rPr>
          <w:lang w:val="fr-FR"/>
        </w:rPr>
      </w:pPr>
      <w:r w:rsidRPr="000D379C">
        <w:rPr>
          <w:lang w:val="fr-FR"/>
        </w:rPr>
        <w:t>Les piles et batteries présentées au transport ne sont pas soumises aux autres prescriptions de l</w:t>
      </w:r>
      <w:r>
        <w:rPr>
          <w:lang w:val="fr-FR"/>
        </w:rPr>
        <w:t>’</w:t>
      </w:r>
      <w:r w:rsidRPr="000D379C">
        <w:rPr>
          <w:lang w:val="fr-FR"/>
        </w:rPr>
        <w:t>ADR si elles satisfont aux conditions énoncées ci-après :</w:t>
      </w:r>
    </w:p>
    <w:p w14:paraId="2BA1D979" w14:textId="77777777" w:rsidR="00291F6B" w:rsidRPr="00AE5856" w:rsidRDefault="00291F6B" w:rsidP="00691200">
      <w:pPr>
        <w:pStyle w:val="SingleTxtG"/>
        <w:rPr>
          <w:lang w:val="fr-FR"/>
        </w:rPr>
      </w:pPr>
      <w:r w:rsidRPr="009211C4">
        <w:rPr>
          <w:lang w:val="fr-FR"/>
        </w:rPr>
        <w:t>a)</w:t>
      </w:r>
      <w:r w:rsidRPr="000D379C">
        <w:rPr>
          <w:lang w:val="fr-FR"/>
        </w:rPr>
        <w:t xml:space="preserve"> jusqu</w:t>
      </w:r>
      <w:r>
        <w:rPr>
          <w:lang w:val="fr-FR"/>
        </w:rPr>
        <w:t>’</w:t>
      </w:r>
      <w:r w:rsidRPr="000D379C">
        <w:rPr>
          <w:lang w:val="fr-FR"/>
        </w:rPr>
        <w:t>à e) ...</w:t>
      </w:r>
    </w:p>
    <w:p w14:paraId="7B20C9E6" w14:textId="19E72F7F" w:rsidR="00291F6B" w:rsidRPr="00AE5856" w:rsidRDefault="00291F6B" w:rsidP="0087740A">
      <w:pPr>
        <w:pStyle w:val="SingleTxtG"/>
        <w:ind w:left="1701" w:hanging="567"/>
        <w:rPr>
          <w:lang w:val="fr-FR"/>
        </w:rPr>
      </w:pPr>
      <w:r w:rsidRPr="000D379C">
        <w:rPr>
          <w:lang w:val="fr-FR"/>
        </w:rPr>
        <w:t>f)</w:t>
      </w:r>
      <w:r w:rsidRPr="000D379C">
        <w:rPr>
          <w:lang w:val="fr-FR"/>
        </w:rPr>
        <w:tab/>
        <w:t>Chaque colis doit porter la marque de pile au lithium appropriée, comme indiqué au</w:t>
      </w:r>
      <w:r w:rsidR="0087740A">
        <w:rPr>
          <w:lang w:val="fr-FR"/>
        </w:rPr>
        <w:t> </w:t>
      </w:r>
      <w:r w:rsidRPr="000D379C">
        <w:rPr>
          <w:lang w:val="fr-FR"/>
        </w:rPr>
        <w:t>5.2.1.9.</w:t>
      </w:r>
    </w:p>
    <w:p w14:paraId="33EE7FAE" w14:textId="77777777" w:rsidR="00291F6B" w:rsidRPr="00AE5856" w:rsidRDefault="00291F6B" w:rsidP="0087740A">
      <w:pPr>
        <w:pStyle w:val="SingleTxtG"/>
        <w:ind w:left="1701"/>
        <w:rPr>
          <w:lang w:val="fr-FR"/>
        </w:rPr>
      </w:pPr>
      <w:r w:rsidRPr="000D379C">
        <w:rPr>
          <w:lang w:val="fr-FR"/>
        </w:rPr>
        <w:t>Cette prescription ne s</w:t>
      </w:r>
      <w:r>
        <w:rPr>
          <w:lang w:val="fr-FR"/>
        </w:rPr>
        <w:t>’</w:t>
      </w:r>
      <w:r w:rsidRPr="000D379C">
        <w:rPr>
          <w:lang w:val="fr-FR"/>
        </w:rPr>
        <w:t>applique pas :</w:t>
      </w:r>
    </w:p>
    <w:p w14:paraId="5FA50B41" w14:textId="2BB06979" w:rsidR="00291F6B" w:rsidRPr="00AE5856" w:rsidRDefault="0087740A" w:rsidP="0087740A">
      <w:pPr>
        <w:pStyle w:val="SingleTxtG"/>
        <w:ind w:left="2268" w:hanging="567"/>
        <w:rPr>
          <w:lang w:val="fr-FR"/>
        </w:rPr>
      </w:pPr>
      <w:r>
        <w:rPr>
          <w:lang w:val="fr-FR"/>
        </w:rPr>
        <w:t>i)</w:t>
      </w:r>
      <w:r>
        <w:rPr>
          <w:lang w:val="fr-FR"/>
        </w:rPr>
        <w:tab/>
        <w:t>A</w:t>
      </w:r>
      <w:r w:rsidR="00291F6B" w:rsidRPr="0081672E">
        <w:rPr>
          <w:lang w:val="fr-FR"/>
        </w:rPr>
        <w:t>ux colis ne contenant que des piles boutons montées dans un équipement (y</w:t>
      </w:r>
      <w:r w:rsidR="00691200">
        <w:rPr>
          <w:lang w:val="fr-FR"/>
        </w:rPr>
        <w:t> </w:t>
      </w:r>
      <w:r w:rsidR="00291F6B" w:rsidRPr="0081672E">
        <w:rPr>
          <w:lang w:val="fr-FR"/>
        </w:rPr>
        <w:t>compris les circuits imprimés)</w:t>
      </w:r>
      <w:r w:rsidR="00691200">
        <w:rPr>
          <w:lang w:val="fr-FR"/>
        </w:rPr>
        <w:t> </w:t>
      </w:r>
      <w:r w:rsidR="00291F6B" w:rsidRPr="0081672E">
        <w:rPr>
          <w:lang w:val="fr-FR"/>
        </w:rPr>
        <w:t>; et</w:t>
      </w:r>
    </w:p>
    <w:p w14:paraId="59AD9CAC" w14:textId="3475AFCD" w:rsidR="00291F6B" w:rsidRPr="00AE5856" w:rsidRDefault="0087740A" w:rsidP="0087740A">
      <w:pPr>
        <w:pStyle w:val="SingleTxtG"/>
        <w:ind w:left="2268" w:hanging="567"/>
        <w:rPr>
          <w:lang w:val="fr-FR"/>
        </w:rPr>
      </w:pPr>
      <w:r>
        <w:rPr>
          <w:lang w:val="fr-FR"/>
        </w:rPr>
        <w:t>ii)</w:t>
      </w:r>
      <w:r>
        <w:rPr>
          <w:lang w:val="fr-FR"/>
        </w:rPr>
        <w:tab/>
        <w:t>A</w:t>
      </w:r>
      <w:r w:rsidR="00291F6B" w:rsidRPr="0081672E">
        <w:rPr>
          <w:lang w:val="fr-FR"/>
        </w:rPr>
        <w:t>ux colis ne contenant pas plus de 4</w:t>
      </w:r>
      <w:r w:rsidR="00691200">
        <w:rPr>
          <w:lang w:val="fr-FR"/>
        </w:rPr>
        <w:t> </w:t>
      </w:r>
      <w:r w:rsidR="00291F6B" w:rsidRPr="0081672E">
        <w:rPr>
          <w:lang w:val="fr-FR"/>
        </w:rPr>
        <w:t>piles ou 2</w:t>
      </w:r>
      <w:r w:rsidR="00691200">
        <w:rPr>
          <w:lang w:val="fr-FR"/>
        </w:rPr>
        <w:t> </w:t>
      </w:r>
      <w:r w:rsidR="00291F6B" w:rsidRPr="0081672E">
        <w:rPr>
          <w:lang w:val="fr-FR"/>
        </w:rPr>
        <w:t>batteries montées dans un équipement, lorsque l</w:t>
      </w:r>
      <w:r w:rsidR="00291F6B">
        <w:rPr>
          <w:lang w:val="fr-FR"/>
        </w:rPr>
        <w:t>’</w:t>
      </w:r>
      <w:r w:rsidR="00291F6B" w:rsidRPr="0081672E">
        <w:rPr>
          <w:lang w:val="fr-FR"/>
        </w:rPr>
        <w:t>envoi ne comporte pas plus de deux tels colis.</w:t>
      </w:r>
    </w:p>
    <w:p w14:paraId="74604713" w14:textId="741886E9" w:rsidR="00291F6B" w:rsidRPr="00AE5856" w:rsidRDefault="00291F6B" w:rsidP="00691200">
      <w:pPr>
        <w:pStyle w:val="SingleTxtG"/>
        <w:rPr>
          <w:lang w:val="fr-FR"/>
        </w:rPr>
      </w:pPr>
      <w:r w:rsidRPr="000D379C">
        <w:rPr>
          <w:lang w:val="fr-FR"/>
        </w:rPr>
        <w:t>Lorsque les colis sont placés dans un suremballage, la marque de pile au lithium doit être soit directement visible, soit reproduite à l</w:t>
      </w:r>
      <w:r>
        <w:rPr>
          <w:lang w:val="fr-FR"/>
        </w:rPr>
        <w:t>’</w:t>
      </w:r>
      <w:r w:rsidRPr="000D379C">
        <w:rPr>
          <w:lang w:val="fr-FR"/>
        </w:rPr>
        <w:t>extérieur du suremballage et celui-ci doit porter la marque “SUREMBALLAGE”. Les lettres de la marque “SUREMBALLAGE” doivent mesurer au moins 12</w:t>
      </w:r>
      <w:r w:rsidR="00691200">
        <w:rPr>
          <w:lang w:val="fr-FR"/>
        </w:rPr>
        <w:t> </w:t>
      </w:r>
      <w:r w:rsidRPr="000D379C">
        <w:rPr>
          <w:lang w:val="fr-FR"/>
        </w:rPr>
        <w:t>mm de hauteur.</w:t>
      </w:r>
    </w:p>
    <w:p w14:paraId="2C93A6E1" w14:textId="2ADEDE50" w:rsidR="00291F6B" w:rsidRPr="00AE5856" w:rsidRDefault="00291F6B" w:rsidP="00691200">
      <w:pPr>
        <w:pStyle w:val="SingleTxtG"/>
        <w:rPr>
          <w:u w:val="single"/>
          <w:lang w:val="fr-FR"/>
        </w:rPr>
      </w:pPr>
      <w:r w:rsidRPr="00183784">
        <w:rPr>
          <w:u w:val="single"/>
          <w:lang w:val="fr-FR"/>
        </w:rPr>
        <w:t>Pour le transport intérieur uniquement, dans le cas où le transporteur prépare le suremballage, ces prescriptions de marquage ne s</w:t>
      </w:r>
      <w:r>
        <w:rPr>
          <w:u w:val="single"/>
          <w:lang w:val="fr-FR"/>
        </w:rPr>
        <w:t>’</w:t>
      </w:r>
      <w:r w:rsidRPr="00183784">
        <w:rPr>
          <w:u w:val="single"/>
          <w:lang w:val="fr-FR"/>
        </w:rPr>
        <w:t>appliquent pas si le suremballage ne contient pas plus de [XX] colis de marchandises dangereuses emballées conformément à cette disposition spéciale.</w:t>
      </w:r>
      <w:r w:rsidR="00691200">
        <w:rPr>
          <w:lang w:val="fr-FR"/>
        </w:rPr>
        <w:t> »</w:t>
      </w:r>
      <w:r>
        <w:rPr>
          <w:lang w:val="fr-FR"/>
        </w:rPr>
        <w:t>.</w:t>
      </w:r>
    </w:p>
    <w:p w14:paraId="3775CCB2" w14:textId="638AC64F" w:rsidR="00291F6B" w:rsidRPr="000D379C" w:rsidRDefault="00291F6B" w:rsidP="00291F6B">
      <w:pPr>
        <w:pStyle w:val="HChG"/>
        <w:rPr>
          <w:sz w:val="32"/>
          <w:szCs w:val="32"/>
        </w:rPr>
      </w:pPr>
      <w:r>
        <w:rPr>
          <w:lang w:val="fr-FR"/>
        </w:rPr>
        <w:tab/>
      </w:r>
      <w:r>
        <w:rPr>
          <w:lang w:val="fr-FR"/>
        </w:rPr>
        <w:tab/>
      </w:r>
      <w:r w:rsidRPr="000D379C">
        <w:rPr>
          <w:lang w:val="fr-FR"/>
        </w:rPr>
        <w:t>Justification</w:t>
      </w:r>
    </w:p>
    <w:p w14:paraId="7A229F5E" w14:textId="14D56270" w:rsidR="00291F6B" w:rsidRDefault="00957BAB" w:rsidP="00291F6B">
      <w:pPr>
        <w:pStyle w:val="SingleTxtG"/>
        <w:rPr>
          <w:lang w:val="fr-FR"/>
        </w:rPr>
      </w:pPr>
      <w:r>
        <w:rPr>
          <w:lang w:val="fr-FR"/>
        </w:rPr>
        <w:t>12.</w:t>
      </w:r>
      <w:r>
        <w:rPr>
          <w:lang w:val="fr-FR"/>
        </w:rPr>
        <w:tab/>
      </w:r>
      <w:r w:rsidR="00291F6B" w:rsidRPr="000D379C">
        <w:rPr>
          <w:lang w:val="fr-FR"/>
        </w:rPr>
        <w:t>Au sens de l</w:t>
      </w:r>
      <w:r w:rsidR="00291F6B">
        <w:rPr>
          <w:lang w:val="fr-FR"/>
        </w:rPr>
        <w:t>’</w:t>
      </w:r>
      <w:r w:rsidR="00291F6B" w:rsidRPr="000D379C">
        <w:rPr>
          <w:lang w:val="fr-FR"/>
        </w:rPr>
        <w:t xml:space="preserve">ADR, </w:t>
      </w:r>
      <w:r w:rsidR="00291F6B">
        <w:rPr>
          <w:lang w:val="fr-FR"/>
        </w:rPr>
        <w:t>l</w:t>
      </w:r>
      <w:r w:rsidR="00291F6B" w:rsidRPr="000D379C">
        <w:rPr>
          <w:lang w:val="fr-FR"/>
        </w:rPr>
        <w:t xml:space="preserve">es sacs </w:t>
      </w:r>
      <w:r w:rsidR="00291F6B">
        <w:rPr>
          <w:lang w:val="fr-FR"/>
        </w:rPr>
        <w:t xml:space="preserve">dont il est question </w:t>
      </w:r>
      <w:r w:rsidR="00291F6B" w:rsidRPr="000D379C">
        <w:rPr>
          <w:lang w:val="fr-FR"/>
        </w:rPr>
        <w:t>pourraient être considérés comme des « suremballages » (« une enveloppe utilisée pour contenir un ou plusieurs colis »). Néanmoins, leur contenu évolue constamment au fil de la livraison des colis. Étant donné que ces sacs contiennent à la fois des marchandises dangereuses marquées et non marquées, le livreur ne peut jamais savoir s</w:t>
      </w:r>
      <w:r w:rsidR="00291F6B">
        <w:rPr>
          <w:lang w:val="fr-FR"/>
        </w:rPr>
        <w:t>’</w:t>
      </w:r>
      <w:r w:rsidR="00291F6B" w:rsidRPr="000D379C">
        <w:rPr>
          <w:lang w:val="fr-FR"/>
        </w:rPr>
        <w:t xml:space="preserve">il y reste des colis de marchandises dangereuses marquées. </w:t>
      </w:r>
      <w:r w:rsidR="00291F6B" w:rsidRPr="000D379C">
        <w:rPr>
          <w:lang w:val="fr-FR"/>
        </w:rPr>
        <w:lastRenderedPageBreak/>
        <w:t>Conformément aux prescriptions, une fois que le dernier colis contenant des marchandises dangereuses est retiré du sac, il faut supprimer la marque apposée sur le suremballage car elle n</w:t>
      </w:r>
      <w:r w:rsidR="00291F6B">
        <w:rPr>
          <w:lang w:val="fr-FR"/>
        </w:rPr>
        <w:t>’</w:t>
      </w:r>
      <w:r w:rsidR="00291F6B" w:rsidRPr="000D379C">
        <w:rPr>
          <w:lang w:val="fr-FR"/>
        </w:rPr>
        <w:t>a plus lieu d</w:t>
      </w:r>
      <w:r w:rsidR="00291F6B">
        <w:rPr>
          <w:lang w:val="fr-FR"/>
        </w:rPr>
        <w:t>’</w:t>
      </w:r>
      <w:r w:rsidR="00291F6B" w:rsidRPr="000D379C">
        <w:rPr>
          <w:lang w:val="fr-FR"/>
        </w:rPr>
        <w:t>être. À défaut, cette marque est une mise en garde quant à la présence d</w:t>
      </w:r>
      <w:r w:rsidR="00291F6B">
        <w:rPr>
          <w:lang w:val="fr-FR"/>
        </w:rPr>
        <w:t>’</w:t>
      </w:r>
      <w:r w:rsidR="00291F6B" w:rsidRPr="000D379C">
        <w:rPr>
          <w:lang w:val="fr-FR"/>
        </w:rPr>
        <w:t>un danger qui n</w:t>
      </w:r>
      <w:r w:rsidR="00291F6B">
        <w:rPr>
          <w:lang w:val="fr-FR"/>
        </w:rPr>
        <w:t>’</w:t>
      </w:r>
      <w:r w:rsidR="00291F6B" w:rsidRPr="000D379C">
        <w:rPr>
          <w:lang w:val="fr-FR"/>
        </w:rPr>
        <w:t xml:space="preserve">existe pas, ce qui est contraire aux dispositions </w:t>
      </w:r>
      <w:r w:rsidR="00291F6B">
        <w:rPr>
          <w:lang w:val="fr-FR"/>
        </w:rPr>
        <w:t>réglementaires</w:t>
      </w:r>
      <w:r w:rsidR="00291F6B" w:rsidRPr="000D379C">
        <w:rPr>
          <w:lang w:val="fr-FR"/>
        </w:rPr>
        <w:t>. Retirer ces marques est une charge pour le livreur, dont la tâche principale consiste à faire parvenir les colis à bon port et en toute sécurité. Le COSTHA est d</w:t>
      </w:r>
      <w:r w:rsidR="00291F6B">
        <w:rPr>
          <w:lang w:val="fr-FR"/>
        </w:rPr>
        <w:t>’</w:t>
      </w:r>
      <w:r w:rsidR="00291F6B" w:rsidRPr="000D379C">
        <w:rPr>
          <w:lang w:val="fr-FR"/>
        </w:rPr>
        <w:t xml:space="preserve">avis que les modifications proposées </w:t>
      </w:r>
      <w:r w:rsidR="00291F6B">
        <w:rPr>
          <w:lang w:val="fr-FR"/>
        </w:rPr>
        <w:t xml:space="preserve">pour les </w:t>
      </w:r>
      <w:r w:rsidR="00291F6B" w:rsidRPr="000D379C">
        <w:rPr>
          <w:lang w:val="fr-FR"/>
        </w:rPr>
        <w:t>Règlements pourraient alléger cette charge sans ajouter de risques inconsidérés.</w:t>
      </w:r>
    </w:p>
    <w:p w14:paraId="7B382D73" w14:textId="71574054" w:rsidR="00291F6B" w:rsidRPr="00691200" w:rsidRDefault="00691200" w:rsidP="00691200">
      <w:pPr>
        <w:pStyle w:val="SingleTxtG"/>
        <w:spacing w:before="240" w:after="0"/>
        <w:jc w:val="center"/>
        <w:rPr>
          <w:u w:val="single"/>
        </w:rPr>
      </w:pPr>
      <w:r>
        <w:rPr>
          <w:u w:val="single"/>
        </w:rPr>
        <w:tab/>
      </w:r>
      <w:r>
        <w:rPr>
          <w:u w:val="single"/>
        </w:rPr>
        <w:tab/>
      </w:r>
      <w:r>
        <w:rPr>
          <w:u w:val="single"/>
        </w:rPr>
        <w:tab/>
      </w:r>
      <w:r>
        <w:rPr>
          <w:u w:val="single"/>
        </w:rPr>
        <w:tab/>
      </w:r>
    </w:p>
    <w:sectPr w:rsidR="00291F6B" w:rsidRPr="00691200" w:rsidSect="00291F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E382" w14:textId="77777777" w:rsidR="00B10BFB" w:rsidRDefault="00B10BFB" w:rsidP="00F95C08">
      <w:pPr>
        <w:spacing w:line="240" w:lineRule="auto"/>
      </w:pPr>
    </w:p>
  </w:endnote>
  <w:endnote w:type="continuationSeparator" w:id="0">
    <w:p w14:paraId="1064909D" w14:textId="77777777" w:rsidR="00B10BFB" w:rsidRPr="00AC3823" w:rsidRDefault="00B10BFB" w:rsidP="00AC3823">
      <w:pPr>
        <w:pStyle w:val="Footer"/>
      </w:pPr>
    </w:p>
  </w:endnote>
  <w:endnote w:type="continuationNotice" w:id="1">
    <w:p w14:paraId="648F5C3E" w14:textId="77777777" w:rsidR="00B10BFB" w:rsidRDefault="00B10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C91D" w14:textId="65C33E64" w:rsidR="00291F6B" w:rsidRPr="00291F6B" w:rsidRDefault="00291F6B" w:rsidP="00291F6B">
    <w:pPr>
      <w:pStyle w:val="Footer"/>
      <w:tabs>
        <w:tab w:val="right" w:pos="9638"/>
      </w:tabs>
    </w:pPr>
    <w:r w:rsidRPr="00291F6B">
      <w:rPr>
        <w:b/>
        <w:sz w:val="18"/>
      </w:rPr>
      <w:fldChar w:fldCharType="begin"/>
    </w:r>
    <w:r w:rsidRPr="00291F6B">
      <w:rPr>
        <w:b/>
        <w:sz w:val="18"/>
      </w:rPr>
      <w:instrText xml:space="preserve"> PAGE  \* MERGEFORMAT </w:instrText>
    </w:r>
    <w:r w:rsidRPr="00291F6B">
      <w:rPr>
        <w:b/>
        <w:sz w:val="18"/>
      </w:rPr>
      <w:fldChar w:fldCharType="separate"/>
    </w:r>
    <w:r w:rsidRPr="00291F6B">
      <w:rPr>
        <w:b/>
        <w:noProof/>
        <w:sz w:val="18"/>
      </w:rPr>
      <w:t>2</w:t>
    </w:r>
    <w:r w:rsidRPr="00291F6B">
      <w:rPr>
        <w:b/>
        <w:sz w:val="18"/>
      </w:rPr>
      <w:fldChar w:fldCharType="end"/>
    </w:r>
    <w:r>
      <w:rPr>
        <w:b/>
        <w:sz w:val="18"/>
      </w:rPr>
      <w:tab/>
    </w:r>
    <w:r>
      <w:t>GE.22-09708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0AA9" w14:textId="2B32E558" w:rsidR="00291F6B" w:rsidRPr="00291F6B" w:rsidRDefault="00291F6B" w:rsidP="00291F6B">
    <w:pPr>
      <w:pStyle w:val="Footer"/>
      <w:tabs>
        <w:tab w:val="right" w:pos="9638"/>
      </w:tabs>
      <w:rPr>
        <w:b/>
        <w:sz w:val="18"/>
      </w:rPr>
    </w:pPr>
    <w:r>
      <w:t>GE.22-09708</w:t>
    </w:r>
    <w:r>
      <w:tab/>
    </w:r>
    <w:r w:rsidRPr="00291F6B">
      <w:rPr>
        <w:b/>
        <w:sz w:val="18"/>
      </w:rPr>
      <w:fldChar w:fldCharType="begin"/>
    </w:r>
    <w:r w:rsidRPr="00291F6B">
      <w:rPr>
        <w:b/>
        <w:sz w:val="18"/>
      </w:rPr>
      <w:instrText xml:space="preserve"> PAGE  \* MERGEFORMAT </w:instrText>
    </w:r>
    <w:r w:rsidRPr="00291F6B">
      <w:rPr>
        <w:b/>
        <w:sz w:val="18"/>
      </w:rPr>
      <w:fldChar w:fldCharType="separate"/>
    </w:r>
    <w:r w:rsidRPr="00291F6B">
      <w:rPr>
        <w:b/>
        <w:noProof/>
        <w:sz w:val="18"/>
      </w:rPr>
      <w:t>3</w:t>
    </w:r>
    <w:r w:rsidRPr="00291F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D36" w14:textId="431F84C2" w:rsidR="007F20FA" w:rsidRPr="00291F6B" w:rsidRDefault="00291F6B" w:rsidP="00291F6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D24A7A" wp14:editId="0B4489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22-09708  (F)</w:t>
    </w:r>
    <w:r>
      <w:rPr>
        <w:noProof/>
        <w:sz w:val="20"/>
      </w:rPr>
      <w:drawing>
        <wp:anchor distT="0" distB="0" distL="114300" distR="114300" simplePos="0" relativeHeight="251660288" behindDoc="0" locked="0" layoutInCell="1" allowOverlap="1" wp14:anchorId="7998220A" wp14:editId="0F4B7D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5CA">
      <w:rPr>
        <w:sz w:val="20"/>
      </w:rPr>
      <w:t xml:space="preserve">    220722    250722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3B1F" w14:textId="77777777" w:rsidR="00B10BFB" w:rsidRPr="00AC3823" w:rsidRDefault="00B10BFB" w:rsidP="00AC3823">
      <w:pPr>
        <w:pStyle w:val="Footer"/>
        <w:tabs>
          <w:tab w:val="right" w:pos="2155"/>
        </w:tabs>
        <w:spacing w:after="80" w:line="240" w:lineRule="atLeast"/>
        <w:ind w:left="680"/>
        <w:rPr>
          <w:u w:val="single"/>
        </w:rPr>
      </w:pPr>
      <w:r>
        <w:rPr>
          <w:u w:val="single"/>
        </w:rPr>
        <w:tab/>
      </w:r>
    </w:p>
  </w:footnote>
  <w:footnote w:type="continuationSeparator" w:id="0">
    <w:p w14:paraId="20586B4F" w14:textId="77777777" w:rsidR="00B10BFB" w:rsidRPr="00AC3823" w:rsidRDefault="00B10BFB" w:rsidP="00AC3823">
      <w:pPr>
        <w:pStyle w:val="Footer"/>
        <w:tabs>
          <w:tab w:val="right" w:pos="2155"/>
        </w:tabs>
        <w:spacing w:after="80" w:line="240" w:lineRule="atLeast"/>
        <w:ind w:left="680"/>
        <w:rPr>
          <w:u w:val="single"/>
        </w:rPr>
      </w:pPr>
      <w:r>
        <w:rPr>
          <w:u w:val="single"/>
        </w:rPr>
        <w:tab/>
      </w:r>
    </w:p>
  </w:footnote>
  <w:footnote w:type="continuationNotice" w:id="1">
    <w:p w14:paraId="1BAD94F3" w14:textId="77777777" w:rsidR="00B10BFB" w:rsidRPr="00AC3823" w:rsidRDefault="00B10BFB">
      <w:pPr>
        <w:spacing w:line="240" w:lineRule="auto"/>
        <w:rPr>
          <w:sz w:val="2"/>
          <w:szCs w:val="2"/>
        </w:rPr>
      </w:pPr>
    </w:p>
  </w:footnote>
  <w:footnote w:id="2">
    <w:p w14:paraId="28B88635" w14:textId="3D69385E" w:rsidR="00291F6B" w:rsidRPr="00291F6B" w:rsidRDefault="00291F6B">
      <w:pPr>
        <w:pStyle w:val="FootnoteText"/>
      </w:pPr>
      <w:r>
        <w:rPr>
          <w:rStyle w:val="FootnoteReference"/>
        </w:rPr>
        <w:tab/>
      </w:r>
      <w:r w:rsidRPr="00291F6B">
        <w:rPr>
          <w:rStyle w:val="FootnoteReference"/>
          <w:sz w:val="20"/>
          <w:vertAlign w:val="baseline"/>
        </w:rPr>
        <w:t>*</w:t>
      </w:r>
      <w:r>
        <w:rPr>
          <w:rStyle w:val="FootnoteReference"/>
          <w:sz w:val="20"/>
          <w:vertAlign w:val="baseline"/>
        </w:rPr>
        <w:tab/>
      </w:r>
      <w:r>
        <w:rPr>
          <w:lang w:val="fr-FR"/>
        </w:rPr>
        <w:t>A/76/6 (Sect.</w:t>
      </w:r>
      <w:r w:rsidR="00691200">
        <w:rPr>
          <w:lang w:val="fr-FR"/>
        </w:rPr>
        <w:t> </w:t>
      </w:r>
      <w:r>
        <w:rPr>
          <w:lang w:val="fr-FR"/>
        </w:rPr>
        <w:t>20), par.</w:t>
      </w:r>
      <w:r w:rsidR="00691200">
        <w:rPr>
          <w:lang w:val="fr-FR"/>
        </w:rPr>
        <w:t> </w:t>
      </w:r>
      <w:r>
        <w:rPr>
          <w:lang w:val="fr-FR"/>
        </w:rPr>
        <w:t>20.76.</w:t>
      </w:r>
    </w:p>
  </w:footnote>
  <w:footnote w:id="3">
    <w:p w14:paraId="5FCBD94E" w14:textId="5A8939AE" w:rsidR="00291F6B" w:rsidRPr="00291F6B" w:rsidRDefault="00291F6B">
      <w:pPr>
        <w:pStyle w:val="FootnoteText"/>
      </w:pPr>
      <w:r>
        <w:rPr>
          <w:rStyle w:val="FootnoteReference"/>
        </w:rPr>
        <w:tab/>
      </w:r>
      <w:r w:rsidRPr="00291F6B">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A4EE" w14:textId="7C3DCA8B" w:rsidR="00291F6B" w:rsidRPr="00291F6B" w:rsidRDefault="00A560A1">
    <w:pPr>
      <w:pStyle w:val="Header"/>
    </w:pPr>
    <w:r>
      <w:fldChar w:fldCharType="begin"/>
    </w:r>
    <w:r>
      <w:instrText xml:space="preserve"> TITLE  \* MERGEFORMAT </w:instrText>
    </w:r>
    <w:r>
      <w:fldChar w:fldCharType="separate"/>
    </w:r>
    <w:r w:rsidR="00291F6B">
      <w:t>ECE/TRANS/WP.15/AC.1/2022/28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FF97" w14:textId="1CD8E052" w:rsidR="00291F6B" w:rsidRPr="00291F6B" w:rsidRDefault="00A560A1" w:rsidP="00291F6B">
    <w:pPr>
      <w:pStyle w:val="Header"/>
      <w:jc w:val="right"/>
    </w:pPr>
    <w:r>
      <w:fldChar w:fldCharType="begin"/>
    </w:r>
    <w:r>
      <w:instrText xml:space="preserve"> TITLE  \* MERGEFORMAT </w:instrText>
    </w:r>
    <w:r>
      <w:fldChar w:fldCharType="separate"/>
    </w:r>
    <w:r w:rsidR="00291F6B">
      <w:t>ECE/TRANS/WP.15/AC.1/2022/28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F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91F6B"/>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91200"/>
    <w:rsid w:val="0071601D"/>
    <w:rsid w:val="007A62E6"/>
    <w:rsid w:val="007F20FA"/>
    <w:rsid w:val="0080684C"/>
    <w:rsid w:val="00871C75"/>
    <w:rsid w:val="0087740A"/>
    <w:rsid w:val="008776DC"/>
    <w:rsid w:val="008D5EF9"/>
    <w:rsid w:val="009446C0"/>
    <w:rsid w:val="00957BAB"/>
    <w:rsid w:val="009705C8"/>
    <w:rsid w:val="009C1CF4"/>
    <w:rsid w:val="009F6B74"/>
    <w:rsid w:val="00A3029F"/>
    <w:rsid w:val="00A30353"/>
    <w:rsid w:val="00A560A1"/>
    <w:rsid w:val="00AC3823"/>
    <w:rsid w:val="00AD630E"/>
    <w:rsid w:val="00AE323C"/>
    <w:rsid w:val="00AF0CB5"/>
    <w:rsid w:val="00B00181"/>
    <w:rsid w:val="00B00B0D"/>
    <w:rsid w:val="00B10BFB"/>
    <w:rsid w:val="00B36087"/>
    <w:rsid w:val="00B45F2E"/>
    <w:rsid w:val="00B765F7"/>
    <w:rsid w:val="00B77993"/>
    <w:rsid w:val="00BA0CA9"/>
    <w:rsid w:val="00C02897"/>
    <w:rsid w:val="00C82F26"/>
    <w:rsid w:val="00C97039"/>
    <w:rsid w:val="00D3439C"/>
    <w:rsid w:val="00D7622E"/>
    <w:rsid w:val="00DB1831"/>
    <w:rsid w:val="00DB75CA"/>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28CAD"/>
  <w15:docId w15:val="{97AD5CE5-586F-48EF-87E8-FEDBFFB6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C2DE582-DC90-4A1A-9D83-5C63672BECC4}"/>
</file>

<file path=customXml/itemProps2.xml><?xml version="1.0" encoding="utf-8"?>
<ds:datastoreItem xmlns:ds="http://schemas.openxmlformats.org/officeDocument/2006/customXml" ds:itemID="{98C4EA8A-BF53-43A8-9D5D-7C289034080B}"/>
</file>

<file path=customXml/itemProps3.xml><?xml version="1.0" encoding="utf-8"?>
<ds:datastoreItem xmlns:ds="http://schemas.openxmlformats.org/officeDocument/2006/customXml" ds:itemID="{D83626D4-A676-4DDE-B526-846BC9BD11E9}"/>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10750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ECE/TRANS/WP.15/AC.1/2022/28</vt:lpstr>
    </vt:vector>
  </TitlesOfParts>
  <Company>DCM</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ECE/TRANS/WP.15/AC.1/2022/28</dc:title>
  <dc:subject/>
  <dc:creator>Marie DESCHAMPS</dc:creator>
  <cp:keywords/>
  <cp:lastModifiedBy>Christine Barrio-Champeau</cp:lastModifiedBy>
  <cp:revision>2</cp:revision>
  <cp:lastPrinted>2014-05-14T10:59:00Z</cp:lastPrinted>
  <dcterms:created xsi:type="dcterms:W3CDTF">2022-07-25T11:29:00Z</dcterms:created>
  <dcterms:modified xsi:type="dcterms:W3CDTF">2022-07-25T11:29:00Z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