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10D9D" w14:paraId="2FBD5E9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40C196" w14:textId="77777777" w:rsidR="002D5AAC" w:rsidRDefault="002D5AAC" w:rsidP="00810D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4F6B3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CFE628" w14:textId="531909C9" w:rsidR="002D5AAC" w:rsidRPr="00810D9D" w:rsidRDefault="00810D9D" w:rsidP="00810D9D">
            <w:pPr>
              <w:jc w:val="right"/>
              <w:rPr>
                <w:lang w:val="en-US"/>
              </w:rPr>
            </w:pPr>
            <w:r w:rsidRPr="00810D9D">
              <w:rPr>
                <w:sz w:val="40"/>
                <w:lang w:val="en-US"/>
              </w:rPr>
              <w:t>ECE</w:t>
            </w:r>
            <w:r w:rsidRPr="00810D9D">
              <w:rPr>
                <w:lang w:val="en-US"/>
              </w:rPr>
              <w:t>/TRANS/WP.15/AC.1/165/Add.1</w:t>
            </w:r>
          </w:p>
        </w:tc>
      </w:tr>
      <w:tr w:rsidR="002D5AAC" w14:paraId="002D9CE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E229A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32B2A9" wp14:editId="76FCBA3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640BD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5A1FC5" w14:textId="77777777" w:rsidR="002D5AAC" w:rsidRDefault="00810D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37AE9A" w14:textId="77777777" w:rsidR="00810D9D" w:rsidRDefault="00810D9D" w:rsidP="00810D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30 June 2022 </w:t>
            </w:r>
          </w:p>
          <w:p w14:paraId="67D68BF1" w14:textId="77777777" w:rsidR="00810D9D" w:rsidRDefault="00810D9D" w:rsidP="00810D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26DE5E" w14:textId="62BB6ACA" w:rsidR="00810D9D" w:rsidRPr="008D53B6" w:rsidRDefault="00810D9D" w:rsidP="00810D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0E850A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7699C6" w14:textId="77777777" w:rsidR="00810D9D" w:rsidRPr="000E139A" w:rsidRDefault="00810D9D" w:rsidP="00810D9D">
      <w:pPr>
        <w:spacing w:before="120"/>
        <w:rPr>
          <w:sz w:val="28"/>
          <w:szCs w:val="28"/>
        </w:rPr>
      </w:pPr>
      <w:r w:rsidRPr="000E139A">
        <w:rPr>
          <w:sz w:val="28"/>
          <w:szCs w:val="28"/>
        </w:rPr>
        <w:t>Комитет по внутреннему транспорту</w:t>
      </w:r>
    </w:p>
    <w:p w14:paraId="24F60531" w14:textId="77777777" w:rsidR="00810D9D" w:rsidRPr="000E139A" w:rsidRDefault="00810D9D" w:rsidP="00810D9D">
      <w:pPr>
        <w:spacing w:before="120"/>
        <w:rPr>
          <w:b/>
          <w:sz w:val="24"/>
          <w:szCs w:val="24"/>
        </w:rPr>
      </w:pPr>
      <w:r w:rsidRPr="000E139A">
        <w:rPr>
          <w:b/>
          <w:bCs/>
          <w:sz w:val="24"/>
          <w:szCs w:val="24"/>
        </w:rPr>
        <w:t>Рабочая группа по перевозкам опасных грузов</w:t>
      </w:r>
    </w:p>
    <w:p w14:paraId="0D31EE7D" w14:textId="1F3D9698" w:rsidR="00810D9D" w:rsidRPr="000E139A" w:rsidRDefault="00810D9D" w:rsidP="00810D9D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 Рабочей группы по перевозкам опасных грузов</w:t>
      </w:r>
    </w:p>
    <w:p w14:paraId="4F96E20A" w14:textId="77777777" w:rsidR="00810D9D" w:rsidRPr="000E139A" w:rsidRDefault="00810D9D" w:rsidP="00810D9D">
      <w:r>
        <w:t>Женева, 12</w:t>
      </w:r>
      <w:r w:rsidRPr="008C33FB">
        <w:t>–</w:t>
      </w:r>
      <w:r>
        <w:t>16 сентября 2022 года</w:t>
      </w:r>
    </w:p>
    <w:p w14:paraId="6A6A6F0C" w14:textId="77777777" w:rsidR="00810D9D" w:rsidRPr="000E139A" w:rsidRDefault="00810D9D" w:rsidP="00810D9D">
      <w:r>
        <w:t>Пункт 1 предварительной повестки дня</w:t>
      </w:r>
    </w:p>
    <w:p w14:paraId="10332243" w14:textId="77777777" w:rsidR="00810D9D" w:rsidRPr="000E139A" w:rsidRDefault="00810D9D" w:rsidP="00810D9D">
      <w:r>
        <w:rPr>
          <w:b/>
          <w:bCs/>
        </w:rPr>
        <w:t>Утверждение повестки дня</w:t>
      </w:r>
    </w:p>
    <w:p w14:paraId="14B62455" w14:textId="77777777" w:rsidR="00810D9D" w:rsidRPr="000E139A" w:rsidRDefault="00810D9D" w:rsidP="00CE5F10">
      <w:pPr>
        <w:pStyle w:val="HChG"/>
      </w:pPr>
      <w:r>
        <w:tab/>
      </w:r>
      <w:r>
        <w:tab/>
        <w:t>Предварительная повестка дня осенней сессии 2022 года</w:t>
      </w:r>
    </w:p>
    <w:p w14:paraId="2A9C8900" w14:textId="77777777" w:rsidR="00810D9D" w:rsidRPr="000E139A" w:rsidRDefault="00810D9D" w:rsidP="00810D9D">
      <w:pPr>
        <w:pStyle w:val="HChG"/>
      </w:pPr>
      <w:r>
        <w:tab/>
      </w:r>
      <w:r>
        <w:tab/>
      </w:r>
      <w:r>
        <w:rPr>
          <w:bCs/>
        </w:rPr>
        <w:t>Добавление</w:t>
      </w:r>
    </w:p>
    <w:p w14:paraId="5240A0B6" w14:textId="77777777" w:rsidR="00810D9D" w:rsidRPr="000E139A" w:rsidRDefault="00810D9D" w:rsidP="00810D9D">
      <w:pPr>
        <w:pStyle w:val="H1G"/>
      </w:pPr>
      <w:r>
        <w:tab/>
      </w:r>
      <w:r>
        <w:tab/>
      </w:r>
      <w:r>
        <w:rPr>
          <w:bCs/>
        </w:rPr>
        <w:t>Аннотации и перечень документов</w:t>
      </w:r>
    </w:p>
    <w:p w14:paraId="14624C8C" w14:textId="77777777" w:rsidR="00810D9D" w:rsidRPr="000E139A" w:rsidRDefault="00810D9D" w:rsidP="00810D9D">
      <w:pPr>
        <w:pStyle w:val="HCh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1A1F55F4" w14:textId="77777777" w:rsidR="00810D9D" w:rsidRPr="000E139A" w:rsidRDefault="00810D9D" w:rsidP="00810D9D">
      <w:pPr>
        <w:pStyle w:val="SingleTxtG"/>
        <w:ind w:firstLine="567"/>
      </w:pPr>
      <w:r>
        <w:t>Первым пунктом повестки дня является ее утверждение. Совместное совещание рассмотрит также доклад о работе своей весенней сессии 2022 года, состоявшейся в Берне 14–18 марта 2022 года (ECE/TRANS/WP.15/AC.1/164).</w:t>
      </w:r>
    </w:p>
    <w:p w14:paraId="3F3122DE" w14:textId="18C70164" w:rsidR="00810D9D" w:rsidRPr="000E139A" w:rsidRDefault="00810D9D" w:rsidP="00810D9D">
      <w:pPr>
        <w:pStyle w:val="SingleTxtG"/>
      </w:pPr>
      <w:r>
        <w:tab/>
        <w:t>Необходимо напомнить о следующих моментах:</w:t>
      </w:r>
    </w:p>
    <w:p w14:paraId="5B138573" w14:textId="5D3F2B04" w:rsidR="00810D9D" w:rsidRPr="000E139A" w:rsidRDefault="00810D9D" w:rsidP="00810D9D">
      <w:pPr>
        <w:pStyle w:val="SingleTxtG"/>
      </w:pPr>
      <w:r>
        <w:tab/>
        <w:t>a)</w:t>
      </w:r>
      <w:r>
        <w:tab/>
        <w:t xml:space="preserve">на своей осенней сессии 2021 года Совместное совещание избрало </w:t>
      </w:r>
      <w:r w:rsidR="00CE5F10">
        <w:br/>
      </w:r>
      <w:r>
        <w:t xml:space="preserve">г-на К. </w:t>
      </w:r>
      <w:proofErr w:type="spellStart"/>
      <w:r>
        <w:t>Пфоваделя</w:t>
      </w:r>
      <w:proofErr w:type="spellEnd"/>
      <w:r>
        <w:t xml:space="preserve"> (Франция) Председателем и г-жу С. Гарсия-</w:t>
      </w:r>
      <w:proofErr w:type="spellStart"/>
      <w:r>
        <w:t>Вольфрум</w:t>
      </w:r>
      <w:proofErr w:type="spellEnd"/>
      <w:r>
        <w:t xml:space="preserve"> (Испания) заместителем Председателя;</w:t>
      </w:r>
    </w:p>
    <w:p w14:paraId="16F36EB6" w14:textId="70E698DA" w:rsidR="00810D9D" w:rsidRPr="000E139A" w:rsidRDefault="00810D9D" w:rsidP="00810D9D">
      <w:pPr>
        <w:pStyle w:val="SingleTxtG"/>
      </w:pPr>
      <w:r>
        <w:tab/>
        <w:t>b)</w:t>
      </w:r>
      <w:r>
        <w:tab/>
        <w:t>документы ЕЭК ООН (за исключением повесток дня и докладов), имеющие условное обозначение ECE/TRANS/WP.15/АC.1/,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14:paraId="13EAFF1B" w14:textId="5D1F7083" w:rsidR="00810D9D" w:rsidRPr="000E139A" w:rsidRDefault="00810D9D" w:rsidP="00810D9D">
      <w:pPr>
        <w:pStyle w:val="SingleTxtG"/>
      </w:pPr>
      <w:r>
        <w:tab/>
        <w:t>c)</w:t>
      </w:r>
      <w:r>
        <w:tab/>
        <w:t>документация будет размещена на веб-сайте ЕЭК ООН (unece.org/</w:t>
      </w:r>
      <w:proofErr w:type="spellStart"/>
      <w:r>
        <w:t>transport</w:t>
      </w:r>
      <w:proofErr w:type="spellEnd"/>
      <w:r>
        <w:t>/</w:t>
      </w:r>
      <w:proofErr w:type="spellStart"/>
      <w:r>
        <w:t>dangerous-goods</w:t>
      </w:r>
      <w:proofErr w:type="spellEnd"/>
      <w:r>
        <w:t>) на английском, русском и французском языках;</w:t>
      </w:r>
    </w:p>
    <w:p w14:paraId="3949711F" w14:textId="0C54FD80" w:rsidR="00810D9D" w:rsidRPr="000E139A" w:rsidRDefault="00810D9D" w:rsidP="00810D9D">
      <w:pPr>
        <w:pStyle w:val="SingleTxtG"/>
      </w:pPr>
      <w:r>
        <w:tab/>
        <w:t>d)</w:t>
      </w:r>
      <w:r>
        <w:tab/>
        <w:t>Совместное совещание, возможно, пожелает, чтобы в случае необходимости не одновременно с пленарными заседаниями, а в другое время собралась специальная рабочая группа для рассмотрения документов, касающихся стандартов (пункт 3), в соответствии с мандатом, который будет утвержден Совместным совещанием;</w:t>
      </w:r>
    </w:p>
    <w:p w14:paraId="51858296" w14:textId="77777777" w:rsidR="00810D9D" w:rsidRPr="000E139A" w:rsidRDefault="00810D9D" w:rsidP="00810D9D">
      <w:pPr>
        <w:pStyle w:val="SingleTxtG"/>
        <w:ind w:firstLine="567"/>
      </w:pPr>
      <w:r>
        <w:lastRenderedPageBreak/>
        <w:t>e)</w:t>
      </w:r>
      <w:r>
        <w:tab/>
        <w:t>Совместное совещание, возможно, пожелает, чтобы в случае необходимости одновременно с ним собралась специальная рабочая группа для рассмотрения документов, касающихся цистерн (пункт 2), после обсуждения этого пункта на пленарном заседании;</w:t>
      </w:r>
    </w:p>
    <w:p w14:paraId="09EF838C" w14:textId="522645AE" w:rsidR="00810D9D" w:rsidRPr="00CE5F10" w:rsidRDefault="00810D9D" w:rsidP="00810D9D">
      <w:pPr>
        <w:pStyle w:val="SingleTxtG"/>
        <w:spacing w:before="120"/>
      </w:pPr>
      <w:r>
        <w:tab/>
        <w:t>f)</w:t>
      </w:r>
      <w:r>
        <w:tab/>
        <w:t xml:space="preserve">ссылка для онлайновой регистрации делегатов: </w:t>
      </w:r>
      <w:hyperlink r:id="rId8" w:history="1">
        <w:r w:rsidRPr="00CE5F10">
          <w:rPr>
            <w:rStyle w:val="Hyperlink"/>
            <w:color w:val="auto"/>
          </w:rPr>
          <w:t>https://indico.un.org/event/1000508</w:t>
        </w:r>
      </w:hyperlink>
      <w:r w:rsidRPr="00CE5F10">
        <w:t>;</w:t>
      </w:r>
    </w:p>
    <w:p w14:paraId="4496372C" w14:textId="6054DA24" w:rsidR="00810D9D" w:rsidRPr="000E139A" w:rsidRDefault="00810D9D" w:rsidP="00810D9D">
      <w:pPr>
        <w:pStyle w:val="SingleTxtG"/>
        <w:spacing w:before="120"/>
        <w:rPr>
          <w:rFonts w:asciiTheme="majorBidi" w:hAnsiTheme="majorBidi" w:cstheme="majorBidi"/>
        </w:rPr>
      </w:pPr>
      <w:r>
        <w:tab/>
        <w:t>g)</w:t>
      </w:r>
      <w:r>
        <w:tab/>
        <w:t>чтобы минимизировать влияние пандемии COVID-19 на работу Совместного совещания, ЕЭК ООН планирует вернуться к нормальному</w:t>
      </w:r>
      <w:r w:rsidRPr="008C33FB">
        <w:t xml:space="preserve"> </w:t>
      </w:r>
      <w:r>
        <w:t>режиму работы начиная с 2023 года, т. е. организовывать очные сессии только в зависимости от дальнейшего смягчения действующих санитарных ограничений. В соответствии с договоренностью о продолжении применения рабочих процедур, уже предложенных для сессий 2022 года, осенняя сессия будет проведена в гибридном формате, позволяющем делегатам участвовать в ней лично или дистанционно. Более подробная информация будет распространена позднее;</w:t>
      </w:r>
    </w:p>
    <w:p w14:paraId="51CF7E5B" w14:textId="214C1534" w:rsidR="00810D9D" w:rsidRPr="000E139A" w:rsidRDefault="00810D9D" w:rsidP="00810D9D">
      <w:pPr>
        <w:pStyle w:val="SingleTxtG"/>
        <w:spacing w:before="120"/>
        <w:rPr>
          <w:rFonts w:asciiTheme="majorBidi" w:hAnsiTheme="majorBidi" w:cstheme="majorBidi"/>
        </w:rPr>
      </w:pPr>
      <w:r>
        <w:tab/>
        <w:t>h)</w:t>
      </w:r>
      <w:r>
        <w:tab/>
        <w:t>чтение доклада (пункт 12) планируется провести в первой половине дня в пятницу (16 сентября 2022 года) без устного перевода.</w:t>
      </w:r>
    </w:p>
    <w:p w14:paraId="202F4E10" w14:textId="77777777" w:rsidR="00810D9D" w:rsidRDefault="00810D9D" w:rsidP="00810D9D">
      <w:pPr>
        <w:pStyle w:val="HChG"/>
      </w:pPr>
      <w:r>
        <w:rPr>
          <w:bCs/>
        </w:rPr>
        <w:tab/>
        <w:t>2.</w:t>
      </w:r>
      <w:r>
        <w:tab/>
      </w:r>
      <w:r>
        <w:rPr>
          <w:bCs/>
        </w:rPr>
        <w:t>Цистерны</w:t>
      </w:r>
    </w:p>
    <w:tbl>
      <w:tblPr>
        <w:tblW w:w="748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228"/>
      </w:tblGrid>
      <w:tr w:rsidR="00810D9D" w:rsidRPr="00FD0A1F" w14:paraId="3A59E84E" w14:textId="77777777" w:rsidTr="00810D9D">
        <w:tc>
          <w:tcPr>
            <w:tcW w:w="3261" w:type="dxa"/>
          </w:tcPr>
          <w:p w14:paraId="51D28FF5" w14:textId="77777777" w:rsidR="00810D9D" w:rsidRPr="000E139A" w:rsidRDefault="00810D9D" w:rsidP="00AF2FBB">
            <w:pPr>
              <w:spacing w:after="60"/>
              <w:ind w:right="175"/>
            </w:pPr>
            <w:r>
              <w:t>ECE/TRANS/WP.15/AC.1/2022/21 (Российская Федерация)</w:t>
            </w:r>
          </w:p>
        </w:tc>
        <w:tc>
          <w:tcPr>
            <w:tcW w:w="4228" w:type="dxa"/>
          </w:tcPr>
          <w:p w14:paraId="15E9832C" w14:textId="77777777" w:rsidR="00810D9D" w:rsidRPr="000E139A" w:rsidRDefault="00810D9D" w:rsidP="00810D9D">
            <w:pPr>
              <w:pStyle w:val="SingleTxtG"/>
              <w:spacing w:after="60"/>
              <w:ind w:left="0" w:right="16"/>
              <w:jc w:val="left"/>
              <w:rPr>
                <w:color w:val="FF0000"/>
              </w:rPr>
            </w:pPr>
            <w:r>
              <w:t xml:space="preserve">Расчет толщины стенки корпуса для цистерн с кодом P22DH (ООН 1017 ХЛОР; ООН 1076 ФОСГЕН) </w:t>
            </w:r>
          </w:p>
        </w:tc>
      </w:tr>
      <w:tr w:rsidR="00810D9D" w:rsidRPr="00FD0A1F" w14:paraId="635D47B8" w14:textId="77777777" w:rsidTr="00810D9D">
        <w:tc>
          <w:tcPr>
            <w:tcW w:w="3261" w:type="dxa"/>
          </w:tcPr>
          <w:p w14:paraId="2631D074" w14:textId="77777777" w:rsidR="00810D9D" w:rsidRPr="00810D9D" w:rsidRDefault="00810D9D" w:rsidP="00AF2FBB">
            <w:pPr>
              <w:spacing w:after="60"/>
              <w:ind w:right="175"/>
              <w:rPr>
                <w:lang w:val="en-US"/>
              </w:rPr>
            </w:pPr>
            <w:r w:rsidRPr="000E139A">
              <w:rPr>
                <w:lang w:val="en-US"/>
              </w:rPr>
              <w:t>ECE/TRANS/WP.15/AC.1/2022/22 (</w:t>
            </w:r>
            <w:r>
              <w:t>МСАГВ</w:t>
            </w:r>
            <w:r w:rsidRPr="000E139A">
              <w:rPr>
                <w:lang w:val="en-US"/>
              </w:rPr>
              <w:t>)</w:t>
            </w:r>
          </w:p>
        </w:tc>
        <w:tc>
          <w:tcPr>
            <w:tcW w:w="4228" w:type="dxa"/>
          </w:tcPr>
          <w:p w14:paraId="6016BCFE" w14:textId="77777777" w:rsidR="00810D9D" w:rsidRPr="000E139A" w:rsidRDefault="00810D9D" w:rsidP="00810D9D">
            <w:pPr>
              <w:pStyle w:val="SingleTxtG"/>
              <w:spacing w:after="60"/>
              <w:ind w:left="0" w:right="16"/>
              <w:jc w:val="left"/>
            </w:pPr>
            <w:r>
              <w:t xml:space="preserve">Цифровые отчеты о проверке или электронный комплект технической документации на цистерну </w:t>
            </w:r>
          </w:p>
        </w:tc>
      </w:tr>
      <w:tr w:rsidR="00810D9D" w:rsidRPr="00FD0A1F" w14:paraId="163A91D2" w14:textId="77777777" w:rsidTr="00810D9D">
        <w:tc>
          <w:tcPr>
            <w:tcW w:w="3261" w:type="dxa"/>
          </w:tcPr>
          <w:p w14:paraId="0C9549D2" w14:textId="77777777" w:rsidR="00810D9D" w:rsidRPr="000E139A" w:rsidRDefault="00810D9D" w:rsidP="00AF2FBB">
            <w:pPr>
              <w:spacing w:after="60"/>
              <w:ind w:right="175"/>
            </w:pPr>
            <w:r>
              <w:t>ECE/TRANS/WP.15/AC.1/2022/29 (Соединенное Королевство)</w:t>
            </w:r>
          </w:p>
        </w:tc>
        <w:tc>
          <w:tcPr>
            <w:tcW w:w="4228" w:type="dxa"/>
          </w:tcPr>
          <w:p w14:paraId="563DA6F3" w14:textId="77777777" w:rsidR="00810D9D" w:rsidRPr="000E139A" w:rsidRDefault="00810D9D" w:rsidP="00810D9D">
            <w:pPr>
              <w:pStyle w:val="SingleTxtG"/>
              <w:spacing w:after="60"/>
              <w:ind w:left="0" w:right="16"/>
              <w:jc w:val="left"/>
            </w:pPr>
            <w:r>
              <w:t xml:space="preserve">Требования пункта 6.8.2.2.11 МПОГ/ДОПОГ, касающиеся уровнемеров </w:t>
            </w:r>
          </w:p>
        </w:tc>
      </w:tr>
      <w:tr w:rsidR="00810D9D" w:rsidRPr="00FD0A1F" w14:paraId="51024560" w14:textId="77777777" w:rsidTr="00810D9D">
        <w:tc>
          <w:tcPr>
            <w:tcW w:w="3261" w:type="dxa"/>
          </w:tcPr>
          <w:p w14:paraId="5FF8DB16" w14:textId="77777777" w:rsidR="00810D9D" w:rsidRPr="000E139A" w:rsidRDefault="00810D9D" w:rsidP="00AF2FBB">
            <w:pPr>
              <w:spacing w:after="60"/>
              <w:ind w:right="175"/>
            </w:pPr>
            <w:r>
              <w:t>ECE/TRANS/WP.15/AC.1/2022/30 (Соединенное Королевство)</w:t>
            </w:r>
          </w:p>
        </w:tc>
        <w:tc>
          <w:tcPr>
            <w:tcW w:w="4228" w:type="dxa"/>
          </w:tcPr>
          <w:p w14:paraId="68F9C4DD" w14:textId="77777777" w:rsidR="00810D9D" w:rsidRPr="000E139A" w:rsidRDefault="00810D9D" w:rsidP="00810D9D">
            <w:pPr>
              <w:pStyle w:val="SingleTxtG"/>
              <w:spacing w:after="60"/>
              <w:ind w:left="0" w:right="16"/>
              <w:jc w:val="left"/>
            </w:pPr>
            <w:r>
              <w:t xml:space="preserve">Аккредитация проверяющих органов для целей выдачи разрешения и осуществления контроля за внутренними инспекционными службами </w:t>
            </w:r>
          </w:p>
        </w:tc>
      </w:tr>
      <w:tr w:rsidR="00810D9D" w:rsidRPr="00FD0A1F" w14:paraId="5386AC8E" w14:textId="77777777" w:rsidTr="00810D9D">
        <w:tc>
          <w:tcPr>
            <w:tcW w:w="3261" w:type="dxa"/>
          </w:tcPr>
          <w:p w14:paraId="5F2C4DB6" w14:textId="77777777" w:rsidR="00810D9D" w:rsidRPr="000E139A" w:rsidRDefault="00810D9D" w:rsidP="00AF2FBB">
            <w:pPr>
              <w:spacing w:after="60"/>
              <w:ind w:right="175"/>
            </w:pPr>
            <w:r>
              <w:t>ECE/TRANS/WP.15/AC.1/2022/31 (Соединенное Королевство)</w:t>
            </w:r>
          </w:p>
        </w:tc>
        <w:tc>
          <w:tcPr>
            <w:tcW w:w="4228" w:type="dxa"/>
          </w:tcPr>
          <w:p w14:paraId="41AE3727" w14:textId="77777777" w:rsidR="00810D9D" w:rsidRPr="000E139A" w:rsidRDefault="00810D9D" w:rsidP="00810D9D">
            <w:pPr>
              <w:pStyle w:val="SingleTxtG"/>
              <w:spacing w:after="60"/>
              <w:ind w:left="0" w:right="16"/>
              <w:jc w:val="left"/>
            </w:pPr>
            <w:r>
              <w:t xml:space="preserve">Предложение по разработке стандарта на клапаны сброса давления на автоцистернах, перевозящих опасные грузы, кроме нефтепродуктов и СНГ </w:t>
            </w:r>
          </w:p>
        </w:tc>
      </w:tr>
    </w:tbl>
    <w:p w14:paraId="7096B82C" w14:textId="77777777" w:rsidR="00810D9D" w:rsidRDefault="00810D9D" w:rsidP="00810D9D">
      <w:pPr>
        <w:pStyle w:val="HChG"/>
      </w:pPr>
      <w:r>
        <w:rPr>
          <w:bCs/>
        </w:rPr>
        <w:tab/>
        <w:t>3.</w:t>
      </w:r>
      <w:r>
        <w:tab/>
      </w:r>
      <w:r>
        <w:rPr>
          <w:bCs/>
        </w:rPr>
        <w:t>Стандарты</w:t>
      </w:r>
    </w:p>
    <w:tbl>
      <w:tblPr>
        <w:tblW w:w="748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227"/>
      </w:tblGrid>
      <w:tr w:rsidR="00810D9D" w:rsidRPr="00FD0A1F" w14:paraId="2A612EFD" w14:textId="77777777" w:rsidTr="00AF339D">
        <w:tc>
          <w:tcPr>
            <w:tcW w:w="3262" w:type="dxa"/>
          </w:tcPr>
          <w:p w14:paraId="61246219" w14:textId="77777777" w:rsidR="00810D9D" w:rsidRPr="00810D9D" w:rsidRDefault="00810D9D" w:rsidP="00AF2FBB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0E139A">
              <w:rPr>
                <w:lang w:val="en-US"/>
              </w:rPr>
              <w:t>ECE/TRANS/WP.15/AC.1/2022/23 (</w:t>
            </w:r>
            <w:r>
              <w:t>ЕКС</w:t>
            </w:r>
            <w:r w:rsidRPr="000E139A">
              <w:rPr>
                <w:lang w:val="en-US"/>
              </w:rPr>
              <w:t>)</w:t>
            </w:r>
          </w:p>
        </w:tc>
        <w:tc>
          <w:tcPr>
            <w:tcW w:w="4227" w:type="dxa"/>
          </w:tcPr>
          <w:p w14:paraId="4BD44B7F" w14:textId="77777777" w:rsidR="00810D9D" w:rsidRPr="000E139A" w:rsidRDefault="00810D9D" w:rsidP="00810D9D">
            <w:pPr>
              <w:pStyle w:val="SingleTxtG"/>
              <w:spacing w:after="60"/>
              <w:ind w:left="0" w:right="16"/>
              <w:jc w:val="left"/>
            </w:pPr>
            <w:r>
              <w:t xml:space="preserve">Информация о работе Рабочей группы по стандартам </w:t>
            </w:r>
          </w:p>
        </w:tc>
      </w:tr>
      <w:tr w:rsidR="00810D9D" w:rsidRPr="005A7575" w14:paraId="5AA2C666" w14:textId="77777777" w:rsidTr="00AF339D">
        <w:tc>
          <w:tcPr>
            <w:tcW w:w="3262" w:type="dxa"/>
          </w:tcPr>
          <w:p w14:paraId="6D54704E" w14:textId="77777777" w:rsidR="00810D9D" w:rsidRPr="00810D9D" w:rsidRDefault="00810D9D" w:rsidP="00AF2FBB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0E139A">
              <w:rPr>
                <w:lang w:val="en-US"/>
              </w:rPr>
              <w:t>ECE/TRANS/WP.15/AC.1/2022/24 (</w:t>
            </w:r>
            <w:r>
              <w:t>Нидерланды</w:t>
            </w:r>
            <w:r w:rsidRPr="000E139A">
              <w:rPr>
                <w:lang w:val="en-US"/>
              </w:rPr>
              <w:t>)</w:t>
            </w:r>
          </w:p>
        </w:tc>
        <w:tc>
          <w:tcPr>
            <w:tcW w:w="4227" w:type="dxa"/>
          </w:tcPr>
          <w:p w14:paraId="5B655CB7" w14:textId="77777777" w:rsidR="00810D9D" w:rsidRPr="005A7575" w:rsidRDefault="00810D9D" w:rsidP="00810D9D">
            <w:pPr>
              <w:pStyle w:val="SingleTxtG"/>
              <w:spacing w:after="60"/>
              <w:ind w:left="0" w:right="16"/>
              <w:jc w:val="left"/>
            </w:pPr>
            <w:r>
              <w:t xml:space="preserve">Обновление стандарта EN 1251-3:2000 </w:t>
            </w:r>
          </w:p>
        </w:tc>
      </w:tr>
      <w:tr w:rsidR="00810D9D" w:rsidRPr="00FD0A1F" w14:paraId="7C24BD8A" w14:textId="77777777" w:rsidTr="00AF339D">
        <w:tc>
          <w:tcPr>
            <w:tcW w:w="3262" w:type="dxa"/>
          </w:tcPr>
          <w:p w14:paraId="31A222CE" w14:textId="77777777" w:rsidR="00810D9D" w:rsidRPr="00FD0A1F" w:rsidRDefault="00810D9D" w:rsidP="00AF2FBB">
            <w:pPr>
              <w:pStyle w:val="SingleTxtG"/>
              <w:spacing w:after="60"/>
              <w:ind w:left="0" w:right="175"/>
              <w:jc w:val="left"/>
            </w:pPr>
            <w:r>
              <w:t>ECE/TRANS/WP.15/AC.1/2022/32 (секретариат)</w:t>
            </w:r>
          </w:p>
        </w:tc>
        <w:tc>
          <w:tcPr>
            <w:tcW w:w="4227" w:type="dxa"/>
          </w:tcPr>
          <w:p w14:paraId="341DF3F5" w14:textId="77777777" w:rsidR="00810D9D" w:rsidRPr="000E139A" w:rsidRDefault="00810D9D" w:rsidP="00810D9D">
            <w:pPr>
              <w:pStyle w:val="SingleTxtG"/>
              <w:spacing w:after="60"/>
              <w:ind w:left="0" w:right="16"/>
              <w:jc w:val="left"/>
            </w:pPr>
            <w:r>
              <w:t>Ссылки на стандарты, уже принятые Совместным совещанием, но не включенные в поправки 2023 года</w:t>
            </w:r>
          </w:p>
        </w:tc>
      </w:tr>
    </w:tbl>
    <w:p w14:paraId="28885889" w14:textId="77777777" w:rsidR="00810D9D" w:rsidRPr="000E139A" w:rsidRDefault="00810D9D" w:rsidP="00810D9D">
      <w:pPr>
        <w:pStyle w:val="HChG"/>
      </w:pPr>
      <w:r>
        <w:rPr>
          <w:bCs/>
        </w:rPr>
        <w:tab/>
        <w:t>4.</w:t>
      </w:r>
      <w:r>
        <w:tab/>
      </w:r>
      <w:r>
        <w:rPr>
          <w:bCs/>
        </w:rPr>
        <w:t>Согласование с Рекомендациями Организации Объединенных Наций по перевозке опасных грузов</w:t>
      </w:r>
    </w:p>
    <w:p w14:paraId="11B94DEC" w14:textId="77777777" w:rsidR="00810D9D" w:rsidRPr="000E139A" w:rsidRDefault="00810D9D" w:rsidP="00810D9D">
      <w:pPr>
        <w:ind w:left="1134" w:right="1134"/>
      </w:pPr>
      <w:r>
        <w:tab/>
      </w:r>
      <w:r>
        <w:tab/>
        <w:t>Никаких документов по этому пункту повестки дня не представлено.</w:t>
      </w:r>
    </w:p>
    <w:p w14:paraId="0CEF1B86" w14:textId="145F74C2" w:rsidR="00810D9D" w:rsidRPr="000E139A" w:rsidRDefault="00810D9D" w:rsidP="00810D9D">
      <w:pPr>
        <w:pStyle w:val="HChG"/>
      </w:pPr>
      <w:r>
        <w:rPr>
          <w:bCs/>
        </w:rPr>
        <w:lastRenderedPageBreak/>
        <w:tab/>
        <w:t>5.</w:t>
      </w:r>
      <w:r>
        <w:tab/>
      </w:r>
      <w:r>
        <w:rPr>
          <w:bCs/>
        </w:rPr>
        <w:t xml:space="preserve">Предложения о внесении поправок </w:t>
      </w:r>
      <w:r w:rsidR="00AF339D">
        <w:rPr>
          <w:bCs/>
        </w:rPr>
        <w:br/>
      </w:r>
      <w:r>
        <w:rPr>
          <w:bCs/>
        </w:rPr>
        <w:t>в МПОГ/ДОПОГ/ВОПОГ</w:t>
      </w:r>
    </w:p>
    <w:p w14:paraId="4BFF8D6A" w14:textId="2D0EE742" w:rsidR="00810D9D" w:rsidRDefault="00810D9D" w:rsidP="00810D9D">
      <w:pPr>
        <w:pStyle w:val="H1G"/>
        <w:rPr>
          <w:bCs/>
        </w:rPr>
      </w:pPr>
      <w:r>
        <w:rPr>
          <w:bCs/>
        </w:rPr>
        <w:tab/>
        <w:t>a)</w:t>
      </w:r>
      <w:r>
        <w:tab/>
      </w:r>
      <w:r>
        <w:rPr>
          <w:bCs/>
        </w:rPr>
        <w:t>Нерассмотренные вопросы</w:t>
      </w:r>
    </w:p>
    <w:tbl>
      <w:tblPr>
        <w:tblW w:w="751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097"/>
      </w:tblGrid>
      <w:tr w:rsidR="00810D9D" w:rsidRPr="00FD0A1F" w14:paraId="4979B506" w14:textId="77777777" w:rsidTr="00AF339D">
        <w:tc>
          <w:tcPr>
            <w:tcW w:w="3416" w:type="dxa"/>
          </w:tcPr>
          <w:p w14:paraId="25E0FC04" w14:textId="77777777" w:rsidR="00810D9D" w:rsidRPr="00810D9D" w:rsidRDefault="00810D9D" w:rsidP="00CE5F10">
            <w:pPr>
              <w:pStyle w:val="HChG"/>
              <w:rPr>
                <w:lang w:val="en-US"/>
              </w:rPr>
            </w:pPr>
            <w:r w:rsidRPr="000E139A">
              <w:rPr>
                <w:lang w:val="en-US"/>
              </w:rPr>
              <w:t>ECE/TRANS/WP.15/AC.1/2022/26 (</w:t>
            </w:r>
            <w:r>
              <w:t>Германия</w:t>
            </w:r>
            <w:r w:rsidRPr="000E139A">
              <w:rPr>
                <w:lang w:val="en-US"/>
              </w:rPr>
              <w:t>)</w:t>
            </w:r>
          </w:p>
        </w:tc>
        <w:tc>
          <w:tcPr>
            <w:tcW w:w="4097" w:type="dxa"/>
          </w:tcPr>
          <w:p w14:paraId="4330FD7E" w14:textId="77777777" w:rsidR="00810D9D" w:rsidRPr="000E139A" w:rsidRDefault="00810D9D" w:rsidP="00AF339D">
            <w:pPr>
              <w:pStyle w:val="SingleTxtG"/>
              <w:spacing w:after="60"/>
              <w:ind w:left="0" w:right="175"/>
              <w:jc w:val="left"/>
            </w:pPr>
            <w:r>
              <w:t xml:space="preserve">Информация о транспортной категории для поврежденных или имеющих дефекты литий-ионных элементов или батарей и литий-металлических элементов или батарей </w:t>
            </w:r>
          </w:p>
        </w:tc>
      </w:tr>
    </w:tbl>
    <w:p w14:paraId="5D227062" w14:textId="77777777" w:rsidR="00810D9D" w:rsidRDefault="00810D9D" w:rsidP="00810D9D">
      <w:pPr>
        <w:pStyle w:val="H1G"/>
      </w:pPr>
      <w:r>
        <w:rPr>
          <w:bCs/>
        </w:rPr>
        <w:tab/>
        <w:t>b)</w:t>
      </w:r>
      <w:r>
        <w:tab/>
      </w:r>
      <w:r>
        <w:rPr>
          <w:bCs/>
        </w:rPr>
        <w:t>Новые предложения</w:t>
      </w:r>
    </w:p>
    <w:tbl>
      <w:tblPr>
        <w:tblW w:w="753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4143"/>
      </w:tblGrid>
      <w:tr w:rsidR="00810D9D" w:rsidRPr="00FD0A1F" w14:paraId="53971BAF" w14:textId="77777777" w:rsidTr="00AF339D">
        <w:tc>
          <w:tcPr>
            <w:tcW w:w="3388" w:type="dxa"/>
          </w:tcPr>
          <w:p w14:paraId="0D3E4B34" w14:textId="77777777" w:rsidR="00810D9D" w:rsidRPr="00810D9D" w:rsidRDefault="00810D9D" w:rsidP="00AF2FBB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0E139A">
              <w:rPr>
                <w:lang w:val="en-US"/>
              </w:rPr>
              <w:t>ECE/TRANS/WP.15/AC.1/2022/25 (</w:t>
            </w:r>
            <w:r>
              <w:t>Германия</w:t>
            </w:r>
            <w:r w:rsidRPr="000E139A">
              <w:rPr>
                <w:lang w:val="en-US"/>
              </w:rPr>
              <w:t>)</w:t>
            </w:r>
          </w:p>
        </w:tc>
        <w:tc>
          <w:tcPr>
            <w:tcW w:w="4143" w:type="dxa"/>
          </w:tcPr>
          <w:p w14:paraId="29D7B713" w14:textId="77777777" w:rsidR="00810D9D" w:rsidRPr="000E139A" w:rsidRDefault="00810D9D" w:rsidP="00AF339D">
            <w:pPr>
              <w:pStyle w:val="SingleTxtG"/>
              <w:spacing w:after="60"/>
              <w:ind w:left="0" w:right="175"/>
              <w:jc w:val="left"/>
            </w:pPr>
            <w:r>
              <w:t xml:space="preserve">Таблица A МПОГ/ДОПОГ: № ООН 1308, группа упаковки II </w:t>
            </w:r>
          </w:p>
        </w:tc>
      </w:tr>
      <w:tr w:rsidR="00810D9D" w:rsidRPr="00FD0A1F" w14:paraId="14A00F73" w14:textId="77777777" w:rsidTr="00AF339D">
        <w:tc>
          <w:tcPr>
            <w:tcW w:w="3388" w:type="dxa"/>
          </w:tcPr>
          <w:p w14:paraId="670DE2DC" w14:textId="77777777" w:rsidR="00810D9D" w:rsidRPr="00810D9D" w:rsidRDefault="00810D9D" w:rsidP="00AF2FBB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0E139A">
              <w:rPr>
                <w:lang w:val="en-US"/>
              </w:rPr>
              <w:t>ECE/TRANS/WP.15/AC.1/2022/27 (COSTHA)</w:t>
            </w:r>
          </w:p>
        </w:tc>
        <w:tc>
          <w:tcPr>
            <w:tcW w:w="4143" w:type="dxa"/>
          </w:tcPr>
          <w:p w14:paraId="1AC50D68" w14:textId="77777777" w:rsidR="00810D9D" w:rsidRPr="000E139A" w:rsidRDefault="00810D9D" w:rsidP="00AF339D">
            <w:pPr>
              <w:pStyle w:val="SingleTxtG"/>
              <w:spacing w:after="60"/>
              <w:ind w:left="0" w:right="175"/>
              <w:jc w:val="left"/>
              <w:rPr>
                <w:spacing w:val="-6"/>
                <w:w w:val="105"/>
              </w:rPr>
            </w:pPr>
            <w:r>
              <w:t xml:space="preserve">Онлайновые службы доставки продуктов питания </w:t>
            </w:r>
          </w:p>
        </w:tc>
      </w:tr>
      <w:tr w:rsidR="00810D9D" w:rsidRPr="00FD0A1F" w14:paraId="77EDFA93" w14:textId="77777777" w:rsidTr="00AF339D">
        <w:tc>
          <w:tcPr>
            <w:tcW w:w="3388" w:type="dxa"/>
          </w:tcPr>
          <w:p w14:paraId="5B7D58E3" w14:textId="77777777" w:rsidR="00810D9D" w:rsidRPr="00810D9D" w:rsidRDefault="00810D9D" w:rsidP="00AF2FBB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0E139A">
              <w:rPr>
                <w:lang w:val="en-US"/>
              </w:rPr>
              <w:t>ECE/TRANS/WP.15/AC.1/2022/28 (COSTHA)</w:t>
            </w:r>
          </w:p>
        </w:tc>
        <w:tc>
          <w:tcPr>
            <w:tcW w:w="4143" w:type="dxa"/>
          </w:tcPr>
          <w:p w14:paraId="72C7D973" w14:textId="77777777" w:rsidR="00810D9D" w:rsidRPr="000E139A" w:rsidRDefault="00810D9D" w:rsidP="00AF339D">
            <w:pPr>
              <w:pStyle w:val="SingleTxtG"/>
              <w:spacing w:after="60"/>
              <w:ind w:left="0" w:right="175"/>
              <w:jc w:val="left"/>
            </w:pPr>
            <w:r>
              <w:t xml:space="preserve">Прямая доставка опасных грузов конечным клиентам (транспортные пакеты) </w:t>
            </w:r>
          </w:p>
        </w:tc>
      </w:tr>
    </w:tbl>
    <w:p w14:paraId="7FB2C585" w14:textId="77777777" w:rsidR="00810D9D" w:rsidRPr="000E139A" w:rsidRDefault="00810D9D" w:rsidP="00810D9D">
      <w:pPr>
        <w:pStyle w:val="HChG"/>
        <w:spacing w:before="240" w:after="120"/>
      </w:pPr>
      <w:r>
        <w:rPr>
          <w:bCs/>
        </w:rPr>
        <w:tab/>
        <w:t>6.</w:t>
      </w:r>
      <w:r>
        <w:tab/>
      </w:r>
      <w:r>
        <w:rPr>
          <w:bCs/>
        </w:rPr>
        <w:t>Толкование МПОГ/ДОПОГ/ВОПОГ</w:t>
      </w:r>
    </w:p>
    <w:p w14:paraId="085083B8" w14:textId="77777777" w:rsidR="00810D9D" w:rsidRPr="000E139A" w:rsidRDefault="00810D9D" w:rsidP="00810D9D">
      <w:pPr>
        <w:ind w:left="1134" w:right="1134"/>
      </w:pPr>
      <w:r>
        <w:tab/>
      </w:r>
      <w:r>
        <w:tab/>
        <w:t>Никаких документов по этому пункту повестки дня не представлено.</w:t>
      </w:r>
    </w:p>
    <w:p w14:paraId="13D9DBD3" w14:textId="77777777" w:rsidR="00810D9D" w:rsidRPr="000E139A" w:rsidRDefault="00810D9D" w:rsidP="00810D9D">
      <w:pPr>
        <w:pStyle w:val="HChG"/>
        <w:keepNext w:val="0"/>
        <w:keepLines w:val="0"/>
      </w:pPr>
      <w:r>
        <w:rPr>
          <w:bCs/>
        </w:rPr>
        <w:tab/>
        <w:t>7.</w:t>
      </w:r>
      <w:r>
        <w:tab/>
      </w:r>
      <w:r>
        <w:rPr>
          <w:bCs/>
        </w:rPr>
        <w:t>Доклады неофициальных рабочих групп</w:t>
      </w:r>
    </w:p>
    <w:p w14:paraId="27D2E70D" w14:textId="77777777" w:rsidR="00810D9D" w:rsidRPr="000E139A" w:rsidRDefault="00810D9D" w:rsidP="00810D9D">
      <w:pPr>
        <w:ind w:left="1134" w:right="1134"/>
      </w:pPr>
      <w:r>
        <w:tab/>
      </w:r>
      <w:r>
        <w:tab/>
        <w:t>Никаких документов по этому пункту повестки дня не представлено.</w:t>
      </w:r>
    </w:p>
    <w:p w14:paraId="60F69671" w14:textId="77777777" w:rsidR="00810D9D" w:rsidRPr="000E139A" w:rsidRDefault="00810D9D" w:rsidP="00810D9D">
      <w:pPr>
        <w:pStyle w:val="HChG"/>
      </w:pPr>
      <w:r>
        <w:rPr>
          <w:bCs/>
        </w:rPr>
        <w:tab/>
        <w:t>8.</w:t>
      </w:r>
      <w:r>
        <w:tab/>
      </w:r>
      <w:r>
        <w:rPr>
          <w:bCs/>
        </w:rPr>
        <w:t>Аварии и управление рисками</w:t>
      </w:r>
    </w:p>
    <w:p w14:paraId="6EF65A25" w14:textId="2CD59F74" w:rsidR="00810D9D" w:rsidRPr="000E139A" w:rsidRDefault="00810D9D" w:rsidP="00810D9D">
      <w:pPr>
        <w:pStyle w:val="SingleTxtG"/>
      </w:pPr>
      <w:r>
        <w:tab/>
        <w:t>Никаких документов по этому пункту повестки дня не представлено.</w:t>
      </w:r>
    </w:p>
    <w:p w14:paraId="7BED2943" w14:textId="77777777" w:rsidR="00810D9D" w:rsidRPr="000E139A" w:rsidRDefault="00810D9D" w:rsidP="00810D9D">
      <w:pPr>
        <w:pStyle w:val="HChG"/>
      </w:pPr>
      <w:r>
        <w:rPr>
          <w:bCs/>
        </w:rPr>
        <w:tab/>
        <w:t>9.</w:t>
      </w:r>
      <w:r>
        <w:tab/>
      </w:r>
      <w:r>
        <w:rPr>
          <w:bCs/>
        </w:rPr>
        <w:t>Выборы должностных лиц на 2023 год</w:t>
      </w:r>
    </w:p>
    <w:p w14:paraId="5454D7DD" w14:textId="77777777" w:rsidR="00810D9D" w:rsidRPr="000E139A" w:rsidRDefault="00810D9D" w:rsidP="00810D9D">
      <w:pPr>
        <w:pStyle w:val="HChG"/>
      </w:pPr>
      <w:r>
        <w:rPr>
          <w:bCs/>
        </w:rPr>
        <w:tab/>
        <w:t>10.</w:t>
      </w:r>
      <w:r>
        <w:tab/>
      </w:r>
      <w:r>
        <w:rPr>
          <w:bCs/>
        </w:rPr>
        <w:t>Будущая работа</w:t>
      </w:r>
    </w:p>
    <w:p w14:paraId="55EA221C" w14:textId="1A52FD69" w:rsidR="00810D9D" w:rsidRPr="000E139A" w:rsidRDefault="00810D9D" w:rsidP="00810D9D">
      <w:pPr>
        <w:pStyle w:val="SingleTxtG"/>
        <w:spacing w:before="120"/>
      </w:pPr>
      <w:r>
        <w:tab/>
        <w:t>Совместное совещание, возможно, пожелает определить структуру повестки дня своей весенней сессии 2023 года (Берн, 13−17 марта 2023 года).</w:t>
      </w:r>
    </w:p>
    <w:p w14:paraId="122B6A6F" w14:textId="77777777" w:rsidR="00810D9D" w:rsidRPr="000E139A" w:rsidRDefault="00810D9D" w:rsidP="00810D9D">
      <w:pPr>
        <w:pStyle w:val="HChG"/>
      </w:pPr>
      <w:r>
        <w:rPr>
          <w:bCs/>
        </w:rPr>
        <w:tab/>
        <w:t>11.</w:t>
      </w:r>
      <w:r>
        <w:tab/>
      </w:r>
      <w:r>
        <w:rPr>
          <w:bCs/>
        </w:rPr>
        <w:t>Прочие вопросы</w:t>
      </w:r>
    </w:p>
    <w:p w14:paraId="269EEB22" w14:textId="77777777" w:rsidR="00810D9D" w:rsidRPr="000E139A" w:rsidRDefault="00810D9D" w:rsidP="00810D9D">
      <w:pPr>
        <w:ind w:left="1134" w:right="1134"/>
      </w:pPr>
      <w:r>
        <w:tab/>
      </w:r>
      <w:r>
        <w:tab/>
        <w:t>Никаких документов по этому пункту повестки дня не представлено.</w:t>
      </w:r>
    </w:p>
    <w:p w14:paraId="39AF43C7" w14:textId="77777777" w:rsidR="00810D9D" w:rsidRPr="000E139A" w:rsidRDefault="00810D9D" w:rsidP="00810D9D">
      <w:pPr>
        <w:pStyle w:val="HChG"/>
      </w:pPr>
      <w:r>
        <w:rPr>
          <w:bCs/>
        </w:rPr>
        <w:tab/>
        <w:t>12.</w:t>
      </w:r>
      <w:r>
        <w:tab/>
      </w:r>
      <w:r>
        <w:rPr>
          <w:bCs/>
        </w:rPr>
        <w:t>Утверждение доклада</w:t>
      </w:r>
    </w:p>
    <w:p w14:paraId="13C80DA0" w14:textId="77777777" w:rsidR="00810D9D" w:rsidRPr="000E139A" w:rsidRDefault="00810D9D" w:rsidP="00810D9D">
      <w:pPr>
        <w:pStyle w:val="SingleTxtG"/>
        <w:ind w:firstLine="561"/>
      </w:pPr>
      <w:r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14:paraId="7CBF6EEA" w14:textId="77777777" w:rsidR="00810D9D" w:rsidRPr="000E139A" w:rsidRDefault="00810D9D" w:rsidP="00810D9D">
      <w:pPr>
        <w:pStyle w:val="SingleTxtG"/>
        <w:spacing w:after="0"/>
        <w:jc w:val="center"/>
        <w:rPr>
          <w:u w:val="single"/>
        </w:rPr>
      </w:pPr>
      <w:r w:rsidRPr="000E139A">
        <w:rPr>
          <w:u w:val="single"/>
        </w:rPr>
        <w:tab/>
      </w:r>
      <w:r w:rsidRPr="000E139A">
        <w:rPr>
          <w:u w:val="single"/>
        </w:rPr>
        <w:tab/>
      </w:r>
      <w:r w:rsidRPr="000E139A">
        <w:rPr>
          <w:u w:val="single"/>
        </w:rPr>
        <w:tab/>
      </w:r>
    </w:p>
    <w:p w14:paraId="570F0543" w14:textId="77777777" w:rsidR="00810D9D" w:rsidRPr="000E139A" w:rsidRDefault="00810D9D" w:rsidP="00810D9D"/>
    <w:p w14:paraId="57D4F359" w14:textId="77777777" w:rsidR="00E12C5F" w:rsidRPr="008D53B6" w:rsidRDefault="00E12C5F" w:rsidP="00D9145B"/>
    <w:sectPr w:rsidR="00E12C5F" w:rsidRPr="008D53B6" w:rsidSect="00810D9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32C7" w14:textId="77777777" w:rsidR="004F225E" w:rsidRPr="00A312BC" w:rsidRDefault="004F225E" w:rsidP="00A312BC"/>
  </w:endnote>
  <w:endnote w:type="continuationSeparator" w:id="0">
    <w:p w14:paraId="21AC3D4B" w14:textId="77777777" w:rsidR="004F225E" w:rsidRPr="00A312BC" w:rsidRDefault="004F22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FD0" w14:textId="42E35EB2" w:rsidR="00810D9D" w:rsidRPr="00810D9D" w:rsidRDefault="00810D9D">
    <w:pPr>
      <w:pStyle w:val="Footer"/>
    </w:pPr>
    <w:r w:rsidRPr="00810D9D">
      <w:rPr>
        <w:b/>
        <w:sz w:val="18"/>
      </w:rPr>
      <w:fldChar w:fldCharType="begin"/>
    </w:r>
    <w:r w:rsidRPr="00810D9D">
      <w:rPr>
        <w:b/>
        <w:sz w:val="18"/>
      </w:rPr>
      <w:instrText xml:space="preserve"> PAGE  \* MERGEFORMAT </w:instrText>
    </w:r>
    <w:r w:rsidRPr="00810D9D">
      <w:rPr>
        <w:b/>
        <w:sz w:val="18"/>
      </w:rPr>
      <w:fldChar w:fldCharType="separate"/>
    </w:r>
    <w:r w:rsidRPr="00810D9D">
      <w:rPr>
        <w:b/>
        <w:noProof/>
        <w:sz w:val="18"/>
      </w:rPr>
      <w:t>2</w:t>
    </w:r>
    <w:r w:rsidRPr="00810D9D">
      <w:rPr>
        <w:b/>
        <w:sz w:val="18"/>
      </w:rPr>
      <w:fldChar w:fldCharType="end"/>
    </w:r>
    <w:r>
      <w:rPr>
        <w:b/>
        <w:sz w:val="18"/>
      </w:rPr>
      <w:tab/>
    </w:r>
    <w:r>
      <w:t>GE.22-10395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B479" w14:textId="3C55E9DC" w:rsidR="00810D9D" w:rsidRPr="00810D9D" w:rsidRDefault="00810D9D" w:rsidP="00810D9D">
    <w:pPr>
      <w:pStyle w:val="Footer"/>
      <w:tabs>
        <w:tab w:val="clear" w:pos="9639"/>
        <w:tab w:val="right" w:pos="9638"/>
      </w:tabs>
      <w:rPr>
        <w:b/>
        <w:sz w:val="18"/>
      </w:rPr>
    </w:pPr>
    <w:r>
      <w:t>GE.22-10395</w:t>
    </w:r>
    <w:r>
      <w:tab/>
    </w:r>
    <w:r w:rsidRPr="00810D9D">
      <w:rPr>
        <w:b/>
        <w:sz w:val="18"/>
      </w:rPr>
      <w:fldChar w:fldCharType="begin"/>
    </w:r>
    <w:r w:rsidRPr="00810D9D">
      <w:rPr>
        <w:b/>
        <w:sz w:val="18"/>
      </w:rPr>
      <w:instrText xml:space="preserve"> PAGE  \* MERGEFORMAT </w:instrText>
    </w:r>
    <w:r w:rsidRPr="00810D9D">
      <w:rPr>
        <w:b/>
        <w:sz w:val="18"/>
      </w:rPr>
      <w:fldChar w:fldCharType="separate"/>
    </w:r>
    <w:r w:rsidRPr="00810D9D">
      <w:rPr>
        <w:b/>
        <w:noProof/>
        <w:sz w:val="18"/>
      </w:rPr>
      <w:t>3</w:t>
    </w:r>
    <w:r w:rsidRPr="00810D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FB19" w14:textId="78203D18" w:rsidR="00042B72" w:rsidRPr="00810D9D" w:rsidRDefault="00810D9D" w:rsidP="00810D9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D9DE76" wp14:editId="1FFCB9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22-10395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B3DDAA" wp14:editId="3BF1E35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010722  040722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7C84" w14:textId="77777777" w:rsidR="004F225E" w:rsidRPr="001075E9" w:rsidRDefault="004F22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5DF12B" w14:textId="77777777" w:rsidR="004F225E" w:rsidRDefault="004F22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B94D" w14:textId="63027831" w:rsidR="00810D9D" w:rsidRPr="00810D9D" w:rsidRDefault="0021251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B75EA">
      <w:t>ECE/TRANS/WP.15/AC.1/165/Add.1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A7C2" w14:textId="08BF44F4" w:rsidR="00810D9D" w:rsidRPr="00810D9D" w:rsidRDefault="00212514" w:rsidP="00810D9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B75EA">
      <w:t>ECE/TRANS/WP.15/AC.1/165/Add.1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5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5EA"/>
    <w:rsid w:val="001C7A89"/>
    <w:rsid w:val="0021251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225E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D9D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71B2"/>
    <w:rsid w:val="00A14DA8"/>
    <w:rsid w:val="00A312BC"/>
    <w:rsid w:val="00A84021"/>
    <w:rsid w:val="00A84D35"/>
    <w:rsid w:val="00A917B3"/>
    <w:rsid w:val="00AB4B51"/>
    <w:rsid w:val="00AF339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E5F10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259D"/>
    <w:rsid w:val="00F2523A"/>
    <w:rsid w:val="00F410A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AAEF2"/>
  <w15:docId w15:val="{2BF45B94-3F93-4D01-A212-C8620E5D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810D9D"/>
    <w:rPr>
      <w:lang w:val="ru-RU" w:eastAsia="en-US"/>
    </w:rPr>
  </w:style>
  <w:style w:type="character" w:customStyle="1" w:styleId="HChGChar">
    <w:name w:val="_ H _Ch_G Char"/>
    <w:link w:val="HChG"/>
    <w:locked/>
    <w:rsid w:val="00810D9D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810D9D"/>
    <w:rPr>
      <w:b/>
      <w:sz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81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un.org/event/1000508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D4E291E-86E8-4500-97AD-93B84A125C74}"/>
</file>

<file path=customXml/itemProps2.xml><?xml version="1.0" encoding="utf-8"?>
<ds:datastoreItem xmlns:ds="http://schemas.openxmlformats.org/officeDocument/2006/customXml" ds:itemID="{E5127859-0103-4C87-8062-93E3DFC49D3B}"/>
</file>

<file path=customXml/itemProps3.xml><?xml version="1.0" encoding="utf-8"?>
<ds:datastoreItem xmlns:ds="http://schemas.openxmlformats.org/officeDocument/2006/customXml" ds:itemID="{5D2E131D-24F8-4BD2-8515-5F49B9CA0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ECE/TRANS/WP.15/AC.1/165/Add.1</vt:lpstr>
      <vt:lpstr>A/</vt:lpstr>
      <vt:lpstr>A/</vt:lpstr>
    </vt:vector>
  </TitlesOfParts>
  <Company>DCM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ECE/TRANS/WP.15/AC.1/165/Add.1</dc:title>
  <dc:subject/>
  <dc:creator>Ekaterina SALYNSKAYA</dc:creator>
  <cp:keywords/>
  <cp:lastModifiedBy>Christine Barrio-Champeau</cp:lastModifiedBy>
  <cp:revision>2</cp:revision>
  <cp:lastPrinted>2022-07-04T08:49:00Z</cp:lastPrinted>
  <dcterms:created xsi:type="dcterms:W3CDTF">2022-07-25T11:27:00Z</dcterms:created>
  <dcterms:modified xsi:type="dcterms:W3CDTF">2022-07-25T11:27:00Z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