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3A093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72FC85" w14:textId="77777777" w:rsidR="00F35BAF" w:rsidRPr="00DB58B5" w:rsidRDefault="00F35BAF" w:rsidP="009533D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4E730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9F9EEC" w14:textId="7A76692A" w:rsidR="00F35BAF" w:rsidRPr="00DB58B5" w:rsidRDefault="009533DB" w:rsidP="009533DB">
            <w:pPr>
              <w:jc w:val="right"/>
            </w:pPr>
            <w:r w:rsidRPr="009533DB">
              <w:rPr>
                <w:sz w:val="40"/>
              </w:rPr>
              <w:t>ECE</w:t>
            </w:r>
            <w:r>
              <w:t>/TRANS/WP.29/GRVA/2022/17</w:t>
            </w:r>
          </w:p>
        </w:tc>
      </w:tr>
      <w:tr w:rsidR="00F35BAF" w:rsidRPr="00DB58B5" w14:paraId="3706FFC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3D33E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155560E" wp14:editId="41D30B1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FDB76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EE6A8F" w14:textId="77777777" w:rsidR="00F35BAF" w:rsidRDefault="009533DB" w:rsidP="00C97039">
            <w:pPr>
              <w:spacing w:before="240"/>
            </w:pPr>
            <w:r>
              <w:t>Distr. générale</w:t>
            </w:r>
          </w:p>
          <w:p w14:paraId="2FB5A406" w14:textId="745E5B1F" w:rsidR="009533DB" w:rsidRDefault="009533DB" w:rsidP="009533DB">
            <w:pPr>
              <w:spacing w:line="240" w:lineRule="exact"/>
            </w:pPr>
            <w:r>
              <w:t>13 juillet 2022</w:t>
            </w:r>
          </w:p>
          <w:p w14:paraId="34194505" w14:textId="77777777" w:rsidR="009533DB" w:rsidRDefault="009533DB" w:rsidP="009533DB">
            <w:pPr>
              <w:spacing w:line="240" w:lineRule="exact"/>
            </w:pPr>
            <w:r>
              <w:t>Français</w:t>
            </w:r>
          </w:p>
          <w:p w14:paraId="7070EB7D" w14:textId="7C8EDC49" w:rsidR="009533DB" w:rsidRPr="00DB58B5" w:rsidRDefault="009533DB" w:rsidP="009533DB">
            <w:pPr>
              <w:spacing w:line="240" w:lineRule="exact"/>
            </w:pPr>
            <w:r>
              <w:t>Original : anglais</w:t>
            </w:r>
          </w:p>
        </w:tc>
      </w:tr>
    </w:tbl>
    <w:p w14:paraId="228FB91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EBC262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E51438" w14:textId="17B163D4" w:rsidR="009533DB" w:rsidRDefault="009533DB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459A76" w14:textId="77777777" w:rsidR="009533DB" w:rsidRDefault="009533DB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28436CEC" w14:textId="01D48B98" w:rsidR="009533DB" w:rsidRDefault="009533DB" w:rsidP="00A3029F">
      <w:pPr>
        <w:spacing w:before="120"/>
        <w:rPr>
          <w:b/>
        </w:rPr>
      </w:pPr>
      <w:r>
        <w:rPr>
          <w:b/>
        </w:rPr>
        <w:t>Quatorzième session</w:t>
      </w:r>
    </w:p>
    <w:p w14:paraId="3DB65B39" w14:textId="4F690ED1" w:rsidR="009533DB" w:rsidRDefault="009533DB" w:rsidP="00A3029F">
      <w:pPr>
        <w:spacing w:line="240" w:lineRule="exact"/>
      </w:pPr>
      <w:r>
        <w:t>Genève, 26-30 septembre 2022</w:t>
      </w:r>
    </w:p>
    <w:p w14:paraId="17D66A1C" w14:textId="18A4CE6F" w:rsidR="009533DB" w:rsidRDefault="009533DB" w:rsidP="00A3029F">
      <w:pPr>
        <w:spacing w:line="240" w:lineRule="exact"/>
      </w:pPr>
      <w:r>
        <w:t>Point 5 a) de l’ordre du jour provisoire</w:t>
      </w:r>
    </w:p>
    <w:p w14:paraId="6A7AB557" w14:textId="0C270EF1" w:rsidR="009533DB" w:rsidRPr="00AB0978" w:rsidRDefault="009533DB" w:rsidP="009533DB">
      <w:pPr>
        <w:rPr>
          <w:b/>
          <w:bCs/>
          <w:lang w:val="fr-FR"/>
        </w:rPr>
      </w:pPr>
      <w:r w:rsidRPr="00AB0978">
        <w:rPr>
          <w:b/>
          <w:bCs/>
          <w:lang w:val="fr-FR"/>
        </w:rPr>
        <w:t>Véhicules connectés</w:t>
      </w:r>
      <w:r>
        <w:rPr>
          <w:b/>
          <w:bCs/>
          <w:lang w:val="fr-FR"/>
        </w:rPr>
        <w:t> </w:t>
      </w:r>
      <w:r w:rsidRPr="00AB0978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AB0978">
        <w:rPr>
          <w:b/>
          <w:bCs/>
          <w:lang w:val="fr-FR"/>
        </w:rPr>
        <w:t>Cybersécurité et protection des données</w:t>
      </w:r>
    </w:p>
    <w:p w14:paraId="008BC69E" w14:textId="4B495313" w:rsidR="009533DB" w:rsidRPr="00AB0978" w:rsidRDefault="009533DB" w:rsidP="009533DB">
      <w:pPr>
        <w:pStyle w:val="HChG"/>
        <w:rPr>
          <w:lang w:val="fr-FR"/>
        </w:rPr>
      </w:pPr>
      <w:r w:rsidRPr="00AB0978">
        <w:rPr>
          <w:lang w:val="fr-FR"/>
        </w:rPr>
        <w:tab/>
      </w:r>
      <w:r w:rsidRPr="00AB0978">
        <w:rPr>
          <w:lang w:val="fr-FR"/>
        </w:rPr>
        <w:tab/>
        <w:t>Proposition de complément au Règlement ONU n</w:t>
      </w:r>
      <w:r w:rsidRPr="00C1129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B0978">
        <w:rPr>
          <w:lang w:val="fr-FR"/>
        </w:rPr>
        <w:t>155 (</w:t>
      </w:r>
      <w:r>
        <w:rPr>
          <w:lang w:val="fr-FR"/>
        </w:rPr>
        <w:t>C</w:t>
      </w:r>
      <w:r w:rsidRPr="00AB0978">
        <w:rPr>
          <w:lang w:val="fr-FR"/>
        </w:rPr>
        <w:t>ybersécurité et systèmes de gestion de la cybersécurité)</w:t>
      </w:r>
    </w:p>
    <w:p w14:paraId="0D4F401E" w14:textId="48E8F881" w:rsidR="009533DB" w:rsidRPr="00AB0978" w:rsidRDefault="009533DB" w:rsidP="009533DB">
      <w:pPr>
        <w:pStyle w:val="H1G"/>
        <w:rPr>
          <w:lang w:val="fr-FR"/>
        </w:rPr>
      </w:pPr>
      <w:r w:rsidRPr="00AB0978">
        <w:rPr>
          <w:lang w:val="fr-FR"/>
        </w:rPr>
        <w:tab/>
      </w:r>
      <w:r w:rsidRPr="00AB0978">
        <w:rPr>
          <w:lang w:val="fr-FR"/>
        </w:rPr>
        <w:tab/>
        <w:t>Communication des experts de SAE International</w:t>
      </w:r>
      <w:r w:rsidRPr="009533D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4174C63" w14:textId="2F792DB9" w:rsidR="00F9573C" w:rsidRDefault="009533DB" w:rsidP="009533DB">
      <w:pPr>
        <w:pStyle w:val="SingleTxtG"/>
        <w:ind w:firstLine="567"/>
        <w:rPr>
          <w:lang w:val="fr-FR"/>
        </w:rPr>
      </w:pPr>
      <w:r w:rsidRPr="00AB0978">
        <w:rPr>
          <w:lang w:val="fr-FR"/>
        </w:rPr>
        <w:t>Le texte ci-après, établi par les experts de SAE International, vise à préciser les prescriptions de l</w:t>
      </w:r>
      <w:r>
        <w:rPr>
          <w:lang w:val="fr-FR"/>
        </w:rPr>
        <w:t>’</w:t>
      </w:r>
      <w:r w:rsidRPr="00AB0978">
        <w:rPr>
          <w:lang w:val="fr-FR"/>
        </w:rPr>
        <w:t>annexe</w:t>
      </w:r>
      <w:r>
        <w:rPr>
          <w:lang w:val="fr-FR"/>
        </w:rPr>
        <w:t> </w:t>
      </w:r>
      <w:r w:rsidRPr="00AB0978">
        <w:rPr>
          <w:lang w:val="fr-FR"/>
        </w:rPr>
        <w:t>5 qui concerne</w:t>
      </w:r>
      <w:r>
        <w:rPr>
          <w:lang w:val="fr-FR"/>
        </w:rPr>
        <w:t>nt</w:t>
      </w:r>
      <w:r w:rsidRPr="00AB0978">
        <w:rPr>
          <w:lang w:val="fr-FR"/>
        </w:rPr>
        <w:t xml:space="preserve"> l</w:t>
      </w:r>
      <w:r>
        <w:rPr>
          <w:lang w:val="fr-FR"/>
        </w:rPr>
        <w:t>’</w:t>
      </w:r>
      <w:r w:rsidRPr="00AB0978">
        <w:rPr>
          <w:lang w:val="fr-FR"/>
        </w:rPr>
        <w:t>authentification des messages du Système mondial de navigation par satellite (GNSS). Il est fondé sur le document informel GRVA</w:t>
      </w:r>
      <w:r>
        <w:rPr>
          <w:lang w:val="fr-FR"/>
        </w:rPr>
        <w:noBreakHyphen/>
      </w:r>
      <w:r w:rsidRPr="00AB0978">
        <w:rPr>
          <w:lang w:val="fr-FR"/>
        </w:rPr>
        <w:t>13</w:t>
      </w:r>
      <w:r>
        <w:rPr>
          <w:lang w:val="fr-FR"/>
        </w:rPr>
        <w:noBreakHyphen/>
      </w:r>
      <w:r w:rsidRPr="00AB0978">
        <w:rPr>
          <w:lang w:val="fr-FR"/>
        </w:rPr>
        <w:t>29. Les modifications qu</w:t>
      </w:r>
      <w:r>
        <w:rPr>
          <w:lang w:val="fr-FR"/>
        </w:rPr>
        <w:t>’</w:t>
      </w:r>
      <w:r w:rsidRPr="00AB0978">
        <w:rPr>
          <w:lang w:val="fr-FR"/>
        </w:rPr>
        <w:t>il est proposé d</w:t>
      </w:r>
      <w:r>
        <w:rPr>
          <w:lang w:val="fr-FR"/>
        </w:rPr>
        <w:t>’</w:t>
      </w:r>
      <w:r w:rsidRPr="00AB0978">
        <w:rPr>
          <w:lang w:val="fr-FR"/>
        </w:rPr>
        <w:t>apporter au texte actuel du Règlement figurent en caractères gras pour les ajouts et biffés pour les suppressions.</w:t>
      </w:r>
    </w:p>
    <w:p w14:paraId="56DBDF3B" w14:textId="15B102FF" w:rsidR="009533DB" w:rsidRDefault="009533DB" w:rsidP="009533DB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6206D9FC" w14:textId="77777777" w:rsidR="009533DB" w:rsidRPr="00AB0978" w:rsidRDefault="009533DB" w:rsidP="009533DB">
      <w:pPr>
        <w:pStyle w:val="HChG"/>
        <w:rPr>
          <w:lang w:val="fr-FR"/>
        </w:rPr>
      </w:pPr>
      <w:r w:rsidRPr="00AB0978">
        <w:rPr>
          <w:lang w:val="fr-FR"/>
        </w:rPr>
        <w:lastRenderedPageBreak/>
        <w:tab/>
        <w:t>I.</w:t>
      </w:r>
      <w:r w:rsidRPr="00AB0978">
        <w:rPr>
          <w:lang w:val="fr-FR"/>
        </w:rPr>
        <w:tab/>
        <w:t>Proposition</w:t>
      </w:r>
    </w:p>
    <w:p w14:paraId="3BE5878E" w14:textId="3952E82D" w:rsidR="009533DB" w:rsidRPr="000018D5" w:rsidRDefault="009533DB" w:rsidP="009533DB">
      <w:pPr>
        <w:pStyle w:val="SingleTxtG"/>
        <w:rPr>
          <w:lang w:val="fr-FR"/>
        </w:rPr>
      </w:pPr>
      <w:r w:rsidRPr="009533DB">
        <w:rPr>
          <w:i/>
          <w:iCs/>
          <w:lang w:val="fr-FR"/>
        </w:rPr>
        <w:t>Partie B de l’annexe</w:t>
      </w:r>
      <w:r w:rsidRPr="009533DB">
        <w:rPr>
          <w:i/>
          <w:iCs/>
          <w:lang w:val="fr-FR"/>
        </w:rPr>
        <w:t> </w:t>
      </w:r>
      <w:r w:rsidRPr="009533DB">
        <w:rPr>
          <w:i/>
          <w:iCs/>
          <w:lang w:val="fr-FR"/>
        </w:rPr>
        <w:t>5, première ligne du tableau</w:t>
      </w:r>
      <w:r w:rsidRPr="009533DB">
        <w:rPr>
          <w:i/>
          <w:iCs/>
          <w:lang w:val="fr-FR"/>
        </w:rPr>
        <w:t> </w:t>
      </w:r>
      <w:r w:rsidRPr="009533DB">
        <w:rPr>
          <w:i/>
          <w:iCs/>
          <w:lang w:val="fr-FR"/>
        </w:rPr>
        <w:t>B1</w:t>
      </w:r>
      <w:r w:rsidRPr="009533DB">
        <w:rPr>
          <w:lang w:val="fr-FR"/>
        </w:rPr>
        <w:t>, lire 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3194"/>
        <w:gridCol w:w="708"/>
        <w:gridCol w:w="3849"/>
      </w:tblGrid>
      <w:tr w:rsidR="009533DB" w:rsidRPr="009533DB" w14:paraId="02E061F0" w14:textId="77777777" w:rsidTr="009533DB">
        <w:trPr>
          <w:tblHeader/>
        </w:trPr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1D10" w14:textId="77777777" w:rsidR="009533DB" w:rsidRPr="009533DB" w:rsidRDefault="009533DB" w:rsidP="009533DB">
            <w:pPr>
              <w:spacing w:before="60" w:after="60"/>
              <w:ind w:left="57" w:right="57"/>
              <w:rPr>
                <w:i/>
                <w:iCs/>
                <w:lang w:val="fr-FR"/>
              </w:rPr>
            </w:pPr>
            <w:r w:rsidRPr="009533DB">
              <w:rPr>
                <w:i/>
                <w:lang w:val="fr-FR"/>
              </w:rPr>
              <w:t xml:space="preserve">Référence </w:t>
            </w:r>
            <w:r w:rsidRPr="009533DB">
              <w:rPr>
                <w:i/>
                <w:lang w:val="fr-FR"/>
              </w:rPr>
              <w:br/>
              <w:t>du tableau A1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DDC8" w14:textId="52CD738D" w:rsidR="009533DB" w:rsidRPr="009533DB" w:rsidRDefault="009533DB" w:rsidP="009533DB">
            <w:pPr>
              <w:spacing w:before="60" w:after="60"/>
              <w:ind w:left="57" w:right="57"/>
              <w:rPr>
                <w:i/>
                <w:iCs/>
                <w:lang w:val="fr-FR"/>
              </w:rPr>
            </w:pPr>
            <w:r w:rsidRPr="009533DB">
              <w:rPr>
                <w:i/>
                <w:lang w:val="fr-FR"/>
              </w:rPr>
              <w:t>Menace liée aux voies de communication des véhicules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1BF2" w14:textId="77777777" w:rsidR="009533DB" w:rsidRPr="009533DB" w:rsidRDefault="009533DB" w:rsidP="009533DB">
            <w:pPr>
              <w:spacing w:before="60" w:after="60"/>
              <w:ind w:left="57" w:right="57"/>
              <w:rPr>
                <w:i/>
                <w:iCs/>
                <w:lang w:val="fr-FR"/>
              </w:rPr>
            </w:pPr>
            <w:r w:rsidRPr="009533DB">
              <w:rPr>
                <w:i/>
                <w:iCs/>
                <w:lang w:val="fr-FR"/>
              </w:rPr>
              <w:t>Réf.</w:t>
            </w:r>
          </w:p>
        </w:tc>
        <w:tc>
          <w:tcPr>
            <w:tcW w:w="3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E809" w14:textId="77777777" w:rsidR="009533DB" w:rsidRPr="009533DB" w:rsidRDefault="009533DB" w:rsidP="009533DB">
            <w:pPr>
              <w:spacing w:before="60" w:after="60"/>
              <w:ind w:left="57" w:right="57"/>
              <w:rPr>
                <w:i/>
                <w:iCs/>
                <w:lang w:val="fr-FR"/>
              </w:rPr>
            </w:pPr>
            <w:r w:rsidRPr="009533DB">
              <w:rPr>
                <w:i/>
                <w:iCs/>
                <w:lang w:val="fr-FR"/>
              </w:rPr>
              <w:t>Mesure d’atténuation</w:t>
            </w:r>
          </w:p>
        </w:tc>
      </w:tr>
      <w:tr w:rsidR="009533DB" w:rsidRPr="009533DB" w14:paraId="62DA89AA" w14:textId="77777777" w:rsidTr="009533DB">
        <w:trPr>
          <w:cantSplit/>
        </w:trPr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DE4B" w14:textId="77777777" w:rsidR="009533DB" w:rsidRPr="009533DB" w:rsidRDefault="009533DB" w:rsidP="009533DB">
            <w:pPr>
              <w:spacing w:before="60" w:after="60"/>
              <w:ind w:left="57" w:right="57"/>
              <w:rPr>
                <w:lang w:val="fr-FR" w:eastAsia="ja-JP"/>
              </w:rPr>
            </w:pPr>
            <w:r w:rsidRPr="009533DB">
              <w:rPr>
                <w:lang w:val="fr-FR" w:eastAsia="ja-JP"/>
              </w:rPr>
              <w:t>4.1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E698" w14:textId="03B10584" w:rsidR="009533DB" w:rsidRPr="009533DB" w:rsidRDefault="009533DB" w:rsidP="009533DB">
            <w:pPr>
              <w:spacing w:before="60" w:after="60"/>
              <w:ind w:left="57" w:right="57"/>
              <w:rPr>
                <w:lang w:val="fr-FR" w:eastAsia="ja-JP"/>
              </w:rPr>
            </w:pPr>
            <w:r w:rsidRPr="009533DB">
              <w:rPr>
                <w:rFonts w:eastAsia="MS Mincho"/>
                <w:lang w:val="fr-FR"/>
              </w:rPr>
              <w:t>Simulation de messages (par</w:t>
            </w:r>
            <w:r>
              <w:rPr>
                <w:rFonts w:eastAsia="MS Mincho"/>
                <w:lang w:val="fr-FR"/>
              </w:rPr>
              <w:t> </w:t>
            </w:r>
            <w:r w:rsidRPr="009533DB">
              <w:rPr>
                <w:rFonts w:eastAsia="MS Mincho"/>
                <w:lang w:val="fr-FR"/>
              </w:rPr>
              <w:t>exemple, 802.11p V2X en cas de circulation en peloton, messages GNSS, etc.) par usurpation d’identité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5605" w14:textId="77777777" w:rsidR="009533DB" w:rsidRPr="009533DB" w:rsidRDefault="009533DB" w:rsidP="009533DB">
            <w:pPr>
              <w:spacing w:before="60" w:after="60"/>
              <w:ind w:left="57" w:right="57"/>
              <w:rPr>
                <w:lang w:val="fr-FR" w:eastAsia="ja-JP"/>
              </w:rPr>
            </w:pPr>
            <w:r w:rsidRPr="009533DB">
              <w:rPr>
                <w:lang w:val="fr-FR" w:eastAsia="ja-JP"/>
              </w:rPr>
              <w:t>M10</w:t>
            </w:r>
          </w:p>
        </w:tc>
        <w:tc>
          <w:tcPr>
            <w:tcW w:w="3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E0F3" w14:textId="4042B293" w:rsidR="009533DB" w:rsidRPr="009533DB" w:rsidRDefault="009533DB" w:rsidP="009533DB">
            <w:pPr>
              <w:spacing w:before="60" w:after="60"/>
              <w:ind w:left="57" w:right="57"/>
              <w:rPr>
                <w:b/>
                <w:bCs/>
                <w:lang w:val="fr-FR"/>
              </w:rPr>
            </w:pPr>
            <w:r w:rsidRPr="009533DB">
              <w:rPr>
                <w:lang w:val="fr-FR"/>
              </w:rPr>
              <w:t xml:space="preserve">Le véhicule doit vérifier l’authenticité et l’intégrité des messages qu’il reçoit, </w:t>
            </w:r>
            <w:r w:rsidRPr="009533DB">
              <w:rPr>
                <w:b/>
                <w:bCs/>
                <w:lang w:val="fr-FR"/>
              </w:rPr>
              <w:t>à</w:t>
            </w:r>
            <w:r>
              <w:rPr>
                <w:b/>
                <w:bCs/>
                <w:lang w:val="fr-FR"/>
              </w:rPr>
              <w:t> </w:t>
            </w:r>
            <w:r w:rsidRPr="009533DB">
              <w:rPr>
                <w:b/>
                <w:bCs/>
                <w:lang w:val="fr-FR"/>
              </w:rPr>
              <w:t>l’aide de  mécanismes appropriés. En</w:t>
            </w:r>
            <w:r>
              <w:rPr>
                <w:b/>
                <w:bCs/>
                <w:lang w:val="fr-FR"/>
              </w:rPr>
              <w:t> </w:t>
            </w:r>
            <w:r w:rsidRPr="009533DB">
              <w:rPr>
                <w:b/>
                <w:bCs/>
                <w:lang w:val="fr-FR"/>
              </w:rPr>
              <w:t>fonction du type de message et des</w:t>
            </w:r>
            <w:r>
              <w:rPr>
                <w:b/>
                <w:bCs/>
                <w:lang w:val="fr-FR"/>
              </w:rPr>
              <w:t> </w:t>
            </w:r>
            <w:r w:rsidRPr="009533DB">
              <w:rPr>
                <w:b/>
                <w:bCs/>
                <w:lang w:val="fr-FR"/>
              </w:rPr>
              <w:t>capacités, il peut s’agir d’une authentification cryptographique et d’une vérification de l’intégrité, d’un contrôle de plausibilité, ou de l’utilisation de diverses sources ou d’autres moyens appropriés permettant de fournir une garantie.</w:t>
            </w:r>
          </w:p>
        </w:tc>
      </w:tr>
    </w:tbl>
    <w:p w14:paraId="74E03238" w14:textId="77777777" w:rsidR="009533DB" w:rsidRPr="00AB0978" w:rsidRDefault="009533DB" w:rsidP="009533DB">
      <w:pPr>
        <w:pStyle w:val="HChG"/>
        <w:rPr>
          <w:lang w:val="fr-FR"/>
        </w:rPr>
      </w:pPr>
      <w:r w:rsidRPr="00AB0978">
        <w:rPr>
          <w:lang w:val="fr-FR"/>
        </w:rPr>
        <w:tab/>
        <w:t>II.</w:t>
      </w:r>
      <w:r w:rsidRPr="00AB0978">
        <w:rPr>
          <w:lang w:val="fr-FR"/>
        </w:rPr>
        <w:tab/>
        <w:t>Justification</w:t>
      </w:r>
    </w:p>
    <w:p w14:paraId="57F38B06" w14:textId="767F15F7" w:rsidR="009533DB" w:rsidRPr="000018D5" w:rsidRDefault="009533DB" w:rsidP="009533DB">
      <w:pPr>
        <w:pStyle w:val="SingleTxtG"/>
        <w:rPr>
          <w:lang w:val="fr-FR"/>
        </w:rPr>
      </w:pPr>
      <w:r w:rsidRPr="000018D5">
        <w:rPr>
          <w:lang w:val="fr-FR"/>
        </w:rPr>
        <w:t>1.</w:t>
      </w:r>
      <w:r w:rsidRPr="000018D5">
        <w:rPr>
          <w:lang w:val="fr-FR"/>
        </w:rPr>
        <w:tab/>
        <w:t xml:space="preserve">Les experts de SAE International ont relevé le libellé ambigu de </w:t>
      </w:r>
      <w:r>
        <w:rPr>
          <w:lang w:val="fr-FR"/>
        </w:rPr>
        <w:t xml:space="preserve">la mesure d’atténuation visée dans </w:t>
      </w:r>
      <w:r w:rsidRPr="000018D5">
        <w:rPr>
          <w:lang w:val="fr-FR"/>
        </w:rPr>
        <w:t>l</w:t>
      </w:r>
      <w:r>
        <w:rPr>
          <w:lang w:val="fr-FR"/>
        </w:rPr>
        <w:t>’</w:t>
      </w:r>
      <w:r w:rsidRPr="000018D5">
        <w:rPr>
          <w:lang w:val="fr-FR"/>
        </w:rPr>
        <w:t>annexe</w:t>
      </w:r>
      <w:r>
        <w:rPr>
          <w:lang w:val="fr-FR"/>
        </w:rPr>
        <w:t> </w:t>
      </w:r>
      <w:r w:rsidRPr="000018D5">
        <w:rPr>
          <w:lang w:val="fr-FR"/>
        </w:rPr>
        <w:t>B du Règlement ONU n</w:t>
      </w:r>
      <w:r w:rsidRPr="009533D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018D5">
        <w:rPr>
          <w:lang w:val="fr-FR"/>
        </w:rPr>
        <w:t>155 (voir le document informel GRVA-13-29 pour plus de détails), qui a été interprété</w:t>
      </w:r>
      <w:r>
        <w:rPr>
          <w:lang w:val="fr-FR"/>
        </w:rPr>
        <w:t>e</w:t>
      </w:r>
      <w:r w:rsidRPr="000018D5">
        <w:rPr>
          <w:lang w:val="fr-FR"/>
        </w:rPr>
        <w:t xml:space="preserve"> au sein du secteur automobile comme imposant des critères stricts pour </w:t>
      </w:r>
      <w:r>
        <w:rPr>
          <w:lang w:val="fr-FR"/>
        </w:rPr>
        <w:t xml:space="preserve"> la mise en </w:t>
      </w:r>
      <w:r>
        <w:rPr>
          <w:lang w:val="fr-FR"/>
        </w:rPr>
        <w:t>œuvre</w:t>
      </w:r>
      <w:r w:rsidRPr="000018D5">
        <w:rPr>
          <w:lang w:val="fr-FR"/>
        </w:rPr>
        <w:t xml:space="preserve"> </w:t>
      </w:r>
      <w:r>
        <w:rPr>
          <w:lang w:val="fr-FR"/>
        </w:rPr>
        <w:t>− </w:t>
      </w:r>
      <w:r w:rsidRPr="000018D5">
        <w:rPr>
          <w:lang w:val="fr-FR"/>
        </w:rPr>
        <w:t>à savoir, une obligation pour les véhicules de procéder à l</w:t>
      </w:r>
      <w:r>
        <w:rPr>
          <w:lang w:val="fr-FR"/>
        </w:rPr>
        <w:t>’</w:t>
      </w:r>
      <w:r w:rsidRPr="000018D5">
        <w:rPr>
          <w:lang w:val="fr-FR"/>
        </w:rPr>
        <w:t xml:space="preserve">authentification </w:t>
      </w:r>
      <w:r w:rsidRPr="000018D5">
        <w:rPr>
          <w:u w:val="single"/>
          <w:lang w:val="fr-FR"/>
        </w:rPr>
        <w:t>cryptographique</w:t>
      </w:r>
      <w:r w:rsidRPr="000018D5">
        <w:rPr>
          <w:lang w:val="fr-FR"/>
        </w:rPr>
        <w:t xml:space="preserve"> des messages GNSS reçus.</w:t>
      </w:r>
    </w:p>
    <w:p w14:paraId="42CCA529" w14:textId="047A8CBC" w:rsidR="009533DB" w:rsidRDefault="009533DB" w:rsidP="009533DB">
      <w:pPr>
        <w:pStyle w:val="SingleTxtG"/>
        <w:rPr>
          <w:lang w:val="fr-FR"/>
        </w:rPr>
      </w:pPr>
      <w:r w:rsidRPr="000018D5">
        <w:rPr>
          <w:lang w:val="fr-FR"/>
        </w:rPr>
        <w:t>2.</w:t>
      </w:r>
      <w:r w:rsidRPr="000018D5">
        <w:rPr>
          <w:lang w:val="fr-FR"/>
        </w:rPr>
        <w:tab/>
        <w:t xml:space="preserve">La présente proposition </w:t>
      </w:r>
      <w:r>
        <w:rPr>
          <w:lang w:val="fr-FR"/>
        </w:rPr>
        <w:t xml:space="preserve">contient </w:t>
      </w:r>
      <w:r w:rsidRPr="000018D5">
        <w:rPr>
          <w:lang w:val="fr-FR"/>
        </w:rPr>
        <w:t xml:space="preserve">des amendements qui semblent plus appropriés et qui </w:t>
      </w:r>
      <w:r>
        <w:rPr>
          <w:lang w:val="fr-FR"/>
        </w:rPr>
        <w:t xml:space="preserve">devraient </w:t>
      </w:r>
      <w:r w:rsidRPr="000018D5">
        <w:rPr>
          <w:lang w:val="fr-FR"/>
        </w:rPr>
        <w:t>aboutir concrètement à une meilleure mise en œuvre en comparaison avec la situation actuelle engendrée par l</w:t>
      </w:r>
      <w:r>
        <w:rPr>
          <w:lang w:val="fr-FR"/>
        </w:rPr>
        <w:t>’</w:t>
      </w:r>
      <w:r w:rsidRPr="000018D5">
        <w:rPr>
          <w:lang w:val="fr-FR"/>
        </w:rPr>
        <w:t>interprétation problématique du libellé.</w:t>
      </w:r>
    </w:p>
    <w:p w14:paraId="228A75BB" w14:textId="2ABBCE8B" w:rsidR="009533DB" w:rsidRPr="009533DB" w:rsidRDefault="009533DB" w:rsidP="009533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33DB" w:rsidRPr="009533DB" w:rsidSect="009533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F22F" w14:textId="77777777" w:rsidR="008073CD" w:rsidRDefault="008073CD" w:rsidP="00F95C08">
      <w:pPr>
        <w:spacing w:line="240" w:lineRule="auto"/>
      </w:pPr>
    </w:p>
  </w:endnote>
  <w:endnote w:type="continuationSeparator" w:id="0">
    <w:p w14:paraId="5CDFF7D9" w14:textId="77777777" w:rsidR="008073CD" w:rsidRPr="00AC3823" w:rsidRDefault="008073CD" w:rsidP="00AC3823">
      <w:pPr>
        <w:pStyle w:val="Pieddepage"/>
      </w:pPr>
    </w:p>
  </w:endnote>
  <w:endnote w:type="continuationNotice" w:id="1">
    <w:p w14:paraId="4414954E" w14:textId="77777777" w:rsidR="008073CD" w:rsidRDefault="008073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AD0A" w14:textId="27E801B0" w:rsidR="009533DB" w:rsidRPr="009533DB" w:rsidRDefault="009533DB" w:rsidP="009533DB">
    <w:pPr>
      <w:pStyle w:val="Pieddepage"/>
      <w:tabs>
        <w:tab w:val="right" w:pos="9638"/>
      </w:tabs>
    </w:pPr>
    <w:r w:rsidRPr="009533DB">
      <w:rPr>
        <w:b/>
        <w:sz w:val="18"/>
      </w:rPr>
      <w:fldChar w:fldCharType="begin"/>
    </w:r>
    <w:r w:rsidRPr="009533DB">
      <w:rPr>
        <w:b/>
        <w:sz w:val="18"/>
      </w:rPr>
      <w:instrText xml:space="preserve"> PAGE  \* MERGEFORMAT </w:instrText>
    </w:r>
    <w:r w:rsidRPr="009533DB">
      <w:rPr>
        <w:b/>
        <w:sz w:val="18"/>
      </w:rPr>
      <w:fldChar w:fldCharType="separate"/>
    </w:r>
    <w:r w:rsidRPr="009533DB">
      <w:rPr>
        <w:b/>
        <w:noProof/>
        <w:sz w:val="18"/>
      </w:rPr>
      <w:t>2</w:t>
    </w:r>
    <w:r w:rsidRPr="009533DB">
      <w:rPr>
        <w:b/>
        <w:sz w:val="18"/>
      </w:rPr>
      <w:fldChar w:fldCharType="end"/>
    </w:r>
    <w:r>
      <w:rPr>
        <w:b/>
        <w:sz w:val="18"/>
      </w:rPr>
      <w:tab/>
    </w:r>
    <w:r>
      <w:t>GE.22-10999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5B52" w14:textId="2ED6831B" w:rsidR="009533DB" w:rsidRPr="009533DB" w:rsidRDefault="009533DB" w:rsidP="009533DB">
    <w:pPr>
      <w:pStyle w:val="Pieddepage"/>
      <w:tabs>
        <w:tab w:val="right" w:pos="9638"/>
      </w:tabs>
      <w:rPr>
        <w:b/>
        <w:sz w:val="18"/>
      </w:rPr>
    </w:pPr>
    <w:r>
      <w:t>GE.22-10999</w:t>
    </w:r>
    <w:r>
      <w:tab/>
    </w:r>
    <w:r w:rsidRPr="009533DB">
      <w:rPr>
        <w:b/>
        <w:sz w:val="18"/>
      </w:rPr>
      <w:fldChar w:fldCharType="begin"/>
    </w:r>
    <w:r w:rsidRPr="009533DB">
      <w:rPr>
        <w:b/>
        <w:sz w:val="18"/>
      </w:rPr>
      <w:instrText xml:space="preserve"> PAGE  \* MERGEFORMAT </w:instrText>
    </w:r>
    <w:r w:rsidRPr="009533DB">
      <w:rPr>
        <w:b/>
        <w:sz w:val="18"/>
      </w:rPr>
      <w:fldChar w:fldCharType="separate"/>
    </w:r>
    <w:r w:rsidRPr="009533DB">
      <w:rPr>
        <w:b/>
        <w:noProof/>
        <w:sz w:val="18"/>
      </w:rPr>
      <w:t>3</w:t>
    </w:r>
    <w:r w:rsidRPr="009533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5F2F" w14:textId="278284EF" w:rsidR="007F20FA" w:rsidRPr="009533DB" w:rsidRDefault="009533DB" w:rsidP="009533D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06004F" wp14:editId="3730216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22-10999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C1208D" wp14:editId="7473563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270722    270722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2714" w14:textId="77777777" w:rsidR="008073CD" w:rsidRPr="00AC3823" w:rsidRDefault="008073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0AEE0C" w14:textId="77777777" w:rsidR="008073CD" w:rsidRPr="00AC3823" w:rsidRDefault="008073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C63FAF" w14:textId="77777777" w:rsidR="008073CD" w:rsidRPr="00AC3823" w:rsidRDefault="008073CD">
      <w:pPr>
        <w:spacing w:line="240" w:lineRule="auto"/>
        <w:rPr>
          <w:sz w:val="2"/>
          <w:szCs w:val="2"/>
        </w:rPr>
      </w:pPr>
    </w:p>
  </w:footnote>
  <w:footnote w:id="2">
    <w:p w14:paraId="2C9238EB" w14:textId="75646F0E" w:rsidR="009533DB" w:rsidRPr="009533DB" w:rsidRDefault="009533DB">
      <w:pPr>
        <w:pStyle w:val="Notedebasdepage"/>
      </w:pPr>
      <w:r>
        <w:rPr>
          <w:rStyle w:val="Appelnotedebasdep"/>
        </w:rPr>
        <w:tab/>
      </w:r>
      <w:r w:rsidRPr="009533D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CA3FBD">
        <w:rPr>
          <w:lang w:val="fr-FR"/>
        </w:rPr>
        <w:t>Conformément au programme de travail du Comité des transports intérieurs pour 2022 tel qu</w:t>
      </w:r>
      <w:r>
        <w:rPr>
          <w:lang w:val="fr-FR"/>
        </w:rPr>
        <w:t>’</w:t>
      </w:r>
      <w:r w:rsidRPr="00CA3FBD">
        <w:rPr>
          <w:lang w:val="fr-FR"/>
        </w:rPr>
        <w:t>il figure dans le projet de budget-programme pour 2022 (A/76/6 (Sect.</w:t>
      </w:r>
      <w:r>
        <w:rPr>
          <w:lang w:val="fr-FR"/>
        </w:rPr>
        <w:t> </w:t>
      </w:r>
      <w:r w:rsidRPr="00CA3FBD">
        <w:rPr>
          <w:lang w:val="fr-FR"/>
        </w:rPr>
        <w:t>20), par.</w:t>
      </w:r>
      <w:r>
        <w:rPr>
          <w:lang w:val="fr-FR"/>
        </w:rPr>
        <w:t> </w:t>
      </w:r>
      <w:r w:rsidRPr="00CA3FBD">
        <w:rPr>
          <w:lang w:val="fr-FR"/>
        </w:rPr>
        <w:t>20.76), le Forum mondial a pour mission d</w:t>
      </w:r>
      <w:r>
        <w:rPr>
          <w:lang w:val="fr-FR"/>
        </w:rPr>
        <w:t>’</w:t>
      </w:r>
      <w:r w:rsidRPr="00CA3FBD">
        <w:rPr>
          <w:lang w:val="fr-FR"/>
        </w:rPr>
        <w:t>élaborer, d</w:t>
      </w:r>
      <w:r>
        <w:rPr>
          <w:lang w:val="fr-FR"/>
        </w:rPr>
        <w:t>’</w:t>
      </w:r>
      <w:r w:rsidRPr="00CA3FBD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CA3FBD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6FC" w14:textId="6D2319C6" w:rsidR="009533DB" w:rsidRPr="009533DB" w:rsidRDefault="009533DB">
    <w:pPr>
      <w:pStyle w:val="En-tte"/>
    </w:pPr>
    <w:fldSimple w:instr=" TITLE  \* MERGEFORMAT ">
      <w:r w:rsidR="00C11297">
        <w:t>ECE/TRANS/WP.29/GRVA/2022/17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E2FB" w14:textId="0FE1A9E4" w:rsidR="009533DB" w:rsidRPr="009533DB" w:rsidRDefault="009533DB" w:rsidP="009533DB">
    <w:pPr>
      <w:pStyle w:val="En-tte"/>
      <w:jc w:val="right"/>
    </w:pPr>
    <w:fldSimple w:instr=" TITLE  \* MERGEFORMAT ">
      <w:r w:rsidR="00C11297">
        <w:t>ECE/TRANS/WP.29/GRVA/2022/17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C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073CD"/>
    <w:rsid w:val="00871C75"/>
    <w:rsid w:val="008776DC"/>
    <w:rsid w:val="008D5EF9"/>
    <w:rsid w:val="009446C0"/>
    <w:rsid w:val="009533DB"/>
    <w:rsid w:val="009705C8"/>
    <w:rsid w:val="009C1CF4"/>
    <w:rsid w:val="009F6B74"/>
    <w:rsid w:val="009F6E2F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12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9ABB6"/>
  <w15:docId w15:val="{45712F7B-CA90-4370-B8C7-4E1142F4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312</Words>
  <Characters>2187</Characters>
  <Application>Microsoft Office Word</Application>
  <DocSecurity>0</DocSecurity>
  <Lines>182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ECE/TRANS/WP.29/GRVA/2022/17</dc:title>
  <dc:subject/>
  <dc:creator>Marie DESCHAMPS</dc:creator>
  <cp:keywords/>
  <cp:lastModifiedBy>Marie Deschamps</cp:lastModifiedBy>
  <cp:revision>3</cp:revision>
  <cp:lastPrinted>2022-07-27T09:18:00Z</cp:lastPrinted>
  <dcterms:created xsi:type="dcterms:W3CDTF">2022-07-27T09:18:00Z</dcterms:created>
  <dcterms:modified xsi:type="dcterms:W3CDTF">2022-07-27T09:19:00Z</dcterms:modified>
</cp:coreProperties>
</file>