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17328" w14:textId="5EB1FF35" w:rsidR="00255C70" w:rsidRPr="00A22932" w:rsidRDefault="00255C70" w:rsidP="00255C70">
      <w:pPr>
        <w:suppressAutoHyphens/>
        <w:snapToGrid w:val="0"/>
        <w:ind w:left="5387" w:right="-286"/>
        <w:outlineLvl w:val="0"/>
        <w:rPr>
          <w:rFonts w:eastAsia="Arial" w:cs="Arial"/>
          <w:bCs/>
          <w:sz w:val="20"/>
        </w:rPr>
      </w:pPr>
      <w:r w:rsidRPr="00A22932">
        <w:rPr>
          <w:rFonts w:eastAsia="Arial" w:cs="Arial"/>
          <w:bCs/>
          <w:noProof/>
          <w:sz w:val="20"/>
          <w:lang w:val="en-US"/>
        </w:rPr>
        <w:drawing>
          <wp:anchor distT="0" distB="0" distL="114300" distR="114300" simplePos="0" relativeHeight="251661312" behindDoc="0" locked="0" layoutInCell="1" allowOverlap="1" wp14:anchorId="2B6936FD" wp14:editId="7E6F5070">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A22932">
        <w:rPr>
          <w:rFonts w:eastAsia="Arial" w:cs="Arial"/>
          <w:bCs/>
          <w:sz w:val="20"/>
        </w:rPr>
        <w:t>CCNR-ZKR/ADN/WP.15/AC.2/2022/</w:t>
      </w:r>
      <w:r w:rsidR="002F60A5" w:rsidRPr="00A22932">
        <w:rPr>
          <w:rFonts w:eastAsia="Arial" w:cs="Arial"/>
          <w:bCs/>
          <w:sz w:val="20"/>
        </w:rPr>
        <w:t>4</w:t>
      </w:r>
      <w:r w:rsidR="004B3ED5" w:rsidRPr="00A22932">
        <w:rPr>
          <w:rFonts w:eastAsia="Arial" w:cs="Arial"/>
          <w:bCs/>
          <w:sz w:val="20"/>
        </w:rPr>
        <w:t>9</w:t>
      </w:r>
    </w:p>
    <w:p w14:paraId="533BA7FC" w14:textId="77777777" w:rsidR="00255C70" w:rsidRPr="00A22932" w:rsidRDefault="00255C70" w:rsidP="00255C70">
      <w:pPr>
        <w:tabs>
          <w:tab w:val="left" w:pos="5670"/>
        </w:tabs>
        <w:snapToGrid w:val="0"/>
        <w:ind w:left="5387"/>
        <w:rPr>
          <w:rFonts w:cs="Arial"/>
          <w:sz w:val="16"/>
        </w:rPr>
      </w:pPr>
      <w:r w:rsidRPr="00A22932">
        <w:rPr>
          <w:rFonts w:cs="Arial"/>
          <w:sz w:val="16"/>
        </w:rPr>
        <w:t>Allgemeine Verteilung</w:t>
      </w:r>
    </w:p>
    <w:p w14:paraId="32A86250" w14:textId="0CB5D588" w:rsidR="00255C70" w:rsidRPr="00A22932" w:rsidRDefault="004B3ED5" w:rsidP="00255C70">
      <w:pPr>
        <w:tabs>
          <w:tab w:val="right" w:pos="3856"/>
          <w:tab w:val="left" w:pos="5670"/>
        </w:tabs>
        <w:snapToGrid w:val="0"/>
        <w:ind w:left="5387"/>
        <w:rPr>
          <w:rFonts w:cs="Arial"/>
          <w:sz w:val="20"/>
        </w:rPr>
      </w:pPr>
      <w:r w:rsidRPr="00A22932">
        <w:rPr>
          <w:rFonts w:eastAsia="Arial" w:cs="Arial"/>
          <w:sz w:val="20"/>
        </w:rPr>
        <w:t>9</w:t>
      </w:r>
      <w:r w:rsidR="00255C70" w:rsidRPr="00A22932">
        <w:rPr>
          <w:rFonts w:eastAsia="Arial" w:cs="Arial"/>
          <w:sz w:val="20"/>
        </w:rPr>
        <w:t xml:space="preserve">. </w:t>
      </w:r>
      <w:r w:rsidR="002F60A5" w:rsidRPr="00A22932">
        <w:rPr>
          <w:rFonts w:eastAsia="Arial" w:cs="Arial"/>
          <w:sz w:val="20"/>
        </w:rPr>
        <w:t>Juni</w:t>
      </w:r>
      <w:r w:rsidR="00255C70" w:rsidRPr="00A22932">
        <w:rPr>
          <w:rFonts w:eastAsia="Arial" w:cs="Arial"/>
          <w:sz w:val="20"/>
        </w:rPr>
        <w:t xml:space="preserve"> 2022</w:t>
      </w:r>
    </w:p>
    <w:p w14:paraId="00D062E5" w14:textId="2A2FB23F" w:rsidR="00255C70" w:rsidRPr="00A22932" w:rsidRDefault="00255C70" w:rsidP="00255C70">
      <w:pPr>
        <w:tabs>
          <w:tab w:val="right" w:pos="3856"/>
          <w:tab w:val="left" w:pos="5670"/>
        </w:tabs>
        <w:snapToGrid w:val="0"/>
        <w:ind w:left="5387" w:right="565"/>
        <w:rPr>
          <w:rFonts w:eastAsia="Arial" w:cs="Arial"/>
          <w:sz w:val="16"/>
        </w:rPr>
      </w:pPr>
      <w:proofErr w:type="spellStart"/>
      <w:r w:rsidRPr="00A22932">
        <w:rPr>
          <w:rFonts w:eastAsia="Arial" w:cs="Arial"/>
          <w:sz w:val="16"/>
        </w:rPr>
        <w:t>Or</w:t>
      </w:r>
      <w:proofErr w:type="spellEnd"/>
      <w:r w:rsidRPr="00A22932">
        <w:rPr>
          <w:rFonts w:eastAsia="Arial" w:cs="Arial"/>
          <w:sz w:val="16"/>
        </w:rPr>
        <w:t xml:space="preserve">. </w:t>
      </w:r>
      <w:r w:rsidR="004B3ED5" w:rsidRPr="00A22932">
        <w:rPr>
          <w:rFonts w:eastAsia="Arial" w:cs="Arial"/>
          <w:sz w:val="16"/>
        </w:rPr>
        <w:t>ENGLISCH</w:t>
      </w:r>
    </w:p>
    <w:p w14:paraId="556E97C6" w14:textId="77777777" w:rsidR="00255C70" w:rsidRPr="00A22932" w:rsidRDefault="00255C70" w:rsidP="00255C70">
      <w:pPr>
        <w:snapToGrid w:val="0"/>
        <w:rPr>
          <w:rFonts w:cs="Arial"/>
          <w:sz w:val="16"/>
        </w:rPr>
      </w:pPr>
    </w:p>
    <w:p w14:paraId="0EC163B2" w14:textId="77777777" w:rsidR="00255C70" w:rsidRPr="00A22932" w:rsidRDefault="00255C70" w:rsidP="00255C70">
      <w:pPr>
        <w:tabs>
          <w:tab w:val="left" w:pos="2977"/>
        </w:tabs>
        <w:snapToGrid w:val="0"/>
        <w:ind w:left="3958"/>
        <w:rPr>
          <w:sz w:val="16"/>
          <w:szCs w:val="20"/>
          <w:lang w:eastAsia="fr-FR"/>
        </w:rPr>
      </w:pPr>
      <w:r w:rsidRPr="00A22932">
        <w:rPr>
          <w:sz w:val="16"/>
          <w:szCs w:val="20"/>
          <w:lang w:eastAsia="fr-FR"/>
        </w:rPr>
        <w:t xml:space="preserve">GEMEINSAME EXPERTENTAGUNG FÜR DIE DEM ÜBEREINKOMMEN ÜBER DIE INTERNATIONALE BEFÖRDERUNG VON GEFÄHRLICHEN GÜTERN AUF </w:t>
      </w:r>
      <w:r w:rsidRPr="00A22932">
        <w:rPr>
          <w:rFonts w:eastAsia="Calibri"/>
          <w:sz w:val="16"/>
          <w:szCs w:val="20"/>
          <w:lang w:eastAsia="fr-FR"/>
        </w:rPr>
        <w:t xml:space="preserve">BINNENWASSERSTRAẞEN (ADN) </w:t>
      </w:r>
      <w:r w:rsidRPr="00A22932">
        <w:rPr>
          <w:sz w:val="16"/>
          <w:szCs w:val="20"/>
          <w:lang w:eastAsia="fr-FR"/>
        </w:rPr>
        <w:t>BEIGEFÜGTE VERORDNUNG (SICHERHEITSAUSSCHUSS)</w:t>
      </w:r>
    </w:p>
    <w:p w14:paraId="2C1A5DA9" w14:textId="77777777" w:rsidR="00255C70" w:rsidRPr="00A22932" w:rsidRDefault="00255C70" w:rsidP="00255C70">
      <w:pPr>
        <w:tabs>
          <w:tab w:val="left" w:pos="2977"/>
        </w:tabs>
        <w:snapToGrid w:val="0"/>
        <w:ind w:left="3960"/>
        <w:rPr>
          <w:sz w:val="16"/>
          <w:lang w:eastAsia="fr-FR"/>
        </w:rPr>
      </w:pPr>
      <w:r w:rsidRPr="00A22932">
        <w:rPr>
          <w:sz w:val="16"/>
          <w:lang w:eastAsia="fr-FR"/>
        </w:rPr>
        <w:t>(40. Tagung, Genf, 22. – 26. August 2022)</w:t>
      </w:r>
    </w:p>
    <w:p w14:paraId="0A87E681" w14:textId="44325E36" w:rsidR="00255C70" w:rsidRPr="00A22932" w:rsidRDefault="00255C70" w:rsidP="00255C70">
      <w:pPr>
        <w:tabs>
          <w:tab w:val="left" w:pos="2977"/>
        </w:tabs>
        <w:snapToGrid w:val="0"/>
        <w:ind w:left="3960"/>
        <w:rPr>
          <w:rFonts w:cs="Arial"/>
          <w:sz w:val="16"/>
          <w:szCs w:val="16"/>
          <w:lang w:eastAsia="en-US"/>
        </w:rPr>
      </w:pPr>
      <w:r w:rsidRPr="00A22932">
        <w:rPr>
          <w:rFonts w:cs="Arial"/>
          <w:sz w:val="16"/>
          <w:szCs w:val="16"/>
          <w:lang w:eastAsia="en-US"/>
        </w:rPr>
        <w:t xml:space="preserve">Punkt </w:t>
      </w:r>
      <w:r w:rsidR="004B3ED5" w:rsidRPr="00A22932">
        <w:rPr>
          <w:rFonts w:cs="Arial"/>
          <w:sz w:val="16"/>
          <w:szCs w:val="16"/>
          <w:lang w:eastAsia="en-US"/>
        </w:rPr>
        <w:t>3 c</w:t>
      </w:r>
      <w:r w:rsidRPr="00A22932">
        <w:rPr>
          <w:rFonts w:cs="Arial"/>
          <w:sz w:val="16"/>
          <w:szCs w:val="16"/>
          <w:lang w:eastAsia="en-US"/>
        </w:rPr>
        <w:t xml:space="preserve">) </w:t>
      </w:r>
      <w:r w:rsidR="00167FB1" w:rsidRPr="00A22932">
        <w:rPr>
          <w:rFonts w:cs="Arial"/>
          <w:sz w:val="16"/>
          <w:szCs w:val="16"/>
          <w:lang w:eastAsia="en-US"/>
        </w:rPr>
        <w:t>der</w:t>
      </w:r>
      <w:r w:rsidRPr="00A22932">
        <w:rPr>
          <w:rFonts w:cs="Arial"/>
          <w:sz w:val="16"/>
          <w:szCs w:val="16"/>
          <w:lang w:eastAsia="en-US"/>
        </w:rPr>
        <w:t xml:space="preserve"> vorläufigen Tagesordnung</w:t>
      </w:r>
    </w:p>
    <w:p w14:paraId="7DC79290" w14:textId="3C8D91B7" w:rsidR="00255C70" w:rsidRPr="00A22932" w:rsidRDefault="004B3ED5" w:rsidP="00255C70">
      <w:pPr>
        <w:spacing w:after="120"/>
        <w:ind w:left="3958" w:firstLine="11"/>
        <w:rPr>
          <w:rFonts w:cs="Arial"/>
          <w:b/>
          <w:sz w:val="14"/>
          <w:szCs w:val="16"/>
          <w:lang w:eastAsia="en-US"/>
        </w:rPr>
      </w:pPr>
      <w:r w:rsidRPr="00A22932">
        <w:rPr>
          <w:rFonts w:cs="Arial"/>
          <w:b/>
          <w:sz w:val="14"/>
          <w:szCs w:val="16"/>
          <w:lang w:eastAsia="en-US"/>
        </w:rPr>
        <w:t>Durchführung des Europäischen Übereinkommens über die internationale Beförderung von gefährlichen Gütern auf Binnenwasserstraßen (ADN): Auslegung der dem ADN beigefügten Verordnung</w:t>
      </w:r>
    </w:p>
    <w:p w14:paraId="686050F1" w14:textId="183FD981" w:rsidR="00255C70" w:rsidRPr="00A22932" w:rsidRDefault="00255C70" w:rsidP="00255C70">
      <w:pPr>
        <w:ind w:left="1134"/>
        <w:rPr>
          <w:snapToGrid w:val="0"/>
          <w:sz w:val="20"/>
          <w:lang w:eastAsia="fr-FR"/>
        </w:rPr>
      </w:pPr>
    </w:p>
    <w:p w14:paraId="6487F564" w14:textId="4EDDDAC3" w:rsidR="00B5677E" w:rsidRPr="00A22932" w:rsidRDefault="00B5677E" w:rsidP="00255C70">
      <w:pPr>
        <w:ind w:left="1134"/>
        <w:rPr>
          <w:snapToGrid w:val="0"/>
          <w:sz w:val="20"/>
          <w:lang w:eastAsia="fr-FR"/>
        </w:rPr>
      </w:pPr>
    </w:p>
    <w:p w14:paraId="301E5816" w14:textId="77777777" w:rsidR="00B5677E" w:rsidRPr="00A22932" w:rsidRDefault="00B5677E" w:rsidP="00255C70">
      <w:pPr>
        <w:ind w:left="1134"/>
        <w:rPr>
          <w:snapToGrid w:val="0"/>
          <w:sz w:val="20"/>
          <w:lang w:eastAsia="fr-FR"/>
        </w:rPr>
      </w:pPr>
    </w:p>
    <w:p w14:paraId="520E2031" w14:textId="5A3ABAED" w:rsidR="00255C70" w:rsidRPr="00726F94" w:rsidRDefault="00AD04BC" w:rsidP="00AD04BC">
      <w:pPr>
        <w:suppressAutoHyphens/>
        <w:spacing w:after="120" w:line="240" w:lineRule="atLeast"/>
        <w:ind w:left="1134" w:right="1134"/>
        <w:jc w:val="both"/>
        <w:rPr>
          <w:rFonts w:ascii="Times New Roman" w:hAnsi="Times New Roman"/>
          <w:b/>
          <w:bCs/>
          <w:snapToGrid w:val="0"/>
          <w:sz w:val="28"/>
          <w:lang w:eastAsia="fr-FR"/>
        </w:rPr>
      </w:pPr>
      <w:r w:rsidRPr="00A22932">
        <w:rPr>
          <w:rFonts w:ascii="Times New Roman" w:hAnsi="Times New Roman"/>
          <w:b/>
          <w:bCs/>
          <w:snapToGrid w:val="0"/>
          <w:sz w:val="28"/>
          <w:lang w:eastAsia="fr-FR"/>
        </w:rPr>
        <w:t xml:space="preserve">Überwachung des Ladens und Löschens, </w:t>
      </w:r>
      <w:r w:rsidR="00A84559" w:rsidRPr="00A22932">
        <w:rPr>
          <w:rFonts w:ascii="Times New Roman" w:hAnsi="Times New Roman"/>
          <w:b/>
          <w:bCs/>
          <w:snapToGrid w:val="0"/>
          <w:sz w:val="28"/>
          <w:lang w:eastAsia="fr-FR"/>
        </w:rPr>
        <w:t xml:space="preserve">landseitige </w:t>
      </w:r>
      <w:r w:rsidRPr="00A22932">
        <w:rPr>
          <w:rFonts w:ascii="Times New Roman" w:hAnsi="Times New Roman"/>
          <w:b/>
          <w:bCs/>
          <w:snapToGrid w:val="0"/>
          <w:sz w:val="28"/>
          <w:lang w:eastAsia="fr-FR"/>
        </w:rPr>
        <w:t>Überwachung</w:t>
      </w:r>
    </w:p>
    <w:p w14:paraId="715133AB" w14:textId="77777777" w:rsidR="00255C70" w:rsidRPr="00726F94" w:rsidRDefault="00255C70" w:rsidP="00255C70">
      <w:pPr>
        <w:suppressAutoHyphens/>
        <w:spacing w:line="240" w:lineRule="atLeast"/>
        <w:ind w:left="1134"/>
        <w:rPr>
          <w:rFonts w:ascii="Times New Roman" w:hAnsi="Times New Roman"/>
          <w:snapToGrid w:val="0"/>
          <w:sz w:val="20"/>
          <w:szCs w:val="20"/>
          <w:lang w:eastAsia="fr-FR"/>
        </w:rPr>
      </w:pPr>
    </w:p>
    <w:p w14:paraId="5338217A" w14:textId="15BD5F95" w:rsidR="00255C70" w:rsidRPr="00A22932" w:rsidRDefault="00255C70" w:rsidP="004B3ED5">
      <w:pPr>
        <w:keepNext/>
        <w:keepLines/>
        <w:suppressAutoHyphens/>
        <w:snapToGrid w:val="0"/>
        <w:spacing w:after="120" w:line="240" w:lineRule="atLeast"/>
        <w:ind w:left="1134" w:right="567"/>
        <w:rPr>
          <w:rFonts w:ascii="Times New Roman" w:hAnsi="Times New Roman"/>
          <w:b/>
          <w:sz w:val="18"/>
          <w:szCs w:val="20"/>
          <w:vertAlign w:val="superscript"/>
          <w:lang w:eastAsia="fr-FR"/>
        </w:rPr>
      </w:pPr>
      <w:r w:rsidRPr="00A22932">
        <w:rPr>
          <w:rFonts w:ascii="Times New Roman" w:hAnsi="Times New Roman"/>
          <w:b/>
          <w:szCs w:val="20"/>
          <w:lang w:eastAsia="fr-FR"/>
        </w:rPr>
        <w:t xml:space="preserve">Eingereicht von </w:t>
      </w:r>
      <w:r w:rsidR="004B3ED5" w:rsidRPr="00A22932">
        <w:rPr>
          <w:rFonts w:ascii="Times New Roman" w:hAnsi="Times New Roman"/>
          <w:b/>
          <w:szCs w:val="20"/>
          <w:lang w:eastAsia="fr-FR"/>
        </w:rPr>
        <w:t>den Niederlanden</w:t>
      </w:r>
      <w:r w:rsidRPr="00A22932">
        <w:rPr>
          <w:rFonts w:ascii="Times New Roman" w:hAnsi="Times New Roman"/>
          <w:bCs/>
          <w:sz w:val="20"/>
          <w:szCs w:val="20"/>
          <w:lang w:eastAsia="en-US"/>
        </w:rPr>
        <w:footnoteReference w:customMarkFollows="1" w:id="1"/>
        <w:t>*</w:t>
      </w:r>
      <w:r w:rsidRPr="00A22932">
        <w:rPr>
          <w:rFonts w:ascii="Times New Roman" w:hAnsi="Times New Roman"/>
          <w:bCs/>
          <w:sz w:val="20"/>
          <w:szCs w:val="20"/>
          <w:vertAlign w:val="superscript"/>
          <w:lang w:eastAsia="en-US"/>
        </w:rPr>
        <w:t>,</w:t>
      </w:r>
      <w:r w:rsidRPr="00A22932">
        <w:rPr>
          <w:rFonts w:ascii="Times New Roman" w:hAnsi="Times New Roman"/>
          <w:b/>
          <w:sz w:val="20"/>
          <w:szCs w:val="20"/>
          <w:vertAlign w:val="superscript"/>
          <w:lang w:eastAsia="en-US"/>
        </w:rPr>
        <w:t xml:space="preserve"> </w:t>
      </w:r>
      <w:r w:rsidRPr="00A22932">
        <w:rPr>
          <w:rFonts w:ascii="Times New Roman" w:hAnsi="Times New Roman"/>
          <w:bCs/>
          <w:sz w:val="20"/>
          <w:szCs w:val="20"/>
          <w:lang w:eastAsia="en-US"/>
        </w:rPr>
        <w:footnoteReference w:customMarkFollows="1" w:id="2"/>
        <w:t>**</w:t>
      </w:r>
    </w:p>
    <w:p w14:paraId="49D26F7F" w14:textId="101C0C1B" w:rsidR="004B3ED5" w:rsidRPr="00A22932" w:rsidRDefault="004B3ED5" w:rsidP="004B3ED5">
      <w:pPr>
        <w:keepNext/>
        <w:keepLines/>
        <w:tabs>
          <w:tab w:val="right" w:pos="851"/>
        </w:tabs>
        <w:suppressAutoHyphens/>
        <w:spacing w:before="360" w:after="240" w:line="270" w:lineRule="exact"/>
        <w:ind w:left="1134" w:right="1134" w:hanging="1134"/>
        <w:rPr>
          <w:rFonts w:ascii="Times New Roman" w:hAnsi="Times New Roman"/>
          <w:b/>
          <w:sz w:val="20"/>
          <w:szCs w:val="20"/>
          <w:lang w:val="en-GB" w:eastAsia="fr-FR"/>
        </w:rPr>
      </w:pP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4B3ED5" w:rsidRPr="00A22932" w14:paraId="543F4DA8" w14:textId="77777777" w:rsidTr="00E54C83">
        <w:trPr>
          <w:jc w:val="center"/>
        </w:trPr>
        <w:tc>
          <w:tcPr>
            <w:tcW w:w="9629" w:type="dxa"/>
            <w:shd w:val="clear" w:color="auto" w:fill="auto"/>
          </w:tcPr>
          <w:p w14:paraId="290C344E" w14:textId="501E02C2" w:rsidR="004B3ED5" w:rsidRPr="00A22932" w:rsidRDefault="004B3ED5" w:rsidP="004B3ED5">
            <w:pPr>
              <w:spacing w:before="240" w:after="120"/>
              <w:ind w:left="255"/>
              <w:rPr>
                <w:rFonts w:ascii="Times New Roman" w:hAnsi="Times New Roman"/>
                <w:i/>
                <w:szCs w:val="20"/>
                <w:lang w:val="en-GB"/>
              </w:rPr>
            </w:pPr>
            <w:proofErr w:type="spellStart"/>
            <w:r w:rsidRPr="00A22932">
              <w:rPr>
                <w:rFonts w:ascii="Times New Roman" w:hAnsi="Times New Roman"/>
                <w:i/>
                <w:szCs w:val="20"/>
                <w:lang w:val="en-GB"/>
              </w:rPr>
              <w:t>Zusammenfassung</w:t>
            </w:r>
            <w:proofErr w:type="spellEnd"/>
          </w:p>
        </w:tc>
      </w:tr>
      <w:tr w:rsidR="004B3ED5" w:rsidRPr="00A22932" w14:paraId="67A991E0" w14:textId="77777777" w:rsidTr="00E54C83">
        <w:trPr>
          <w:jc w:val="center"/>
        </w:trPr>
        <w:tc>
          <w:tcPr>
            <w:tcW w:w="9629" w:type="dxa"/>
            <w:shd w:val="clear" w:color="auto" w:fill="auto"/>
          </w:tcPr>
          <w:p w14:paraId="1B92FE26" w14:textId="6241B25A" w:rsidR="004B3ED5" w:rsidRPr="00726F94" w:rsidRDefault="004B3ED5" w:rsidP="001B2F78">
            <w:pPr>
              <w:tabs>
                <w:tab w:val="left" w:pos="284"/>
              </w:tabs>
              <w:spacing w:before="120"/>
              <w:ind w:left="3261" w:right="139" w:hanging="3261"/>
              <w:rPr>
                <w:rFonts w:ascii="Times New Roman" w:hAnsi="Times New Roman"/>
                <w:bCs/>
                <w:sz w:val="20"/>
                <w:szCs w:val="20"/>
                <w:lang w:val="de-DE"/>
              </w:rPr>
            </w:pPr>
            <w:r w:rsidRPr="00726F94">
              <w:rPr>
                <w:rFonts w:ascii="Times New Roman" w:hAnsi="Times New Roman"/>
                <w:b/>
                <w:sz w:val="20"/>
                <w:szCs w:val="20"/>
                <w:lang w:val="de-DE"/>
              </w:rPr>
              <w:tab/>
            </w:r>
            <w:r w:rsidR="001B2F78" w:rsidRPr="00726F94">
              <w:rPr>
                <w:rFonts w:ascii="Times New Roman" w:hAnsi="Times New Roman"/>
                <w:b/>
                <w:sz w:val="20"/>
                <w:szCs w:val="20"/>
                <w:lang w:val="de-DE"/>
              </w:rPr>
              <w:t>Analytische Zusammenfassung</w:t>
            </w:r>
            <w:r w:rsidRPr="00726F94">
              <w:rPr>
                <w:rFonts w:ascii="Times New Roman" w:hAnsi="Times New Roman"/>
                <w:b/>
                <w:sz w:val="20"/>
                <w:szCs w:val="20"/>
                <w:lang w:val="de-DE"/>
              </w:rPr>
              <w:t>:</w:t>
            </w:r>
            <w:r w:rsidRPr="00726F94">
              <w:rPr>
                <w:rFonts w:ascii="Times New Roman" w:hAnsi="Times New Roman"/>
                <w:b/>
                <w:sz w:val="20"/>
                <w:szCs w:val="20"/>
                <w:lang w:val="de-DE"/>
              </w:rPr>
              <w:tab/>
            </w:r>
            <w:r w:rsidRPr="00726F94">
              <w:rPr>
                <w:rFonts w:ascii="Times New Roman" w:hAnsi="Times New Roman"/>
                <w:bCs/>
                <w:sz w:val="20"/>
                <w:szCs w:val="20"/>
                <w:lang w:val="de-DE"/>
              </w:rPr>
              <w:t>Keine</w:t>
            </w:r>
          </w:p>
          <w:p w14:paraId="712CC2A8" w14:textId="384AC0D0" w:rsidR="004B3ED5" w:rsidRPr="00726F94" w:rsidRDefault="004B3ED5" w:rsidP="001B2F78">
            <w:pPr>
              <w:tabs>
                <w:tab w:val="left" w:pos="284"/>
              </w:tabs>
              <w:spacing w:before="120"/>
              <w:ind w:left="3261" w:right="139" w:hanging="3261"/>
              <w:rPr>
                <w:rFonts w:ascii="Times New Roman" w:hAnsi="Times New Roman"/>
                <w:bCs/>
                <w:sz w:val="20"/>
                <w:szCs w:val="20"/>
                <w:lang w:val="de-DE"/>
              </w:rPr>
            </w:pPr>
            <w:r w:rsidRPr="00726F94">
              <w:rPr>
                <w:rFonts w:ascii="Times New Roman" w:hAnsi="Times New Roman"/>
                <w:b/>
                <w:sz w:val="20"/>
                <w:szCs w:val="20"/>
                <w:lang w:val="de-DE"/>
              </w:rPr>
              <w:tab/>
            </w:r>
            <w:r w:rsidR="001B2F78" w:rsidRPr="00726F94">
              <w:rPr>
                <w:rFonts w:ascii="Times New Roman" w:hAnsi="Times New Roman"/>
                <w:b/>
                <w:sz w:val="20"/>
                <w:szCs w:val="20"/>
                <w:lang w:val="de-DE"/>
              </w:rPr>
              <w:t>Zu ergreifende Maßnahme</w:t>
            </w:r>
            <w:r w:rsidRPr="00726F94">
              <w:rPr>
                <w:rFonts w:ascii="Times New Roman" w:hAnsi="Times New Roman"/>
                <w:b/>
                <w:sz w:val="20"/>
                <w:szCs w:val="20"/>
                <w:lang w:val="de-DE"/>
              </w:rPr>
              <w:t>:</w:t>
            </w:r>
            <w:r w:rsidRPr="00726F94">
              <w:rPr>
                <w:rFonts w:ascii="Times New Roman" w:hAnsi="Times New Roman"/>
                <w:b/>
                <w:sz w:val="20"/>
                <w:szCs w:val="20"/>
                <w:lang w:val="de-DE"/>
              </w:rPr>
              <w:tab/>
            </w:r>
            <w:r w:rsidRPr="00726F94">
              <w:rPr>
                <w:rFonts w:ascii="Times New Roman" w:hAnsi="Times New Roman"/>
                <w:bCs/>
                <w:sz w:val="20"/>
                <w:szCs w:val="20"/>
                <w:lang w:val="de-DE"/>
              </w:rPr>
              <w:t>Keine</w:t>
            </w:r>
          </w:p>
          <w:p w14:paraId="5D34927A" w14:textId="344F8271" w:rsidR="004B3ED5" w:rsidRPr="00A22932" w:rsidRDefault="004B3ED5" w:rsidP="001B2F78">
            <w:pPr>
              <w:tabs>
                <w:tab w:val="left" w:pos="284"/>
              </w:tabs>
              <w:spacing w:before="120"/>
              <w:ind w:left="3261" w:right="139" w:hanging="3261"/>
              <w:rPr>
                <w:rFonts w:ascii="Times New Roman" w:hAnsi="Times New Roman"/>
                <w:sz w:val="20"/>
                <w:szCs w:val="20"/>
                <w:lang w:val="de-DE"/>
              </w:rPr>
            </w:pPr>
            <w:r w:rsidRPr="00726F94">
              <w:rPr>
                <w:rFonts w:ascii="Times New Roman" w:hAnsi="Times New Roman"/>
                <w:b/>
                <w:iCs/>
                <w:sz w:val="20"/>
                <w:szCs w:val="20"/>
                <w:lang w:val="de-DE"/>
              </w:rPr>
              <w:tab/>
            </w:r>
            <w:r w:rsidR="001B2F78" w:rsidRPr="00A22932">
              <w:rPr>
                <w:rFonts w:ascii="Times New Roman" w:hAnsi="Times New Roman"/>
                <w:b/>
                <w:sz w:val="20"/>
                <w:szCs w:val="20"/>
                <w:lang w:val="de-DE"/>
              </w:rPr>
              <w:t>Verbundene Dokumente</w:t>
            </w:r>
            <w:r w:rsidRPr="00A22932">
              <w:rPr>
                <w:rFonts w:ascii="Times New Roman" w:hAnsi="Times New Roman"/>
                <w:bCs/>
                <w:sz w:val="20"/>
                <w:szCs w:val="20"/>
                <w:lang w:val="de-DE"/>
              </w:rPr>
              <w:t>:</w:t>
            </w:r>
            <w:r w:rsidRPr="00A22932">
              <w:rPr>
                <w:rFonts w:ascii="Times New Roman" w:hAnsi="Times New Roman"/>
                <w:sz w:val="20"/>
                <w:szCs w:val="20"/>
                <w:lang w:val="de-DE"/>
              </w:rPr>
              <w:tab/>
              <w:t>ECE/TRANS/WP.15/AC.2/2015/18 (Niederlande)</w:t>
            </w:r>
          </w:p>
          <w:p w14:paraId="44E43E71" w14:textId="1FA97E51" w:rsidR="004B3ED5" w:rsidRPr="00A22932" w:rsidRDefault="001B2F78" w:rsidP="001B2F78">
            <w:pPr>
              <w:ind w:left="3261" w:hanging="3261"/>
              <w:rPr>
                <w:rFonts w:ascii="Times New Roman" w:hAnsi="Times New Roman"/>
                <w:sz w:val="20"/>
                <w:szCs w:val="20"/>
                <w:lang w:val="de-DE"/>
              </w:rPr>
            </w:pPr>
            <w:r w:rsidRPr="00A22932">
              <w:rPr>
                <w:rFonts w:ascii="Times New Roman" w:hAnsi="Times New Roman"/>
                <w:sz w:val="20"/>
                <w:szCs w:val="20"/>
                <w:lang w:val="de-DE"/>
              </w:rPr>
              <w:tab/>
            </w:r>
            <w:r w:rsidR="004B3ED5" w:rsidRPr="00A22932">
              <w:rPr>
                <w:rFonts w:ascii="Times New Roman" w:hAnsi="Times New Roman"/>
                <w:sz w:val="20"/>
                <w:szCs w:val="20"/>
                <w:lang w:val="de-DE"/>
              </w:rPr>
              <w:t>ECE/TRANS/WP.15/AC.2/2015/32 (Deutschland)</w:t>
            </w:r>
          </w:p>
          <w:p w14:paraId="3C496B63" w14:textId="53596A18" w:rsidR="004B3ED5" w:rsidRPr="00A22932" w:rsidRDefault="001B2F78" w:rsidP="001B2F78">
            <w:pPr>
              <w:ind w:left="3261" w:hanging="3261"/>
              <w:rPr>
                <w:rFonts w:ascii="Times New Roman" w:hAnsi="Times New Roman"/>
                <w:sz w:val="20"/>
                <w:szCs w:val="20"/>
                <w:lang w:val="de-DE"/>
              </w:rPr>
            </w:pPr>
            <w:r w:rsidRPr="00A22932">
              <w:rPr>
                <w:rFonts w:ascii="Times New Roman" w:hAnsi="Times New Roman"/>
                <w:sz w:val="20"/>
                <w:szCs w:val="20"/>
                <w:lang w:val="de-DE"/>
              </w:rPr>
              <w:tab/>
            </w:r>
            <w:r w:rsidR="004B3ED5" w:rsidRPr="00A22932">
              <w:rPr>
                <w:rFonts w:ascii="Times New Roman" w:hAnsi="Times New Roman"/>
                <w:sz w:val="20"/>
                <w:szCs w:val="20"/>
                <w:lang w:val="de-DE"/>
              </w:rPr>
              <w:t xml:space="preserve">ECE/TRANS/WP.15/AC.2/56, </w:t>
            </w:r>
            <w:r w:rsidRPr="00A22932">
              <w:rPr>
                <w:rFonts w:ascii="Times New Roman" w:hAnsi="Times New Roman"/>
                <w:sz w:val="20"/>
                <w:szCs w:val="20"/>
                <w:lang w:val="de-DE"/>
              </w:rPr>
              <w:t>Abs</w:t>
            </w:r>
            <w:r w:rsidR="004B3ED5" w:rsidRPr="00A22932">
              <w:rPr>
                <w:rFonts w:ascii="Times New Roman" w:hAnsi="Times New Roman"/>
                <w:sz w:val="20"/>
                <w:szCs w:val="20"/>
                <w:lang w:val="de-DE"/>
              </w:rPr>
              <w:t xml:space="preserve">. 16-19 – </w:t>
            </w:r>
            <w:r w:rsidR="0078646F" w:rsidRPr="00A22932">
              <w:rPr>
                <w:rFonts w:ascii="Times New Roman" w:hAnsi="Times New Roman"/>
                <w:sz w:val="20"/>
                <w:szCs w:val="20"/>
                <w:lang w:val="de-DE"/>
              </w:rPr>
              <w:t>Protokoll über die siebenundzwanzigste Sitzung</w:t>
            </w:r>
          </w:p>
        </w:tc>
      </w:tr>
      <w:tr w:rsidR="001B2F78" w:rsidRPr="00A22932" w14:paraId="50FC7038" w14:textId="77777777" w:rsidTr="00E54C83">
        <w:trPr>
          <w:jc w:val="center"/>
        </w:trPr>
        <w:tc>
          <w:tcPr>
            <w:tcW w:w="9629" w:type="dxa"/>
            <w:shd w:val="clear" w:color="auto" w:fill="auto"/>
          </w:tcPr>
          <w:p w14:paraId="3E1BF114" w14:textId="77777777" w:rsidR="001B2F78" w:rsidRPr="00A22932" w:rsidRDefault="001B2F78" w:rsidP="001B2F78">
            <w:pPr>
              <w:tabs>
                <w:tab w:val="left" w:pos="284"/>
              </w:tabs>
              <w:spacing w:before="120"/>
              <w:ind w:left="3261" w:right="139" w:hanging="3261"/>
              <w:rPr>
                <w:rFonts w:ascii="Times New Roman" w:hAnsi="Times New Roman"/>
                <w:b/>
                <w:sz w:val="20"/>
                <w:szCs w:val="20"/>
                <w:lang w:val="de-DE"/>
              </w:rPr>
            </w:pPr>
          </w:p>
        </w:tc>
      </w:tr>
    </w:tbl>
    <w:p w14:paraId="6F4E3835" w14:textId="77777777" w:rsidR="004B3ED5" w:rsidRPr="00A22932" w:rsidRDefault="004B3ED5" w:rsidP="004B3ED5">
      <w:pPr>
        <w:suppressAutoHyphens/>
        <w:spacing w:line="240" w:lineRule="atLeast"/>
        <w:rPr>
          <w:rFonts w:ascii="Times New Roman" w:hAnsi="Times New Roman"/>
          <w:sz w:val="20"/>
          <w:szCs w:val="20"/>
          <w:lang w:eastAsia="fr-FR"/>
        </w:rPr>
      </w:pPr>
    </w:p>
    <w:p w14:paraId="26CF306F" w14:textId="36D76B92" w:rsidR="004B3ED5" w:rsidRPr="00726F94" w:rsidRDefault="004B3ED5" w:rsidP="004B3ED5">
      <w:pPr>
        <w:keepNext/>
        <w:keepLines/>
        <w:tabs>
          <w:tab w:val="right" w:pos="851"/>
        </w:tabs>
        <w:suppressAutoHyphens/>
        <w:spacing w:before="360" w:after="240" w:line="300" w:lineRule="exact"/>
        <w:ind w:left="1134" w:right="1134" w:hanging="1134"/>
        <w:rPr>
          <w:rFonts w:ascii="Times New Roman" w:hAnsi="Times New Roman"/>
          <w:b/>
          <w:sz w:val="28"/>
          <w:szCs w:val="20"/>
          <w:lang w:eastAsia="fr-FR"/>
        </w:rPr>
      </w:pPr>
      <w:r w:rsidRPr="00A22932">
        <w:rPr>
          <w:rFonts w:ascii="Times New Roman" w:hAnsi="Times New Roman"/>
          <w:b/>
          <w:sz w:val="28"/>
          <w:szCs w:val="20"/>
          <w:lang w:eastAsia="fr-FR"/>
        </w:rPr>
        <w:tab/>
      </w:r>
      <w:r w:rsidRPr="00A22932">
        <w:rPr>
          <w:rFonts w:ascii="Times New Roman" w:hAnsi="Times New Roman"/>
          <w:b/>
          <w:sz w:val="28"/>
          <w:szCs w:val="20"/>
          <w:lang w:eastAsia="fr-FR"/>
        </w:rPr>
        <w:tab/>
      </w:r>
      <w:r w:rsidRPr="00726F94">
        <w:rPr>
          <w:rFonts w:ascii="Times New Roman" w:hAnsi="Times New Roman"/>
          <w:b/>
          <w:sz w:val="28"/>
          <w:szCs w:val="20"/>
          <w:lang w:eastAsia="fr-FR"/>
        </w:rPr>
        <w:t>Einleitung</w:t>
      </w:r>
    </w:p>
    <w:p w14:paraId="7581CA71" w14:textId="2D35CEE9" w:rsidR="004B3ED5" w:rsidRPr="00726F94" w:rsidRDefault="004B3ED5" w:rsidP="00FF3C24">
      <w:pPr>
        <w:tabs>
          <w:tab w:val="left" w:pos="1701"/>
        </w:tabs>
        <w:suppressAutoHyphens/>
        <w:spacing w:after="120" w:line="240" w:lineRule="atLeast"/>
        <w:ind w:left="1134" w:right="1134"/>
        <w:jc w:val="both"/>
        <w:rPr>
          <w:rFonts w:ascii="Times New Roman" w:hAnsi="Times New Roman"/>
          <w:sz w:val="20"/>
          <w:szCs w:val="20"/>
          <w:lang w:eastAsia="fr-FR"/>
        </w:rPr>
      </w:pPr>
      <w:r w:rsidRPr="00726F94">
        <w:rPr>
          <w:rFonts w:ascii="Times New Roman" w:hAnsi="Times New Roman"/>
          <w:sz w:val="20"/>
          <w:szCs w:val="20"/>
          <w:lang w:eastAsia="fr-FR"/>
        </w:rPr>
        <w:t>1.</w:t>
      </w:r>
      <w:r w:rsidRPr="00726F94">
        <w:rPr>
          <w:rFonts w:ascii="Times New Roman" w:hAnsi="Times New Roman"/>
          <w:sz w:val="20"/>
          <w:szCs w:val="20"/>
          <w:lang w:eastAsia="fr-FR"/>
        </w:rPr>
        <w:tab/>
      </w:r>
      <w:r w:rsidR="00AD04BC" w:rsidRPr="00A22932">
        <w:rPr>
          <w:rFonts w:ascii="Times New Roman" w:hAnsi="Times New Roman"/>
          <w:sz w:val="20"/>
          <w:szCs w:val="20"/>
          <w:lang w:eastAsia="fr-FR"/>
        </w:rPr>
        <w:t>Auf der siebenundzwanzigsten Sitzung des ADN-Sicherheitsausschusses wurden drei nationale Auslegungen der Niederlande diskutiert.</w:t>
      </w:r>
      <w:r w:rsidRPr="00726F94">
        <w:rPr>
          <w:rFonts w:ascii="Times New Roman" w:hAnsi="Times New Roman"/>
          <w:sz w:val="20"/>
          <w:szCs w:val="20"/>
          <w:lang w:eastAsia="fr-FR"/>
        </w:rPr>
        <w:t xml:space="preserve"> </w:t>
      </w:r>
      <w:r w:rsidR="00F61D29" w:rsidRPr="00A22932">
        <w:rPr>
          <w:rFonts w:ascii="Times New Roman" w:hAnsi="Times New Roman"/>
          <w:sz w:val="20"/>
          <w:szCs w:val="20"/>
          <w:lang w:eastAsia="fr-FR"/>
        </w:rPr>
        <w:t xml:space="preserve">Eine der vom ADN-Sicherheitsausschuss gebilligten Auslegungen war die Auslegung zur Überwachung </w:t>
      </w:r>
      <w:r w:rsidR="00B35966" w:rsidRPr="00A22932">
        <w:rPr>
          <w:rFonts w:ascii="Times New Roman" w:hAnsi="Times New Roman"/>
          <w:sz w:val="20"/>
          <w:szCs w:val="20"/>
          <w:lang w:eastAsia="fr-FR"/>
        </w:rPr>
        <w:t>des Ladens</w:t>
      </w:r>
      <w:r w:rsidR="00F61D29" w:rsidRPr="00A22932">
        <w:rPr>
          <w:rFonts w:ascii="Times New Roman" w:hAnsi="Times New Roman"/>
          <w:sz w:val="20"/>
          <w:szCs w:val="20"/>
          <w:lang w:eastAsia="fr-FR"/>
        </w:rPr>
        <w:t xml:space="preserve"> und </w:t>
      </w:r>
      <w:r w:rsidR="00B35966" w:rsidRPr="00A22932">
        <w:rPr>
          <w:rFonts w:ascii="Times New Roman" w:hAnsi="Times New Roman"/>
          <w:sz w:val="20"/>
          <w:szCs w:val="20"/>
          <w:lang w:eastAsia="fr-FR"/>
        </w:rPr>
        <w:t>Löschens</w:t>
      </w:r>
      <w:r w:rsidR="00F61D29" w:rsidRPr="00A22932">
        <w:rPr>
          <w:rFonts w:ascii="Times New Roman" w:hAnsi="Times New Roman"/>
          <w:sz w:val="20"/>
          <w:szCs w:val="20"/>
          <w:lang w:eastAsia="fr-FR"/>
        </w:rPr>
        <w:t>, 8.6.3, Frage 10 (unter 7.2.4.25.5 auf der UNECE-Website).</w:t>
      </w:r>
    </w:p>
    <w:p w14:paraId="46A40BC1" w14:textId="77777777" w:rsidR="001B2F78" w:rsidRPr="00726F94" w:rsidRDefault="001B2F78">
      <w:pPr>
        <w:rPr>
          <w:rFonts w:ascii="Times New Roman" w:hAnsi="Times New Roman"/>
          <w:sz w:val="20"/>
          <w:szCs w:val="20"/>
          <w:lang w:eastAsia="fr-FR"/>
        </w:rPr>
      </w:pPr>
      <w:r w:rsidRPr="00726F94">
        <w:rPr>
          <w:rFonts w:ascii="Times New Roman" w:hAnsi="Times New Roman"/>
          <w:sz w:val="20"/>
          <w:szCs w:val="20"/>
          <w:lang w:eastAsia="fr-FR"/>
        </w:rPr>
        <w:br w:type="page"/>
      </w:r>
    </w:p>
    <w:p w14:paraId="0F405321" w14:textId="4F00F1C9" w:rsidR="004B3ED5" w:rsidRPr="00726F94" w:rsidRDefault="004B3ED5" w:rsidP="00E63806">
      <w:pPr>
        <w:tabs>
          <w:tab w:val="left" w:pos="1701"/>
        </w:tabs>
        <w:suppressAutoHyphens/>
        <w:spacing w:after="120" w:line="240" w:lineRule="atLeast"/>
        <w:ind w:left="1134" w:right="1134"/>
        <w:jc w:val="both"/>
        <w:rPr>
          <w:rFonts w:ascii="Times New Roman" w:hAnsi="Times New Roman"/>
          <w:sz w:val="20"/>
          <w:szCs w:val="20"/>
          <w:lang w:eastAsia="fr-FR"/>
        </w:rPr>
      </w:pPr>
      <w:r w:rsidRPr="00726F94">
        <w:rPr>
          <w:rFonts w:ascii="Times New Roman" w:hAnsi="Times New Roman"/>
          <w:sz w:val="20"/>
          <w:szCs w:val="20"/>
          <w:lang w:eastAsia="fr-FR"/>
        </w:rPr>
        <w:lastRenderedPageBreak/>
        <w:t>2.</w:t>
      </w:r>
      <w:r w:rsidRPr="00726F94">
        <w:rPr>
          <w:rFonts w:ascii="Times New Roman" w:hAnsi="Times New Roman"/>
          <w:sz w:val="20"/>
          <w:szCs w:val="20"/>
          <w:lang w:eastAsia="fr-FR"/>
        </w:rPr>
        <w:tab/>
      </w:r>
      <w:r w:rsidR="00B37428" w:rsidRPr="00A22932">
        <w:rPr>
          <w:rFonts w:ascii="Times New Roman" w:hAnsi="Times New Roman"/>
          <w:sz w:val="20"/>
          <w:szCs w:val="20"/>
          <w:lang w:eastAsia="fr-FR"/>
        </w:rPr>
        <w:t xml:space="preserve">Die Auslegung betrifft die </w:t>
      </w:r>
      <w:r w:rsidR="00C5220A" w:rsidRPr="00A22932">
        <w:rPr>
          <w:rFonts w:ascii="Times New Roman" w:hAnsi="Times New Roman"/>
          <w:sz w:val="20"/>
          <w:szCs w:val="20"/>
          <w:lang w:eastAsia="fr-FR"/>
        </w:rPr>
        <w:t xml:space="preserve">bord- und landseitige </w:t>
      </w:r>
      <w:r w:rsidR="00B37428" w:rsidRPr="00A22932">
        <w:rPr>
          <w:rFonts w:ascii="Times New Roman" w:hAnsi="Times New Roman"/>
          <w:sz w:val="20"/>
          <w:szCs w:val="20"/>
          <w:lang w:eastAsia="fr-FR"/>
        </w:rPr>
        <w:t xml:space="preserve">Überwachung </w:t>
      </w:r>
      <w:r w:rsidR="00C5220A" w:rsidRPr="00A22932">
        <w:rPr>
          <w:rFonts w:ascii="Times New Roman" w:hAnsi="Times New Roman"/>
          <w:sz w:val="20"/>
          <w:szCs w:val="20"/>
          <w:lang w:eastAsia="fr-FR"/>
        </w:rPr>
        <w:t>beim</w:t>
      </w:r>
      <w:r w:rsidR="00B37428" w:rsidRPr="00A22932">
        <w:rPr>
          <w:rFonts w:ascii="Times New Roman" w:hAnsi="Times New Roman"/>
          <w:sz w:val="20"/>
          <w:szCs w:val="20"/>
          <w:lang w:eastAsia="fr-FR"/>
        </w:rPr>
        <w:t xml:space="preserve"> Laden und Löschen.</w:t>
      </w:r>
      <w:r w:rsidRPr="00726F94">
        <w:rPr>
          <w:rFonts w:ascii="Times New Roman" w:hAnsi="Times New Roman"/>
          <w:sz w:val="20"/>
          <w:szCs w:val="20"/>
          <w:lang w:eastAsia="fr-FR"/>
        </w:rPr>
        <w:t xml:space="preserve"> </w:t>
      </w:r>
      <w:r w:rsidR="00B37428" w:rsidRPr="00A22932">
        <w:rPr>
          <w:rFonts w:ascii="Times New Roman" w:hAnsi="Times New Roman"/>
          <w:sz w:val="20"/>
          <w:szCs w:val="20"/>
          <w:lang w:eastAsia="fr-FR"/>
        </w:rPr>
        <w:t xml:space="preserve">Die </w:t>
      </w:r>
      <w:r w:rsidR="00BC5E69" w:rsidRPr="00A22932">
        <w:rPr>
          <w:rFonts w:ascii="Times New Roman" w:hAnsi="Times New Roman"/>
          <w:sz w:val="20"/>
          <w:szCs w:val="20"/>
          <w:lang w:eastAsia="fr-FR"/>
        </w:rPr>
        <w:t xml:space="preserve">landseitige </w:t>
      </w:r>
      <w:r w:rsidR="00B37428" w:rsidRPr="00A22932">
        <w:rPr>
          <w:rFonts w:ascii="Times New Roman" w:hAnsi="Times New Roman"/>
          <w:sz w:val="20"/>
          <w:szCs w:val="20"/>
          <w:lang w:eastAsia="fr-FR"/>
        </w:rPr>
        <w:t xml:space="preserve">Überwachung kann mit (zusätzlichen) technischen </w:t>
      </w:r>
      <w:r w:rsidR="00861C10" w:rsidRPr="00A22932">
        <w:rPr>
          <w:rFonts w:ascii="Times New Roman" w:hAnsi="Times New Roman"/>
          <w:sz w:val="20"/>
          <w:szCs w:val="20"/>
          <w:lang w:eastAsia="fr-FR"/>
        </w:rPr>
        <w:t>Hilfsm</w:t>
      </w:r>
      <w:r w:rsidR="00B37428" w:rsidRPr="00A22932">
        <w:rPr>
          <w:rFonts w:ascii="Times New Roman" w:hAnsi="Times New Roman"/>
          <w:sz w:val="20"/>
          <w:szCs w:val="20"/>
          <w:lang w:eastAsia="fr-FR"/>
        </w:rPr>
        <w:t xml:space="preserve">itteln erfolgen und muss vom </w:t>
      </w:r>
      <w:proofErr w:type="spellStart"/>
      <w:r w:rsidR="00B37428" w:rsidRPr="00A22932">
        <w:rPr>
          <w:rFonts w:ascii="Times New Roman" w:hAnsi="Times New Roman"/>
          <w:sz w:val="20"/>
          <w:szCs w:val="20"/>
          <w:lang w:eastAsia="fr-FR"/>
        </w:rPr>
        <w:t>Befüller</w:t>
      </w:r>
      <w:proofErr w:type="spellEnd"/>
      <w:r w:rsidR="00B37428" w:rsidRPr="00A22932">
        <w:rPr>
          <w:rFonts w:ascii="Times New Roman" w:hAnsi="Times New Roman"/>
          <w:sz w:val="20"/>
          <w:szCs w:val="20"/>
          <w:lang w:eastAsia="fr-FR"/>
        </w:rPr>
        <w:t>/Entlader durchgeführt werden.</w:t>
      </w:r>
      <w:r w:rsidRPr="00726F94">
        <w:rPr>
          <w:rFonts w:ascii="Times New Roman" w:hAnsi="Times New Roman"/>
          <w:sz w:val="20"/>
          <w:szCs w:val="20"/>
          <w:lang w:eastAsia="fr-FR"/>
        </w:rPr>
        <w:t xml:space="preserve"> </w:t>
      </w:r>
      <w:r w:rsidR="00A84559" w:rsidRPr="00A22932">
        <w:rPr>
          <w:rFonts w:ascii="Times New Roman" w:hAnsi="Times New Roman"/>
          <w:sz w:val="20"/>
          <w:szCs w:val="20"/>
          <w:lang w:eastAsia="fr-FR"/>
        </w:rPr>
        <w:t xml:space="preserve">Die </w:t>
      </w:r>
      <w:r w:rsidR="00E31050" w:rsidRPr="00A22932">
        <w:rPr>
          <w:rFonts w:ascii="Times New Roman" w:hAnsi="Times New Roman"/>
          <w:sz w:val="20"/>
          <w:szCs w:val="20"/>
          <w:lang w:eastAsia="fr-FR"/>
        </w:rPr>
        <w:t xml:space="preserve">landseitige </w:t>
      </w:r>
      <w:r w:rsidR="00A84559" w:rsidRPr="00A22932">
        <w:rPr>
          <w:rFonts w:ascii="Times New Roman" w:hAnsi="Times New Roman"/>
          <w:sz w:val="20"/>
          <w:szCs w:val="20"/>
          <w:lang w:eastAsia="fr-FR"/>
        </w:rPr>
        <w:t xml:space="preserve">Überwachung muss nach der Auslegung in einem Umkreis von mindestens 3 Metern um das Sammelrohr </w:t>
      </w:r>
      <w:r w:rsidR="00E31050" w:rsidRPr="00A22932">
        <w:rPr>
          <w:rFonts w:ascii="Times New Roman" w:hAnsi="Times New Roman"/>
          <w:sz w:val="20"/>
          <w:szCs w:val="20"/>
          <w:lang w:eastAsia="fr-FR"/>
        </w:rPr>
        <w:t>erfolgen</w:t>
      </w:r>
      <w:r w:rsidR="00A84559" w:rsidRPr="00A22932">
        <w:rPr>
          <w:rFonts w:ascii="Times New Roman" w:hAnsi="Times New Roman"/>
          <w:sz w:val="20"/>
          <w:szCs w:val="20"/>
          <w:lang w:eastAsia="fr-FR"/>
        </w:rPr>
        <w:t xml:space="preserve">, über den das </w:t>
      </w:r>
      <w:r w:rsidR="00811B51" w:rsidRPr="00A22932">
        <w:rPr>
          <w:rFonts w:ascii="Times New Roman" w:hAnsi="Times New Roman"/>
          <w:sz w:val="20"/>
          <w:szCs w:val="20"/>
          <w:lang w:eastAsia="fr-FR"/>
        </w:rPr>
        <w:t>Laden</w:t>
      </w:r>
      <w:r w:rsidR="00A84559" w:rsidRPr="00A22932">
        <w:rPr>
          <w:rFonts w:ascii="Times New Roman" w:hAnsi="Times New Roman"/>
          <w:sz w:val="20"/>
          <w:szCs w:val="20"/>
          <w:lang w:eastAsia="fr-FR"/>
        </w:rPr>
        <w:t xml:space="preserve"> oder </w:t>
      </w:r>
      <w:r w:rsidR="00811B51" w:rsidRPr="00A22932">
        <w:rPr>
          <w:rFonts w:ascii="Times New Roman" w:hAnsi="Times New Roman"/>
          <w:sz w:val="20"/>
          <w:szCs w:val="20"/>
          <w:lang w:eastAsia="fr-FR"/>
        </w:rPr>
        <w:t>Löschen</w:t>
      </w:r>
      <w:r w:rsidR="00A84559" w:rsidRPr="00A22932">
        <w:rPr>
          <w:rFonts w:ascii="Times New Roman" w:hAnsi="Times New Roman"/>
          <w:sz w:val="20"/>
          <w:szCs w:val="20"/>
          <w:lang w:eastAsia="fr-FR"/>
        </w:rPr>
        <w:t xml:space="preserve"> </w:t>
      </w:r>
      <w:r w:rsidR="00811B51" w:rsidRPr="00A22932">
        <w:rPr>
          <w:rFonts w:ascii="Times New Roman" w:hAnsi="Times New Roman"/>
          <w:sz w:val="20"/>
          <w:szCs w:val="20"/>
          <w:lang w:eastAsia="fr-FR"/>
        </w:rPr>
        <w:t>stattfindet</w:t>
      </w:r>
      <w:r w:rsidR="00A84559" w:rsidRPr="00A22932">
        <w:rPr>
          <w:rFonts w:ascii="Times New Roman" w:hAnsi="Times New Roman"/>
          <w:sz w:val="20"/>
          <w:szCs w:val="20"/>
          <w:lang w:eastAsia="fr-FR"/>
        </w:rPr>
        <w:t>.</w:t>
      </w:r>
      <w:r w:rsidRPr="00726F94">
        <w:rPr>
          <w:rFonts w:ascii="Times New Roman" w:hAnsi="Times New Roman"/>
          <w:sz w:val="20"/>
          <w:szCs w:val="20"/>
          <w:lang w:eastAsia="fr-FR"/>
        </w:rPr>
        <w:t xml:space="preserve"> </w:t>
      </w:r>
      <w:r w:rsidR="00EF542B" w:rsidRPr="00A22932">
        <w:rPr>
          <w:rFonts w:ascii="Times New Roman" w:hAnsi="Times New Roman"/>
          <w:sz w:val="20"/>
          <w:szCs w:val="20"/>
          <w:lang w:eastAsia="fr-FR"/>
        </w:rPr>
        <w:t xml:space="preserve">In der Praxis bedeutet dies, dass die landseitige Überwachung in vielen Fällen auf die 3 Meter um </w:t>
      </w:r>
      <w:r w:rsidR="00E63806" w:rsidRPr="00A22932">
        <w:rPr>
          <w:rFonts w:ascii="Times New Roman" w:hAnsi="Times New Roman"/>
          <w:sz w:val="20"/>
          <w:szCs w:val="20"/>
          <w:lang w:eastAsia="fr-FR"/>
        </w:rPr>
        <w:t>das Sammelrohr</w:t>
      </w:r>
      <w:r w:rsidR="00EF542B" w:rsidRPr="00A22932">
        <w:rPr>
          <w:rFonts w:ascii="Times New Roman" w:hAnsi="Times New Roman"/>
          <w:sz w:val="20"/>
          <w:szCs w:val="20"/>
          <w:lang w:eastAsia="fr-FR"/>
        </w:rPr>
        <w:t xml:space="preserve"> beschränkt ist.</w:t>
      </w:r>
    </w:p>
    <w:p w14:paraId="31C1D90E" w14:textId="681CD559" w:rsidR="004B3ED5" w:rsidRPr="00726F94" w:rsidRDefault="004B3ED5" w:rsidP="00981527">
      <w:pPr>
        <w:tabs>
          <w:tab w:val="left" w:pos="1701"/>
        </w:tabs>
        <w:suppressAutoHyphens/>
        <w:spacing w:after="120" w:line="240" w:lineRule="atLeast"/>
        <w:ind w:left="1134" w:right="1134"/>
        <w:jc w:val="both"/>
        <w:rPr>
          <w:rFonts w:ascii="Times New Roman" w:hAnsi="Times New Roman"/>
          <w:sz w:val="20"/>
          <w:szCs w:val="20"/>
          <w:lang w:eastAsia="fr-FR"/>
        </w:rPr>
      </w:pPr>
      <w:r w:rsidRPr="00726F94">
        <w:rPr>
          <w:rFonts w:ascii="Times New Roman" w:hAnsi="Times New Roman"/>
          <w:sz w:val="20"/>
          <w:szCs w:val="20"/>
          <w:lang w:eastAsia="fr-FR"/>
        </w:rPr>
        <w:t>3.</w:t>
      </w:r>
      <w:r w:rsidRPr="00726F94">
        <w:rPr>
          <w:rFonts w:ascii="Times New Roman" w:hAnsi="Times New Roman"/>
          <w:sz w:val="20"/>
          <w:szCs w:val="20"/>
          <w:lang w:eastAsia="fr-FR"/>
        </w:rPr>
        <w:tab/>
      </w:r>
      <w:r w:rsidR="00E74BAA" w:rsidRPr="00A22932">
        <w:rPr>
          <w:rFonts w:ascii="Times New Roman" w:hAnsi="Times New Roman"/>
          <w:sz w:val="20"/>
          <w:szCs w:val="20"/>
          <w:lang w:eastAsia="fr-FR"/>
        </w:rPr>
        <w:t xml:space="preserve">Die niederländische Aufsichtsbehörde hat festgestellt, dass nicht alle </w:t>
      </w:r>
      <w:r w:rsidR="002A0DEC" w:rsidRPr="00A22932">
        <w:rPr>
          <w:rFonts w:ascii="Times New Roman" w:hAnsi="Times New Roman"/>
          <w:sz w:val="20"/>
          <w:szCs w:val="20"/>
          <w:lang w:eastAsia="fr-FR"/>
        </w:rPr>
        <w:t xml:space="preserve">Zwischenfälle </w:t>
      </w:r>
      <w:r w:rsidR="00E74BAA" w:rsidRPr="00A22932">
        <w:rPr>
          <w:rFonts w:ascii="Times New Roman" w:hAnsi="Times New Roman"/>
          <w:sz w:val="20"/>
          <w:szCs w:val="20"/>
          <w:lang w:eastAsia="fr-FR"/>
        </w:rPr>
        <w:t xml:space="preserve">beim </w:t>
      </w:r>
      <w:r w:rsidR="003C5D2D" w:rsidRPr="00A22932">
        <w:rPr>
          <w:rFonts w:ascii="Times New Roman" w:hAnsi="Times New Roman"/>
          <w:sz w:val="20"/>
          <w:szCs w:val="20"/>
          <w:lang w:eastAsia="fr-FR"/>
        </w:rPr>
        <w:t>Laden</w:t>
      </w:r>
      <w:r w:rsidR="00E74BAA" w:rsidRPr="00A22932">
        <w:rPr>
          <w:rFonts w:ascii="Times New Roman" w:hAnsi="Times New Roman"/>
          <w:sz w:val="20"/>
          <w:szCs w:val="20"/>
          <w:lang w:eastAsia="fr-FR"/>
        </w:rPr>
        <w:t xml:space="preserve"> und </w:t>
      </w:r>
      <w:r w:rsidR="003C5D2D" w:rsidRPr="00A22932">
        <w:rPr>
          <w:rFonts w:ascii="Times New Roman" w:hAnsi="Times New Roman"/>
          <w:sz w:val="20"/>
          <w:szCs w:val="20"/>
          <w:lang w:eastAsia="fr-FR"/>
        </w:rPr>
        <w:t>Löschen</w:t>
      </w:r>
      <w:r w:rsidR="00E74BAA" w:rsidRPr="00A22932">
        <w:rPr>
          <w:rFonts w:ascii="Times New Roman" w:hAnsi="Times New Roman"/>
          <w:sz w:val="20"/>
          <w:szCs w:val="20"/>
          <w:lang w:eastAsia="fr-FR"/>
        </w:rPr>
        <w:t xml:space="preserve"> innerhalb de</w:t>
      </w:r>
      <w:r w:rsidR="00DB4DE9" w:rsidRPr="00A22932">
        <w:rPr>
          <w:rFonts w:ascii="Times New Roman" w:hAnsi="Times New Roman"/>
          <w:sz w:val="20"/>
          <w:szCs w:val="20"/>
          <w:lang w:eastAsia="fr-FR"/>
        </w:rPr>
        <w:t>s</w:t>
      </w:r>
      <w:r w:rsidR="00E74BAA" w:rsidRPr="00A22932">
        <w:rPr>
          <w:rFonts w:ascii="Times New Roman" w:hAnsi="Times New Roman"/>
          <w:sz w:val="20"/>
          <w:szCs w:val="20"/>
          <w:lang w:eastAsia="fr-FR"/>
        </w:rPr>
        <w:t xml:space="preserve"> </w:t>
      </w:r>
      <w:proofErr w:type="gramStart"/>
      <w:r w:rsidR="00E74BAA" w:rsidRPr="00A22932">
        <w:rPr>
          <w:rFonts w:ascii="Times New Roman" w:hAnsi="Times New Roman"/>
          <w:sz w:val="20"/>
          <w:szCs w:val="20"/>
          <w:lang w:eastAsia="fr-FR"/>
        </w:rPr>
        <w:t>3</w:t>
      </w:r>
      <w:r w:rsidR="00DB4DE9" w:rsidRPr="00A22932">
        <w:rPr>
          <w:rFonts w:ascii="Times New Roman" w:hAnsi="Times New Roman"/>
          <w:sz w:val="20"/>
          <w:szCs w:val="20"/>
          <w:lang w:eastAsia="fr-FR"/>
        </w:rPr>
        <w:t>-</w:t>
      </w:r>
      <w:r w:rsidR="00E74BAA" w:rsidRPr="00A22932">
        <w:rPr>
          <w:rFonts w:ascii="Times New Roman" w:hAnsi="Times New Roman"/>
          <w:sz w:val="20"/>
          <w:szCs w:val="20"/>
          <w:lang w:eastAsia="fr-FR"/>
        </w:rPr>
        <w:t>Meter</w:t>
      </w:r>
      <w:r w:rsidR="00DB4DE9" w:rsidRPr="00A22932">
        <w:rPr>
          <w:rFonts w:ascii="Times New Roman" w:hAnsi="Times New Roman"/>
          <w:sz w:val="20"/>
          <w:szCs w:val="20"/>
          <w:lang w:eastAsia="fr-FR"/>
        </w:rPr>
        <w:t>-Bereichs</w:t>
      </w:r>
      <w:proofErr w:type="gramEnd"/>
      <w:r w:rsidR="00E74BAA" w:rsidRPr="00A22932">
        <w:rPr>
          <w:rFonts w:ascii="Times New Roman" w:hAnsi="Times New Roman"/>
          <w:sz w:val="20"/>
          <w:szCs w:val="20"/>
          <w:lang w:eastAsia="fr-FR"/>
        </w:rPr>
        <w:t xml:space="preserve"> um </w:t>
      </w:r>
      <w:r w:rsidR="003C5D2D" w:rsidRPr="00A22932">
        <w:rPr>
          <w:rFonts w:ascii="Times New Roman" w:hAnsi="Times New Roman"/>
          <w:sz w:val="20"/>
          <w:szCs w:val="20"/>
          <w:lang w:eastAsia="fr-FR"/>
        </w:rPr>
        <w:t xml:space="preserve">das </w:t>
      </w:r>
      <w:r w:rsidR="00170B4D" w:rsidRPr="00A22932">
        <w:rPr>
          <w:rFonts w:ascii="Times New Roman" w:hAnsi="Times New Roman"/>
          <w:sz w:val="20"/>
          <w:szCs w:val="20"/>
          <w:lang w:eastAsia="fr-FR"/>
        </w:rPr>
        <w:t xml:space="preserve">zum Laden und Löschen genutzte </w:t>
      </w:r>
      <w:r w:rsidR="003C5D2D" w:rsidRPr="00A22932">
        <w:rPr>
          <w:rFonts w:ascii="Times New Roman" w:hAnsi="Times New Roman"/>
          <w:sz w:val="20"/>
          <w:szCs w:val="20"/>
          <w:lang w:eastAsia="fr-FR"/>
        </w:rPr>
        <w:t>Sammelrohr</w:t>
      </w:r>
      <w:r w:rsidR="00E74BAA" w:rsidRPr="00A22932">
        <w:rPr>
          <w:rFonts w:ascii="Times New Roman" w:hAnsi="Times New Roman"/>
          <w:sz w:val="20"/>
          <w:szCs w:val="20"/>
          <w:lang w:eastAsia="fr-FR"/>
        </w:rPr>
        <w:t xml:space="preserve"> auftreten.</w:t>
      </w:r>
      <w:r w:rsidRPr="00726F94">
        <w:rPr>
          <w:rFonts w:ascii="Times New Roman" w:hAnsi="Times New Roman"/>
          <w:sz w:val="20"/>
          <w:szCs w:val="20"/>
          <w:lang w:eastAsia="fr-FR"/>
        </w:rPr>
        <w:t xml:space="preserve"> </w:t>
      </w:r>
      <w:r w:rsidR="002A0DEC" w:rsidRPr="00A22932">
        <w:rPr>
          <w:rFonts w:ascii="Times New Roman" w:hAnsi="Times New Roman"/>
          <w:sz w:val="20"/>
          <w:szCs w:val="20"/>
          <w:lang w:eastAsia="fr-FR"/>
        </w:rPr>
        <w:t xml:space="preserve">Wenn sich ein Zwischenfall außerhalb der 3 Meter um das Sammelrohr ereignet, wird er durch die </w:t>
      </w:r>
      <w:r w:rsidR="00141132" w:rsidRPr="00A22932">
        <w:rPr>
          <w:rFonts w:ascii="Times New Roman" w:hAnsi="Times New Roman"/>
          <w:sz w:val="20"/>
          <w:szCs w:val="20"/>
          <w:lang w:eastAsia="fr-FR"/>
        </w:rPr>
        <w:t xml:space="preserve">landseitige </w:t>
      </w:r>
      <w:r w:rsidR="002A0DEC" w:rsidRPr="00A22932">
        <w:rPr>
          <w:rFonts w:ascii="Times New Roman" w:hAnsi="Times New Roman"/>
          <w:sz w:val="20"/>
          <w:szCs w:val="20"/>
          <w:lang w:eastAsia="fr-FR"/>
        </w:rPr>
        <w:t>Überwachung nicht bemerkt.</w:t>
      </w:r>
      <w:r w:rsidRPr="00726F94">
        <w:rPr>
          <w:rFonts w:ascii="Times New Roman" w:hAnsi="Times New Roman"/>
          <w:sz w:val="20"/>
          <w:szCs w:val="20"/>
          <w:lang w:eastAsia="fr-FR"/>
        </w:rPr>
        <w:t xml:space="preserve"> </w:t>
      </w:r>
      <w:r w:rsidR="00477EB7" w:rsidRPr="00A22932">
        <w:rPr>
          <w:rFonts w:ascii="Times New Roman" w:hAnsi="Times New Roman"/>
          <w:sz w:val="20"/>
          <w:szCs w:val="20"/>
          <w:lang w:eastAsia="fr-FR"/>
        </w:rPr>
        <w:t>Dies führt möglicherweise zu einer verzögerten Reaktion bei solchen Zwischenfällen, was größere Leckagen zur Folge haben kann.</w:t>
      </w:r>
      <w:r w:rsidRPr="00726F94">
        <w:rPr>
          <w:rFonts w:ascii="Times New Roman" w:hAnsi="Times New Roman"/>
          <w:sz w:val="20"/>
          <w:szCs w:val="20"/>
          <w:lang w:eastAsia="fr-FR"/>
        </w:rPr>
        <w:t xml:space="preserve"> </w:t>
      </w:r>
      <w:r w:rsidR="008F2237" w:rsidRPr="00A22932">
        <w:rPr>
          <w:rFonts w:ascii="Times New Roman" w:hAnsi="Times New Roman"/>
          <w:sz w:val="20"/>
          <w:szCs w:val="20"/>
          <w:lang w:eastAsia="fr-FR"/>
        </w:rPr>
        <w:t xml:space="preserve">Darüber hinaus muss der Zwischenfall von der Person an Bord des Schiffes bemerkt werden, die dem ausgetretenen Stoff wahrscheinlich direkter ausgesetzt ist und daher in Panik </w:t>
      </w:r>
      <w:r w:rsidR="00981527" w:rsidRPr="00A22932">
        <w:rPr>
          <w:rFonts w:ascii="Times New Roman" w:hAnsi="Times New Roman"/>
          <w:sz w:val="20"/>
          <w:szCs w:val="20"/>
          <w:lang w:eastAsia="fr-FR"/>
        </w:rPr>
        <w:t>geraten</w:t>
      </w:r>
      <w:r w:rsidR="008F2237" w:rsidRPr="00A22932">
        <w:rPr>
          <w:rFonts w:ascii="Times New Roman" w:hAnsi="Times New Roman"/>
          <w:sz w:val="20"/>
          <w:szCs w:val="20"/>
          <w:lang w:eastAsia="fr-FR"/>
        </w:rPr>
        <w:t>, sich unwohl fühlen und/oder sich verletzen könnte (</w:t>
      </w:r>
      <w:r w:rsidR="00981527" w:rsidRPr="00A22932">
        <w:rPr>
          <w:rFonts w:ascii="Times New Roman" w:hAnsi="Times New Roman"/>
          <w:sz w:val="20"/>
          <w:szCs w:val="20"/>
          <w:lang w:eastAsia="fr-FR"/>
        </w:rPr>
        <w:t xml:space="preserve">durch </w:t>
      </w:r>
      <w:r w:rsidR="008F2237" w:rsidRPr="00A22932">
        <w:rPr>
          <w:rFonts w:ascii="Times New Roman" w:hAnsi="Times New Roman"/>
          <w:sz w:val="20"/>
          <w:szCs w:val="20"/>
          <w:lang w:eastAsia="fr-FR"/>
        </w:rPr>
        <w:t>Ausrutschen im ausgetretenen Produkt).</w:t>
      </w:r>
    </w:p>
    <w:p w14:paraId="74B0AD2C" w14:textId="6EED9B40" w:rsidR="004B3ED5" w:rsidRPr="00726F94" w:rsidRDefault="004B3ED5" w:rsidP="00225494">
      <w:pPr>
        <w:tabs>
          <w:tab w:val="left" w:pos="1701"/>
        </w:tabs>
        <w:suppressAutoHyphens/>
        <w:spacing w:after="120" w:line="240" w:lineRule="atLeast"/>
        <w:ind w:left="1134" w:right="1134"/>
        <w:jc w:val="both"/>
        <w:rPr>
          <w:rFonts w:ascii="Times New Roman" w:hAnsi="Times New Roman"/>
          <w:sz w:val="20"/>
          <w:szCs w:val="20"/>
          <w:lang w:eastAsia="fr-FR"/>
        </w:rPr>
      </w:pPr>
      <w:r w:rsidRPr="00726F94">
        <w:rPr>
          <w:rFonts w:ascii="Times New Roman" w:hAnsi="Times New Roman"/>
          <w:sz w:val="20"/>
          <w:szCs w:val="20"/>
          <w:lang w:eastAsia="fr-FR"/>
        </w:rPr>
        <w:t>4.</w:t>
      </w:r>
      <w:r w:rsidRPr="00726F94">
        <w:rPr>
          <w:rFonts w:ascii="Times New Roman" w:hAnsi="Times New Roman"/>
          <w:sz w:val="20"/>
          <w:szCs w:val="20"/>
          <w:lang w:eastAsia="fr-FR"/>
        </w:rPr>
        <w:tab/>
      </w:r>
      <w:r w:rsidR="001A6A1E" w:rsidRPr="00A22932">
        <w:rPr>
          <w:rFonts w:ascii="Times New Roman" w:hAnsi="Times New Roman"/>
          <w:sz w:val="20"/>
          <w:szCs w:val="20"/>
          <w:lang w:eastAsia="fr-FR"/>
        </w:rPr>
        <w:t xml:space="preserve">Die niederländische Delegation möchte im Kreis der Mitglieder des ADN-Sicherheitsausschusses erörtern, ob der Überwachungsbereich von der Landseite aus vergrößert werden sollte, damit die </w:t>
      </w:r>
      <w:r w:rsidR="00276899" w:rsidRPr="00A22932">
        <w:rPr>
          <w:rFonts w:ascii="Times New Roman" w:hAnsi="Times New Roman"/>
          <w:sz w:val="20"/>
          <w:szCs w:val="20"/>
          <w:lang w:eastAsia="fr-FR"/>
        </w:rPr>
        <w:t>l</w:t>
      </w:r>
      <w:r w:rsidR="001A6A1E" w:rsidRPr="00A22932">
        <w:rPr>
          <w:rFonts w:ascii="Times New Roman" w:hAnsi="Times New Roman"/>
          <w:sz w:val="20"/>
          <w:szCs w:val="20"/>
          <w:lang w:eastAsia="fr-FR"/>
        </w:rPr>
        <w:t>and</w:t>
      </w:r>
      <w:r w:rsidR="00276899" w:rsidRPr="00A22932">
        <w:rPr>
          <w:rFonts w:ascii="Times New Roman" w:hAnsi="Times New Roman"/>
          <w:sz w:val="20"/>
          <w:szCs w:val="20"/>
          <w:lang w:eastAsia="fr-FR"/>
        </w:rPr>
        <w:t>seitige Ü</w:t>
      </w:r>
      <w:r w:rsidR="001A6A1E" w:rsidRPr="00A22932">
        <w:rPr>
          <w:rFonts w:ascii="Times New Roman" w:hAnsi="Times New Roman"/>
          <w:sz w:val="20"/>
          <w:szCs w:val="20"/>
          <w:lang w:eastAsia="fr-FR"/>
        </w:rPr>
        <w:t xml:space="preserve">berwachung auch </w:t>
      </w:r>
      <w:r w:rsidR="00FF481C" w:rsidRPr="00A22932">
        <w:rPr>
          <w:rFonts w:ascii="Times New Roman" w:hAnsi="Times New Roman"/>
          <w:sz w:val="20"/>
          <w:szCs w:val="20"/>
          <w:lang w:eastAsia="fr-FR"/>
        </w:rPr>
        <w:t>Leckagen</w:t>
      </w:r>
      <w:r w:rsidR="001A6A1E" w:rsidRPr="00A22932">
        <w:rPr>
          <w:rFonts w:ascii="Times New Roman" w:hAnsi="Times New Roman"/>
          <w:sz w:val="20"/>
          <w:szCs w:val="20"/>
          <w:lang w:eastAsia="fr-FR"/>
        </w:rPr>
        <w:t xml:space="preserve"> außerhalb de</w:t>
      </w:r>
      <w:r w:rsidR="00575E8C" w:rsidRPr="00A22932">
        <w:rPr>
          <w:rFonts w:ascii="Times New Roman" w:hAnsi="Times New Roman"/>
          <w:sz w:val="20"/>
          <w:szCs w:val="20"/>
          <w:lang w:eastAsia="fr-FR"/>
        </w:rPr>
        <w:t>r</w:t>
      </w:r>
      <w:r w:rsidR="001A6A1E" w:rsidRPr="00A22932">
        <w:rPr>
          <w:rFonts w:ascii="Times New Roman" w:hAnsi="Times New Roman"/>
          <w:sz w:val="20"/>
          <w:szCs w:val="20"/>
          <w:lang w:eastAsia="fr-FR"/>
        </w:rPr>
        <w:t xml:space="preserve"> 3</w:t>
      </w:r>
      <w:r w:rsidR="00575E8C" w:rsidRPr="00A22932">
        <w:rPr>
          <w:rFonts w:ascii="Times New Roman" w:hAnsi="Times New Roman"/>
          <w:sz w:val="20"/>
          <w:szCs w:val="20"/>
          <w:lang w:eastAsia="fr-FR"/>
        </w:rPr>
        <w:t xml:space="preserve"> </w:t>
      </w:r>
      <w:r w:rsidR="001A6A1E" w:rsidRPr="00A22932">
        <w:rPr>
          <w:rFonts w:ascii="Times New Roman" w:hAnsi="Times New Roman"/>
          <w:sz w:val="20"/>
          <w:szCs w:val="20"/>
          <w:lang w:eastAsia="fr-FR"/>
        </w:rPr>
        <w:t>Meter um d</w:t>
      </w:r>
      <w:r w:rsidR="004F0C45" w:rsidRPr="00A22932">
        <w:rPr>
          <w:rFonts w:ascii="Times New Roman" w:hAnsi="Times New Roman"/>
          <w:sz w:val="20"/>
          <w:szCs w:val="20"/>
          <w:lang w:eastAsia="fr-FR"/>
        </w:rPr>
        <w:t>as</w:t>
      </w:r>
      <w:r w:rsidR="001A6A1E" w:rsidRPr="00A22932">
        <w:rPr>
          <w:rFonts w:ascii="Times New Roman" w:hAnsi="Times New Roman"/>
          <w:sz w:val="20"/>
          <w:szCs w:val="20"/>
          <w:lang w:eastAsia="fr-FR"/>
        </w:rPr>
        <w:t xml:space="preserve"> </w:t>
      </w:r>
      <w:r w:rsidR="004F0C45" w:rsidRPr="00A22932">
        <w:rPr>
          <w:rFonts w:ascii="Times New Roman" w:hAnsi="Times New Roman"/>
          <w:sz w:val="20"/>
          <w:szCs w:val="20"/>
          <w:lang w:eastAsia="fr-FR"/>
        </w:rPr>
        <w:t>Sammelrohr</w:t>
      </w:r>
      <w:r w:rsidR="001A6A1E" w:rsidRPr="00A22932">
        <w:rPr>
          <w:rFonts w:ascii="Times New Roman" w:hAnsi="Times New Roman"/>
          <w:sz w:val="20"/>
          <w:szCs w:val="20"/>
          <w:lang w:eastAsia="fr-FR"/>
        </w:rPr>
        <w:t xml:space="preserve"> feststellen kann.</w:t>
      </w:r>
      <w:r w:rsidRPr="00726F94">
        <w:rPr>
          <w:rFonts w:ascii="Times New Roman" w:hAnsi="Times New Roman"/>
          <w:sz w:val="20"/>
          <w:szCs w:val="20"/>
          <w:lang w:eastAsia="fr-FR"/>
        </w:rPr>
        <w:t xml:space="preserve"> </w:t>
      </w:r>
      <w:r w:rsidR="00575E8C" w:rsidRPr="00A22932">
        <w:rPr>
          <w:rFonts w:ascii="Times New Roman" w:hAnsi="Times New Roman"/>
          <w:sz w:val="20"/>
          <w:szCs w:val="20"/>
          <w:lang w:eastAsia="fr-FR"/>
        </w:rPr>
        <w:t>Dadurch könnten die Reaktionszeiten verkürzt und Leckagen kleiner gehalten werden.</w:t>
      </w:r>
      <w:r w:rsidRPr="00726F94">
        <w:rPr>
          <w:rFonts w:ascii="Times New Roman" w:hAnsi="Times New Roman"/>
          <w:sz w:val="20"/>
          <w:szCs w:val="20"/>
          <w:lang w:eastAsia="fr-FR"/>
        </w:rPr>
        <w:t xml:space="preserve"> </w:t>
      </w:r>
      <w:r w:rsidR="006501FB" w:rsidRPr="00A22932">
        <w:rPr>
          <w:rFonts w:ascii="Times New Roman" w:hAnsi="Times New Roman"/>
          <w:sz w:val="20"/>
          <w:szCs w:val="20"/>
          <w:lang w:eastAsia="fr-FR"/>
        </w:rPr>
        <w:t xml:space="preserve">Noch wichtiger ist, dass Zwischenfälle mit größerer Wahrscheinlichkeit von Personen bemerkt werden, die vom Zwischenfall </w:t>
      </w:r>
      <w:r w:rsidR="00D013E8" w:rsidRPr="00A22932">
        <w:rPr>
          <w:rFonts w:ascii="Times New Roman" w:hAnsi="Times New Roman"/>
          <w:sz w:val="20"/>
          <w:szCs w:val="20"/>
          <w:lang w:eastAsia="fr-FR"/>
        </w:rPr>
        <w:t xml:space="preserve">weiter </w:t>
      </w:r>
      <w:r w:rsidR="006501FB" w:rsidRPr="00A22932">
        <w:rPr>
          <w:rFonts w:ascii="Times New Roman" w:hAnsi="Times New Roman"/>
          <w:sz w:val="20"/>
          <w:szCs w:val="20"/>
          <w:lang w:eastAsia="fr-FR"/>
        </w:rPr>
        <w:t>entfernt sind, wodurch die Gefahr einer persönlichen Gefährdung und von Panikreaktionen verringert wird</w:t>
      </w:r>
      <w:r w:rsidR="00064E1D" w:rsidRPr="00A22932">
        <w:rPr>
          <w:rFonts w:ascii="Times New Roman" w:hAnsi="Times New Roman"/>
          <w:sz w:val="20"/>
          <w:szCs w:val="20"/>
          <w:lang w:eastAsia="fr-FR"/>
        </w:rPr>
        <w:t>,</w:t>
      </w:r>
      <w:r w:rsidR="006501FB" w:rsidRPr="00A22932">
        <w:rPr>
          <w:rFonts w:ascii="Times New Roman" w:hAnsi="Times New Roman"/>
          <w:sz w:val="20"/>
          <w:szCs w:val="20"/>
          <w:lang w:eastAsia="fr-FR"/>
        </w:rPr>
        <w:t xml:space="preserve"> </w:t>
      </w:r>
      <w:r w:rsidR="00064E1D" w:rsidRPr="00A22932">
        <w:rPr>
          <w:rFonts w:ascii="Times New Roman" w:hAnsi="Times New Roman"/>
          <w:sz w:val="20"/>
          <w:szCs w:val="20"/>
          <w:lang w:eastAsia="fr-FR"/>
        </w:rPr>
        <w:t>was wiederum zu besonneneren Entscheidungen beim Umgang mit Zwischenfällen führt.</w:t>
      </w:r>
    </w:p>
    <w:p w14:paraId="38F06EF1" w14:textId="758CC3F4" w:rsidR="004B3ED5" w:rsidRPr="00726F94" w:rsidRDefault="004B3ED5" w:rsidP="00225494">
      <w:pPr>
        <w:tabs>
          <w:tab w:val="left" w:pos="1701"/>
        </w:tabs>
        <w:suppressAutoHyphens/>
        <w:spacing w:after="120" w:line="240" w:lineRule="atLeast"/>
        <w:ind w:left="1134" w:right="1134"/>
        <w:jc w:val="both"/>
        <w:rPr>
          <w:rFonts w:ascii="Times New Roman" w:hAnsi="Times New Roman"/>
          <w:sz w:val="20"/>
          <w:szCs w:val="20"/>
          <w:lang w:eastAsia="fr-FR"/>
        </w:rPr>
      </w:pPr>
      <w:r w:rsidRPr="00726F94">
        <w:rPr>
          <w:rFonts w:ascii="Times New Roman" w:hAnsi="Times New Roman"/>
          <w:sz w:val="20"/>
          <w:szCs w:val="20"/>
          <w:lang w:eastAsia="fr-FR"/>
        </w:rPr>
        <w:t>5.</w:t>
      </w:r>
      <w:r w:rsidRPr="00726F94">
        <w:rPr>
          <w:rFonts w:ascii="Times New Roman" w:hAnsi="Times New Roman"/>
          <w:sz w:val="20"/>
          <w:szCs w:val="20"/>
          <w:lang w:eastAsia="fr-FR"/>
        </w:rPr>
        <w:tab/>
      </w:r>
      <w:r w:rsidR="00225494" w:rsidRPr="00A22932">
        <w:rPr>
          <w:rFonts w:ascii="Times New Roman" w:hAnsi="Times New Roman"/>
          <w:sz w:val="20"/>
          <w:szCs w:val="20"/>
          <w:lang w:eastAsia="fr-FR"/>
        </w:rPr>
        <w:t>Die entsprechende Auslegung ist in der Anlage zu diesem Vorschlag, ADN 8.6.3, enthalten.</w:t>
      </w:r>
    </w:p>
    <w:p w14:paraId="7ADCD410" w14:textId="563DC4D3" w:rsidR="004B3ED5" w:rsidRPr="00726F94" w:rsidRDefault="004B3ED5" w:rsidP="0078646F">
      <w:pPr>
        <w:tabs>
          <w:tab w:val="left" w:pos="1701"/>
        </w:tabs>
        <w:suppressAutoHyphens/>
        <w:spacing w:line="240" w:lineRule="atLeast"/>
        <w:ind w:left="1134" w:right="1089"/>
        <w:jc w:val="both"/>
        <w:rPr>
          <w:rFonts w:ascii="Times New Roman" w:hAnsi="Times New Roman"/>
          <w:sz w:val="20"/>
          <w:szCs w:val="20"/>
          <w:lang w:eastAsia="fr-FR"/>
        </w:rPr>
      </w:pPr>
      <w:r w:rsidRPr="00726F94">
        <w:rPr>
          <w:rFonts w:ascii="Times New Roman" w:hAnsi="Times New Roman"/>
          <w:sz w:val="20"/>
          <w:szCs w:val="20"/>
          <w:lang w:eastAsia="fr-FR"/>
        </w:rPr>
        <w:t>6.</w:t>
      </w:r>
      <w:r w:rsidRPr="00726F94">
        <w:rPr>
          <w:rFonts w:ascii="Times New Roman" w:hAnsi="Times New Roman"/>
          <w:sz w:val="20"/>
          <w:szCs w:val="20"/>
          <w:lang w:eastAsia="fr-FR"/>
        </w:rPr>
        <w:tab/>
      </w:r>
      <w:r w:rsidR="00D013E8" w:rsidRPr="00A22932">
        <w:rPr>
          <w:rFonts w:ascii="Times New Roman" w:hAnsi="Times New Roman"/>
          <w:sz w:val="20"/>
          <w:szCs w:val="20"/>
          <w:lang w:eastAsia="fr-FR"/>
        </w:rPr>
        <w:t>Sofern</w:t>
      </w:r>
      <w:r w:rsidR="00225494" w:rsidRPr="00A22932">
        <w:rPr>
          <w:rFonts w:ascii="Times New Roman" w:hAnsi="Times New Roman"/>
          <w:sz w:val="20"/>
          <w:szCs w:val="20"/>
          <w:lang w:eastAsia="fr-FR"/>
        </w:rPr>
        <w:t xml:space="preserve"> der ADN-Sicherheitsausschuss mit der niederländischen Delegation darin übereinstimmt, dass die landseitige Überwachung über den Bereich in unmittelbarer Nähe des Sammelrohrs hinaus ausgedehnt werden sollte, sollte die bestehende Auslegung geändert werden.</w:t>
      </w:r>
      <w:r w:rsidRPr="00726F94">
        <w:rPr>
          <w:rFonts w:ascii="Times New Roman" w:hAnsi="Times New Roman"/>
          <w:sz w:val="20"/>
          <w:szCs w:val="20"/>
          <w:lang w:eastAsia="fr-FR"/>
        </w:rPr>
        <w:t xml:space="preserve"> </w:t>
      </w:r>
      <w:r w:rsidR="00225494" w:rsidRPr="00A22932">
        <w:rPr>
          <w:rFonts w:ascii="Times New Roman" w:hAnsi="Times New Roman"/>
          <w:sz w:val="20"/>
          <w:szCs w:val="20"/>
          <w:lang w:eastAsia="fr-FR"/>
        </w:rPr>
        <w:t xml:space="preserve">Möglicherweise </w:t>
      </w:r>
      <w:r w:rsidR="00D013E8" w:rsidRPr="00A22932">
        <w:rPr>
          <w:rFonts w:ascii="Times New Roman" w:hAnsi="Times New Roman"/>
          <w:sz w:val="20"/>
          <w:szCs w:val="20"/>
          <w:lang w:eastAsia="fr-FR"/>
        </w:rPr>
        <w:t>müsste</w:t>
      </w:r>
      <w:r w:rsidR="00225494" w:rsidRPr="00A22932">
        <w:rPr>
          <w:rFonts w:ascii="Times New Roman" w:hAnsi="Times New Roman"/>
          <w:sz w:val="20"/>
          <w:szCs w:val="20"/>
          <w:lang w:eastAsia="fr-FR"/>
        </w:rPr>
        <w:t xml:space="preserve"> jedoch auch ADN 8.6.3, Frage 10 und die dazugehörige Erläuterung </w:t>
      </w:r>
      <w:r w:rsidR="00D013E8" w:rsidRPr="00A22932">
        <w:rPr>
          <w:rFonts w:ascii="Times New Roman" w:hAnsi="Times New Roman"/>
          <w:sz w:val="20"/>
          <w:szCs w:val="20"/>
          <w:lang w:eastAsia="fr-FR"/>
        </w:rPr>
        <w:t>ge</w:t>
      </w:r>
      <w:r w:rsidR="00225494" w:rsidRPr="00A22932">
        <w:rPr>
          <w:rFonts w:ascii="Times New Roman" w:hAnsi="Times New Roman"/>
          <w:sz w:val="20"/>
          <w:szCs w:val="20"/>
          <w:lang w:eastAsia="fr-FR"/>
        </w:rPr>
        <w:t>änder</w:t>
      </w:r>
      <w:r w:rsidR="00D013E8" w:rsidRPr="00A22932">
        <w:rPr>
          <w:rFonts w:ascii="Times New Roman" w:hAnsi="Times New Roman"/>
          <w:sz w:val="20"/>
          <w:szCs w:val="20"/>
          <w:lang w:eastAsia="fr-FR"/>
        </w:rPr>
        <w:t>t werde</w:t>
      </w:r>
      <w:r w:rsidR="00225494" w:rsidRPr="00A22932">
        <w:rPr>
          <w:rFonts w:ascii="Times New Roman" w:hAnsi="Times New Roman"/>
          <w:sz w:val="20"/>
          <w:szCs w:val="20"/>
          <w:lang w:eastAsia="fr-FR"/>
        </w:rPr>
        <w:t>n.</w:t>
      </w:r>
      <w:r w:rsidRPr="00726F94">
        <w:rPr>
          <w:rFonts w:ascii="Times New Roman" w:hAnsi="Times New Roman"/>
          <w:sz w:val="20"/>
          <w:szCs w:val="20"/>
          <w:lang w:eastAsia="fr-FR"/>
        </w:rPr>
        <w:t xml:space="preserve"> </w:t>
      </w:r>
      <w:r w:rsidR="00C81C68" w:rsidRPr="00A22932">
        <w:rPr>
          <w:rFonts w:ascii="Times New Roman" w:hAnsi="Times New Roman"/>
          <w:sz w:val="20"/>
          <w:szCs w:val="20"/>
          <w:lang w:eastAsia="fr-FR"/>
        </w:rPr>
        <w:t>Die niederländische Delegation ist bereit, ein Dokument mit geeigneten Vorschlägen zur Änderung der Auslegung und/oder des ADN auszuarbeiten.</w:t>
      </w:r>
      <w:r w:rsidRPr="00726F94">
        <w:rPr>
          <w:rFonts w:ascii="Times New Roman" w:hAnsi="Times New Roman"/>
          <w:sz w:val="20"/>
          <w:szCs w:val="20"/>
          <w:lang w:eastAsia="fr-FR"/>
        </w:rPr>
        <w:t xml:space="preserve"> </w:t>
      </w:r>
    </w:p>
    <w:p w14:paraId="04C052B7" w14:textId="77777777" w:rsidR="004B3ED5" w:rsidRPr="00726F94" w:rsidRDefault="004B3ED5" w:rsidP="004B3ED5">
      <w:pPr>
        <w:suppressAutoHyphens/>
        <w:spacing w:line="240" w:lineRule="atLeast"/>
        <w:ind w:left="1134" w:right="1089"/>
        <w:jc w:val="both"/>
        <w:rPr>
          <w:rFonts w:ascii="Times New Roman" w:hAnsi="Times New Roman"/>
          <w:sz w:val="20"/>
          <w:szCs w:val="20"/>
          <w:lang w:eastAsia="fr-FR"/>
        </w:rPr>
        <w:sectPr w:rsidR="004B3ED5" w:rsidRPr="00726F94" w:rsidSect="00392784">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pPr>
    </w:p>
    <w:p w14:paraId="6131F558" w14:textId="78937C8A" w:rsidR="004B3ED5" w:rsidRPr="00A22932" w:rsidRDefault="004B3ED5" w:rsidP="004B3ED5">
      <w:pPr>
        <w:keepNext/>
        <w:keepLines/>
        <w:tabs>
          <w:tab w:val="right" w:pos="851"/>
        </w:tabs>
        <w:suppressAutoHyphens/>
        <w:spacing w:before="360" w:after="240" w:line="300" w:lineRule="exact"/>
        <w:ind w:left="1134" w:right="1134" w:hanging="1134"/>
        <w:rPr>
          <w:rFonts w:ascii="Times New Roman" w:hAnsi="Times New Roman"/>
          <w:b/>
          <w:sz w:val="28"/>
          <w:szCs w:val="20"/>
          <w:lang w:val="en-GB" w:eastAsia="fr-FR"/>
        </w:rPr>
      </w:pPr>
      <w:r w:rsidRPr="00A22932">
        <w:rPr>
          <w:rFonts w:ascii="Times New Roman" w:hAnsi="Times New Roman"/>
          <w:b/>
          <w:sz w:val="28"/>
          <w:szCs w:val="20"/>
          <w:lang w:val="en-GB" w:eastAsia="fr-FR"/>
        </w:rPr>
        <w:lastRenderedPageBreak/>
        <w:t>Anlage</w:t>
      </w:r>
    </w:p>
    <w:p w14:paraId="549E1A04" w14:textId="2567AA7C" w:rsidR="004B3ED5" w:rsidRPr="00A22932" w:rsidRDefault="004B3ED5" w:rsidP="004B3ED5">
      <w:pPr>
        <w:keepNext/>
        <w:keepLines/>
        <w:tabs>
          <w:tab w:val="right" w:pos="851"/>
        </w:tabs>
        <w:suppressAutoHyphens/>
        <w:spacing w:before="360" w:after="240" w:line="300" w:lineRule="exact"/>
        <w:ind w:left="1134" w:right="1134" w:hanging="1134"/>
        <w:rPr>
          <w:rFonts w:ascii="Times New Roman" w:hAnsi="Times New Roman"/>
          <w:b/>
          <w:sz w:val="28"/>
          <w:szCs w:val="20"/>
          <w:lang w:val="en-GB" w:eastAsia="fr-FR"/>
        </w:rPr>
      </w:pPr>
      <w:r w:rsidRPr="00A22932">
        <w:rPr>
          <w:rFonts w:ascii="Times New Roman" w:hAnsi="Times New Roman"/>
          <w:b/>
          <w:sz w:val="28"/>
          <w:szCs w:val="20"/>
          <w:lang w:val="en-GB" w:eastAsia="fr-FR"/>
        </w:rPr>
        <w:tab/>
      </w:r>
      <w:r w:rsidRPr="00A22932">
        <w:rPr>
          <w:rFonts w:ascii="Times New Roman" w:hAnsi="Times New Roman"/>
          <w:b/>
          <w:sz w:val="28"/>
          <w:szCs w:val="20"/>
          <w:lang w:val="en-GB" w:eastAsia="fr-FR"/>
        </w:rPr>
        <w:tab/>
      </w:r>
      <w:proofErr w:type="spellStart"/>
      <w:r w:rsidR="0062200A" w:rsidRPr="00A22932">
        <w:rPr>
          <w:rFonts w:ascii="Times New Roman" w:hAnsi="Times New Roman"/>
          <w:b/>
          <w:sz w:val="28"/>
          <w:szCs w:val="20"/>
          <w:lang w:val="en-GB" w:eastAsia="fr-FR"/>
        </w:rPr>
        <w:t>Überwachung</w:t>
      </w:r>
      <w:proofErr w:type="spellEnd"/>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76"/>
        <w:gridCol w:w="3119"/>
        <w:gridCol w:w="2975"/>
      </w:tblGrid>
      <w:tr w:rsidR="004B3ED5" w:rsidRPr="00A22932" w14:paraId="369F329A" w14:textId="77777777" w:rsidTr="00E54C83">
        <w:trPr>
          <w:trHeight w:hRule="exact" w:val="299"/>
        </w:trPr>
        <w:tc>
          <w:tcPr>
            <w:tcW w:w="1276" w:type="dxa"/>
            <w:tcBorders>
              <w:top w:val="single" w:sz="4" w:space="0" w:color="auto"/>
              <w:bottom w:val="single" w:sz="12" w:space="0" w:color="auto"/>
            </w:tcBorders>
            <w:shd w:val="clear" w:color="auto" w:fill="auto"/>
          </w:tcPr>
          <w:p w14:paraId="5058FE9E" w14:textId="4CBA3500" w:rsidR="004B3ED5" w:rsidRPr="00A22932" w:rsidRDefault="0062200A" w:rsidP="004B3ED5">
            <w:pPr>
              <w:spacing w:before="80" w:after="80" w:line="200" w:lineRule="exact"/>
              <w:ind w:left="104" w:right="113"/>
              <w:rPr>
                <w:rFonts w:ascii="Times New Roman" w:eastAsia="Calibri" w:hAnsi="Times New Roman"/>
                <w:i/>
                <w:sz w:val="16"/>
                <w:szCs w:val="20"/>
                <w:lang w:val="en-US" w:eastAsia="en-US"/>
              </w:rPr>
            </w:pPr>
            <w:proofErr w:type="spellStart"/>
            <w:r w:rsidRPr="00A22932">
              <w:rPr>
                <w:rFonts w:ascii="Times New Roman" w:eastAsia="Calibri" w:hAnsi="Times New Roman"/>
                <w:i/>
                <w:sz w:val="16"/>
                <w:szCs w:val="20"/>
                <w:lang w:val="en-US" w:eastAsia="en-US"/>
              </w:rPr>
              <w:t>Vorschrift</w:t>
            </w:r>
            <w:proofErr w:type="spellEnd"/>
          </w:p>
        </w:tc>
        <w:tc>
          <w:tcPr>
            <w:tcW w:w="3119" w:type="dxa"/>
            <w:tcBorders>
              <w:top w:val="single" w:sz="4" w:space="0" w:color="auto"/>
              <w:bottom w:val="single" w:sz="12" w:space="0" w:color="auto"/>
            </w:tcBorders>
            <w:shd w:val="clear" w:color="auto" w:fill="auto"/>
          </w:tcPr>
          <w:p w14:paraId="012CD436" w14:textId="2A7E78A3" w:rsidR="004B3ED5" w:rsidRPr="00A22932" w:rsidRDefault="00D444B9" w:rsidP="004B3ED5">
            <w:pPr>
              <w:spacing w:before="80" w:after="80" w:line="200" w:lineRule="exact"/>
              <w:ind w:left="104" w:right="113"/>
              <w:rPr>
                <w:rFonts w:ascii="Times New Roman" w:eastAsia="Calibri" w:hAnsi="Times New Roman"/>
                <w:i/>
                <w:sz w:val="16"/>
                <w:szCs w:val="20"/>
                <w:lang w:val="en-US" w:eastAsia="en-US"/>
              </w:rPr>
            </w:pPr>
            <w:proofErr w:type="spellStart"/>
            <w:r>
              <w:rPr>
                <w:rFonts w:ascii="Times New Roman" w:eastAsia="Calibri" w:hAnsi="Times New Roman"/>
                <w:i/>
                <w:sz w:val="16"/>
                <w:szCs w:val="20"/>
                <w:lang w:val="en-US" w:eastAsia="en-US"/>
              </w:rPr>
              <w:t>Wortlaut</w:t>
            </w:r>
            <w:proofErr w:type="spellEnd"/>
            <w:r>
              <w:rPr>
                <w:rFonts w:ascii="Times New Roman" w:eastAsia="Calibri" w:hAnsi="Times New Roman"/>
                <w:i/>
                <w:sz w:val="16"/>
                <w:szCs w:val="20"/>
                <w:lang w:val="en-US" w:eastAsia="en-US"/>
              </w:rPr>
              <w:t xml:space="preserve"> des </w:t>
            </w:r>
            <w:r w:rsidR="004B3ED5" w:rsidRPr="00A22932">
              <w:rPr>
                <w:rFonts w:ascii="Times New Roman" w:eastAsia="Calibri" w:hAnsi="Times New Roman"/>
                <w:i/>
                <w:sz w:val="16"/>
                <w:szCs w:val="20"/>
                <w:lang w:val="en-US" w:eastAsia="en-US"/>
              </w:rPr>
              <w:t>ADN</w:t>
            </w:r>
          </w:p>
        </w:tc>
        <w:tc>
          <w:tcPr>
            <w:tcW w:w="2975" w:type="dxa"/>
            <w:tcBorders>
              <w:top w:val="single" w:sz="4" w:space="0" w:color="auto"/>
              <w:bottom w:val="single" w:sz="12" w:space="0" w:color="auto"/>
            </w:tcBorders>
            <w:shd w:val="clear" w:color="auto" w:fill="auto"/>
          </w:tcPr>
          <w:p w14:paraId="2FD5C2CE" w14:textId="6DFDF0A1" w:rsidR="004B3ED5" w:rsidRPr="00A22932" w:rsidRDefault="0062200A" w:rsidP="004B3ED5">
            <w:pPr>
              <w:spacing w:before="80" w:after="80" w:line="200" w:lineRule="exact"/>
              <w:ind w:left="104" w:right="113"/>
              <w:rPr>
                <w:rFonts w:ascii="Times New Roman" w:eastAsia="Calibri" w:hAnsi="Times New Roman"/>
                <w:i/>
                <w:sz w:val="16"/>
                <w:szCs w:val="20"/>
                <w:lang w:val="en-US" w:eastAsia="en-US"/>
              </w:rPr>
            </w:pPr>
            <w:proofErr w:type="spellStart"/>
            <w:r w:rsidRPr="00A22932">
              <w:rPr>
                <w:rFonts w:ascii="Times New Roman" w:eastAsia="Calibri" w:hAnsi="Times New Roman"/>
                <w:i/>
                <w:sz w:val="16"/>
                <w:szCs w:val="20"/>
                <w:lang w:val="en-US" w:eastAsia="en-US"/>
              </w:rPr>
              <w:t>Auslegung</w:t>
            </w:r>
            <w:proofErr w:type="spellEnd"/>
          </w:p>
        </w:tc>
      </w:tr>
      <w:tr w:rsidR="004B3ED5" w:rsidRPr="00A22932" w14:paraId="1494BDA4" w14:textId="77777777" w:rsidTr="00C253DB">
        <w:trPr>
          <w:trHeight w:val="1260"/>
        </w:trPr>
        <w:tc>
          <w:tcPr>
            <w:tcW w:w="1276" w:type="dxa"/>
            <w:tcBorders>
              <w:top w:val="single" w:sz="12" w:space="0" w:color="auto"/>
              <w:bottom w:val="single" w:sz="4" w:space="0" w:color="auto"/>
            </w:tcBorders>
            <w:shd w:val="clear" w:color="auto" w:fill="auto"/>
          </w:tcPr>
          <w:p w14:paraId="14651427" w14:textId="576ADAFB" w:rsidR="004B3ED5" w:rsidRPr="00A22932" w:rsidRDefault="004B3ED5" w:rsidP="004B3ED5">
            <w:pPr>
              <w:spacing w:before="40" w:after="120" w:line="220" w:lineRule="exact"/>
              <w:ind w:right="113"/>
              <w:rPr>
                <w:rFonts w:ascii="Times New Roman" w:eastAsia="Verdana" w:hAnsi="Times New Roman"/>
                <w:sz w:val="20"/>
                <w:szCs w:val="20"/>
                <w:lang w:eastAsia="en-US"/>
              </w:rPr>
            </w:pPr>
            <w:r w:rsidRPr="00A22932">
              <w:rPr>
                <w:rFonts w:ascii="Times New Roman" w:eastAsia="Verdana" w:hAnsi="Times New Roman"/>
                <w:sz w:val="20"/>
                <w:szCs w:val="20"/>
                <w:lang w:eastAsia="en-US"/>
              </w:rPr>
              <w:t xml:space="preserve">8.6.3, </w:t>
            </w:r>
            <w:r w:rsidR="001B2F78" w:rsidRPr="00A22932">
              <w:rPr>
                <w:rFonts w:ascii="Times New Roman" w:eastAsia="Verdana" w:hAnsi="Times New Roman"/>
                <w:sz w:val="20"/>
                <w:szCs w:val="20"/>
                <w:lang w:eastAsia="en-US"/>
              </w:rPr>
              <w:t>Frage</w:t>
            </w:r>
            <w:r w:rsidRPr="00A22932">
              <w:rPr>
                <w:rFonts w:ascii="Times New Roman" w:eastAsia="Verdana" w:hAnsi="Times New Roman"/>
                <w:sz w:val="20"/>
                <w:szCs w:val="20"/>
                <w:lang w:eastAsia="en-US"/>
              </w:rPr>
              <w:t xml:space="preserve"> 10, </w:t>
            </w:r>
            <w:r w:rsidR="0062200A" w:rsidRPr="00A22932">
              <w:rPr>
                <w:rFonts w:ascii="Times New Roman" w:eastAsia="Verdana" w:hAnsi="Times New Roman"/>
                <w:sz w:val="20"/>
                <w:szCs w:val="20"/>
                <w:lang w:eastAsia="en-US"/>
              </w:rPr>
              <w:t>auch</w:t>
            </w:r>
            <w:r w:rsidRPr="00A22932">
              <w:rPr>
                <w:rFonts w:ascii="Times New Roman" w:eastAsia="Verdana" w:hAnsi="Times New Roman"/>
                <w:sz w:val="20"/>
                <w:szCs w:val="20"/>
                <w:lang w:eastAsia="en-US"/>
              </w:rPr>
              <w:t xml:space="preserve"> relevant: 1.4.3.3 u) 1.4.3.7.1.l</w:t>
            </w:r>
          </w:p>
        </w:tc>
        <w:tc>
          <w:tcPr>
            <w:tcW w:w="3119" w:type="dxa"/>
            <w:tcBorders>
              <w:top w:val="single" w:sz="12" w:space="0" w:color="auto"/>
              <w:bottom w:val="single" w:sz="4" w:space="0" w:color="auto"/>
            </w:tcBorders>
            <w:shd w:val="clear" w:color="auto" w:fill="auto"/>
          </w:tcPr>
          <w:p w14:paraId="04C2E201" w14:textId="3F59DA7D" w:rsidR="004B3ED5" w:rsidRPr="00726F94" w:rsidRDefault="0062200A" w:rsidP="0062200A">
            <w:pPr>
              <w:spacing w:before="40" w:after="120" w:line="220" w:lineRule="exact"/>
              <w:ind w:right="113"/>
              <w:rPr>
                <w:rFonts w:ascii="Times New Roman" w:eastAsia="Verdana" w:hAnsi="Times New Roman"/>
                <w:sz w:val="20"/>
                <w:szCs w:val="20"/>
                <w:lang w:eastAsia="en-US"/>
              </w:rPr>
            </w:pPr>
            <w:r w:rsidRPr="00A22932">
              <w:rPr>
                <w:rFonts w:ascii="Times New Roman" w:eastAsia="Verdana" w:hAnsi="Times New Roman"/>
                <w:sz w:val="20"/>
                <w:szCs w:val="20"/>
                <w:lang w:eastAsia="en-US"/>
              </w:rPr>
              <w:t>Ist für die gesamte Dauer des Ladens oder Löschens eine stetige und zweckmäßige Überwachung sichergestellt?</w:t>
            </w:r>
          </w:p>
        </w:tc>
        <w:tc>
          <w:tcPr>
            <w:tcW w:w="2975" w:type="dxa"/>
            <w:tcBorders>
              <w:top w:val="single" w:sz="12" w:space="0" w:color="auto"/>
              <w:bottom w:val="single" w:sz="4" w:space="0" w:color="auto"/>
            </w:tcBorders>
            <w:shd w:val="clear" w:color="auto" w:fill="auto"/>
          </w:tcPr>
          <w:p w14:paraId="4364FEEE" w14:textId="15B0D228" w:rsidR="004B3ED5" w:rsidRPr="00726F94" w:rsidRDefault="00BA5843" w:rsidP="00C253DB">
            <w:pPr>
              <w:spacing w:before="40" w:after="120" w:line="220" w:lineRule="exact"/>
              <w:ind w:right="113"/>
              <w:rPr>
                <w:rFonts w:ascii="Times New Roman" w:eastAsia="Verdana" w:hAnsi="Times New Roman"/>
                <w:sz w:val="20"/>
                <w:szCs w:val="20"/>
                <w:lang w:eastAsia="en-US"/>
              </w:rPr>
            </w:pPr>
            <w:r w:rsidRPr="00A22932">
              <w:rPr>
                <w:rFonts w:ascii="Times New Roman" w:eastAsia="Verdana" w:hAnsi="Times New Roman"/>
                <w:sz w:val="20"/>
                <w:szCs w:val="20"/>
                <w:lang w:eastAsia="en-US"/>
              </w:rPr>
              <w:t>Beim Beladen/Löschen muss ununterbrochen, d. h. ständig, eine wirksame Überwachung sichergestellt sein</w:t>
            </w:r>
            <w:r w:rsidR="00861C10" w:rsidRPr="00A22932">
              <w:rPr>
                <w:rFonts w:ascii="Times New Roman" w:eastAsia="Verdana" w:hAnsi="Times New Roman"/>
                <w:sz w:val="20"/>
                <w:szCs w:val="20"/>
                <w:lang w:eastAsia="en-US"/>
              </w:rPr>
              <w:t>.</w:t>
            </w:r>
          </w:p>
        </w:tc>
      </w:tr>
    </w:tbl>
    <w:p w14:paraId="293BF381" w14:textId="15623E3B" w:rsidR="004B3ED5" w:rsidRPr="00726F94" w:rsidRDefault="004B3ED5" w:rsidP="004B3ED5">
      <w:pPr>
        <w:keepNext/>
        <w:keepLines/>
        <w:tabs>
          <w:tab w:val="right" w:pos="851"/>
        </w:tabs>
        <w:suppressAutoHyphens/>
        <w:spacing w:before="360" w:after="240" w:line="300" w:lineRule="exact"/>
        <w:ind w:left="1134" w:right="1134" w:hanging="1134"/>
        <w:rPr>
          <w:rFonts w:ascii="Times New Roman" w:hAnsi="Times New Roman"/>
          <w:b/>
          <w:sz w:val="28"/>
          <w:szCs w:val="20"/>
          <w:lang w:eastAsia="fr-FR"/>
        </w:rPr>
      </w:pPr>
      <w:r w:rsidRPr="00726F94">
        <w:rPr>
          <w:rFonts w:ascii="Times New Roman" w:hAnsi="Times New Roman"/>
          <w:b/>
          <w:sz w:val="28"/>
          <w:szCs w:val="20"/>
          <w:lang w:eastAsia="fr-FR"/>
        </w:rPr>
        <w:tab/>
      </w:r>
      <w:r w:rsidRPr="00726F94">
        <w:rPr>
          <w:rFonts w:ascii="Times New Roman" w:hAnsi="Times New Roman"/>
          <w:b/>
          <w:sz w:val="28"/>
          <w:szCs w:val="20"/>
          <w:lang w:eastAsia="fr-FR"/>
        </w:rPr>
        <w:tab/>
      </w:r>
      <w:r w:rsidR="0062200A" w:rsidRPr="00726F94">
        <w:rPr>
          <w:rFonts w:ascii="Times New Roman" w:hAnsi="Times New Roman"/>
          <w:b/>
          <w:sz w:val="28"/>
          <w:szCs w:val="20"/>
          <w:lang w:eastAsia="fr-FR"/>
        </w:rPr>
        <w:t>Erklärung</w:t>
      </w:r>
    </w:p>
    <w:p w14:paraId="7BF954CE" w14:textId="795BFC4C" w:rsidR="004B3ED5" w:rsidRPr="00726F94" w:rsidRDefault="004B3ED5" w:rsidP="00AF30C1">
      <w:pPr>
        <w:tabs>
          <w:tab w:val="left" w:pos="1701"/>
        </w:tabs>
        <w:suppressAutoHyphens/>
        <w:spacing w:after="120" w:line="240" w:lineRule="atLeast"/>
        <w:ind w:left="1134" w:right="1134"/>
        <w:jc w:val="both"/>
        <w:rPr>
          <w:rFonts w:ascii="Times New Roman" w:eastAsia="Verdana" w:hAnsi="Times New Roman"/>
          <w:sz w:val="20"/>
          <w:szCs w:val="20"/>
          <w:lang w:eastAsia="fr-FR"/>
        </w:rPr>
      </w:pPr>
      <w:r w:rsidRPr="00726F94">
        <w:rPr>
          <w:rFonts w:ascii="Times New Roman" w:eastAsia="Verdana" w:hAnsi="Times New Roman"/>
          <w:sz w:val="20"/>
          <w:szCs w:val="20"/>
          <w:lang w:eastAsia="fr-FR"/>
        </w:rPr>
        <w:t>1.</w:t>
      </w:r>
      <w:r w:rsidRPr="00726F94">
        <w:rPr>
          <w:rFonts w:ascii="Times New Roman" w:eastAsia="Verdana" w:hAnsi="Times New Roman"/>
          <w:sz w:val="20"/>
          <w:szCs w:val="20"/>
          <w:lang w:eastAsia="fr-FR"/>
        </w:rPr>
        <w:tab/>
      </w:r>
      <w:r w:rsidR="00B930B6" w:rsidRPr="00A22932">
        <w:rPr>
          <w:rFonts w:ascii="Times New Roman" w:eastAsia="Verdana" w:hAnsi="Times New Roman"/>
          <w:sz w:val="20"/>
          <w:szCs w:val="20"/>
          <w:lang w:eastAsia="fr-FR"/>
        </w:rPr>
        <w:t>Die bord- und landseitige Überwachung des Beladens / Löschens muss so erfolgen, dass mögliche Gefahren in der Nähe von Lade- und Löschleitungen zwischen Schiff und Land sofort bemerkt werden</w:t>
      </w:r>
      <w:r w:rsidR="0069107E" w:rsidRPr="00A22932">
        <w:rPr>
          <w:rFonts w:ascii="Times New Roman" w:eastAsia="Verdana" w:hAnsi="Times New Roman"/>
          <w:sz w:val="20"/>
          <w:szCs w:val="20"/>
          <w:lang w:eastAsia="fr-FR"/>
        </w:rPr>
        <w:t>.</w:t>
      </w:r>
    </w:p>
    <w:p w14:paraId="273764D7" w14:textId="4999DDE4" w:rsidR="004B3ED5" w:rsidRPr="00726F94" w:rsidRDefault="004B3ED5" w:rsidP="00AF30C1">
      <w:pPr>
        <w:tabs>
          <w:tab w:val="left" w:pos="1701"/>
        </w:tabs>
        <w:suppressAutoHyphens/>
        <w:spacing w:after="120" w:line="240" w:lineRule="atLeast"/>
        <w:ind w:left="1134" w:right="1134"/>
        <w:jc w:val="both"/>
        <w:rPr>
          <w:rFonts w:ascii="Times New Roman" w:eastAsia="Verdana" w:hAnsi="Times New Roman"/>
          <w:sz w:val="20"/>
          <w:szCs w:val="20"/>
          <w:lang w:eastAsia="fr-FR"/>
        </w:rPr>
      </w:pPr>
      <w:r w:rsidRPr="00726F94">
        <w:rPr>
          <w:rFonts w:ascii="Times New Roman" w:eastAsia="Verdana" w:hAnsi="Times New Roman"/>
          <w:sz w:val="20"/>
          <w:szCs w:val="20"/>
          <w:lang w:eastAsia="fr-FR"/>
        </w:rPr>
        <w:t>2.</w:t>
      </w:r>
      <w:r w:rsidRPr="00726F94">
        <w:rPr>
          <w:rFonts w:ascii="Times New Roman" w:eastAsia="Verdana" w:hAnsi="Times New Roman"/>
          <w:sz w:val="20"/>
          <w:szCs w:val="20"/>
          <w:lang w:eastAsia="fr-FR"/>
        </w:rPr>
        <w:tab/>
      </w:r>
      <w:r w:rsidR="009626B7" w:rsidRPr="00A22932">
        <w:rPr>
          <w:rFonts w:ascii="Times New Roman" w:eastAsia="Verdana" w:hAnsi="Times New Roman"/>
          <w:sz w:val="20"/>
          <w:szCs w:val="20"/>
          <w:lang w:eastAsia="fr-FR"/>
        </w:rPr>
        <w:t>Erfolgt die Überwachung mit (zusätzlichen) technischen Mitteln, so müssen sich Landanlage und Schiff darüber verständigen, wie diese sichergestellt werden kann</w:t>
      </w:r>
      <w:r w:rsidR="00AF30C1" w:rsidRPr="00A22932">
        <w:rPr>
          <w:rFonts w:ascii="Times New Roman" w:eastAsia="Verdana" w:hAnsi="Times New Roman"/>
          <w:sz w:val="20"/>
          <w:szCs w:val="20"/>
          <w:lang w:eastAsia="fr-FR"/>
        </w:rPr>
        <w:t>.</w:t>
      </w:r>
    </w:p>
    <w:p w14:paraId="13244547" w14:textId="66114F75" w:rsidR="004B3ED5" w:rsidRPr="00726F94" w:rsidRDefault="004B3ED5" w:rsidP="00121BB0">
      <w:pPr>
        <w:tabs>
          <w:tab w:val="left" w:pos="1701"/>
        </w:tabs>
        <w:suppressAutoHyphens/>
        <w:spacing w:after="120" w:line="240" w:lineRule="atLeast"/>
        <w:ind w:left="1134" w:right="1134"/>
        <w:jc w:val="both"/>
        <w:rPr>
          <w:rFonts w:ascii="Times New Roman" w:eastAsia="Verdana" w:hAnsi="Times New Roman"/>
          <w:sz w:val="20"/>
          <w:szCs w:val="20"/>
          <w:lang w:eastAsia="fr-FR"/>
        </w:rPr>
      </w:pPr>
      <w:r w:rsidRPr="00726F94">
        <w:rPr>
          <w:rFonts w:ascii="Times New Roman" w:eastAsia="Verdana" w:hAnsi="Times New Roman"/>
          <w:sz w:val="20"/>
          <w:szCs w:val="20"/>
          <w:lang w:eastAsia="fr-FR"/>
        </w:rPr>
        <w:t>3.</w:t>
      </w:r>
      <w:r w:rsidRPr="00726F94">
        <w:rPr>
          <w:rFonts w:ascii="Times New Roman" w:eastAsia="Verdana" w:hAnsi="Times New Roman"/>
          <w:sz w:val="20"/>
          <w:szCs w:val="20"/>
          <w:lang w:eastAsia="fr-FR"/>
        </w:rPr>
        <w:tab/>
      </w:r>
      <w:r w:rsidR="00AF30C1" w:rsidRPr="00A22932">
        <w:rPr>
          <w:rFonts w:ascii="Times New Roman" w:eastAsia="Verdana" w:hAnsi="Times New Roman"/>
          <w:sz w:val="20"/>
          <w:szCs w:val="20"/>
          <w:lang w:eastAsia="fr-FR"/>
        </w:rPr>
        <w:t xml:space="preserve">Die Wirksamkeit der Überwachung muss </w:t>
      </w:r>
      <w:r w:rsidR="00BC71E1" w:rsidRPr="00A22932">
        <w:rPr>
          <w:rFonts w:ascii="Times New Roman" w:eastAsia="Verdana" w:hAnsi="Times New Roman"/>
          <w:sz w:val="20"/>
          <w:szCs w:val="20"/>
          <w:lang w:eastAsia="fr-FR"/>
        </w:rPr>
        <w:t>gewährleistet</w:t>
      </w:r>
      <w:r w:rsidR="00AF30C1" w:rsidRPr="00A22932">
        <w:rPr>
          <w:rFonts w:ascii="Times New Roman" w:eastAsia="Verdana" w:hAnsi="Times New Roman"/>
          <w:sz w:val="20"/>
          <w:szCs w:val="20"/>
          <w:lang w:eastAsia="fr-FR"/>
        </w:rPr>
        <w:t xml:space="preserve"> sein.</w:t>
      </w:r>
      <w:r w:rsidRPr="00726F94">
        <w:rPr>
          <w:rFonts w:ascii="Times New Roman" w:eastAsia="Verdana" w:hAnsi="Times New Roman"/>
          <w:sz w:val="20"/>
          <w:szCs w:val="20"/>
          <w:lang w:eastAsia="fr-FR"/>
        </w:rPr>
        <w:t xml:space="preserve"> </w:t>
      </w:r>
      <w:r w:rsidR="001B2CCF" w:rsidRPr="00A22932">
        <w:rPr>
          <w:rFonts w:ascii="Times New Roman" w:eastAsia="Verdana" w:hAnsi="Times New Roman"/>
          <w:sz w:val="20"/>
          <w:szCs w:val="20"/>
          <w:lang w:eastAsia="fr-FR"/>
        </w:rPr>
        <w:t xml:space="preserve">Das bedeutet, dass die schiffs- und landseitige Überwachung so zu gestalten ist, dass mögliche Gefahren sofort und </w:t>
      </w:r>
      <w:r w:rsidR="001B2CCF" w:rsidRPr="00726F94">
        <w:rPr>
          <w:rFonts w:ascii="Times New Roman" w:eastAsia="Verdana" w:hAnsi="Times New Roman"/>
          <w:sz w:val="20"/>
          <w:szCs w:val="20"/>
          <w:u w:val="single"/>
          <w:lang w:eastAsia="fr-FR"/>
        </w:rPr>
        <w:t>unter allen Umständen</w:t>
      </w:r>
      <w:r w:rsidR="001B2CCF" w:rsidRPr="00A22932">
        <w:rPr>
          <w:rFonts w:ascii="Times New Roman" w:eastAsia="Verdana" w:hAnsi="Times New Roman"/>
          <w:sz w:val="20"/>
          <w:szCs w:val="20"/>
          <w:lang w:eastAsia="fr-FR"/>
        </w:rPr>
        <w:t xml:space="preserve"> bemerkt werden können</w:t>
      </w:r>
      <w:r w:rsidR="00B94E6F" w:rsidRPr="00A22932">
        <w:rPr>
          <w:rFonts w:ascii="Times New Roman" w:eastAsia="Verdana" w:hAnsi="Times New Roman"/>
          <w:sz w:val="20"/>
          <w:szCs w:val="20"/>
          <w:lang w:eastAsia="fr-FR"/>
        </w:rPr>
        <w:t>.</w:t>
      </w:r>
    </w:p>
    <w:p w14:paraId="71827EF8" w14:textId="5576CD2C" w:rsidR="004B3ED5" w:rsidRPr="00726F94" w:rsidRDefault="004B3ED5" w:rsidP="00BA5843">
      <w:pPr>
        <w:tabs>
          <w:tab w:val="left" w:pos="1701"/>
        </w:tabs>
        <w:suppressAutoHyphens/>
        <w:spacing w:after="120" w:line="240" w:lineRule="atLeast"/>
        <w:ind w:left="1134" w:right="1134"/>
        <w:jc w:val="both"/>
        <w:rPr>
          <w:rFonts w:ascii="Times New Roman" w:hAnsi="Times New Roman"/>
          <w:sz w:val="20"/>
          <w:szCs w:val="20"/>
          <w:u w:val="single"/>
          <w:lang w:eastAsia="fr-FR"/>
        </w:rPr>
      </w:pPr>
      <w:r w:rsidRPr="00726F94">
        <w:rPr>
          <w:rFonts w:ascii="Times New Roman" w:eastAsia="Verdana" w:hAnsi="Times New Roman"/>
          <w:sz w:val="20"/>
          <w:szCs w:val="20"/>
          <w:lang w:eastAsia="fr-FR"/>
        </w:rPr>
        <w:t>4.</w:t>
      </w:r>
      <w:r w:rsidRPr="00726F94">
        <w:rPr>
          <w:rFonts w:ascii="Times New Roman" w:eastAsia="Verdana" w:hAnsi="Times New Roman"/>
          <w:sz w:val="20"/>
          <w:szCs w:val="20"/>
          <w:lang w:eastAsia="fr-FR"/>
        </w:rPr>
        <w:tab/>
      </w:r>
      <w:r w:rsidR="00842B51" w:rsidRPr="00A22932">
        <w:rPr>
          <w:rFonts w:ascii="Times New Roman" w:eastAsia="Verdana" w:hAnsi="Times New Roman"/>
          <w:sz w:val="20"/>
          <w:szCs w:val="20"/>
          <w:lang w:eastAsia="fr-FR"/>
        </w:rPr>
        <w:t xml:space="preserve">Die landseitige Überwachung hat vom </w:t>
      </w:r>
      <w:proofErr w:type="spellStart"/>
      <w:r w:rsidR="00842B51" w:rsidRPr="00A22932">
        <w:rPr>
          <w:rFonts w:ascii="Times New Roman" w:eastAsia="Verdana" w:hAnsi="Times New Roman"/>
          <w:sz w:val="20"/>
          <w:szCs w:val="20"/>
          <w:lang w:eastAsia="fr-FR"/>
        </w:rPr>
        <w:t>Befüller</w:t>
      </w:r>
      <w:proofErr w:type="spellEnd"/>
      <w:r w:rsidR="00842B51" w:rsidRPr="00A22932">
        <w:rPr>
          <w:rFonts w:ascii="Times New Roman" w:eastAsia="Verdana" w:hAnsi="Times New Roman"/>
          <w:sz w:val="20"/>
          <w:szCs w:val="20"/>
          <w:lang w:eastAsia="fr-FR"/>
        </w:rPr>
        <w:t xml:space="preserve">/Entlader des Tankschiffs im Bereich zwischen dem Anschluss der Gasabfuhrleitung (an Bord) an die Gasrückfuhrleitung (an Land) und dem Anschluss der Gasabfuhrleitung (an Bord) an das genutzte Sammelrohr in einem Umkreis von mindestens 3 </w:t>
      </w:r>
      <w:proofErr w:type="gramStart"/>
      <w:r w:rsidR="00842B51" w:rsidRPr="00A22932">
        <w:rPr>
          <w:rFonts w:ascii="Times New Roman" w:eastAsia="Verdana" w:hAnsi="Times New Roman"/>
          <w:sz w:val="20"/>
          <w:szCs w:val="20"/>
          <w:lang w:eastAsia="fr-FR"/>
        </w:rPr>
        <w:t>Metern</w:t>
      </w:r>
      <w:proofErr w:type="gramEnd"/>
      <w:r w:rsidR="00842B51" w:rsidRPr="00A22932">
        <w:rPr>
          <w:rFonts w:ascii="Times New Roman" w:eastAsia="Verdana" w:hAnsi="Times New Roman"/>
          <w:sz w:val="20"/>
          <w:szCs w:val="20"/>
          <w:lang w:eastAsia="fr-FR"/>
        </w:rPr>
        <w:t xml:space="preserve"> um das Sammelrohr zu erfolgen.</w:t>
      </w:r>
    </w:p>
    <w:p w14:paraId="364DE98E" w14:textId="1B0855F3" w:rsidR="004B3ED5" w:rsidRPr="00726F94" w:rsidRDefault="004B3ED5" w:rsidP="004B3ED5">
      <w:pPr>
        <w:keepNext/>
        <w:keepLines/>
        <w:tabs>
          <w:tab w:val="right" w:pos="851"/>
          <w:tab w:val="left" w:pos="1701"/>
        </w:tabs>
        <w:suppressAutoHyphens/>
        <w:spacing w:before="360" w:after="240" w:line="300" w:lineRule="exact"/>
        <w:ind w:left="1134" w:right="1134" w:hanging="1134"/>
        <w:rPr>
          <w:rFonts w:ascii="Times New Roman" w:hAnsi="Times New Roman"/>
          <w:b/>
          <w:sz w:val="28"/>
          <w:szCs w:val="20"/>
          <w:lang w:eastAsia="fr-FR"/>
        </w:rPr>
      </w:pPr>
      <w:r w:rsidRPr="00726F94">
        <w:rPr>
          <w:rFonts w:ascii="Times New Roman" w:hAnsi="Times New Roman"/>
          <w:b/>
          <w:sz w:val="28"/>
          <w:szCs w:val="20"/>
          <w:lang w:eastAsia="fr-FR"/>
        </w:rPr>
        <w:tab/>
      </w:r>
      <w:r w:rsidRPr="00726F94">
        <w:rPr>
          <w:rFonts w:ascii="Times New Roman" w:hAnsi="Times New Roman"/>
          <w:b/>
          <w:sz w:val="28"/>
          <w:szCs w:val="20"/>
          <w:lang w:eastAsia="fr-FR"/>
        </w:rPr>
        <w:tab/>
      </w:r>
      <w:r w:rsidR="0062200A" w:rsidRPr="00726F94">
        <w:rPr>
          <w:rFonts w:ascii="Times New Roman" w:hAnsi="Times New Roman"/>
          <w:b/>
          <w:sz w:val="28"/>
          <w:szCs w:val="20"/>
          <w:lang w:eastAsia="fr-FR"/>
        </w:rPr>
        <w:t>Begründung</w:t>
      </w:r>
    </w:p>
    <w:p w14:paraId="6605B0FE" w14:textId="3FAB377B" w:rsidR="004B3ED5" w:rsidRPr="00726F94" w:rsidRDefault="004B3ED5" w:rsidP="00D752EB">
      <w:pPr>
        <w:tabs>
          <w:tab w:val="left" w:pos="1701"/>
        </w:tabs>
        <w:suppressAutoHyphens/>
        <w:spacing w:after="120" w:line="240" w:lineRule="atLeast"/>
        <w:ind w:left="1134" w:right="1134"/>
        <w:jc w:val="both"/>
        <w:rPr>
          <w:rFonts w:ascii="Times New Roman" w:hAnsi="Times New Roman"/>
          <w:sz w:val="20"/>
          <w:szCs w:val="20"/>
          <w:lang w:eastAsia="fr-FR"/>
        </w:rPr>
      </w:pPr>
      <w:r w:rsidRPr="00726F94">
        <w:rPr>
          <w:rFonts w:ascii="Times New Roman" w:hAnsi="Times New Roman"/>
          <w:sz w:val="20"/>
          <w:szCs w:val="20"/>
          <w:lang w:eastAsia="fr-FR"/>
        </w:rPr>
        <w:t>5.</w:t>
      </w:r>
      <w:r w:rsidRPr="00726F94">
        <w:rPr>
          <w:rFonts w:ascii="Times New Roman" w:hAnsi="Times New Roman"/>
          <w:sz w:val="20"/>
          <w:szCs w:val="20"/>
          <w:lang w:eastAsia="fr-FR"/>
        </w:rPr>
        <w:tab/>
      </w:r>
      <w:r w:rsidR="00D752EB" w:rsidRPr="00A22932">
        <w:rPr>
          <w:rFonts w:ascii="Times New Roman" w:hAnsi="Times New Roman"/>
          <w:sz w:val="20"/>
          <w:szCs w:val="20"/>
          <w:lang w:eastAsia="fr-FR"/>
        </w:rPr>
        <w:t>Es ist wichtig, dass das Laden und Löschen einer flüssigen Ladung vollständig überwacht wird.</w:t>
      </w:r>
      <w:r w:rsidRPr="00726F94">
        <w:rPr>
          <w:rFonts w:ascii="Times New Roman" w:hAnsi="Times New Roman"/>
          <w:sz w:val="20"/>
          <w:szCs w:val="20"/>
          <w:lang w:eastAsia="fr-FR"/>
        </w:rPr>
        <w:t xml:space="preserve"> </w:t>
      </w:r>
      <w:r w:rsidR="00D752EB" w:rsidRPr="00A22932">
        <w:rPr>
          <w:rFonts w:ascii="Times New Roman" w:hAnsi="Times New Roman"/>
          <w:sz w:val="20"/>
          <w:szCs w:val="20"/>
          <w:lang w:eastAsia="fr-FR"/>
        </w:rPr>
        <w:t>Jegliche Möglichkeit eines Ladungsverlustes sollte sofort erkannt werden, und es sollten geeignete Maßnahmen ergriffen werden.</w:t>
      </w:r>
    </w:p>
    <w:p w14:paraId="0363FA43" w14:textId="06545315" w:rsidR="004B3ED5" w:rsidRPr="00726F94" w:rsidRDefault="004B3ED5" w:rsidP="00D752EB">
      <w:pPr>
        <w:tabs>
          <w:tab w:val="left" w:pos="1701"/>
        </w:tabs>
        <w:suppressAutoHyphens/>
        <w:spacing w:after="120" w:line="240" w:lineRule="atLeast"/>
        <w:ind w:left="1134" w:right="1134"/>
        <w:jc w:val="both"/>
        <w:rPr>
          <w:rFonts w:ascii="Times New Roman" w:hAnsi="Times New Roman"/>
          <w:sz w:val="20"/>
          <w:szCs w:val="20"/>
          <w:lang w:eastAsia="fr-FR"/>
        </w:rPr>
      </w:pPr>
      <w:r w:rsidRPr="00726F94">
        <w:rPr>
          <w:rFonts w:ascii="Times New Roman" w:hAnsi="Times New Roman"/>
          <w:sz w:val="20"/>
          <w:szCs w:val="20"/>
          <w:lang w:eastAsia="fr-FR"/>
        </w:rPr>
        <w:t>6.</w:t>
      </w:r>
      <w:r w:rsidRPr="00726F94">
        <w:rPr>
          <w:rFonts w:ascii="Times New Roman" w:hAnsi="Times New Roman"/>
          <w:sz w:val="20"/>
          <w:szCs w:val="20"/>
          <w:lang w:eastAsia="fr-FR"/>
        </w:rPr>
        <w:tab/>
      </w:r>
      <w:r w:rsidR="00D752EB" w:rsidRPr="00A22932">
        <w:rPr>
          <w:rFonts w:ascii="Times New Roman" w:hAnsi="Times New Roman"/>
          <w:sz w:val="20"/>
          <w:szCs w:val="20"/>
          <w:lang w:eastAsia="fr-FR"/>
        </w:rPr>
        <w:t>Die Überwachung liegt in der gemeinsamen Verantwortung der Schiffsbesatzung und der Landanlage, die die Ladung lädt oder löscht.</w:t>
      </w:r>
      <w:r w:rsidRPr="00726F94">
        <w:rPr>
          <w:rFonts w:ascii="Times New Roman" w:hAnsi="Times New Roman"/>
          <w:sz w:val="20"/>
          <w:szCs w:val="20"/>
          <w:lang w:eastAsia="fr-FR"/>
        </w:rPr>
        <w:t xml:space="preserve"> </w:t>
      </w:r>
    </w:p>
    <w:p w14:paraId="2D8484BA" w14:textId="7525031A" w:rsidR="004B3ED5" w:rsidRPr="00726F94" w:rsidRDefault="004B3ED5" w:rsidP="0076181D">
      <w:pPr>
        <w:tabs>
          <w:tab w:val="left" w:pos="1701"/>
        </w:tabs>
        <w:suppressAutoHyphens/>
        <w:spacing w:after="120" w:line="240" w:lineRule="atLeast"/>
        <w:ind w:left="1134" w:right="1134"/>
        <w:jc w:val="both"/>
        <w:rPr>
          <w:rFonts w:ascii="Times New Roman" w:hAnsi="Times New Roman"/>
          <w:sz w:val="20"/>
          <w:szCs w:val="20"/>
          <w:u w:val="single"/>
          <w:lang w:eastAsia="fr-FR"/>
        </w:rPr>
      </w:pPr>
      <w:r w:rsidRPr="00726F94">
        <w:rPr>
          <w:rFonts w:ascii="Times New Roman" w:hAnsi="Times New Roman"/>
          <w:sz w:val="20"/>
          <w:szCs w:val="20"/>
          <w:lang w:eastAsia="fr-FR"/>
        </w:rPr>
        <w:t>7.</w:t>
      </w:r>
      <w:r w:rsidRPr="00726F94">
        <w:rPr>
          <w:rFonts w:ascii="Times New Roman" w:hAnsi="Times New Roman"/>
          <w:sz w:val="20"/>
          <w:szCs w:val="20"/>
          <w:lang w:eastAsia="fr-FR"/>
        </w:rPr>
        <w:tab/>
      </w:r>
      <w:r w:rsidR="00D752EB" w:rsidRPr="00A22932">
        <w:rPr>
          <w:rFonts w:ascii="Times New Roman" w:hAnsi="Times New Roman"/>
          <w:sz w:val="20"/>
          <w:szCs w:val="20"/>
          <w:lang w:eastAsia="fr-FR"/>
        </w:rPr>
        <w:t>Sie sollte daher während des Lade- bzw. Löschprozesses kontinuierlich gewährleistet sein.</w:t>
      </w:r>
    </w:p>
    <w:p w14:paraId="7AF467E5" w14:textId="77777777" w:rsidR="00A1786D" w:rsidRPr="00726F94" w:rsidRDefault="00A1786D" w:rsidP="00255C70">
      <w:pPr>
        <w:tabs>
          <w:tab w:val="left" w:pos="1701"/>
        </w:tabs>
        <w:ind w:left="1134" w:right="565"/>
        <w:jc w:val="both"/>
        <w:rPr>
          <w:rFonts w:ascii="Times New Roman" w:hAnsi="Times New Roman"/>
          <w:sz w:val="20"/>
          <w:szCs w:val="20"/>
        </w:rPr>
      </w:pPr>
    </w:p>
    <w:p w14:paraId="0D42BA26" w14:textId="6BAF33F0" w:rsidR="003259BF" w:rsidRPr="00255C70" w:rsidRDefault="003259BF" w:rsidP="00255C70">
      <w:pPr>
        <w:tabs>
          <w:tab w:val="left" w:pos="1701"/>
        </w:tabs>
        <w:ind w:left="1134" w:right="565"/>
        <w:jc w:val="center"/>
        <w:rPr>
          <w:rFonts w:ascii="Times New Roman" w:hAnsi="Times New Roman"/>
          <w:sz w:val="20"/>
          <w:szCs w:val="20"/>
        </w:rPr>
      </w:pPr>
      <w:r w:rsidRPr="00A22932">
        <w:rPr>
          <w:rFonts w:ascii="Times New Roman" w:hAnsi="Times New Roman"/>
          <w:sz w:val="20"/>
          <w:szCs w:val="20"/>
        </w:rPr>
        <w:t>***</w:t>
      </w:r>
    </w:p>
    <w:sectPr w:rsidR="003259BF" w:rsidRPr="00255C70" w:rsidSect="00255C70">
      <w:headerReference w:type="even" r:id="rId15"/>
      <w:headerReference w:type="default" r:id="rId16"/>
      <w:footerReference w:type="default" r:id="rId17"/>
      <w:headerReference w:type="first" r:id="rId18"/>
      <w:footerReference w:type="first" r:id="rId19"/>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B4928" w14:textId="77777777" w:rsidR="00D17D98" w:rsidRDefault="00D17D98" w:rsidP="00D17D98">
      <w:r>
        <w:separator/>
      </w:r>
    </w:p>
  </w:endnote>
  <w:endnote w:type="continuationSeparator" w:id="0">
    <w:p w14:paraId="0D423988" w14:textId="77777777" w:rsidR="00D17D98" w:rsidRDefault="00D17D98" w:rsidP="00D1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B4CA" w14:textId="6C5513B8" w:rsidR="004B3ED5" w:rsidRPr="00726F94" w:rsidRDefault="0078646F" w:rsidP="0078646F">
    <w:pPr>
      <w:suppressAutoHyphens/>
      <w:jc w:val="right"/>
      <w:rPr>
        <w:sz w:val="18"/>
        <w:lang w:val="fr-FR"/>
      </w:rPr>
    </w:pPr>
    <w:r w:rsidRPr="0078646F">
      <w:rPr>
        <w:noProof/>
        <w:sz w:val="12"/>
        <w:lang w:val="fr-FR" w:eastAsia="fr-FR"/>
      </w:rPr>
      <w:t>mm_ba/adn_wp15_ac2_</w:t>
    </w:r>
    <w:r>
      <w:rPr>
        <w:noProof/>
        <w:sz w:val="12"/>
        <w:lang w:val="fr-FR" w:eastAsia="fr-FR"/>
      </w:rPr>
      <w:t>2022</w:t>
    </w:r>
    <w:r w:rsidRPr="0078646F">
      <w:rPr>
        <w:noProof/>
        <w:sz w:val="12"/>
        <w:lang w:val="fr-FR" w:eastAsia="fr-FR"/>
      </w:rPr>
      <w:t>_</w:t>
    </w:r>
    <w:r>
      <w:rPr>
        <w:noProof/>
        <w:sz w:val="12"/>
        <w:lang w:val="fr-FR" w:eastAsia="fr-FR"/>
      </w:rPr>
      <w:t>4</w:t>
    </w:r>
    <w:r w:rsidRPr="0078646F">
      <w:rPr>
        <w:noProof/>
        <w:sz w:val="12"/>
        <w:lang w:val="fr-FR" w:eastAsia="fr-FR"/>
      </w:rPr>
      <w:t>9de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1584" w14:textId="77777777" w:rsidR="004B3ED5" w:rsidRPr="00392784" w:rsidRDefault="004B3ED5" w:rsidP="00392784">
    <w:pPr>
      <w:pStyle w:val="Footer"/>
      <w:tabs>
        <w:tab w:val="right" w:pos="9638"/>
      </w:tabs>
      <w:rPr>
        <w:b/>
        <w:sz w:val="18"/>
      </w:rPr>
    </w:pPr>
    <w:r>
      <w:tab/>
    </w:r>
    <w:r w:rsidRPr="00392784">
      <w:rPr>
        <w:b/>
        <w:sz w:val="18"/>
      </w:rPr>
      <w:fldChar w:fldCharType="begin"/>
    </w:r>
    <w:r w:rsidRPr="00392784">
      <w:rPr>
        <w:b/>
        <w:sz w:val="18"/>
      </w:rPr>
      <w:instrText xml:space="preserve"> PAGE  \* MERGEFORMAT </w:instrText>
    </w:r>
    <w:r w:rsidRPr="00392784">
      <w:rPr>
        <w:b/>
        <w:sz w:val="18"/>
      </w:rPr>
      <w:fldChar w:fldCharType="separate"/>
    </w:r>
    <w:r w:rsidRPr="00392784">
      <w:rPr>
        <w:b/>
        <w:noProof/>
        <w:sz w:val="18"/>
      </w:rPr>
      <w:t>3</w:t>
    </w:r>
    <w:r w:rsidRPr="0039278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349F" w14:textId="524D06BD" w:rsidR="00FC54C5" w:rsidRPr="00FC54C5" w:rsidRDefault="00FC54C5" w:rsidP="00FC54C5">
    <w:pPr>
      <w:suppressAutoHyphens/>
      <w:jc w:val="right"/>
      <w:rPr>
        <w:lang w:val="fr-FR"/>
      </w:rPr>
    </w:pPr>
    <w:r w:rsidRPr="00FC54C5">
      <w:rPr>
        <w:noProof/>
        <w:snapToGrid w:val="0"/>
        <w:sz w:val="12"/>
        <w:lang w:val="fr-FR" w:eastAsia="fr-FR"/>
      </w:rPr>
      <w:t>mm/adn_wp15_ac2_2022_4</w:t>
    </w:r>
    <w:r>
      <w:rPr>
        <w:noProof/>
        <w:snapToGrid w:val="0"/>
        <w:sz w:val="12"/>
        <w:lang w:val="fr-FR" w:eastAsia="fr-FR"/>
      </w:rPr>
      <w:t>2</w:t>
    </w:r>
    <w:r w:rsidRPr="00FC54C5">
      <w:rPr>
        <w:noProof/>
        <w:snapToGrid w:val="0"/>
        <w:sz w:val="12"/>
        <w:lang w:val="fr-FR" w:eastAsia="fr-FR"/>
      </w:rPr>
      <w:t>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9F9F" w14:textId="77777777" w:rsidR="0078646F" w:rsidRPr="0078646F" w:rsidRDefault="0078646F" w:rsidP="0078646F">
    <w:pPr>
      <w:suppressAutoHyphens/>
      <w:jc w:val="right"/>
      <w:rPr>
        <w:sz w:val="18"/>
        <w:lang w:val="fr-FR"/>
      </w:rPr>
    </w:pPr>
    <w:r w:rsidRPr="0078646F">
      <w:rPr>
        <w:noProof/>
        <w:sz w:val="12"/>
        <w:lang w:val="fr-FR" w:eastAsia="fr-FR"/>
      </w:rPr>
      <w:t>mm_ba/adn_wp15_ac2_</w:t>
    </w:r>
    <w:r>
      <w:rPr>
        <w:noProof/>
        <w:sz w:val="12"/>
        <w:lang w:val="fr-FR" w:eastAsia="fr-FR"/>
      </w:rPr>
      <w:t>2022</w:t>
    </w:r>
    <w:r w:rsidRPr="0078646F">
      <w:rPr>
        <w:noProof/>
        <w:sz w:val="12"/>
        <w:lang w:val="fr-FR" w:eastAsia="fr-FR"/>
      </w:rPr>
      <w:t>_</w:t>
    </w:r>
    <w:r>
      <w:rPr>
        <w:noProof/>
        <w:sz w:val="12"/>
        <w:lang w:val="fr-FR" w:eastAsia="fr-FR"/>
      </w:rPr>
      <w:t>4</w:t>
    </w:r>
    <w:r w:rsidRPr="0078646F">
      <w:rPr>
        <w:noProof/>
        <w:sz w:val="12"/>
        <w:lang w:val="fr-FR" w:eastAsia="fr-FR"/>
      </w:rPr>
      <w:t>9de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DD561" w14:textId="77777777" w:rsidR="00D17D98" w:rsidRDefault="00D17D98" w:rsidP="00D17D98">
      <w:r>
        <w:separator/>
      </w:r>
    </w:p>
  </w:footnote>
  <w:footnote w:type="continuationSeparator" w:id="0">
    <w:p w14:paraId="62C98AAF" w14:textId="77777777" w:rsidR="00D17D98" w:rsidRDefault="00D17D98" w:rsidP="00D17D98">
      <w:r>
        <w:continuationSeparator/>
      </w:r>
    </w:p>
  </w:footnote>
  <w:footnote w:id="1">
    <w:p w14:paraId="0F6DD24D" w14:textId="1A169CDF" w:rsidR="00255C70" w:rsidRPr="00264628" w:rsidRDefault="00255C70" w:rsidP="00255C70">
      <w:pPr>
        <w:pStyle w:val="FootnoteText"/>
        <w:rPr>
          <w:sz w:val="16"/>
          <w:szCs w:val="16"/>
        </w:rPr>
      </w:pPr>
      <w:r w:rsidRPr="00264628">
        <w:rPr>
          <w:rStyle w:val="FootnoteReference"/>
        </w:rPr>
        <w:tab/>
        <w:t>*</w:t>
      </w:r>
      <w:r w:rsidRPr="00264628">
        <w:rPr>
          <w:rStyle w:val="FootnoteReference"/>
        </w:rPr>
        <w:tab/>
      </w:r>
      <w:r w:rsidRPr="00264628">
        <w:rPr>
          <w:sz w:val="16"/>
          <w:szCs w:val="16"/>
        </w:rPr>
        <w:t>Von der UNECE in Englisch, Französisch und Russisch unter dem Aktenzeichen ECE/TRANS/WP.15/AC.2/2022/</w:t>
      </w:r>
      <w:r w:rsidR="002F60A5">
        <w:rPr>
          <w:sz w:val="16"/>
          <w:szCs w:val="16"/>
        </w:rPr>
        <w:t>4</w:t>
      </w:r>
      <w:r w:rsidR="004B3ED5">
        <w:rPr>
          <w:sz w:val="16"/>
          <w:szCs w:val="16"/>
        </w:rPr>
        <w:t>9</w:t>
      </w:r>
      <w:r w:rsidRPr="00264628">
        <w:rPr>
          <w:sz w:val="16"/>
          <w:szCs w:val="16"/>
        </w:rPr>
        <w:t xml:space="preserve"> verteilt.</w:t>
      </w:r>
    </w:p>
  </w:footnote>
  <w:footnote w:id="2">
    <w:p w14:paraId="7EDEF169" w14:textId="77777777" w:rsidR="00B5677E" w:rsidRPr="00B5677E" w:rsidRDefault="00255C70" w:rsidP="00B5677E">
      <w:pPr>
        <w:pStyle w:val="FootnoteText"/>
        <w:rPr>
          <w:sz w:val="16"/>
          <w:szCs w:val="16"/>
        </w:rPr>
      </w:pPr>
      <w:r w:rsidRPr="00264628">
        <w:rPr>
          <w:rStyle w:val="FootnoteReference"/>
        </w:rPr>
        <w:tab/>
        <w:t>**</w:t>
      </w:r>
      <w:r w:rsidRPr="00264628">
        <w:rPr>
          <w:rStyle w:val="FootnoteReference"/>
        </w:rPr>
        <w:tab/>
      </w:r>
      <w:r w:rsidR="00B5677E" w:rsidRPr="00B5677E">
        <w:rPr>
          <w:sz w:val="16"/>
        </w:rPr>
        <w:t>A/76/6 (Kap. 20) Abs. 20.76.</w:t>
      </w:r>
    </w:p>
    <w:p w14:paraId="03297FF6" w14:textId="49E0472C" w:rsidR="00255C70" w:rsidRPr="00264628" w:rsidRDefault="00255C70" w:rsidP="00255C70">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9B7E" w14:textId="4EAD809E" w:rsidR="0078646F" w:rsidRPr="0078646F" w:rsidRDefault="0078646F" w:rsidP="0078646F">
    <w:pPr>
      <w:suppressAutoHyphens/>
      <w:jc w:val="right"/>
      <w:rPr>
        <w:rFonts w:cs="Arial"/>
        <w:sz w:val="16"/>
        <w:lang w:eastAsia="fr-FR"/>
      </w:rPr>
    </w:pPr>
    <w:r w:rsidRPr="0078646F">
      <w:rPr>
        <w:rFonts w:cs="Arial"/>
        <w:noProof/>
        <w:sz w:val="16"/>
        <w:lang w:eastAsia="fr-FR"/>
      </w:rPr>
      <w:t>CCNR-ZKR/ADN/</w:t>
    </w:r>
    <w:r w:rsidRPr="0078646F">
      <w:rPr>
        <w:rFonts w:cs="Arial"/>
        <w:bCs/>
        <w:noProof/>
        <w:sz w:val="16"/>
        <w:lang w:eastAsia="fr-FR"/>
      </w:rPr>
      <w:t>/WP.15/AC.2/2022/49</w:t>
    </w:r>
  </w:p>
  <w:p w14:paraId="356EDE1B" w14:textId="77777777" w:rsidR="0078646F" w:rsidRPr="0078646F" w:rsidRDefault="0078646F" w:rsidP="0078646F">
    <w:pPr>
      <w:suppressAutoHyphens/>
      <w:jc w:val="right"/>
      <w:rPr>
        <w:rFonts w:cs="Arial"/>
        <w:sz w:val="20"/>
        <w:szCs w:val="20"/>
        <w:lang w:eastAsia="en-US"/>
      </w:rPr>
    </w:pPr>
    <w:r w:rsidRPr="0078646F">
      <w:rPr>
        <w:rFonts w:cs="Arial"/>
        <w:noProof/>
        <w:sz w:val="16"/>
        <w:lang w:eastAsia="fr-FR"/>
      </w:rPr>
      <w:t xml:space="preserve">Seite </w:t>
    </w:r>
    <w:r w:rsidRPr="0078646F">
      <w:rPr>
        <w:rFonts w:cs="Arial"/>
        <w:noProof/>
        <w:sz w:val="16"/>
        <w:lang w:val="en-GB" w:eastAsia="fr-FR"/>
      </w:rPr>
      <w:fldChar w:fldCharType="begin"/>
    </w:r>
    <w:r w:rsidRPr="0078646F">
      <w:rPr>
        <w:rFonts w:cs="Arial"/>
        <w:noProof/>
        <w:sz w:val="16"/>
        <w:lang w:eastAsia="fr-FR"/>
      </w:rPr>
      <w:instrText xml:space="preserve"> PAGE  \* MERGEFORMAT </w:instrText>
    </w:r>
    <w:r w:rsidRPr="0078646F">
      <w:rPr>
        <w:rFonts w:cs="Arial"/>
        <w:noProof/>
        <w:sz w:val="16"/>
        <w:lang w:val="en-GB" w:eastAsia="fr-FR"/>
      </w:rPr>
      <w:fldChar w:fldCharType="separate"/>
    </w:r>
    <w:r w:rsidRPr="0078646F">
      <w:rPr>
        <w:rFonts w:cs="Arial"/>
        <w:noProof/>
        <w:sz w:val="16"/>
        <w:szCs w:val="20"/>
        <w:lang w:eastAsia="fr-FR"/>
      </w:rPr>
      <w:t>3</w:t>
    </w:r>
    <w:r w:rsidRPr="0078646F">
      <w:rPr>
        <w:rFonts w:cs="Arial"/>
        <w:noProof/>
        <w:sz w:val="16"/>
        <w:lang w:val="en-GB" w:eastAsia="fr-FR"/>
      </w:rPr>
      <w:fldChar w:fldCharType="end"/>
    </w:r>
  </w:p>
  <w:p w14:paraId="01201C6C" w14:textId="77777777" w:rsidR="0078646F" w:rsidRDefault="007864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4CCCB" w14:textId="2A8207AF" w:rsidR="004B3ED5" w:rsidRPr="00392784" w:rsidRDefault="00205D02" w:rsidP="00392784">
    <w:pPr>
      <w:pStyle w:val="Header"/>
      <w:jc w:val="right"/>
    </w:pPr>
    <w:r>
      <w:fldChar w:fldCharType="begin"/>
    </w:r>
    <w:r>
      <w:instrText xml:space="preserve"> TITLE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48DFE" w14:textId="3E1C671E" w:rsidR="00255C70" w:rsidRPr="00255C70" w:rsidRDefault="00255C70" w:rsidP="00255C70">
    <w:pPr>
      <w:tabs>
        <w:tab w:val="center" w:pos="4320"/>
        <w:tab w:val="right" w:pos="8640"/>
      </w:tabs>
      <w:jc w:val="right"/>
      <w:rPr>
        <w:snapToGrid w:val="0"/>
        <w:sz w:val="16"/>
        <w:lang w:val="fr-FR" w:eastAsia="fr-FR"/>
      </w:rPr>
    </w:pPr>
    <w:r w:rsidRPr="00255C70">
      <w:rPr>
        <w:snapToGrid w:val="0"/>
        <w:sz w:val="16"/>
        <w:lang w:val="fr-FR" w:eastAsia="fr-FR"/>
      </w:rPr>
      <w:t>CCNR-ZKR/ADN/WP.15/AC.2/2022/</w:t>
    </w:r>
    <w:r w:rsidR="00FC54C5">
      <w:rPr>
        <w:snapToGrid w:val="0"/>
        <w:sz w:val="16"/>
        <w:lang w:val="fr-FR" w:eastAsia="fr-FR"/>
      </w:rPr>
      <w:t>42</w:t>
    </w:r>
  </w:p>
  <w:p w14:paraId="23781ED8" w14:textId="77777777" w:rsidR="00255C70" w:rsidRPr="00255C70" w:rsidRDefault="00255C70" w:rsidP="00255C70">
    <w:pPr>
      <w:tabs>
        <w:tab w:val="center" w:pos="4320"/>
        <w:tab w:val="right" w:pos="8640"/>
      </w:tabs>
      <w:jc w:val="right"/>
      <w:rPr>
        <w:rFonts w:cs="Arial"/>
      </w:rPr>
    </w:pPr>
    <w:proofErr w:type="spellStart"/>
    <w:r w:rsidRPr="00255C70">
      <w:rPr>
        <w:rFonts w:cs="Arial"/>
        <w:snapToGrid w:val="0"/>
        <w:sz w:val="16"/>
        <w:lang w:val="en-GB" w:eastAsia="fr-FR"/>
      </w:rPr>
      <w:t>Seite</w:t>
    </w:r>
    <w:proofErr w:type="spellEnd"/>
    <w:r w:rsidRPr="00255C70">
      <w:rPr>
        <w:rFonts w:cs="Arial"/>
        <w:snapToGrid w:val="0"/>
        <w:sz w:val="16"/>
        <w:lang w:val="en-GB" w:eastAsia="fr-FR"/>
      </w:rPr>
      <w:t xml:space="preserve"> </w:t>
    </w:r>
    <w:r w:rsidRPr="00255C70">
      <w:rPr>
        <w:rFonts w:cs="Arial"/>
        <w:snapToGrid w:val="0"/>
        <w:sz w:val="16"/>
        <w:lang w:val="en-GB" w:eastAsia="fr-FR"/>
      </w:rPr>
      <w:fldChar w:fldCharType="begin"/>
    </w:r>
    <w:r w:rsidRPr="00255C70">
      <w:rPr>
        <w:rFonts w:cs="Arial"/>
        <w:snapToGrid w:val="0"/>
        <w:sz w:val="16"/>
        <w:lang w:val="en-GB" w:eastAsia="fr-FR"/>
      </w:rPr>
      <w:instrText xml:space="preserve"> PAGE  \* MERGEFORMAT </w:instrText>
    </w:r>
    <w:r w:rsidRPr="00255C70">
      <w:rPr>
        <w:rFonts w:cs="Arial"/>
        <w:snapToGrid w:val="0"/>
        <w:sz w:val="16"/>
        <w:lang w:val="en-GB" w:eastAsia="fr-FR"/>
      </w:rPr>
      <w:fldChar w:fldCharType="separate"/>
    </w:r>
    <w:r>
      <w:rPr>
        <w:rFonts w:cs="Arial"/>
        <w:sz w:val="16"/>
        <w:lang w:val="en-GB"/>
      </w:rPr>
      <w:t>3</w:t>
    </w:r>
    <w:r w:rsidRPr="00255C70">
      <w:rPr>
        <w:rFonts w:cs="Arial"/>
        <w:snapToGrid w:val="0"/>
        <w:sz w:val="16"/>
        <w:lang w:val="en-GB" w:eastAsia="fr-F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6605" w14:textId="417943CD" w:rsidR="00255C70" w:rsidRPr="00255C70" w:rsidRDefault="00255C70" w:rsidP="00255C70">
    <w:pPr>
      <w:tabs>
        <w:tab w:val="center" w:pos="4320"/>
        <w:tab w:val="right" w:pos="8640"/>
      </w:tabs>
      <w:jc w:val="right"/>
      <w:rPr>
        <w:snapToGrid w:val="0"/>
        <w:sz w:val="16"/>
        <w:lang w:val="fr-FR" w:eastAsia="fr-FR"/>
      </w:rPr>
    </w:pPr>
    <w:r w:rsidRPr="00255C70">
      <w:rPr>
        <w:snapToGrid w:val="0"/>
        <w:sz w:val="16"/>
        <w:lang w:val="fr-FR" w:eastAsia="fr-FR"/>
      </w:rPr>
      <w:t>CCNR-ZKR/ADN/WP.15/AC.2/2022/</w:t>
    </w:r>
    <w:r w:rsidR="002F60A5">
      <w:rPr>
        <w:snapToGrid w:val="0"/>
        <w:sz w:val="16"/>
        <w:lang w:val="fr-FR" w:eastAsia="fr-FR"/>
      </w:rPr>
      <w:t>42</w:t>
    </w:r>
  </w:p>
  <w:p w14:paraId="3E0416F3" w14:textId="0E9E2320" w:rsidR="00B83649" w:rsidRPr="00255C70" w:rsidRDefault="00255C70" w:rsidP="00255C70">
    <w:pPr>
      <w:tabs>
        <w:tab w:val="center" w:pos="4320"/>
        <w:tab w:val="right" w:pos="8640"/>
      </w:tabs>
      <w:jc w:val="right"/>
      <w:rPr>
        <w:rFonts w:cs="Arial"/>
      </w:rPr>
    </w:pPr>
    <w:proofErr w:type="spellStart"/>
    <w:r w:rsidRPr="00255C70">
      <w:rPr>
        <w:rFonts w:cs="Arial"/>
        <w:snapToGrid w:val="0"/>
        <w:sz w:val="16"/>
        <w:lang w:val="en-GB" w:eastAsia="fr-FR"/>
      </w:rPr>
      <w:t>Seite</w:t>
    </w:r>
    <w:proofErr w:type="spellEnd"/>
    <w:r w:rsidRPr="00255C70">
      <w:rPr>
        <w:rFonts w:cs="Arial"/>
        <w:snapToGrid w:val="0"/>
        <w:sz w:val="16"/>
        <w:lang w:val="en-GB" w:eastAsia="fr-FR"/>
      </w:rPr>
      <w:t xml:space="preserve"> </w:t>
    </w:r>
    <w:r w:rsidRPr="00255C70">
      <w:rPr>
        <w:rFonts w:cs="Arial"/>
        <w:snapToGrid w:val="0"/>
        <w:sz w:val="16"/>
        <w:lang w:val="en-GB" w:eastAsia="fr-FR"/>
      </w:rPr>
      <w:fldChar w:fldCharType="begin"/>
    </w:r>
    <w:r w:rsidRPr="00255C70">
      <w:rPr>
        <w:rFonts w:cs="Arial"/>
        <w:snapToGrid w:val="0"/>
        <w:sz w:val="16"/>
        <w:lang w:val="en-GB" w:eastAsia="fr-FR"/>
      </w:rPr>
      <w:instrText xml:space="preserve"> PAGE  \* MERGEFORMAT </w:instrText>
    </w:r>
    <w:r w:rsidRPr="00255C70">
      <w:rPr>
        <w:rFonts w:cs="Arial"/>
        <w:snapToGrid w:val="0"/>
        <w:sz w:val="16"/>
        <w:lang w:val="en-GB" w:eastAsia="fr-FR"/>
      </w:rPr>
      <w:fldChar w:fldCharType="separate"/>
    </w:r>
    <w:r w:rsidRPr="00255C70">
      <w:rPr>
        <w:rFonts w:cs="Arial"/>
        <w:snapToGrid w:val="0"/>
        <w:sz w:val="16"/>
        <w:szCs w:val="20"/>
        <w:lang w:val="en-GB" w:eastAsia="fr-FR"/>
      </w:rPr>
      <w:t>3</w:t>
    </w:r>
    <w:r w:rsidRPr="00255C70">
      <w:rPr>
        <w:rFonts w:cs="Arial"/>
        <w:snapToGrid w:val="0"/>
        <w:sz w:val="16"/>
        <w:lang w:val="en-GB" w:eastAsia="fr-F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5963" w14:textId="77777777" w:rsidR="0078646F" w:rsidRPr="0078646F" w:rsidRDefault="0078646F" w:rsidP="0078646F">
    <w:pPr>
      <w:suppressAutoHyphens/>
      <w:jc w:val="right"/>
      <w:rPr>
        <w:rFonts w:cs="Arial"/>
        <w:sz w:val="16"/>
        <w:lang w:eastAsia="fr-FR"/>
      </w:rPr>
    </w:pPr>
    <w:r w:rsidRPr="0078646F">
      <w:rPr>
        <w:rFonts w:cs="Arial"/>
        <w:noProof/>
        <w:sz w:val="16"/>
        <w:lang w:eastAsia="fr-FR"/>
      </w:rPr>
      <w:t>CCNR-ZKR/ADN/</w:t>
    </w:r>
    <w:r w:rsidRPr="0078646F">
      <w:rPr>
        <w:rFonts w:cs="Arial"/>
        <w:bCs/>
        <w:noProof/>
        <w:sz w:val="16"/>
        <w:lang w:eastAsia="fr-FR"/>
      </w:rPr>
      <w:t>/WP.15/AC.2/2022/49</w:t>
    </w:r>
  </w:p>
  <w:p w14:paraId="2FF60328" w14:textId="77777777" w:rsidR="0078646F" w:rsidRPr="0078646F" w:rsidRDefault="0078646F" w:rsidP="0078646F">
    <w:pPr>
      <w:suppressAutoHyphens/>
      <w:jc w:val="right"/>
      <w:rPr>
        <w:rFonts w:cs="Arial"/>
        <w:sz w:val="20"/>
        <w:szCs w:val="20"/>
        <w:lang w:eastAsia="en-US"/>
      </w:rPr>
    </w:pPr>
    <w:r w:rsidRPr="0078646F">
      <w:rPr>
        <w:rFonts w:cs="Arial"/>
        <w:noProof/>
        <w:sz w:val="16"/>
        <w:lang w:eastAsia="fr-FR"/>
      </w:rPr>
      <w:t xml:space="preserve">Seite </w:t>
    </w:r>
    <w:r w:rsidRPr="0078646F">
      <w:rPr>
        <w:rFonts w:cs="Arial"/>
        <w:noProof/>
        <w:sz w:val="16"/>
        <w:lang w:val="en-GB" w:eastAsia="fr-FR"/>
      </w:rPr>
      <w:fldChar w:fldCharType="begin"/>
    </w:r>
    <w:r w:rsidRPr="0078646F">
      <w:rPr>
        <w:rFonts w:cs="Arial"/>
        <w:noProof/>
        <w:sz w:val="16"/>
        <w:lang w:eastAsia="fr-FR"/>
      </w:rPr>
      <w:instrText xml:space="preserve"> PAGE  \* MERGEFORMAT </w:instrText>
    </w:r>
    <w:r w:rsidRPr="0078646F">
      <w:rPr>
        <w:rFonts w:cs="Arial"/>
        <w:noProof/>
        <w:sz w:val="16"/>
        <w:lang w:val="en-GB" w:eastAsia="fr-FR"/>
      </w:rPr>
      <w:fldChar w:fldCharType="separate"/>
    </w:r>
    <w:r>
      <w:rPr>
        <w:rFonts w:cs="Arial"/>
        <w:noProof/>
        <w:sz w:val="16"/>
        <w:lang w:val="en-GB" w:eastAsia="fr-FR"/>
      </w:rPr>
      <w:t>2</w:t>
    </w:r>
    <w:r w:rsidRPr="0078646F">
      <w:rPr>
        <w:rFonts w:cs="Arial"/>
        <w:noProof/>
        <w:sz w:val="16"/>
        <w:lang w:val="en-GB"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63CC4"/>
    <w:multiLevelType w:val="hybridMultilevel"/>
    <w:tmpl w:val="36FE3C7C"/>
    <w:lvl w:ilvl="0" w:tplc="55B8D3A0">
      <w:start w:val="1"/>
      <w:numFmt w:val="upp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 w15:restartNumberingAfterBreak="0">
    <w:nsid w:val="6F8C1DDE"/>
    <w:multiLevelType w:val="hybridMultilevel"/>
    <w:tmpl w:val="E982D3D0"/>
    <w:lvl w:ilvl="0" w:tplc="7534F134">
      <w:start w:val="1"/>
      <w:numFmt w:val="upp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481"/>
    <w:rsid w:val="00037C3D"/>
    <w:rsid w:val="00064E1D"/>
    <w:rsid w:val="0009215A"/>
    <w:rsid w:val="000A41EF"/>
    <w:rsid w:val="000B75DF"/>
    <w:rsid w:val="00121BB0"/>
    <w:rsid w:val="0013236A"/>
    <w:rsid w:val="00141132"/>
    <w:rsid w:val="00144E34"/>
    <w:rsid w:val="00157D86"/>
    <w:rsid w:val="0016027B"/>
    <w:rsid w:val="00167FB1"/>
    <w:rsid w:val="00170B4D"/>
    <w:rsid w:val="001738CF"/>
    <w:rsid w:val="00190481"/>
    <w:rsid w:val="001A6A1E"/>
    <w:rsid w:val="001B2CCF"/>
    <w:rsid w:val="001B2F78"/>
    <w:rsid w:val="00205D02"/>
    <w:rsid w:val="00225494"/>
    <w:rsid w:val="00255C70"/>
    <w:rsid w:val="002760A4"/>
    <w:rsid w:val="00276899"/>
    <w:rsid w:val="002A0DEC"/>
    <w:rsid w:val="002E0F76"/>
    <w:rsid w:val="002F60A5"/>
    <w:rsid w:val="003259BF"/>
    <w:rsid w:val="00383688"/>
    <w:rsid w:val="003C5D2D"/>
    <w:rsid w:val="003D7332"/>
    <w:rsid w:val="003F1E75"/>
    <w:rsid w:val="00423FAC"/>
    <w:rsid w:val="00447A47"/>
    <w:rsid w:val="00457B2B"/>
    <w:rsid w:val="004619D5"/>
    <w:rsid w:val="00477EB7"/>
    <w:rsid w:val="004B3ED5"/>
    <w:rsid w:val="004C3707"/>
    <w:rsid w:val="004F0C45"/>
    <w:rsid w:val="00575E8C"/>
    <w:rsid w:val="00591A7D"/>
    <w:rsid w:val="005942BE"/>
    <w:rsid w:val="005D52FC"/>
    <w:rsid w:val="0062200A"/>
    <w:rsid w:val="00643AEA"/>
    <w:rsid w:val="006501FB"/>
    <w:rsid w:val="00657538"/>
    <w:rsid w:val="0066748E"/>
    <w:rsid w:val="0069107E"/>
    <w:rsid w:val="00696A3B"/>
    <w:rsid w:val="00726F94"/>
    <w:rsid w:val="00751575"/>
    <w:rsid w:val="0076181D"/>
    <w:rsid w:val="007762C3"/>
    <w:rsid w:val="007854BE"/>
    <w:rsid w:val="0078646F"/>
    <w:rsid w:val="007926F1"/>
    <w:rsid w:val="00797AA4"/>
    <w:rsid w:val="00811B51"/>
    <w:rsid w:val="0081630A"/>
    <w:rsid w:val="00842B51"/>
    <w:rsid w:val="00861C10"/>
    <w:rsid w:val="008D539D"/>
    <w:rsid w:val="008F2237"/>
    <w:rsid w:val="009038C8"/>
    <w:rsid w:val="00941F5B"/>
    <w:rsid w:val="00952400"/>
    <w:rsid w:val="009626B7"/>
    <w:rsid w:val="0097700E"/>
    <w:rsid w:val="00981527"/>
    <w:rsid w:val="009913AF"/>
    <w:rsid w:val="009D03AF"/>
    <w:rsid w:val="00A023EF"/>
    <w:rsid w:val="00A1689E"/>
    <w:rsid w:val="00A1786D"/>
    <w:rsid w:val="00A22932"/>
    <w:rsid w:val="00A63862"/>
    <w:rsid w:val="00A77D38"/>
    <w:rsid w:val="00A84559"/>
    <w:rsid w:val="00AA7547"/>
    <w:rsid w:val="00AB600C"/>
    <w:rsid w:val="00AB7FC5"/>
    <w:rsid w:val="00AC67CF"/>
    <w:rsid w:val="00AD04BC"/>
    <w:rsid w:val="00AF30C1"/>
    <w:rsid w:val="00B35966"/>
    <w:rsid w:val="00B37428"/>
    <w:rsid w:val="00B40E27"/>
    <w:rsid w:val="00B4533C"/>
    <w:rsid w:val="00B5677E"/>
    <w:rsid w:val="00B739FA"/>
    <w:rsid w:val="00B83649"/>
    <w:rsid w:val="00B930B6"/>
    <w:rsid w:val="00B94E6F"/>
    <w:rsid w:val="00BA5843"/>
    <w:rsid w:val="00BC4A13"/>
    <w:rsid w:val="00BC5E69"/>
    <w:rsid w:val="00BC71E1"/>
    <w:rsid w:val="00C253DB"/>
    <w:rsid w:val="00C3481B"/>
    <w:rsid w:val="00C5220A"/>
    <w:rsid w:val="00C81C68"/>
    <w:rsid w:val="00CF423D"/>
    <w:rsid w:val="00D013E8"/>
    <w:rsid w:val="00D17D98"/>
    <w:rsid w:val="00D402A8"/>
    <w:rsid w:val="00D444B9"/>
    <w:rsid w:val="00D666B1"/>
    <w:rsid w:val="00D72ADE"/>
    <w:rsid w:val="00D752EB"/>
    <w:rsid w:val="00DB4DE9"/>
    <w:rsid w:val="00DB57E7"/>
    <w:rsid w:val="00E31050"/>
    <w:rsid w:val="00E63806"/>
    <w:rsid w:val="00E74BAA"/>
    <w:rsid w:val="00EA1BE6"/>
    <w:rsid w:val="00EA2467"/>
    <w:rsid w:val="00ED557F"/>
    <w:rsid w:val="00EF542B"/>
    <w:rsid w:val="00F323E3"/>
    <w:rsid w:val="00F61D29"/>
    <w:rsid w:val="00F63421"/>
    <w:rsid w:val="00FC4BA1"/>
    <w:rsid w:val="00FC54C5"/>
    <w:rsid w:val="00FF3C24"/>
    <w:rsid w:val="00FF481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24D2BED7"/>
  <w15:chartTrackingRefBased/>
  <w15:docId w15:val="{BAC572C0-2473-4976-B280-F14063C3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15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3">
    <w:name w:val="N3"/>
    <w:basedOn w:val="Normal"/>
    <w:rsid w:val="00190481"/>
    <w:pPr>
      <w:widowControl w:val="0"/>
      <w:tabs>
        <w:tab w:val="left" w:pos="170"/>
      </w:tabs>
      <w:overflowPunct w:val="0"/>
      <w:autoSpaceDE w:val="0"/>
      <w:autoSpaceDN w:val="0"/>
      <w:adjustRightInd w:val="0"/>
      <w:spacing w:line="240" w:lineRule="exact"/>
      <w:textAlignment w:val="baseline"/>
    </w:pPr>
    <w:rPr>
      <w:rFonts w:ascii="Tms Rmn" w:hAnsi="Tms Rmn"/>
      <w:sz w:val="22"/>
      <w:szCs w:val="20"/>
      <w:lang w:eastAsia="fr-FR"/>
    </w:rPr>
  </w:style>
  <w:style w:type="paragraph" w:customStyle="1" w:styleId="TabelleRn17c">
    <w:name w:val="Tabelle Rn. 17c)"/>
    <w:basedOn w:val="Normal"/>
    <w:rsid w:val="00190481"/>
    <w:pPr>
      <w:widowControl w:val="0"/>
      <w:tabs>
        <w:tab w:val="left" w:pos="1400"/>
      </w:tabs>
      <w:overflowPunct w:val="0"/>
      <w:autoSpaceDE w:val="0"/>
      <w:autoSpaceDN w:val="0"/>
      <w:adjustRightInd w:val="0"/>
      <w:spacing w:before="60"/>
      <w:textAlignment w:val="baseline"/>
    </w:pPr>
    <w:rPr>
      <w:color w:val="000000"/>
      <w:sz w:val="20"/>
      <w:szCs w:val="20"/>
      <w:lang w:eastAsia="fr-FR"/>
    </w:rPr>
  </w:style>
  <w:style w:type="paragraph" w:customStyle="1" w:styleId="N2">
    <w:name w:val="N2"/>
    <w:basedOn w:val="Normal"/>
    <w:rsid w:val="00190481"/>
    <w:pPr>
      <w:widowControl w:val="0"/>
      <w:overflowPunct w:val="0"/>
      <w:autoSpaceDE w:val="0"/>
      <w:autoSpaceDN w:val="0"/>
      <w:adjustRightInd w:val="0"/>
      <w:ind w:left="1134" w:hanging="1134"/>
      <w:jc w:val="both"/>
      <w:textAlignment w:val="baseline"/>
    </w:pPr>
    <w:rPr>
      <w:sz w:val="20"/>
      <w:szCs w:val="20"/>
      <w:lang w:eastAsia="fr-FR"/>
    </w:rPr>
  </w:style>
  <w:style w:type="paragraph" w:styleId="FootnoteText">
    <w:name w:val="footnote text"/>
    <w:aliases w:val="5_G"/>
    <w:basedOn w:val="Normal"/>
    <w:link w:val="FootnoteTextChar"/>
    <w:qFormat/>
    <w:rsid w:val="00D17D98"/>
    <w:pPr>
      <w:widowControl w:val="0"/>
      <w:overflowPunct w:val="0"/>
      <w:autoSpaceDE w:val="0"/>
      <w:autoSpaceDN w:val="0"/>
      <w:adjustRightInd w:val="0"/>
      <w:ind w:left="1134" w:hanging="1134"/>
      <w:jc w:val="both"/>
      <w:textAlignment w:val="baseline"/>
    </w:pPr>
    <w:rPr>
      <w:rFonts w:ascii="Times New Roman" w:hAnsi="Times New Roman"/>
      <w:sz w:val="20"/>
      <w:szCs w:val="20"/>
      <w:lang w:eastAsia="fr-FR"/>
    </w:rPr>
  </w:style>
  <w:style w:type="character" w:customStyle="1" w:styleId="FootnoteTextChar">
    <w:name w:val="Footnote Text Char"/>
    <w:aliases w:val="5_G Char"/>
    <w:basedOn w:val="DefaultParagraphFont"/>
    <w:link w:val="FootnoteText"/>
    <w:rsid w:val="00D17D98"/>
    <w:rPr>
      <w:lang w:eastAsia="fr-FR"/>
    </w:rPr>
  </w:style>
  <w:style w:type="character" w:styleId="FootnoteReference">
    <w:name w:val="footnote reference"/>
    <w:aliases w:val="4_G,Footnote Reference/"/>
    <w:unhideWhenUsed/>
    <w:rsid w:val="00D17D98"/>
    <w:rPr>
      <w:rFonts w:ascii="Times New Roman" w:hAnsi="Times New Roman" w:cs="Times New Roman" w:hint="default"/>
      <w:sz w:val="18"/>
      <w:vertAlign w:val="superscript"/>
    </w:rPr>
  </w:style>
  <w:style w:type="paragraph" w:styleId="BalloonText">
    <w:name w:val="Balloon Text"/>
    <w:basedOn w:val="Normal"/>
    <w:link w:val="BalloonTextChar"/>
    <w:rsid w:val="00D17D98"/>
    <w:rPr>
      <w:rFonts w:ascii="Segoe UI" w:hAnsi="Segoe UI" w:cs="Segoe UI"/>
      <w:sz w:val="18"/>
      <w:szCs w:val="18"/>
    </w:rPr>
  </w:style>
  <w:style w:type="character" w:customStyle="1" w:styleId="BalloonTextChar">
    <w:name w:val="Balloon Text Char"/>
    <w:basedOn w:val="DefaultParagraphFont"/>
    <w:link w:val="BalloonText"/>
    <w:rsid w:val="00D17D98"/>
    <w:rPr>
      <w:rFonts w:ascii="Segoe UI" w:hAnsi="Segoe UI" w:cs="Segoe UI"/>
      <w:sz w:val="18"/>
      <w:szCs w:val="18"/>
    </w:rPr>
  </w:style>
  <w:style w:type="paragraph" w:styleId="Header">
    <w:name w:val="header"/>
    <w:basedOn w:val="Normal"/>
    <w:link w:val="HeaderChar"/>
    <w:rsid w:val="00B83649"/>
    <w:pPr>
      <w:tabs>
        <w:tab w:val="center" w:pos="4536"/>
        <w:tab w:val="right" w:pos="9072"/>
      </w:tabs>
    </w:pPr>
  </w:style>
  <w:style w:type="character" w:customStyle="1" w:styleId="HeaderChar">
    <w:name w:val="Header Char"/>
    <w:basedOn w:val="DefaultParagraphFont"/>
    <w:link w:val="Header"/>
    <w:rsid w:val="00B83649"/>
    <w:rPr>
      <w:rFonts w:ascii="Arial" w:hAnsi="Arial"/>
      <w:sz w:val="24"/>
      <w:szCs w:val="24"/>
    </w:rPr>
  </w:style>
  <w:style w:type="paragraph" w:styleId="Footer">
    <w:name w:val="footer"/>
    <w:basedOn w:val="Normal"/>
    <w:link w:val="FooterChar"/>
    <w:rsid w:val="00B83649"/>
    <w:pPr>
      <w:tabs>
        <w:tab w:val="center" w:pos="4536"/>
        <w:tab w:val="right" w:pos="9072"/>
      </w:tabs>
    </w:pPr>
  </w:style>
  <w:style w:type="character" w:customStyle="1" w:styleId="FooterChar">
    <w:name w:val="Footer Char"/>
    <w:basedOn w:val="DefaultParagraphFont"/>
    <w:link w:val="Footer"/>
    <w:rsid w:val="00B83649"/>
    <w:rPr>
      <w:rFonts w:ascii="Arial" w:hAnsi="Arial"/>
      <w:sz w:val="24"/>
      <w:szCs w:val="24"/>
    </w:rPr>
  </w:style>
  <w:style w:type="character" w:styleId="CommentReference">
    <w:name w:val="annotation reference"/>
    <w:basedOn w:val="DefaultParagraphFont"/>
    <w:uiPriority w:val="99"/>
    <w:unhideWhenUsed/>
    <w:rsid w:val="009038C8"/>
    <w:rPr>
      <w:sz w:val="16"/>
      <w:szCs w:val="16"/>
    </w:rPr>
  </w:style>
  <w:style w:type="paragraph" w:styleId="CommentText">
    <w:name w:val="annotation text"/>
    <w:basedOn w:val="Normal"/>
    <w:link w:val="CommentTextChar"/>
    <w:uiPriority w:val="99"/>
    <w:unhideWhenUsed/>
    <w:rsid w:val="009038C8"/>
    <w:rPr>
      <w:sz w:val="20"/>
      <w:szCs w:val="20"/>
    </w:rPr>
  </w:style>
  <w:style w:type="character" w:customStyle="1" w:styleId="CommentTextChar">
    <w:name w:val="Comment Text Char"/>
    <w:basedOn w:val="DefaultParagraphFont"/>
    <w:link w:val="CommentText"/>
    <w:uiPriority w:val="99"/>
    <w:rsid w:val="009038C8"/>
    <w:rPr>
      <w:rFonts w:ascii="Arial" w:hAnsi="Arial"/>
    </w:rPr>
  </w:style>
  <w:style w:type="paragraph" w:styleId="Revision">
    <w:name w:val="Revision"/>
    <w:hidden/>
    <w:uiPriority w:val="99"/>
    <w:semiHidden/>
    <w:rsid w:val="004619D5"/>
    <w:rPr>
      <w:rFonts w:ascii="Arial" w:hAnsi="Arial"/>
      <w:sz w:val="24"/>
      <w:szCs w:val="24"/>
    </w:rPr>
  </w:style>
  <w:style w:type="paragraph" w:styleId="ListParagraph">
    <w:name w:val="List Paragraph"/>
    <w:basedOn w:val="Normal"/>
    <w:uiPriority w:val="34"/>
    <w:qFormat/>
    <w:rsid w:val="00255C70"/>
    <w:pPr>
      <w:ind w:left="720"/>
      <w:contextualSpacing/>
    </w:pPr>
  </w:style>
  <w:style w:type="table" w:styleId="TableGrid">
    <w:name w:val="Table Grid"/>
    <w:basedOn w:val="TableNormal"/>
    <w:rsid w:val="004B3ED5"/>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147">
      <w:bodyDiv w:val="1"/>
      <w:marLeft w:val="0"/>
      <w:marRight w:val="0"/>
      <w:marTop w:val="0"/>
      <w:marBottom w:val="0"/>
      <w:divBdr>
        <w:top w:val="none" w:sz="0" w:space="0" w:color="auto"/>
        <w:left w:val="none" w:sz="0" w:space="0" w:color="auto"/>
        <w:bottom w:val="none" w:sz="0" w:space="0" w:color="auto"/>
        <w:right w:val="none" w:sz="0" w:space="0" w:color="auto"/>
      </w:divBdr>
    </w:div>
    <w:div w:id="887299549">
      <w:bodyDiv w:val="1"/>
      <w:marLeft w:val="0"/>
      <w:marRight w:val="0"/>
      <w:marTop w:val="0"/>
      <w:marBottom w:val="0"/>
      <w:divBdr>
        <w:top w:val="none" w:sz="0" w:space="0" w:color="auto"/>
        <w:left w:val="none" w:sz="0" w:space="0" w:color="auto"/>
        <w:bottom w:val="none" w:sz="0" w:space="0" w:color="auto"/>
        <w:right w:val="none" w:sz="0" w:space="0" w:color="auto"/>
      </w:divBdr>
    </w:div>
    <w:div w:id="153565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2660D76-1B3D-4E3F-9463-AE64AE06151A}">
  <ds:schemaRefs>
    <ds:schemaRef ds:uri="http://schemas.microsoft.com/sharepoint/v3/contenttype/forms"/>
  </ds:schemaRefs>
</ds:datastoreItem>
</file>

<file path=customXml/itemProps2.xml><?xml version="1.0" encoding="utf-8"?>
<ds:datastoreItem xmlns:ds="http://schemas.openxmlformats.org/officeDocument/2006/customXml" ds:itemID="{02D36D68-44B9-4A6E-8522-88AD94076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A7F164-D334-4131-99F6-5AE8268F0273}">
  <ds:schemaRefs>
    <ds:schemaRef ds:uri="http://purl.org/dc/elements/1.1/"/>
    <ds:schemaRef ds:uri="http://schemas.microsoft.com/office/infopath/2007/PartnerControls"/>
    <ds:schemaRef ds:uri="http://schemas.microsoft.com/office/2006/metadata/properties"/>
    <ds:schemaRef ds:uri="http://purl.org/dc/terms/"/>
    <ds:schemaRef ds:uri="4b4a1c0d-4a69-4996-a84a-fc699b9f49de"/>
    <ds:schemaRef ds:uri="http://schemas.microsoft.com/office/2006/documentManagement/types"/>
    <ds:schemaRef ds:uri="acccb6d4-dbe5-46d2-b4d3-5733603d8cc6"/>
    <ds:schemaRef ds:uri="http://schemas.openxmlformats.org/package/2006/metadata/core-properties"/>
    <ds:schemaRef ds:uri="985ec44e-1bab-4c0b-9df0-6ba128686fc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4690</Characters>
  <Application>Microsoft Office Word</Application>
  <DocSecurity>0</DocSecurity>
  <Lines>39</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Weiner, Manfred Leo</dc:creator>
  <cp:keywords/>
  <dc:description/>
  <cp:lastModifiedBy>ND</cp:lastModifiedBy>
  <cp:revision>3</cp:revision>
  <cp:lastPrinted>2022-06-30T10:17:00Z</cp:lastPrinted>
  <dcterms:created xsi:type="dcterms:W3CDTF">2022-06-30T09:28:00Z</dcterms:created>
  <dcterms:modified xsi:type="dcterms:W3CDTF">2022-06-30T10:17:00Z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ies>
</file>