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000" w:firstRow="0" w:lastRow="0" w:firstColumn="0" w:lastColumn="0" w:noHBand="0" w:noVBand="0"/>
      </w:tblPr>
      <w:tblGrid>
        <w:gridCol w:w="5778"/>
        <w:gridCol w:w="3578"/>
      </w:tblGrid>
      <w:tr w:rsidR="00803D87" w14:paraId="559D3C4D" w14:textId="77777777" w:rsidTr="00803D87">
        <w:trPr>
          <w:trHeight w:val="284"/>
        </w:trPr>
        <w:tc>
          <w:tcPr>
            <w:tcW w:w="5778" w:type="dxa"/>
            <w:tcBorders>
              <w:left w:val="nil"/>
            </w:tcBorders>
          </w:tcPr>
          <w:p w14:paraId="443CF41B" w14:textId="77777777" w:rsidR="00803D87" w:rsidRDefault="00803D87" w:rsidP="00101F0C">
            <w:pPr>
              <w:ind w:left="120"/>
              <w:rPr>
                <w:rFonts w:ascii="Times New Roman" w:hAnsi="Times New Roman"/>
                <w:sz w:val="20"/>
                <w:szCs w:val="20"/>
              </w:rPr>
            </w:pPr>
            <w:r>
              <w:rPr>
                <w:rFonts w:ascii="Times New Roman" w:hAnsi="Times New Roman"/>
                <w:sz w:val="20"/>
                <w:szCs w:val="20"/>
              </w:rPr>
              <w:t>Note by the secretariat</w:t>
            </w:r>
          </w:p>
        </w:tc>
        <w:tc>
          <w:tcPr>
            <w:tcW w:w="3578" w:type="dxa"/>
            <w:tcBorders>
              <w:left w:val="nil"/>
            </w:tcBorders>
          </w:tcPr>
          <w:p w14:paraId="716D908A" w14:textId="72A54B17" w:rsidR="00803D87" w:rsidRPr="00BE2359" w:rsidRDefault="00803D87" w:rsidP="00803D87">
            <w:pPr>
              <w:ind w:left="357"/>
              <w:jc w:val="right"/>
              <w:rPr>
                <w:rFonts w:ascii="Times New Roman" w:hAnsi="Times New Roman"/>
                <w:b/>
                <w:bCs/>
                <w:sz w:val="20"/>
                <w:szCs w:val="20"/>
                <w:lang w:val="pt-BR"/>
              </w:rPr>
            </w:pPr>
            <w:r w:rsidRPr="00444E12">
              <w:rPr>
                <w:rFonts w:ascii="Times New Roman" w:hAnsi="Times New Roman"/>
                <w:sz w:val="20"/>
                <w:szCs w:val="20"/>
                <w:u w:val="single"/>
                <w:lang w:val="pt-BR"/>
              </w:rPr>
              <w:t xml:space="preserve">Informal </w:t>
            </w:r>
            <w:proofErr w:type="spellStart"/>
            <w:r w:rsidRPr="00444E12">
              <w:rPr>
                <w:rFonts w:ascii="Times New Roman" w:hAnsi="Times New Roman"/>
                <w:sz w:val="20"/>
                <w:szCs w:val="20"/>
                <w:u w:val="single"/>
                <w:lang w:val="pt-BR"/>
              </w:rPr>
              <w:t>document</w:t>
            </w:r>
            <w:proofErr w:type="spellEnd"/>
            <w:r w:rsidRPr="00BE2359">
              <w:rPr>
                <w:rFonts w:ascii="Times New Roman" w:hAnsi="Times New Roman"/>
                <w:sz w:val="20"/>
                <w:szCs w:val="20"/>
                <w:lang w:val="pt-BR"/>
              </w:rPr>
              <w:t xml:space="preserve"> </w:t>
            </w:r>
            <w:r w:rsidR="0057194A">
              <w:rPr>
                <w:rFonts w:ascii="Times New Roman" w:hAnsi="Times New Roman"/>
                <w:b/>
                <w:bCs/>
                <w:sz w:val="20"/>
                <w:szCs w:val="20"/>
                <w:lang w:val="pt-BR"/>
              </w:rPr>
              <w:t>WP.29-187-</w:t>
            </w:r>
            <w:r w:rsidR="00C5205F">
              <w:rPr>
                <w:rFonts w:ascii="Times New Roman" w:hAnsi="Times New Roman"/>
                <w:b/>
                <w:bCs/>
                <w:sz w:val="20"/>
                <w:szCs w:val="20"/>
                <w:lang w:val="pt-BR"/>
              </w:rPr>
              <w:t>18</w:t>
            </w:r>
          </w:p>
          <w:p w14:paraId="134EEB15" w14:textId="16FCC54A" w:rsidR="00803D87" w:rsidRPr="001D7761" w:rsidRDefault="00803D87" w:rsidP="00803D87">
            <w:pPr>
              <w:ind w:left="357" w:hanging="417"/>
              <w:jc w:val="right"/>
              <w:rPr>
                <w:rFonts w:ascii="Times New Roman" w:hAnsi="Times New Roman"/>
                <w:sz w:val="20"/>
                <w:szCs w:val="20"/>
              </w:rPr>
            </w:pPr>
            <w:r w:rsidRPr="00BE2359">
              <w:rPr>
                <w:rFonts w:ascii="Times New Roman" w:hAnsi="Times New Roman"/>
                <w:sz w:val="20"/>
                <w:szCs w:val="20"/>
                <w:lang w:val="en-GB"/>
              </w:rPr>
              <w:t>(1</w:t>
            </w:r>
            <w:r w:rsidR="00C5205F">
              <w:rPr>
                <w:rFonts w:ascii="Times New Roman" w:hAnsi="Times New Roman"/>
                <w:sz w:val="20"/>
                <w:szCs w:val="20"/>
                <w:lang w:val="en-GB"/>
              </w:rPr>
              <w:t>87</w:t>
            </w:r>
            <w:r>
              <w:rPr>
                <w:rFonts w:ascii="Times New Roman" w:hAnsi="Times New Roman"/>
                <w:sz w:val="20"/>
                <w:szCs w:val="20"/>
                <w:vertAlign w:val="superscript"/>
                <w:lang w:val="en-GB"/>
              </w:rPr>
              <w:t>th</w:t>
            </w:r>
            <w:r>
              <w:rPr>
                <w:rFonts w:ascii="Times New Roman" w:hAnsi="Times New Roman"/>
                <w:sz w:val="20"/>
                <w:szCs w:val="20"/>
                <w:lang w:val="en-GB"/>
              </w:rPr>
              <w:t xml:space="preserve"> </w:t>
            </w:r>
            <w:r w:rsidRPr="00BE2359">
              <w:rPr>
                <w:rFonts w:ascii="Times New Roman" w:hAnsi="Times New Roman"/>
                <w:sz w:val="20"/>
                <w:szCs w:val="20"/>
                <w:lang w:val="en-GB"/>
              </w:rPr>
              <w:t>WP.29</w:t>
            </w:r>
            <w:r>
              <w:rPr>
                <w:rFonts w:ascii="Times New Roman" w:hAnsi="Times New Roman"/>
                <w:sz w:val="20"/>
                <w:szCs w:val="20"/>
                <w:lang w:val="en-GB"/>
              </w:rPr>
              <w:t>session,</w:t>
            </w:r>
            <w:r>
              <w:rPr>
                <w:rFonts w:ascii="Times New Roman" w:hAnsi="Times New Roman"/>
                <w:sz w:val="20"/>
                <w:szCs w:val="20"/>
                <w:lang w:val="en-GB"/>
              </w:rPr>
              <w:br/>
              <w:t>2</w:t>
            </w:r>
            <w:r w:rsidR="00C5205F">
              <w:rPr>
                <w:rFonts w:ascii="Times New Roman" w:hAnsi="Times New Roman"/>
                <w:sz w:val="20"/>
                <w:szCs w:val="20"/>
                <w:lang w:val="en-GB"/>
              </w:rPr>
              <w:t>1-14</w:t>
            </w:r>
            <w:r>
              <w:rPr>
                <w:rFonts w:ascii="Times New Roman" w:hAnsi="Times New Roman"/>
                <w:sz w:val="20"/>
                <w:szCs w:val="20"/>
                <w:lang w:val="en-GB"/>
              </w:rPr>
              <w:t xml:space="preserve"> June 2022, agenda item </w:t>
            </w:r>
            <w:r w:rsidR="00C5205F">
              <w:rPr>
                <w:rFonts w:ascii="Times New Roman" w:hAnsi="Times New Roman"/>
                <w:sz w:val="20"/>
                <w:szCs w:val="20"/>
                <w:lang w:val="en-GB"/>
              </w:rPr>
              <w:t>2</w:t>
            </w:r>
            <w:r>
              <w:rPr>
                <w:rFonts w:ascii="Times New Roman" w:hAnsi="Times New Roman"/>
                <w:sz w:val="20"/>
                <w:szCs w:val="20"/>
                <w:lang w:val="en-GB"/>
              </w:rPr>
              <w:t>.</w:t>
            </w:r>
            <w:r w:rsidR="00C5205F">
              <w:rPr>
                <w:rFonts w:ascii="Times New Roman" w:hAnsi="Times New Roman"/>
                <w:sz w:val="20"/>
                <w:szCs w:val="20"/>
                <w:lang w:val="en-GB"/>
              </w:rPr>
              <w:t>2</w:t>
            </w:r>
            <w:r w:rsidRPr="00BE2359">
              <w:rPr>
                <w:rFonts w:ascii="Times New Roman" w:hAnsi="Times New Roman"/>
                <w:sz w:val="20"/>
                <w:szCs w:val="20"/>
                <w:lang w:val="en-GB"/>
              </w:rPr>
              <w:t>)</w:t>
            </w:r>
            <w:r w:rsidRPr="00E22E50">
              <w:rPr>
                <w:rFonts w:ascii="Times New Roman" w:hAnsi="Times New Roman"/>
                <w:sz w:val="20"/>
                <w:szCs w:val="20"/>
              </w:rPr>
              <w:t xml:space="preserve"> </w:t>
            </w:r>
          </w:p>
        </w:tc>
      </w:tr>
    </w:tbl>
    <w:p w14:paraId="25857D83" w14:textId="0044E47F" w:rsidR="00DA01A7" w:rsidRDefault="00DA01A7"/>
    <w:p w14:paraId="6DFE9D19" w14:textId="5BDDB46E" w:rsidR="00803D87" w:rsidRDefault="00803D87"/>
    <w:p w14:paraId="635FBAD9" w14:textId="6A8FFD55" w:rsidR="00803D87" w:rsidRDefault="00803D87"/>
    <w:p w14:paraId="30F6924D" w14:textId="478437AC" w:rsidR="00803D87" w:rsidRDefault="00803D87">
      <w:pPr>
        <w:rPr>
          <w:rFonts w:asciiTheme="majorBidi" w:hAnsiTheme="majorBidi" w:cstheme="majorBidi"/>
          <w:b/>
          <w:bCs/>
          <w:u w:val="single"/>
        </w:rPr>
      </w:pPr>
      <w:r w:rsidRPr="00803D87">
        <w:rPr>
          <w:rFonts w:asciiTheme="majorBidi" w:hAnsiTheme="majorBidi" w:cstheme="majorBidi"/>
          <w:b/>
          <w:bCs/>
          <w:u w:val="single"/>
        </w:rPr>
        <w:t>Nomination/Voting of Chair/Vice-Chairs under current situation.</w:t>
      </w:r>
    </w:p>
    <w:p w14:paraId="36589E06" w14:textId="00B30C2C" w:rsidR="00803D87" w:rsidRDefault="00803D87">
      <w:pPr>
        <w:rPr>
          <w:rFonts w:asciiTheme="majorBidi" w:hAnsiTheme="majorBidi" w:cstheme="majorBidi"/>
          <w:b/>
          <w:bCs/>
          <w:u w:val="single"/>
        </w:rPr>
      </w:pPr>
    </w:p>
    <w:p w14:paraId="6FE6AC1A" w14:textId="0575305E" w:rsidR="00803D87" w:rsidRDefault="00803D87">
      <w:pPr>
        <w:rPr>
          <w:rFonts w:asciiTheme="majorBidi" w:hAnsiTheme="majorBidi" w:cstheme="majorBidi"/>
          <w:u w:val="single"/>
        </w:rPr>
      </w:pPr>
      <w:r w:rsidRPr="00803D87">
        <w:rPr>
          <w:rFonts w:asciiTheme="majorBidi" w:hAnsiTheme="majorBidi" w:cstheme="majorBidi"/>
          <w:u w:val="single"/>
        </w:rPr>
        <w:t>Background:</w:t>
      </w:r>
    </w:p>
    <w:p w14:paraId="7BCD43A9" w14:textId="43053BF8" w:rsidR="00803D87" w:rsidRDefault="001A1CDE">
      <w:pPr>
        <w:rPr>
          <w:rFonts w:asciiTheme="majorBidi" w:hAnsiTheme="majorBidi" w:cstheme="majorBidi"/>
        </w:rPr>
      </w:pPr>
      <w:r>
        <w:rPr>
          <w:rFonts w:asciiTheme="majorBidi" w:hAnsiTheme="majorBidi" w:cstheme="majorBidi"/>
        </w:rPr>
        <w:t>In the past, WP.29</w:t>
      </w:r>
      <w:r w:rsidR="00BC5674">
        <w:rPr>
          <w:rFonts w:asciiTheme="majorBidi" w:hAnsiTheme="majorBidi" w:cstheme="majorBidi"/>
        </w:rPr>
        <w:t xml:space="preserve"> managed to reach consensus for decision making and elections</w:t>
      </w:r>
      <w:r w:rsidR="00863DC0">
        <w:rPr>
          <w:rFonts w:asciiTheme="majorBidi" w:hAnsiTheme="majorBidi" w:cstheme="majorBidi"/>
        </w:rPr>
        <w:t>.</w:t>
      </w:r>
      <w:r w:rsidR="006B3AE6">
        <w:rPr>
          <w:rFonts w:asciiTheme="majorBidi" w:hAnsiTheme="majorBidi" w:cstheme="majorBidi"/>
        </w:rPr>
        <w:t xml:space="preserve"> This </w:t>
      </w:r>
      <w:r w:rsidR="00863DC0">
        <w:rPr>
          <w:rFonts w:asciiTheme="majorBidi" w:hAnsiTheme="majorBidi" w:cstheme="majorBidi"/>
        </w:rPr>
        <w:t xml:space="preserve">year at the </w:t>
      </w:r>
      <w:r w:rsidR="00747115">
        <w:rPr>
          <w:rFonts w:asciiTheme="majorBidi" w:hAnsiTheme="majorBidi" w:cstheme="majorBidi"/>
        </w:rPr>
        <w:t>84</w:t>
      </w:r>
      <w:r w:rsidR="00747115" w:rsidRPr="00747115">
        <w:rPr>
          <w:rFonts w:asciiTheme="majorBidi" w:hAnsiTheme="majorBidi" w:cstheme="majorBidi"/>
          <w:vertAlign w:val="superscript"/>
        </w:rPr>
        <w:t>th</w:t>
      </w:r>
      <w:r w:rsidR="00747115">
        <w:rPr>
          <w:rFonts w:asciiTheme="majorBidi" w:hAnsiTheme="majorBidi" w:cstheme="majorBidi"/>
        </w:rPr>
        <w:t xml:space="preserve"> session of</w:t>
      </w:r>
      <w:r w:rsidR="006B3AE6">
        <w:rPr>
          <w:rFonts w:asciiTheme="majorBidi" w:hAnsiTheme="majorBidi" w:cstheme="majorBidi"/>
        </w:rPr>
        <w:t xml:space="preserve"> ITC, during the regular session the elections of Chair, Vice-Chairs and Bureau Members had to be </w:t>
      </w:r>
      <w:r w:rsidR="00AB4D78">
        <w:rPr>
          <w:rFonts w:asciiTheme="majorBidi" w:hAnsiTheme="majorBidi" w:cstheme="majorBidi"/>
        </w:rPr>
        <w:t>adjourned</w:t>
      </w:r>
      <w:r w:rsidR="00B86BC9">
        <w:rPr>
          <w:rFonts w:asciiTheme="majorBidi" w:hAnsiTheme="majorBidi" w:cstheme="majorBidi"/>
        </w:rPr>
        <w:t xml:space="preserve"> as no consensus could be </w:t>
      </w:r>
      <w:r w:rsidR="00C0159C">
        <w:rPr>
          <w:rFonts w:asciiTheme="majorBidi" w:hAnsiTheme="majorBidi" w:cstheme="majorBidi"/>
        </w:rPr>
        <w:t>reached,</w:t>
      </w:r>
      <w:r w:rsidR="006B3AE6">
        <w:rPr>
          <w:rFonts w:asciiTheme="majorBidi" w:hAnsiTheme="majorBidi" w:cstheme="majorBidi"/>
        </w:rPr>
        <w:t xml:space="preserve"> and a special session of ITC for elections needed to be organized.</w:t>
      </w:r>
    </w:p>
    <w:p w14:paraId="4E944F1C" w14:textId="22675035" w:rsidR="006B3AE6" w:rsidRDefault="006B3AE6">
      <w:pPr>
        <w:rPr>
          <w:rFonts w:asciiTheme="majorBidi" w:hAnsiTheme="majorBidi" w:cstheme="majorBidi"/>
        </w:rPr>
      </w:pPr>
      <w:r>
        <w:rPr>
          <w:rFonts w:asciiTheme="majorBidi" w:hAnsiTheme="majorBidi" w:cstheme="majorBidi"/>
        </w:rPr>
        <w:t xml:space="preserve">In preparation for this special session, all applicable rules and guidelines were thoroughly </w:t>
      </w:r>
      <w:r w:rsidR="00AB4D78">
        <w:rPr>
          <w:rFonts w:asciiTheme="majorBidi" w:hAnsiTheme="majorBidi" w:cstheme="majorBidi"/>
        </w:rPr>
        <w:t>analyzed,</w:t>
      </w:r>
      <w:r>
        <w:rPr>
          <w:rFonts w:asciiTheme="majorBidi" w:hAnsiTheme="majorBidi" w:cstheme="majorBidi"/>
        </w:rPr>
        <w:t xml:space="preserve"> and feasibility and applicability checked with legal support both from OLA and UNOG lawyers.</w:t>
      </w:r>
    </w:p>
    <w:p w14:paraId="15AF8DD6" w14:textId="0AE10604" w:rsidR="006B3AE6" w:rsidRDefault="006B3AE6">
      <w:pPr>
        <w:rPr>
          <w:rFonts w:asciiTheme="majorBidi" w:hAnsiTheme="majorBidi" w:cstheme="majorBidi"/>
        </w:rPr>
      </w:pPr>
    </w:p>
    <w:p w14:paraId="75B06E90" w14:textId="0F9494C6" w:rsidR="006B3AE6" w:rsidRDefault="006B3AE6">
      <w:pPr>
        <w:rPr>
          <w:rFonts w:asciiTheme="majorBidi" w:hAnsiTheme="majorBidi" w:cstheme="majorBidi"/>
        </w:rPr>
      </w:pPr>
      <w:r w:rsidRPr="006B3AE6">
        <w:rPr>
          <w:rFonts w:asciiTheme="majorBidi" w:hAnsiTheme="majorBidi" w:cstheme="majorBidi"/>
          <w:u w:val="single"/>
        </w:rPr>
        <w:t>Election of officers in WP.29 Rules of Procedures</w:t>
      </w:r>
      <w:r>
        <w:rPr>
          <w:rFonts w:asciiTheme="majorBidi" w:hAnsiTheme="majorBidi" w:cstheme="majorBidi"/>
        </w:rPr>
        <w:t>:</w:t>
      </w:r>
    </w:p>
    <w:p w14:paraId="521C1BC3" w14:textId="5E638111" w:rsidR="006B3AE6" w:rsidRDefault="00D01C67" w:rsidP="00B4347B">
      <w:pPr>
        <w:rPr>
          <w:rFonts w:asciiTheme="majorBidi" w:hAnsiTheme="majorBidi" w:cstheme="majorBidi"/>
          <w:i/>
          <w:iCs/>
          <w:lang w:val="en-GB"/>
        </w:rPr>
      </w:pPr>
      <w:r>
        <w:rPr>
          <w:rFonts w:asciiTheme="majorBidi" w:hAnsiTheme="majorBidi" w:cstheme="majorBidi"/>
          <w:lang w:val="en-GB"/>
        </w:rPr>
        <w:t>According to Rule 13 of the</w:t>
      </w:r>
      <w:r w:rsidR="006B3AE6" w:rsidRPr="006B3AE6">
        <w:rPr>
          <w:rFonts w:asciiTheme="majorBidi" w:hAnsiTheme="majorBidi" w:cstheme="majorBidi"/>
          <w:lang w:val="en-GB"/>
        </w:rPr>
        <w:t xml:space="preserve"> </w:t>
      </w:r>
      <w:r w:rsidR="00B4347B">
        <w:rPr>
          <w:rFonts w:asciiTheme="majorBidi" w:hAnsiTheme="majorBidi" w:cstheme="majorBidi"/>
          <w:lang w:val="en-GB"/>
        </w:rPr>
        <w:t>r</w:t>
      </w:r>
      <w:r w:rsidR="00B4347B" w:rsidRPr="00B4347B">
        <w:rPr>
          <w:rFonts w:asciiTheme="majorBidi" w:hAnsiTheme="majorBidi" w:cstheme="majorBidi"/>
          <w:lang w:val="en-GB"/>
        </w:rPr>
        <w:t>ules of procedure of the World Forum for Harmonization of Vehicle Regulations</w:t>
      </w:r>
      <w:r w:rsidR="00B4347B">
        <w:rPr>
          <w:rFonts w:asciiTheme="majorBidi" w:hAnsiTheme="majorBidi" w:cstheme="majorBidi"/>
          <w:lang w:val="en-GB"/>
        </w:rPr>
        <w:t xml:space="preserve"> </w:t>
      </w:r>
      <w:r w:rsidR="000302A8">
        <w:rPr>
          <w:rFonts w:asciiTheme="majorBidi" w:hAnsiTheme="majorBidi" w:cstheme="majorBidi"/>
          <w:lang w:val="en-GB"/>
        </w:rPr>
        <w:t>(</w:t>
      </w:r>
      <w:r w:rsidR="0041422F" w:rsidRPr="000302A8">
        <w:rPr>
          <w:rFonts w:asciiTheme="majorBidi" w:hAnsiTheme="majorBidi" w:cstheme="majorBidi"/>
          <w:lang w:val="en-GB"/>
        </w:rPr>
        <w:t>ECE/TRANS/WP.29/690/Rev.2</w:t>
      </w:r>
      <w:r w:rsidR="000302A8">
        <w:rPr>
          <w:rFonts w:asciiTheme="majorBidi" w:hAnsiTheme="majorBidi" w:cstheme="majorBidi"/>
          <w:b/>
          <w:bCs/>
          <w:lang w:val="en-GB"/>
        </w:rPr>
        <w:t>)</w:t>
      </w:r>
      <w:r w:rsidR="0041422F" w:rsidRPr="006B3AE6">
        <w:rPr>
          <w:rFonts w:asciiTheme="majorBidi" w:hAnsiTheme="majorBidi" w:cstheme="majorBidi"/>
          <w:lang w:val="en-GB"/>
        </w:rPr>
        <w:t xml:space="preserve"> </w:t>
      </w:r>
      <w:r w:rsidR="00B4347B" w:rsidRPr="00B4347B">
        <w:rPr>
          <w:rFonts w:asciiTheme="majorBidi" w:hAnsiTheme="majorBidi" w:cstheme="majorBidi"/>
          <w:i/>
          <w:iCs/>
          <w:lang w:val="en-GB"/>
        </w:rPr>
        <w:t>"WP.29 shall, at the end of its last session of the year, elect from the representatives of participants as defined in Rule 1(a) a Chairperson and Vice-Chairperson(s), who shall take office at the start of the first session of the following year. The number of Vice-Chairpersons may vary from year to year depending upon need. The officers shall be eligible for re-election."</w:t>
      </w:r>
    </w:p>
    <w:p w14:paraId="18D31CE9" w14:textId="77777777" w:rsidR="007D5DCB" w:rsidRDefault="007D5DCB" w:rsidP="00B4347B">
      <w:pPr>
        <w:rPr>
          <w:rFonts w:asciiTheme="majorBidi" w:hAnsiTheme="majorBidi" w:cstheme="majorBidi"/>
          <w:lang w:val="en-GB"/>
        </w:rPr>
      </w:pPr>
    </w:p>
    <w:p w14:paraId="0873D9A8" w14:textId="22899B96" w:rsidR="00B4347B" w:rsidRDefault="00B4347B" w:rsidP="00B4347B">
      <w:pPr>
        <w:rPr>
          <w:rFonts w:asciiTheme="majorBidi" w:hAnsiTheme="majorBidi" w:cstheme="majorBidi"/>
          <w:i/>
          <w:iCs/>
          <w:lang w:val="en-GB"/>
        </w:rPr>
      </w:pPr>
      <w:r>
        <w:rPr>
          <w:rFonts w:asciiTheme="majorBidi" w:hAnsiTheme="majorBidi" w:cstheme="majorBidi"/>
          <w:lang w:val="en-GB"/>
        </w:rPr>
        <w:t xml:space="preserve">In chapter VII titled "Conduct of Business" in Rule 21 provides that </w:t>
      </w:r>
      <w:r w:rsidRPr="00B4347B">
        <w:rPr>
          <w:rFonts w:asciiTheme="majorBidi" w:hAnsiTheme="majorBidi" w:cstheme="majorBidi"/>
          <w:i/>
          <w:iCs/>
          <w:lang w:val="en-GB"/>
        </w:rPr>
        <w:t>"The conduct of business shall be in accordance with Rules 27 to 37 of the Rules of Procedure of the ECE, unless otherwise provided herein."</w:t>
      </w:r>
    </w:p>
    <w:p w14:paraId="4D133858" w14:textId="77777777" w:rsidR="007D5DCB" w:rsidRDefault="007D5DCB" w:rsidP="00B4347B">
      <w:pPr>
        <w:rPr>
          <w:rFonts w:asciiTheme="majorBidi" w:hAnsiTheme="majorBidi" w:cstheme="majorBidi"/>
          <w:i/>
          <w:iCs/>
          <w:lang w:val="en-GB"/>
        </w:rPr>
      </w:pPr>
    </w:p>
    <w:p w14:paraId="490FC909" w14:textId="777B6A94" w:rsidR="00742E30" w:rsidRDefault="00742E30" w:rsidP="00742E30">
      <w:pPr>
        <w:rPr>
          <w:rFonts w:asciiTheme="majorBidi" w:hAnsiTheme="majorBidi" w:cstheme="majorBidi"/>
          <w:lang w:val="en-GB"/>
        </w:rPr>
      </w:pPr>
      <w:r w:rsidRPr="00742E30">
        <w:rPr>
          <w:rFonts w:asciiTheme="majorBidi" w:hAnsiTheme="majorBidi" w:cstheme="majorBidi"/>
          <w:lang w:val="en-GB"/>
        </w:rPr>
        <w:t>Chapter VIII</w:t>
      </w:r>
      <w:r>
        <w:rPr>
          <w:rFonts w:asciiTheme="majorBidi" w:hAnsiTheme="majorBidi" w:cstheme="majorBidi"/>
          <w:lang w:val="en-GB"/>
        </w:rPr>
        <w:t xml:space="preserve"> titled "Voting" covers in </w:t>
      </w:r>
    </w:p>
    <w:p w14:paraId="7F3B338D" w14:textId="7DA03D33" w:rsidR="00742E30" w:rsidRPr="00742E30" w:rsidRDefault="00742E30" w:rsidP="00742E30">
      <w:pPr>
        <w:jc w:val="center"/>
        <w:rPr>
          <w:rFonts w:asciiTheme="majorBidi" w:hAnsiTheme="majorBidi" w:cstheme="majorBidi"/>
          <w:i/>
          <w:iCs/>
          <w:lang w:val="en-GB"/>
        </w:rPr>
      </w:pPr>
      <w:r w:rsidRPr="00742E30">
        <w:rPr>
          <w:rFonts w:asciiTheme="majorBidi" w:hAnsiTheme="majorBidi" w:cstheme="majorBidi"/>
          <w:i/>
          <w:iCs/>
          <w:lang w:val="en-GB"/>
        </w:rPr>
        <w:t>"Rule 24</w:t>
      </w:r>
    </w:p>
    <w:p w14:paraId="1D359459" w14:textId="77777777" w:rsidR="00742E30" w:rsidRPr="00742E30" w:rsidRDefault="00742E30" w:rsidP="00742E30">
      <w:pPr>
        <w:rPr>
          <w:rFonts w:asciiTheme="majorBidi" w:hAnsiTheme="majorBidi" w:cstheme="majorBidi"/>
          <w:i/>
          <w:iCs/>
          <w:lang w:val="en-GB"/>
        </w:rPr>
      </w:pPr>
      <w:r w:rsidRPr="00742E30">
        <w:rPr>
          <w:rFonts w:asciiTheme="majorBidi" w:hAnsiTheme="majorBidi" w:cstheme="majorBidi"/>
          <w:i/>
          <w:iCs/>
          <w:lang w:val="en-GB"/>
        </w:rPr>
        <w:tab/>
      </w:r>
      <w:r w:rsidRPr="00742E30">
        <w:rPr>
          <w:rFonts w:asciiTheme="majorBidi" w:hAnsiTheme="majorBidi" w:cstheme="majorBidi"/>
          <w:i/>
          <w:iCs/>
          <w:lang w:val="en-GB"/>
        </w:rPr>
        <w:tab/>
        <w:t>Each participant, as defined in Rule 1(a), other than REIOs, shall have one vote. REIOs, as defined in Rule 1(a), may only vote in lieu of their Member States and with the number of votes of their Member States that are participants in WP.29.</w:t>
      </w:r>
    </w:p>
    <w:p w14:paraId="2B88D201" w14:textId="77777777" w:rsidR="00742E30" w:rsidRPr="00742E30" w:rsidRDefault="00742E30" w:rsidP="00742E30">
      <w:pPr>
        <w:jc w:val="center"/>
        <w:rPr>
          <w:rFonts w:asciiTheme="majorBidi" w:hAnsiTheme="majorBidi" w:cstheme="majorBidi"/>
          <w:i/>
          <w:iCs/>
          <w:lang w:val="en-GB"/>
        </w:rPr>
      </w:pPr>
      <w:r w:rsidRPr="00742E30">
        <w:rPr>
          <w:rFonts w:asciiTheme="majorBidi" w:hAnsiTheme="majorBidi" w:cstheme="majorBidi"/>
          <w:i/>
          <w:iCs/>
          <w:lang w:val="en-GB"/>
        </w:rPr>
        <w:t>Rule 25</w:t>
      </w:r>
    </w:p>
    <w:p w14:paraId="3AED48A1" w14:textId="77777777" w:rsidR="00742E30" w:rsidRPr="00742E30" w:rsidRDefault="00742E30" w:rsidP="00742E30">
      <w:pPr>
        <w:rPr>
          <w:rFonts w:asciiTheme="majorBidi" w:hAnsiTheme="majorBidi" w:cstheme="majorBidi"/>
          <w:i/>
          <w:iCs/>
          <w:lang w:val="en-GB"/>
        </w:rPr>
      </w:pPr>
      <w:r w:rsidRPr="00742E30">
        <w:rPr>
          <w:rFonts w:asciiTheme="majorBidi" w:hAnsiTheme="majorBidi" w:cstheme="majorBidi"/>
          <w:i/>
          <w:iCs/>
          <w:lang w:val="en-GB"/>
        </w:rPr>
        <w:tab/>
      </w:r>
      <w:r w:rsidRPr="00742E30">
        <w:rPr>
          <w:rFonts w:asciiTheme="majorBidi" w:hAnsiTheme="majorBidi" w:cstheme="majorBidi"/>
          <w:i/>
          <w:iCs/>
          <w:lang w:val="en-GB"/>
        </w:rPr>
        <w:tab/>
        <w:t xml:space="preserve">Decisions of WP.29 shall be made by </w:t>
      </w:r>
      <w:proofErr w:type="gramStart"/>
      <w:r w:rsidRPr="00742E30">
        <w:rPr>
          <w:rFonts w:asciiTheme="majorBidi" w:hAnsiTheme="majorBidi" w:cstheme="majorBidi"/>
          <w:i/>
          <w:iCs/>
          <w:lang w:val="en-GB"/>
        </w:rPr>
        <w:t>a majority of</w:t>
      </w:r>
      <w:proofErr w:type="gramEnd"/>
      <w:r w:rsidRPr="00742E30">
        <w:rPr>
          <w:rFonts w:asciiTheme="majorBidi" w:hAnsiTheme="majorBidi" w:cstheme="majorBidi"/>
          <w:i/>
          <w:iCs/>
          <w:lang w:val="en-GB"/>
        </w:rPr>
        <w:t xml:space="preserve"> the participants as defined in Rule 1(a), present and voting, and in accordance with Rule 24 above.</w:t>
      </w:r>
    </w:p>
    <w:p w14:paraId="3C082147" w14:textId="77777777" w:rsidR="00742E30" w:rsidRPr="00742E30" w:rsidRDefault="00742E30" w:rsidP="00742E30">
      <w:pPr>
        <w:jc w:val="center"/>
        <w:rPr>
          <w:rFonts w:asciiTheme="majorBidi" w:hAnsiTheme="majorBidi" w:cstheme="majorBidi"/>
          <w:i/>
          <w:iCs/>
          <w:lang w:val="en-GB"/>
        </w:rPr>
      </w:pPr>
      <w:r w:rsidRPr="00742E30">
        <w:rPr>
          <w:rFonts w:asciiTheme="majorBidi" w:hAnsiTheme="majorBidi" w:cstheme="majorBidi"/>
          <w:i/>
          <w:iCs/>
          <w:lang w:val="en-GB"/>
        </w:rPr>
        <w:t>Rule 26</w:t>
      </w:r>
    </w:p>
    <w:p w14:paraId="14229F96" w14:textId="54B49CB6" w:rsidR="00742E30" w:rsidRDefault="00742E30" w:rsidP="00742E30">
      <w:pPr>
        <w:rPr>
          <w:rFonts w:asciiTheme="majorBidi" w:hAnsiTheme="majorBidi" w:cstheme="majorBidi"/>
          <w:i/>
          <w:iCs/>
          <w:lang w:val="en-GB"/>
        </w:rPr>
      </w:pPr>
      <w:r w:rsidRPr="00742E30">
        <w:rPr>
          <w:rFonts w:asciiTheme="majorBidi" w:hAnsiTheme="majorBidi" w:cstheme="majorBidi"/>
          <w:i/>
          <w:iCs/>
          <w:lang w:val="en-GB"/>
        </w:rPr>
        <w:tab/>
      </w:r>
      <w:r w:rsidRPr="00742E30">
        <w:rPr>
          <w:rFonts w:asciiTheme="majorBidi" w:hAnsiTheme="majorBidi" w:cstheme="majorBidi"/>
          <w:i/>
          <w:iCs/>
          <w:lang w:val="en-GB"/>
        </w:rPr>
        <w:tab/>
        <w:t>The voting shall be in accordance with Rules 38 to 43 of the Rules of Procedure of the ECE, unless otherwise provided herein."</w:t>
      </w:r>
    </w:p>
    <w:p w14:paraId="2FECD027" w14:textId="2AFA406F" w:rsidR="00742E30" w:rsidRDefault="00742E30" w:rsidP="00742E30">
      <w:pPr>
        <w:rPr>
          <w:rFonts w:asciiTheme="majorBidi" w:hAnsiTheme="majorBidi" w:cstheme="majorBidi"/>
          <w:i/>
          <w:iCs/>
          <w:lang w:val="en-GB"/>
        </w:rPr>
      </w:pPr>
    </w:p>
    <w:p w14:paraId="16D39B7B" w14:textId="0C07752C" w:rsidR="00603C00" w:rsidRDefault="00742E30" w:rsidP="00603C00">
      <w:pPr>
        <w:rPr>
          <w:rFonts w:asciiTheme="majorBidi" w:hAnsiTheme="majorBidi" w:cstheme="majorBidi"/>
          <w:lang w:val="en-GB"/>
        </w:rPr>
      </w:pPr>
      <w:r>
        <w:rPr>
          <w:rFonts w:asciiTheme="majorBidi" w:hAnsiTheme="majorBidi" w:cstheme="majorBidi"/>
          <w:lang w:val="en-GB"/>
        </w:rPr>
        <w:t>The referenced Rules of the Rules of Procedure</w:t>
      </w:r>
      <w:r w:rsidR="00603C00">
        <w:rPr>
          <w:rFonts w:asciiTheme="majorBidi" w:hAnsiTheme="majorBidi" w:cstheme="majorBidi"/>
          <w:lang w:val="en-GB"/>
        </w:rPr>
        <w:t xml:space="preserve">, </w:t>
      </w:r>
      <w:proofErr w:type="gramStart"/>
      <w:r w:rsidR="00603C00">
        <w:rPr>
          <w:rFonts w:asciiTheme="majorBidi" w:hAnsiTheme="majorBidi" w:cstheme="majorBidi"/>
          <w:lang w:val="en-GB"/>
        </w:rPr>
        <w:t>fifth revised edition (2009),</w:t>
      </w:r>
      <w:proofErr w:type="gramEnd"/>
      <w:r>
        <w:rPr>
          <w:rFonts w:asciiTheme="majorBidi" w:hAnsiTheme="majorBidi" w:cstheme="majorBidi"/>
          <w:lang w:val="en-GB"/>
        </w:rPr>
        <w:t xml:space="preserve"> of the ECE</w:t>
      </w:r>
      <w:r w:rsidR="00603C00">
        <w:rPr>
          <w:rFonts w:asciiTheme="majorBidi" w:hAnsiTheme="majorBidi" w:cstheme="majorBidi"/>
          <w:lang w:val="en-GB"/>
        </w:rPr>
        <w:t xml:space="preserve"> provide for performing elections:  </w:t>
      </w:r>
    </w:p>
    <w:p w14:paraId="4DED97A2" w14:textId="6D368F20" w:rsidR="00603C00" w:rsidRPr="00603C00" w:rsidRDefault="00603C00" w:rsidP="00603C00">
      <w:pPr>
        <w:jc w:val="center"/>
        <w:rPr>
          <w:rFonts w:asciiTheme="majorBidi" w:hAnsiTheme="majorBidi" w:cstheme="majorBidi"/>
          <w:i/>
          <w:iCs/>
          <w:lang w:val="en-GB"/>
        </w:rPr>
      </w:pPr>
      <w:r w:rsidRPr="00603C00">
        <w:rPr>
          <w:rFonts w:asciiTheme="majorBidi" w:hAnsiTheme="majorBidi" w:cstheme="majorBidi"/>
          <w:i/>
          <w:iCs/>
          <w:lang w:val="en-GB"/>
        </w:rPr>
        <w:t>"Rule 27</w:t>
      </w:r>
    </w:p>
    <w:p w14:paraId="5D86BB1D" w14:textId="1FDF15E4" w:rsidR="00742E30" w:rsidRDefault="00603C00" w:rsidP="00603C00">
      <w:pPr>
        <w:rPr>
          <w:rFonts w:asciiTheme="majorBidi" w:hAnsiTheme="majorBidi" w:cstheme="majorBidi"/>
          <w:lang w:val="en-GB"/>
        </w:rPr>
      </w:pPr>
      <w:proofErr w:type="gramStart"/>
      <w:r w:rsidRPr="00603C00">
        <w:rPr>
          <w:rFonts w:asciiTheme="majorBidi" w:hAnsiTheme="majorBidi" w:cstheme="majorBidi"/>
          <w:i/>
          <w:iCs/>
          <w:lang w:val="en-GB"/>
        </w:rPr>
        <w:t>A majority of</w:t>
      </w:r>
      <w:proofErr w:type="gramEnd"/>
      <w:r w:rsidRPr="00603C00">
        <w:rPr>
          <w:rFonts w:asciiTheme="majorBidi" w:hAnsiTheme="majorBidi" w:cstheme="majorBidi"/>
          <w:i/>
          <w:iCs/>
          <w:lang w:val="en-GB"/>
        </w:rPr>
        <w:t xml:space="preserve"> the members of the Commission shall constitute a quorum.</w:t>
      </w:r>
      <w:r>
        <w:rPr>
          <w:rFonts w:asciiTheme="majorBidi" w:hAnsiTheme="majorBidi" w:cstheme="majorBidi"/>
          <w:i/>
          <w:iCs/>
          <w:lang w:val="en-GB"/>
        </w:rPr>
        <w:t>"</w:t>
      </w:r>
      <w:r w:rsidRPr="00603C00">
        <w:rPr>
          <w:rFonts w:asciiTheme="majorBidi" w:hAnsiTheme="majorBidi" w:cstheme="majorBidi"/>
          <w:lang w:val="en-GB"/>
        </w:rPr>
        <w:cr/>
      </w:r>
      <w:r>
        <w:rPr>
          <w:rFonts w:asciiTheme="majorBidi" w:hAnsiTheme="majorBidi" w:cstheme="majorBidi"/>
          <w:lang w:val="en-GB"/>
        </w:rPr>
        <w:t>and</w:t>
      </w:r>
    </w:p>
    <w:p w14:paraId="1299D86D" w14:textId="3F3F8DC3" w:rsidR="00603C00" w:rsidRPr="00603C00" w:rsidRDefault="00603C00" w:rsidP="00603C00">
      <w:pPr>
        <w:jc w:val="center"/>
        <w:rPr>
          <w:rFonts w:asciiTheme="majorBidi" w:hAnsiTheme="majorBidi" w:cstheme="majorBidi"/>
          <w:i/>
          <w:iCs/>
          <w:lang w:val="en-GB"/>
        </w:rPr>
      </w:pPr>
      <w:r w:rsidRPr="00603C00">
        <w:rPr>
          <w:rFonts w:asciiTheme="majorBidi" w:hAnsiTheme="majorBidi" w:cstheme="majorBidi"/>
          <w:i/>
          <w:iCs/>
          <w:lang w:val="en-GB"/>
        </w:rPr>
        <w:t>"Rule 42</w:t>
      </w:r>
    </w:p>
    <w:p w14:paraId="551E3C98" w14:textId="1526C02D" w:rsidR="00603C00" w:rsidRDefault="00603C00" w:rsidP="00603C00">
      <w:pPr>
        <w:rPr>
          <w:rFonts w:asciiTheme="majorBidi" w:hAnsiTheme="majorBidi" w:cstheme="majorBidi"/>
          <w:i/>
          <w:iCs/>
          <w:lang w:val="en-GB"/>
        </w:rPr>
      </w:pPr>
      <w:r w:rsidRPr="00603C00">
        <w:rPr>
          <w:rFonts w:asciiTheme="majorBidi" w:hAnsiTheme="majorBidi" w:cstheme="majorBidi"/>
          <w:i/>
          <w:iCs/>
          <w:lang w:val="en-GB"/>
        </w:rPr>
        <w:t xml:space="preserve"> All elections shall be decided by secret ballot, unless, in the absence of any objection, the Commission decides to proceed without taking a ballot on an agreed candidate or slate."</w:t>
      </w:r>
    </w:p>
    <w:p w14:paraId="0AA731C1" w14:textId="4B2C5D74" w:rsidR="00603C00" w:rsidRDefault="00603C00" w:rsidP="00603C00">
      <w:pPr>
        <w:rPr>
          <w:rFonts w:asciiTheme="majorBidi" w:hAnsiTheme="majorBidi" w:cstheme="majorBidi"/>
          <w:i/>
          <w:iCs/>
          <w:lang w:val="en-GB"/>
        </w:rPr>
      </w:pPr>
    </w:p>
    <w:p w14:paraId="4CF3190B" w14:textId="77777777" w:rsidR="007D5DCB" w:rsidRDefault="007D5DCB" w:rsidP="00603C00">
      <w:pPr>
        <w:rPr>
          <w:rFonts w:asciiTheme="majorBidi" w:hAnsiTheme="majorBidi" w:cstheme="majorBidi"/>
          <w:i/>
          <w:iCs/>
          <w:lang w:val="en-GB"/>
        </w:rPr>
      </w:pPr>
    </w:p>
    <w:p w14:paraId="000A08A8" w14:textId="08A1B595" w:rsidR="00603C00" w:rsidRDefault="00BF1C37" w:rsidP="00603C00">
      <w:pPr>
        <w:rPr>
          <w:rFonts w:asciiTheme="majorBidi" w:hAnsiTheme="majorBidi" w:cstheme="majorBidi"/>
          <w:lang w:val="en-GB"/>
        </w:rPr>
      </w:pPr>
      <w:r>
        <w:rPr>
          <w:rFonts w:asciiTheme="majorBidi" w:hAnsiTheme="majorBidi" w:cstheme="majorBidi"/>
          <w:lang w:val="en-GB"/>
        </w:rPr>
        <w:lastRenderedPageBreak/>
        <w:t xml:space="preserve">On the nomination of candidates applicable guidance is provided in the ITC Rules of Procedure, Rule 12 </w:t>
      </w:r>
      <w:proofErr w:type="gramStart"/>
      <w:r>
        <w:rPr>
          <w:rFonts w:asciiTheme="majorBidi" w:hAnsiTheme="majorBidi" w:cstheme="majorBidi"/>
          <w:lang w:val="en-GB"/>
        </w:rPr>
        <w:t>( c</w:t>
      </w:r>
      <w:proofErr w:type="gramEnd"/>
      <w:r>
        <w:rPr>
          <w:rFonts w:asciiTheme="majorBidi" w:hAnsiTheme="majorBidi" w:cstheme="majorBidi"/>
          <w:lang w:val="en-GB"/>
        </w:rPr>
        <w:t>):</w:t>
      </w:r>
    </w:p>
    <w:p w14:paraId="5AAEF476" w14:textId="3B3CCEE1" w:rsidR="00BF1C37" w:rsidRPr="00BF1C37" w:rsidRDefault="00BF1C37" w:rsidP="00BF1C37">
      <w:pPr>
        <w:rPr>
          <w:rFonts w:asciiTheme="majorBidi" w:hAnsiTheme="majorBidi" w:cstheme="majorBidi"/>
          <w:i/>
          <w:iCs/>
          <w:lang w:val="en-GB"/>
        </w:rPr>
      </w:pPr>
      <w:r w:rsidRPr="00BF1C37">
        <w:rPr>
          <w:rFonts w:asciiTheme="majorBidi" w:hAnsiTheme="majorBidi" w:cstheme="majorBidi"/>
          <w:i/>
          <w:iCs/>
          <w:lang w:val="en-GB"/>
        </w:rPr>
        <w:t>"(c) Nominations for the positions referred to in paragraphs (a) and (b) above will</w:t>
      </w:r>
    </w:p>
    <w:p w14:paraId="04E548E2" w14:textId="77777777" w:rsidR="00BF1C37" w:rsidRPr="00BF1C37" w:rsidRDefault="00BF1C37" w:rsidP="00BF1C37">
      <w:pPr>
        <w:rPr>
          <w:rFonts w:asciiTheme="majorBidi" w:hAnsiTheme="majorBidi" w:cstheme="majorBidi"/>
          <w:i/>
          <w:iCs/>
          <w:lang w:val="en-GB"/>
        </w:rPr>
      </w:pPr>
      <w:r w:rsidRPr="00BF1C37">
        <w:rPr>
          <w:rFonts w:asciiTheme="majorBidi" w:hAnsiTheme="majorBidi" w:cstheme="majorBidi"/>
          <w:i/>
          <w:iCs/>
          <w:lang w:val="en-GB"/>
        </w:rPr>
        <w:t>be submitted to the secretariat, if possible, ten days before the start of the session during</w:t>
      </w:r>
    </w:p>
    <w:p w14:paraId="3EBFC070" w14:textId="79C9D414" w:rsidR="00BF1C37" w:rsidRDefault="00BF1C37" w:rsidP="00BF1C37">
      <w:pPr>
        <w:rPr>
          <w:rFonts w:asciiTheme="majorBidi" w:hAnsiTheme="majorBidi" w:cstheme="majorBidi"/>
          <w:i/>
          <w:iCs/>
          <w:lang w:val="en-GB"/>
        </w:rPr>
      </w:pPr>
      <w:r w:rsidRPr="00BF1C37">
        <w:rPr>
          <w:rFonts w:asciiTheme="majorBidi" w:hAnsiTheme="majorBidi" w:cstheme="majorBidi"/>
          <w:i/>
          <w:iCs/>
          <w:lang w:val="en-GB"/>
        </w:rPr>
        <w:t>which elections will be conducted.</w:t>
      </w:r>
      <w:proofErr w:type="gramStart"/>
      <w:r w:rsidRPr="00BF1C37">
        <w:rPr>
          <w:rFonts w:asciiTheme="majorBidi" w:hAnsiTheme="majorBidi" w:cstheme="majorBidi"/>
          <w:i/>
          <w:iCs/>
          <w:lang w:val="en-GB"/>
        </w:rPr>
        <w:t>"</w:t>
      </w:r>
      <w:proofErr w:type="gramEnd"/>
    </w:p>
    <w:p w14:paraId="4ED9F348" w14:textId="1A570047" w:rsidR="00BF1C37" w:rsidRDefault="00BF1C37" w:rsidP="00BF1C37">
      <w:pPr>
        <w:rPr>
          <w:rFonts w:asciiTheme="majorBidi" w:hAnsiTheme="majorBidi" w:cstheme="majorBidi"/>
          <w:i/>
          <w:iCs/>
          <w:lang w:val="en-GB"/>
        </w:rPr>
      </w:pPr>
    </w:p>
    <w:p w14:paraId="16B26595" w14:textId="54EFCB09" w:rsidR="00BF1C37" w:rsidRDefault="00BF1C37" w:rsidP="00BF1C37">
      <w:pPr>
        <w:rPr>
          <w:rFonts w:asciiTheme="majorBidi" w:hAnsiTheme="majorBidi" w:cstheme="majorBidi"/>
          <w:lang w:val="en-GB"/>
        </w:rPr>
      </w:pPr>
    </w:p>
    <w:p w14:paraId="0E4D042B" w14:textId="6837B75B" w:rsidR="00BF1C37" w:rsidRDefault="00BF1C37" w:rsidP="00BF1C37">
      <w:pPr>
        <w:rPr>
          <w:rFonts w:asciiTheme="majorBidi" w:hAnsiTheme="majorBidi" w:cstheme="majorBidi"/>
          <w:u w:val="single"/>
          <w:lang w:val="en-GB"/>
        </w:rPr>
      </w:pPr>
      <w:r w:rsidRPr="00BF1C37">
        <w:rPr>
          <w:rFonts w:asciiTheme="majorBidi" w:hAnsiTheme="majorBidi" w:cstheme="majorBidi"/>
          <w:u w:val="single"/>
          <w:lang w:val="en-GB"/>
        </w:rPr>
        <w:t xml:space="preserve">Practical implications for upcoming WP.29 elections: </w:t>
      </w:r>
    </w:p>
    <w:p w14:paraId="3C820277" w14:textId="62A551FD" w:rsidR="00BF1C37" w:rsidRDefault="00BF1C37" w:rsidP="00BF1C37">
      <w:pPr>
        <w:rPr>
          <w:rFonts w:asciiTheme="majorBidi" w:hAnsiTheme="majorBidi" w:cstheme="majorBidi"/>
          <w:u w:val="single"/>
          <w:lang w:val="en-GB"/>
        </w:rPr>
      </w:pPr>
    </w:p>
    <w:p w14:paraId="3513F229" w14:textId="00ADE2BE" w:rsidR="00D16E0A" w:rsidRDefault="00BF1C37" w:rsidP="00BF1C37">
      <w:pPr>
        <w:rPr>
          <w:rFonts w:asciiTheme="majorBidi" w:hAnsiTheme="majorBidi" w:cstheme="majorBidi"/>
          <w:lang w:val="en-GB"/>
        </w:rPr>
      </w:pPr>
      <w:r>
        <w:rPr>
          <w:rFonts w:asciiTheme="majorBidi" w:hAnsiTheme="majorBidi" w:cstheme="majorBidi"/>
          <w:lang w:val="en-GB"/>
        </w:rPr>
        <w:t>Following the current composition of Chair- and Vice-Chairperson</w:t>
      </w:r>
      <w:r w:rsidRPr="00BF1C37">
        <w:rPr>
          <w:rFonts w:asciiTheme="majorBidi" w:hAnsiTheme="majorBidi" w:cstheme="majorBidi"/>
          <w:lang w:val="en-GB"/>
        </w:rPr>
        <w:t xml:space="preserve"> </w:t>
      </w:r>
      <w:r>
        <w:rPr>
          <w:rFonts w:asciiTheme="majorBidi" w:hAnsiTheme="majorBidi" w:cstheme="majorBidi"/>
          <w:lang w:val="en-GB"/>
        </w:rPr>
        <w:t xml:space="preserve">reaching of consensus on the slate seems to be </w:t>
      </w:r>
      <w:r w:rsidR="00942365">
        <w:rPr>
          <w:rFonts w:asciiTheme="majorBidi" w:hAnsiTheme="majorBidi" w:cstheme="majorBidi"/>
          <w:lang w:val="en-GB"/>
        </w:rPr>
        <w:t>questionable</w:t>
      </w:r>
      <w:r w:rsidR="00D16E0A">
        <w:rPr>
          <w:rFonts w:asciiTheme="majorBidi" w:hAnsiTheme="majorBidi" w:cstheme="majorBidi"/>
          <w:lang w:val="en-GB"/>
        </w:rPr>
        <w:t xml:space="preserve">, thus elections would require the use of </w:t>
      </w:r>
      <w:r w:rsidR="00D16E0A" w:rsidRPr="00D16E0A">
        <w:rPr>
          <w:rFonts w:asciiTheme="majorBidi" w:hAnsiTheme="majorBidi" w:cstheme="majorBidi"/>
          <w:lang w:val="en-GB"/>
        </w:rPr>
        <w:t>secret ballot</w:t>
      </w:r>
      <w:r w:rsidR="00D16E0A">
        <w:rPr>
          <w:rFonts w:asciiTheme="majorBidi" w:hAnsiTheme="majorBidi" w:cstheme="majorBidi"/>
          <w:lang w:val="en-GB"/>
        </w:rPr>
        <w:t>:</w:t>
      </w:r>
    </w:p>
    <w:p w14:paraId="52DBF877" w14:textId="5BD7C1AC" w:rsidR="00D16E0A" w:rsidRDefault="00D16E0A" w:rsidP="00BF1C37">
      <w:pPr>
        <w:rPr>
          <w:rFonts w:asciiTheme="majorBidi" w:hAnsiTheme="majorBidi" w:cstheme="majorBidi"/>
          <w:lang w:val="en-GB"/>
        </w:rPr>
      </w:pPr>
    </w:p>
    <w:p w14:paraId="7F2DD885" w14:textId="7D37903C" w:rsidR="00D16E0A" w:rsidRDefault="00D16E0A" w:rsidP="00490A3D">
      <w:pPr>
        <w:pStyle w:val="ListParagraph"/>
        <w:numPr>
          <w:ilvl w:val="0"/>
          <w:numId w:val="2"/>
        </w:numPr>
        <w:rPr>
          <w:rFonts w:asciiTheme="majorBidi" w:hAnsiTheme="majorBidi" w:cstheme="majorBidi"/>
          <w:lang w:val="en-GB"/>
        </w:rPr>
      </w:pPr>
      <w:r w:rsidRPr="00490A3D">
        <w:rPr>
          <w:rFonts w:asciiTheme="majorBidi" w:hAnsiTheme="majorBidi" w:cstheme="majorBidi"/>
          <w:lang w:val="en-GB"/>
        </w:rPr>
        <w:t>Nominations for the position of Chairperson and Vice Chairperson need to be submitted to the secretariat</w:t>
      </w:r>
      <w:r w:rsidR="00490A3D" w:rsidRPr="00490A3D">
        <w:rPr>
          <w:rFonts w:asciiTheme="majorBidi" w:hAnsiTheme="majorBidi" w:cstheme="majorBidi"/>
          <w:lang w:val="en-GB"/>
        </w:rPr>
        <w:t xml:space="preserve"> ten days before the start of the session</w:t>
      </w:r>
      <w:r w:rsidR="00490A3D">
        <w:rPr>
          <w:rFonts w:asciiTheme="majorBidi" w:hAnsiTheme="majorBidi" w:cstheme="majorBidi"/>
          <w:lang w:val="en-GB"/>
        </w:rPr>
        <w:t>.</w:t>
      </w:r>
    </w:p>
    <w:p w14:paraId="57A55305" w14:textId="77777777" w:rsidR="00490A3D" w:rsidRDefault="00490A3D" w:rsidP="00490A3D">
      <w:pPr>
        <w:pStyle w:val="ListParagraph"/>
        <w:rPr>
          <w:rFonts w:asciiTheme="majorBidi" w:hAnsiTheme="majorBidi" w:cstheme="majorBidi"/>
          <w:lang w:val="en-GB"/>
        </w:rPr>
      </w:pPr>
    </w:p>
    <w:p w14:paraId="35233E1C" w14:textId="2DACFF7E" w:rsidR="00490A3D" w:rsidRPr="00490A3D" w:rsidRDefault="00490A3D" w:rsidP="00490A3D">
      <w:pPr>
        <w:rPr>
          <w:rFonts w:asciiTheme="majorBidi" w:hAnsiTheme="majorBidi" w:cstheme="majorBidi"/>
          <w:lang w:val="en-GB"/>
        </w:rPr>
      </w:pPr>
      <w:r>
        <w:rPr>
          <w:rFonts w:asciiTheme="majorBidi" w:hAnsiTheme="majorBidi" w:cstheme="majorBidi"/>
          <w:lang w:val="en-GB"/>
        </w:rPr>
        <w:t xml:space="preserve">This would allow AC.2 to recommend elections by secret ballot, in case reaching consensus on the slate </w:t>
      </w:r>
      <w:proofErr w:type="spellStart"/>
      <w:r>
        <w:rPr>
          <w:rFonts w:asciiTheme="majorBidi" w:hAnsiTheme="majorBidi" w:cstheme="majorBidi"/>
          <w:lang w:val="en-GB"/>
        </w:rPr>
        <w:t>can not</w:t>
      </w:r>
      <w:proofErr w:type="spellEnd"/>
      <w:r>
        <w:rPr>
          <w:rFonts w:asciiTheme="majorBidi" w:hAnsiTheme="majorBidi" w:cstheme="majorBidi"/>
          <w:lang w:val="en-GB"/>
        </w:rPr>
        <w:t xml:space="preserve"> be expected. </w:t>
      </w:r>
    </w:p>
    <w:p w14:paraId="33984E31" w14:textId="77777777" w:rsidR="00D16E0A" w:rsidRDefault="00D16E0A" w:rsidP="00BF1C37">
      <w:pPr>
        <w:rPr>
          <w:rFonts w:asciiTheme="majorBidi" w:hAnsiTheme="majorBidi" w:cstheme="majorBidi"/>
          <w:lang w:val="en-GB"/>
        </w:rPr>
      </w:pPr>
    </w:p>
    <w:p w14:paraId="72EFCC5C" w14:textId="7C6EBF27" w:rsidR="00D16E0A" w:rsidRDefault="00D16E0A" w:rsidP="00BF1C37">
      <w:pPr>
        <w:rPr>
          <w:rFonts w:asciiTheme="majorBidi" w:hAnsiTheme="majorBidi" w:cstheme="majorBidi"/>
          <w:lang w:val="en-GB"/>
        </w:rPr>
      </w:pPr>
      <w:r>
        <w:rPr>
          <w:rFonts w:asciiTheme="majorBidi" w:hAnsiTheme="majorBidi" w:cstheme="majorBidi"/>
          <w:lang w:val="en-GB"/>
        </w:rPr>
        <w:t xml:space="preserve">For performing elections by secret </w:t>
      </w:r>
      <w:proofErr w:type="gramStart"/>
      <w:r>
        <w:rPr>
          <w:rFonts w:asciiTheme="majorBidi" w:hAnsiTheme="majorBidi" w:cstheme="majorBidi"/>
          <w:lang w:val="en-GB"/>
        </w:rPr>
        <w:t>ballot</w:t>
      </w:r>
      <w:proofErr w:type="gramEnd"/>
      <w:r>
        <w:rPr>
          <w:rFonts w:asciiTheme="majorBidi" w:hAnsiTheme="majorBidi" w:cstheme="majorBidi"/>
          <w:lang w:val="en-GB"/>
        </w:rPr>
        <w:t xml:space="preserve"> the following pre-requisites would be necessary:</w:t>
      </w:r>
    </w:p>
    <w:p w14:paraId="3FA8414A" w14:textId="77777777" w:rsidR="00490A3D" w:rsidRDefault="00490A3D" w:rsidP="00BF1C37">
      <w:pPr>
        <w:rPr>
          <w:rFonts w:asciiTheme="majorBidi" w:hAnsiTheme="majorBidi" w:cstheme="majorBidi"/>
          <w:lang w:val="en-GB"/>
        </w:rPr>
      </w:pPr>
    </w:p>
    <w:p w14:paraId="264DEBB5" w14:textId="34DD931E" w:rsidR="00D16E0A" w:rsidRDefault="00D16E0A" w:rsidP="00D16E0A">
      <w:pPr>
        <w:pStyle w:val="ListParagraph"/>
        <w:numPr>
          <w:ilvl w:val="0"/>
          <w:numId w:val="1"/>
        </w:numPr>
        <w:rPr>
          <w:rFonts w:asciiTheme="majorBidi" w:hAnsiTheme="majorBidi" w:cstheme="majorBidi"/>
          <w:lang w:val="en-GB"/>
        </w:rPr>
      </w:pPr>
      <w:r>
        <w:rPr>
          <w:rFonts w:asciiTheme="majorBidi" w:hAnsiTheme="majorBidi" w:cstheme="majorBidi"/>
          <w:lang w:val="en-GB"/>
        </w:rPr>
        <w:t xml:space="preserve">Elections need attendance in person of </w:t>
      </w:r>
      <w:proofErr w:type="gramStart"/>
      <w:r>
        <w:rPr>
          <w:rFonts w:asciiTheme="majorBidi" w:hAnsiTheme="majorBidi" w:cstheme="majorBidi"/>
          <w:lang w:val="en-GB"/>
        </w:rPr>
        <w:t>a majority of</w:t>
      </w:r>
      <w:proofErr w:type="gramEnd"/>
      <w:r>
        <w:rPr>
          <w:rFonts w:asciiTheme="majorBidi" w:hAnsiTheme="majorBidi" w:cstheme="majorBidi"/>
          <w:lang w:val="en-GB"/>
        </w:rPr>
        <w:t xml:space="preserve"> representatives in accordance with WP.29 </w:t>
      </w:r>
      <w:proofErr w:type="spellStart"/>
      <w:r>
        <w:rPr>
          <w:rFonts w:asciiTheme="majorBidi" w:hAnsiTheme="majorBidi" w:cstheme="majorBidi"/>
          <w:lang w:val="en-GB"/>
        </w:rPr>
        <w:t>RoP</w:t>
      </w:r>
      <w:proofErr w:type="spellEnd"/>
      <w:r>
        <w:rPr>
          <w:rFonts w:asciiTheme="majorBidi" w:hAnsiTheme="majorBidi" w:cstheme="majorBidi"/>
          <w:lang w:val="en-GB"/>
        </w:rPr>
        <w:t xml:space="preserve"> Rule 1 (a)</w:t>
      </w:r>
      <w:r w:rsidR="00490A3D">
        <w:rPr>
          <w:rFonts w:asciiTheme="majorBidi" w:hAnsiTheme="majorBidi" w:cstheme="majorBidi"/>
          <w:lang w:val="en-GB"/>
        </w:rPr>
        <w:t>.</w:t>
      </w:r>
    </w:p>
    <w:p w14:paraId="18053AA7" w14:textId="24B32BB7" w:rsidR="00D24072" w:rsidRDefault="00DA1A74" w:rsidP="00D16E0A">
      <w:pPr>
        <w:pStyle w:val="ListParagraph"/>
        <w:numPr>
          <w:ilvl w:val="0"/>
          <w:numId w:val="1"/>
        </w:numPr>
        <w:rPr>
          <w:rFonts w:asciiTheme="majorBidi" w:hAnsiTheme="majorBidi" w:cstheme="majorBidi"/>
          <w:lang w:val="en-GB"/>
        </w:rPr>
      </w:pPr>
      <w:r>
        <w:rPr>
          <w:rFonts w:asciiTheme="majorBidi" w:hAnsiTheme="majorBidi" w:cstheme="majorBidi"/>
          <w:lang w:val="en-GB"/>
        </w:rPr>
        <w:t xml:space="preserve">Accreditation for the </w:t>
      </w:r>
      <w:r w:rsidR="00F43E44">
        <w:rPr>
          <w:rFonts w:asciiTheme="majorBidi" w:hAnsiTheme="majorBidi" w:cstheme="majorBidi"/>
          <w:lang w:val="en-GB"/>
        </w:rPr>
        <w:t xml:space="preserve">representatives </w:t>
      </w:r>
      <w:r w:rsidR="000A3AA5">
        <w:rPr>
          <w:rFonts w:asciiTheme="majorBidi" w:hAnsiTheme="majorBidi" w:cstheme="majorBidi"/>
          <w:lang w:val="en-GB"/>
        </w:rPr>
        <w:t>casting the vote</w:t>
      </w:r>
      <w:r w:rsidR="007C234B">
        <w:rPr>
          <w:rFonts w:asciiTheme="majorBidi" w:hAnsiTheme="majorBidi" w:cstheme="majorBidi"/>
          <w:lang w:val="en-GB"/>
        </w:rPr>
        <w:t>.</w:t>
      </w:r>
    </w:p>
    <w:p w14:paraId="1D65452A" w14:textId="06CEAEB9" w:rsidR="007C234B" w:rsidRDefault="00883C0C" w:rsidP="00D16E0A">
      <w:pPr>
        <w:pStyle w:val="ListParagraph"/>
        <w:numPr>
          <w:ilvl w:val="0"/>
          <w:numId w:val="1"/>
        </w:numPr>
        <w:rPr>
          <w:rFonts w:asciiTheme="majorBidi" w:hAnsiTheme="majorBidi" w:cstheme="majorBidi"/>
          <w:lang w:val="en-GB"/>
        </w:rPr>
      </w:pPr>
      <w:r>
        <w:rPr>
          <w:rFonts w:asciiTheme="majorBidi" w:hAnsiTheme="majorBidi" w:cstheme="majorBidi"/>
          <w:lang w:val="en-GB"/>
        </w:rPr>
        <w:t xml:space="preserve">Infrastructure for </w:t>
      </w:r>
      <w:r w:rsidR="00704981">
        <w:rPr>
          <w:rFonts w:asciiTheme="majorBidi" w:hAnsiTheme="majorBidi" w:cstheme="majorBidi"/>
          <w:lang w:val="en-GB"/>
        </w:rPr>
        <w:t xml:space="preserve">secret ballot </w:t>
      </w:r>
      <w:r w:rsidR="00724750">
        <w:rPr>
          <w:rFonts w:asciiTheme="majorBidi" w:hAnsiTheme="majorBidi" w:cstheme="majorBidi"/>
          <w:lang w:val="en-GB"/>
        </w:rPr>
        <w:t>process</w:t>
      </w:r>
      <w:r w:rsidR="0085573E">
        <w:rPr>
          <w:rFonts w:asciiTheme="majorBidi" w:hAnsiTheme="majorBidi" w:cstheme="majorBidi"/>
          <w:lang w:val="en-GB"/>
        </w:rPr>
        <w:t xml:space="preserve"> </w:t>
      </w:r>
      <w:r w:rsidR="004B3114">
        <w:rPr>
          <w:rFonts w:asciiTheme="majorBidi" w:hAnsiTheme="majorBidi" w:cstheme="majorBidi"/>
          <w:lang w:val="en-GB"/>
        </w:rPr>
        <w:t>(</w:t>
      </w:r>
      <w:proofErr w:type="gramStart"/>
      <w:r w:rsidR="004B3114">
        <w:rPr>
          <w:rFonts w:asciiTheme="majorBidi" w:hAnsiTheme="majorBidi" w:cstheme="majorBidi"/>
          <w:lang w:val="en-GB"/>
        </w:rPr>
        <w:t>e.g.</w:t>
      </w:r>
      <w:proofErr w:type="gramEnd"/>
      <w:r w:rsidR="004B3114">
        <w:rPr>
          <w:rFonts w:asciiTheme="majorBidi" w:hAnsiTheme="majorBidi" w:cstheme="majorBidi"/>
          <w:lang w:val="en-GB"/>
        </w:rPr>
        <w:t xml:space="preserve"> ballots, ballot box)</w:t>
      </w:r>
      <w:r w:rsidR="00710E59">
        <w:rPr>
          <w:rFonts w:asciiTheme="majorBidi" w:hAnsiTheme="majorBidi" w:cstheme="majorBidi"/>
          <w:lang w:val="en-GB"/>
        </w:rPr>
        <w:t>.</w:t>
      </w:r>
    </w:p>
    <w:p w14:paraId="4531FF94" w14:textId="621B11CB" w:rsidR="00F72784" w:rsidRDefault="00F72784" w:rsidP="00D16E0A">
      <w:pPr>
        <w:pStyle w:val="ListParagraph"/>
        <w:numPr>
          <w:ilvl w:val="0"/>
          <w:numId w:val="1"/>
        </w:numPr>
        <w:rPr>
          <w:rFonts w:asciiTheme="majorBidi" w:hAnsiTheme="majorBidi" w:cstheme="majorBidi"/>
          <w:lang w:val="en-GB"/>
        </w:rPr>
      </w:pPr>
      <w:r>
        <w:rPr>
          <w:rFonts w:asciiTheme="majorBidi" w:hAnsiTheme="majorBidi" w:cstheme="majorBidi"/>
          <w:lang w:val="en-GB"/>
        </w:rPr>
        <w:t>The secretariat wi</w:t>
      </w:r>
      <w:r w:rsidR="00A55551">
        <w:rPr>
          <w:rFonts w:asciiTheme="majorBidi" w:hAnsiTheme="majorBidi" w:cstheme="majorBidi"/>
          <w:lang w:val="en-GB"/>
        </w:rPr>
        <w:t>ll process the v</w:t>
      </w:r>
      <w:r w:rsidR="0072436F">
        <w:rPr>
          <w:rFonts w:asciiTheme="majorBidi" w:hAnsiTheme="majorBidi" w:cstheme="majorBidi"/>
          <w:lang w:val="en-GB"/>
        </w:rPr>
        <w:t>ote/elections.</w:t>
      </w:r>
    </w:p>
    <w:p w14:paraId="444D2B85" w14:textId="77777777" w:rsidR="00710E59" w:rsidRDefault="00710E59" w:rsidP="00710E59">
      <w:pPr>
        <w:rPr>
          <w:rFonts w:asciiTheme="majorBidi" w:hAnsiTheme="majorBidi" w:cstheme="majorBidi"/>
          <w:lang w:val="en-GB"/>
        </w:rPr>
      </w:pPr>
    </w:p>
    <w:p w14:paraId="67E1CE5B" w14:textId="77777777" w:rsidR="00710E59" w:rsidRDefault="00710E59" w:rsidP="00710E59">
      <w:pPr>
        <w:rPr>
          <w:rFonts w:asciiTheme="majorBidi" w:hAnsiTheme="majorBidi" w:cstheme="majorBidi"/>
          <w:lang w:val="en-GB"/>
        </w:rPr>
      </w:pPr>
    </w:p>
    <w:p w14:paraId="5E00C066" w14:textId="5DB767CD" w:rsidR="00710E59" w:rsidRPr="00710E59" w:rsidRDefault="00710E59" w:rsidP="00710E59">
      <w:pPr>
        <w:jc w:val="center"/>
        <w:rPr>
          <w:rFonts w:asciiTheme="majorBidi" w:hAnsiTheme="majorBidi" w:cstheme="majorBidi"/>
          <w:lang w:val="en-GB"/>
        </w:rPr>
      </w:pPr>
      <w:r>
        <w:rPr>
          <w:rFonts w:asciiTheme="majorBidi" w:hAnsiTheme="majorBidi" w:cstheme="majorBidi"/>
          <w:lang w:val="en-GB"/>
        </w:rPr>
        <w:t>_____________________</w:t>
      </w:r>
    </w:p>
    <w:p w14:paraId="7B47510A" w14:textId="108A5790" w:rsidR="00BF1C37" w:rsidRPr="00D16E0A" w:rsidRDefault="00D16E0A" w:rsidP="00D16E0A">
      <w:pPr>
        <w:pStyle w:val="ListParagraph"/>
        <w:ind w:left="900"/>
        <w:rPr>
          <w:rFonts w:asciiTheme="majorBidi" w:hAnsiTheme="majorBidi" w:cstheme="majorBidi"/>
          <w:lang w:val="en-GB"/>
        </w:rPr>
      </w:pPr>
      <w:r>
        <w:rPr>
          <w:rFonts w:asciiTheme="majorBidi" w:hAnsiTheme="majorBidi" w:cstheme="majorBidi"/>
          <w:lang w:val="en-GB"/>
        </w:rPr>
        <w:t xml:space="preserve"> </w:t>
      </w:r>
    </w:p>
    <w:sectPr w:rsidR="00BF1C37" w:rsidRPr="00D16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79D8" w14:textId="77777777" w:rsidR="00727050" w:rsidRDefault="00727050" w:rsidP="00D24072">
      <w:r>
        <w:separator/>
      </w:r>
    </w:p>
  </w:endnote>
  <w:endnote w:type="continuationSeparator" w:id="0">
    <w:p w14:paraId="1D9DB8BA" w14:textId="77777777" w:rsidR="00727050" w:rsidRDefault="00727050" w:rsidP="00D24072">
      <w:r>
        <w:continuationSeparator/>
      </w:r>
    </w:p>
  </w:endnote>
  <w:endnote w:type="continuationNotice" w:id="1">
    <w:p w14:paraId="1C9A8C04" w14:textId="77777777" w:rsidR="000C2266" w:rsidRDefault="000C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66DD" w14:textId="77777777" w:rsidR="00727050" w:rsidRDefault="00727050" w:rsidP="00D24072">
      <w:r>
        <w:separator/>
      </w:r>
    </w:p>
  </w:footnote>
  <w:footnote w:type="continuationSeparator" w:id="0">
    <w:p w14:paraId="021D2158" w14:textId="77777777" w:rsidR="00727050" w:rsidRDefault="00727050" w:rsidP="00D24072">
      <w:r>
        <w:continuationSeparator/>
      </w:r>
    </w:p>
  </w:footnote>
  <w:footnote w:type="continuationNotice" w:id="1">
    <w:p w14:paraId="4E72ACA4" w14:textId="77777777" w:rsidR="000C2266" w:rsidRDefault="000C22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995"/>
    <w:multiLevelType w:val="hybridMultilevel"/>
    <w:tmpl w:val="8C5C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E66E6"/>
    <w:multiLevelType w:val="hybridMultilevel"/>
    <w:tmpl w:val="964A43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87"/>
    <w:rsid w:val="00026696"/>
    <w:rsid w:val="000302A8"/>
    <w:rsid w:val="000A3AA5"/>
    <w:rsid w:val="000C2266"/>
    <w:rsid w:val="00101F0C"/>
    <w:rsid w:val="001542FB"/>
    <w:rsid w:val="001A1CDE"/>
    <w:rsid w:val="003967B4"/>
    <w:rsid w:val="0041422F"/>
    <w:rsid w:val="00490A3D"/>
    <w:rsid w:val="004B3114"/>
    <w:rsid w:val="00526223"/>
    <w:rsid w:val="0053441A"/>
    <w:rsid w:val="0057194A"/>
    <w:rsid w:val="005F0F78"/>
    <w:rsid w:val="00603C00"/>
    <w:rsid w:val="00621A78"/>
    <w:rsid w:val="006B3AE6"/>
    <w:rsid w:val="006F3250"/>
    <w:rsid w:val="00704981"/>
    <w:rsid w:val="00710E59"/>
    <w:rsid w:val="0072436F"/>
    <w:rsid w:val="00724750"/>
    <w:rsid w:val="00727050"/>
    <w:rsid w:val="00742E30"/>
    <w:rsid w:val="00747115"/>
    <w:rsid w:val="007C234B"/>
    <w:rsid w:val="007D5DCB"/>
    <w:rsid w:val="00803D87"/>
    <w:rsid w:val="0085573E"/>
    <w:rsid w:val="00863DC0"/>
    <w:rsid w:val="00883C0C"/>
    <w:rsid w:val="00942365"/>
    <w:rsid w:val="00A55551"/>
    <w:rsid w:val="00AB4D78"/>
    <w:rsid w:val="00B4347B"/>
    <w:rsid w:val="00B86BC9"/>
    <w:rsid w:val="00BB491B"/>
    <w:rsid w:val="00BC5674"/>
    <w:rsid w:val="00BF1C37"/>
    <w:rsid w:val="00C0159C"/>
    <w:rsid w:val="00C5205F"/>
    <w:rsid w:val="00D01C67"/>
    <w:rsid w:val="00D16E0A"/>
    <w:rsid w:val="00D24072"/>
    <w:rsid w:val="00DA01A7"/>
    <w:rsid w:val="00DA1A74"/>
    <w:rsid w:val="00F43E44"/>
    <w:rsid w:val="00F727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7F603"/>
  <w15:chartTrackingRefBased/>
  <w15:docId w15:val="{8320C72B-3D15-4CD5-80DC-ABCFDA1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87"/>
    <w:pPr>
      <w:widowControl w:val="0"/>
      <w:autoSpaceDE w:val="0"/>
      <w:autoSpaceDN w:val="0"/>
      <w:adjustRightInd w:val="0"/>
      <w:spacing w:after="0" w:line="240" w:lineRule="auto"/>
    </w:pPr>
    <w:rPr>
      <w:rFonts w:ascii="Courier New" w:eastAsia="Times New Roman" w:hAnsi="Courier New"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0A"/>
    <w:pPr>
      <w:ind w:left="720"/>
      <w:contextualSpacing/>
    </w:pPr>
  </w:style>
  <w:style w:type="paragraph" w:styleId="Header">
    <w:name w:val="header"/>
    <w:basedOn w:val="Normal"/>
    <w:link w:val="HeaderChar"/>
    <w:uiPriority w:val="99"/>
    <w:unhideWhenUsed/>
    <w:rsid w:val="00D24072"/>
    <w:pPr>
      <w:tabs>
        <w:tab w:val="center" w:pos="4513"/>
        <w:tab w:val="right" w:pos="9026"/>
      </w:tabs>
    </w:pPr>
  </w:style>
  <w:style w:type="character" w:customStyle="1" w:styleId="HeaderChar">
    <w:name w:val="Header Char"/>
    <w:basedOn w:val="DefaultParagraphFont"/>
    <w:link w:val="Header"/>
    <w:uiPriority w:val="99"/>
    <w:rsid w:val="00D24072"/>
    <w:rPr>
      <w:rFonts w:ascii="Courier New" w:eastAsia="Times New Roman" w:hAnsi="Courier New" w:cs="Times New Roman"/>
      <w:sz w:val="24"/>
      <w:szCs w:val="24"/>
      <w:lang w:val="en-US" w:eastAsia="en-US"/>
    </w:rPr>
  </w:style>
  <w:style w:type="paragraph" w:styleId="Footer">
    <w:name w:val="footer"/>
    <w:basedOn w:val="Normal"/>
    <w:link w:val="FooterChar"/>
    <w:uiPriority w:val="99"/>
    <w:unhideWhenUsed/>
    <w:rsid w:val="00D24072"/>
    <w:pPr>
      <w:tabs>
        <w:tab w:val="center" w:pos="4513"/>
        <w:tab w:val="right" w:pos="9026"/>
      </w:tabs>
    </w:pPr>
  </w:style>
  <w:style w:type="character" w:customStyle="1" w:styleId="FooterChar">
    <w:name w:val="Footer Char"/>
    <w:basedOn w:val="DefaultParagraphFont"/>
    <w:link w:val="Footer"/>
    <w:uiPriority w:val="99"/>
    <w:rsid w:val="00D24072"/>
    <w:rPr>
      <w:rFonts w:ascii="Courier New" w:eastAsia="Times New Roman" w:hAnsi="Courier New"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89EE3-1F11-459D-954C-7853BD4D1D3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53E9391-28BE-45BF-B411-582B8C8AEC2E}">
  <ds:schemaRefs>
    <ds:schemaRef ds:uri="http://schemas.microsoft.com/sharepoint/v3/contenttype/forms"/>
  </ds:schemaRefs>
</ds:datastoreItem>
</file>

<file path=customXml/itemProps3.xml><?xml version="1.0" encoding="utf-8"?>
<ds:datastoreItem xmlns:ds="http://schemas.openxmlformats.org/officeDocument/2006/customXml" ds:itemID="{94069539-622B-4215-8A0E-D3777682D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WN</cp:lastModifiedBy>
  <cp:revision>2</cp:revision>
  <cp:lastPrinted>2022-05-31T00:54:00Z</cp:lastPrinted>
  <dcterms:created xsi:type="dcterms:W3CDTF">2022-06-20T18:51:00Z</dcterms:created>
  <dcterms:modified xsi:type="dcterms:W3CDTF">2022-06-20T18:51:00Z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