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1707A" w14:paraId="2CBE176E" w14:textId="77777777" w:rsidTr="000216CC">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7A1A482A" w:rsidR="00FC215C" w:rsidRPr="00E1707A" w:rsidRDefault="00FC215C" w:rsidP="00FC215C">
            <w:pPr>
              <w:jc w:val="right"/>
              <w:rPr>
                <w:b/>
                <w:sz w:val="40"/>
                <w:szCs w:val="40"/>
                <w:lang w:val="fr-CH"/>
              </w:rPr>
            </w:pPr>
            <w:r w:rsidRPr="00E1707A">
              <w:rPr>
                <w:b/>
                <w:sz w:val="40"/>
                <w:szCs w:val="40"/>
                <w:lang w:val="fr-CH"/>
              </w:rPr>
              <w:t>UN/SCETDG/</w:t>
            </w:r>
            <w:r w:rsidR="00DF2019">
              <w:rPr>
                <w:b/>
                <w:sz w:val="40"/>
                <w:szCs w:val="40"/>
                <w:lang w:val="fr-CH"/>
              </w:rPr>
              <w:t>60</w:t>
            </w:r>
            <w:r w:rsidRPr="00E1707A">
              <w:rPr>
                <w:b/>
                <w:sz w:val="40"/>
                <w:szCs w:val="40"/>
                <w:lang w:val="fr-CH"/>
              </w:rPr>
              <w:t>/INF</w:t>
            </w:r>
            <w:r w:rsidR="00DF2019">
              <w:rPr>
                <w:b/>
                <w:sz w:val="40"/>
                <w:szCs w:val="40"/>
                <w:lang w:val="fr-CH"/>
              </w:rPr>
              <w:t>.</w:t>
            </w:r>
            <w:r w:rsidR="00BA1131">
              <w:rPr>
                <w:b/>
                <w:sz w:val="40"/>
                <w:szCs w:val="40"/>
                <w:lang w:val="fr-CH"/>
              </w:rPr>
              <w:t>36</w:t>
            </w:r>
          </w:p>
          <w:p w14:paraId="2CBE176C" w14:textId="7D4E6EE4" w:rsidR="00FC215C" w:rsidRPr="00E1707A" w:rsidRDefault="00FC215C" w:rsidP="00FC215C">
            <w:pPr>
              <w:jc w:val="right"/>
              <w:rPr>
                <w:b/>
                <w:sz w:val="40"/>
                <w:szCs w:val="40"/>
                <w:lang w:val="fr-CH"/>
              </w:rPr>
            </w:pPr>
            <w:r w:rsidRPr="00E1707A">
              <w:rPr>
                <w:b/>
                <w:sz w:val="40"/>
                <w:szCs w:val="40"/>
                <w:lang w:val="fr-CH"/>
              </w:rPr>
              <w:t>UN/SCEGHS/</w:t>
            </w:r>
            <w:r w:rsidR="00DF2019">
              <w:rPr>
                <w:b/>
                <w:sz w:val="40"/>
                <w:szCs w:val="40"/>
                <w:lang w:val="fr-CH"/>
              </w:rPr>
              <w:t>42</w:t>
            </w:r>
            <w:r w:rsidRPr="00E1707A">
              <w:rPr>
                <w:b/>
                <w:sz w:val="40"/>
                <w:szCs w:val="40"/>
                <w:lang w:val="fr-CH"/>
              </w:rPr>
              <w:t>/INF.</w:t>
            </w:r>
            <w:r w:rsidR="00BA1131">
              <w:rPr>
                <w:b/>
                <w:sz w:val="40"/>
                <w:szCs w:val="40"/>
                <w:lang w:val="fr-CH"/>
              </w:rPr>
              <w:t>18</w:t>
            </w:r>
          </w:p>
          <w:p w14:paraId="2CBE176D" w14:textId="77777777" w:rsidR="000216CC" w:rsidRPr="00E1707A"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0FFEA7C0"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BA1131">
              <w:rPr>
                <w:b/>
              </w:rPr>
              <w:t>24 June 2022</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7998AC52" w:rsidR="00645A0B" w:rsidRPr="000B4919" w:rsidRDefault="00DF2019" w:rsidP="00F64C95">
            <w:pPr>
              <w:spacing w:before="120"/>
              <w:ind w:left="34" w:hanging="34"/>
              <w:rPr>
                <w:b/>
              </w:rPr>
            </w:pPr>
            <w:r>
              <w:rPr>
                <w:b/>
              </w:rPr>
              <w:t>Sixtieth</w:t>
            </w:r>
            <w:r w:rsidR="004B1E47" w:rsidRPr="00E502D7">
              <w:rPr>
                <w:b/>
              </w:rPr>
              <w:t xml:space="preserve"> session</w:t>
            </w:r>
          </w:p>
        </w:tc>
        <w:tc>
          <w:tcPr>
            <w:tcW w:w="4993" w:type="dxa"/>
            <w:tcMar>
              <w:top w:w="57" w:type="dxa"/>
              <w:left w:w="108" w:type="dxa"/>
              <w:bottom w:w="0" w:type="dxa"/>
              <w:right w:w="108" w:type="dxa"/>
            </w:tcMar>
          </w:tcPr>
          <w:p w14:paraId="2CBE1776" w14:textId="52AC6EF6" w:rsidR="00645A0B" w:rsidRPr="000B4919" w:rsidRDefault="00362334" w:rsidP="00E63DE8">
            <w:pPr>
              <w:spacing w:before="120"/>
              <w:ind w:left="34" w:hanging="34"/>
              <w:rPr>
                <w:b/>
              </w:rPr>
            </w:pPr>
            <w:r>
              <w:rPr>
                <w:b/>
              </w:rPr>
              <w:t>Forty-second session</w:t>
            </w:r>
          </w:p>
        </w:tc>
      </w:tr>
      <w:tr w:rsidR="00645A0B" w:rsidRPr="000B4919" w14:paraId="2CBE177F" w14:textId="77777777" w:rsidTr="00165735">
        <w:tc>
          <w:tcPr>
            <w:tcW w:w="4652" w:type="dxa"/>
            <w:tcMar>
              <w:top w:w="28" w:type="dxa"/>
              <w:left w:w="108" w:type="dxa"/>
              <w:bottom w:w="0" w:type="dxa"/>
              <w:right w:w="108" w:type="dxa"/>
            </w:tcMar>
          </w:tcPr>
          <w:p w14:paraId="0A9A3D26" w14:textId="212C2D58" w:rsidR="006A4C67" w:rsidRDefault="00282D44" w:rsidP="006A4C67">
            <w:r w:rsidRPr="006500BA">
              <w:t xml:space="preserve">Geneva, </w:t>
            </w:r>
            <w:r>
              <w:t>27 June-6 July 2022</w:t>
            </w:r>
            <w:r w:rsidR="006A4C67">
              <w:br/>
              <w:t>Item</w:t>
            </w:r>
            <w:r w:rsidR="00BA1131">
              <w:t>10</w:t>
            </w:r>
            <w:r w:rsidR="003B656D">
              <w:t xml:space="preserve"> (c)</w:t>
            </w:r>
            <w:r w:rsidR="006A4C67">
              <w:t xml:space="preserve"> of the provisional agenda</w:t>
            </w:r>
          </w:p>
          <w:p w14:paraId="6DE00144" w14:textId="7FD13076" w:rsidR="00063F5B" w:rsidRPr="0042717A" w:rsidRDefault="000F67B5" w:rsidP="006A4C67">
            <w:pPr>
              <w:rPr>
                <w:b/>
                <w:bCs/>
              </w:rPr>
            </w:pPr>
            <w:r w:rsidRPr="000F67B5">
              <w:rPr>
                <w:b/>
                <w:bCs/>
              </w:rPr>
              <w:t>Issues relating to the Globally Harmonized System of Classification and Labelling of Chemicals</w:t>
            </w:r>
            <w:r w:rsidR="00767E6C" w:rsidRPr="000F67B5">
              <w:rPr>
                <w:b/>
                <w:bCs/>
              </w:rPr>
              <w:t>:</w:t>
            </w:r>
            <w:r w:rsidR="00767E6C" w:rsidRPr="0042717A">
              <w:rPr>
                <w:b/>
                <w:bCs/>
              </w:rPr>
              <w:t xml:space="preserve"> </w:t>
            </w:r>
            <w:r w:rsidR="0042717A" w:rsidRPr="0042717A">
              <w:rPr>
                <w:b/>
                <w:bCs/>
              </w:rPr>
              <w:br/>
            </w:r>
            <w:r>
              <w:rPr>
                <w:b/>
                <w:bCs/>
              </w:rPr>
              <w:t>miscellaneous</w:t>
            </w:r>
          </w:p>
          <w:p w14:paraId="2CBE177A" w14:textId="14B95CDB" w:rsidR="00645A0B" w:rsidRPr="00636F1E" w:rsidRDefault="00645A0B" w:rsidP="0042348E">
            <w:pPr>
              <w:spacing w:before="40"/>
              <w:ind w:left="-18" w:firstLine="18"/>
              <w:rPr>
                <w:b/>
                <w:bCs/>
              </w:rPr>
            </w:pPr>
          </w:p>
        </w:tc>
        <w:tc>
          <w:tcPr>
            <w:tcW w:w="4993" w:type="dxa"/>
            <w:tcMar>
              <w:top w:w="28" w:type="dxa"/>
              <w:left w:w="108" w:type="dxa"/>
              <w:bottom w:w="0" w:type="dxa"/>
              <w:right w:w="108" w:type="dxa"/>
            </w:tcMar>
          </w:tcPr>
          <w:p w14:paraId="76D7D06D" w14:textId="09A3961F" w:rsidR="007C4B64" w:rsidRDefault="00440CA9" w:rsidP="007C4B64">
            <w:r>
              <w:t>Geneva, 6-8 July 2022</w:t>
            </w:r>
            <w:r w:rsidR="007C4B64">
              <w:br/>
              <w:t xml:space="preserve">Item </w:t>
            </w:r>
            <w:r w:rsidR="003B656D">
              <w:t>2 (</w:t>
            </w:r>
            <w:r w:rsidR="00BA1131">
              <w:t>i</w:t>
            </w:r>
            <w:r w:rsidR="003B656D">
              <w:t>)</w:t>
            </w:r>
            <w:r w:rsidR="007C4B64">
              <w:t xml:space="preserve"> of the provisional agenda</w:t>
            </w:r>
          </w:p>
          <w:p w14:paraId="2CBE177E" w14:textId="6965ED80" w:rsidR="00645A0B" w:rsidRPr="000B4919" w:rsidRDefault="00A44CB5" w:rsidP="006D51B8">
            <w:pPr>
              <w:rPr>
                <w:b/>
                <w:bCs/>
              </w:rPr>
            </w:pPr>
            <w:r w:rsidRPr="006D51B8">
              <w:rPr>
                <w:b/>
                <w:bCs/>
              </w:rPr>
              <w:t xml:space="preserve">Work on the Globally Harmonized System of Classification and Labelling of Chemicals: </w:t>
            </w:r>
            <w:r w:rsidRPr="006D51B8">
              <w:rPr>
                <w:b/>
                <w:bCs/>
              </w:rPr>
              <w:br/>
            </w:r>
            <w:r w:rsidR="008E2A47" w:rsidRPr="008E2A47">
              <w:rPr>
                <w:b/>
                <w:bCs/>
              </w:rPr>
              <w:t>other matters</w:t>
            </w:r>
          </w:p>
        </w:tc>
      </w:tr>
    </w:tbl>
    <w:p w14:paraId="38E6B1CF" w14:textId="33734B71" w:rsidR="00F94AB1" w:rsidRPr="00EB6F22" w:rsidRDefault="00F94AB1" w:rsidP="00F94AB1">
      <w:pPr>
        <w:pStyle w:val="HChG"/>
        <w:rPr>
          <w:lang w:val="en-US"/>
        </w:rPr>
      </w:pPr>
      <w:r w:rsidRPr="00EB6F22">
        <w:rPr>
          <w:rFonts w:eastAsia="MS Mincho"/>
          <w:lang w:val="en-US" w:eastAsia="ja-JP"/>
        </w:rPr>
        <w:tab/>
      </w:r>
      <w:r w:rsidRPr="00EB6F22">
        <w:rPr>
          <w:rFonts w:eastAsia="MS Mincho"/>
          <w:lang w:val="en-US" w:eastAsia="ja-JP"/>
        </w:rPr>
        <w:tab/>
        <w:t xml:space="preserve">Consequential amendments to INF.8 </w:t>
      </w:r>
      <w:r w:rsidR="004905B1">
        <w:rPr>
          <w:rFonts w:eastAsia="MS Mincho"/>
          <w:lang w:val="en-US" w:eastAsia="ja-JP"/>
        </w:rPr>
        <w:t>(GHS)</w:t>
      </w:r>
      <w:r w:rsidR="00D07544">
        <w:rPr>
          <w:rFonts w:eastAsia="MS Mincho"/>
          <w:lang w:val="en-US" w:eastAsia="ja-JP"/>
        </w:rPr>
        <w:t xml:space="preserve"> </w:t>
      </w:r>
      <w:r w:rsidR="004905B1">
        <w:rPr>
          <w:rFonts w:eastAsia="MS Mincho"/>
          <w:lang w:val="en-US" w:eastAsia="ja-JP"/>
        </w:rPr>
        <w:t>-</w:t>
      </w:r>
      <w:r w:rsidR="00D07544">
        <w:rPr>
          <w:rFonts w:eastAsia="MS Mincho"/>
          <w:lang w:val="en-US" w:eastAsia="ja-JP"/>
        </w:rPr>
        <w:t xml:space="preserve"> </w:t>
      </w:r>
      <w:r w:rsidRPr="00A60C1B">
        <w:rPr>
          <w:rFonts w:eastAsia="MS Mincho"/>
          <w:lang w:val="en-US" w:eastAsia="ja-JP"/>
        </w:rPr>
        <w:t>INF.28</w:t>
      </w:r>
      <w:r w:rsidR="004905B1">
        <w:rPr>
          <w:rFonts w:eastAsia="MS Mincho"/>
          <w:lang w:val="en-US" w:eastAsia="ja-JP"/>
        </w:rPr>
        <w:t xml:space="preserve"> (TDG)</w:t>
      </w:r>
      <w:r w:rsidRPr="005A6BA1">
        <w:rPr>
          <w:rFonts w:eastAsia="MS Mincho"/>
          <w:lang w:val="en-US" w:eastAsia="ja-JP"/>
        </w:rPr>
        <w:t xml:space="preserve"> </w:t>
      </w:r>
      <w:r w:rsidRPr="00EB6F22">
        <w:rPr>
          <w:rFonts w:eastAsia="MS Mincho"/>
          <w:lang w:val="en-US" w:eastAsia="ja-JP"/>
        </w:rPr>
        <w:t>(Amendments for desensitized explosives)</w:t>
      </w:r>
    </w:p>
    <w:p w14:paraId="054036FB" w14:textId="77777777" w:rsidR="00F94AB1" w:rsidRPr="00EB6F22" w:rsidRDefault="00F94AB1" w:rsidP="00F94AB1">
      <w:pPr>
        <w:pStyle w:val="H1G"/>
        <w:rPr>
          <w:lang w:val="en-US"/>
        </w:rPr>
      </w:pPr>
      <w:r w:rsidRPr="00EB6F22">
        <w:rPr>
          <w:lang w:val="en-US"/>
        </w:rPr>
        <w:tab/>
      </w:r>
      <w:r w:rsidRPr="00EB6F22">
        <w:rPr>
          <w:lang w:val="en-US"/>
        </w:rPr>
        <w:tab/>
        <w:t>Transmitted by the experts from Germany and the United States of America</w:t>
      </w:r>
      <w:r w:rsidRPr="00EB6F22">
        <w:rPr>
          <w:rStyle w:val="FootnoteReference"/>
          <w:lang w:val="en-US"/>
        </w:rPr>
        <w:footnoteReference w:id="2"/>
      </w:r>
    </w:p>
    <w:p w14:paraId="0B89FA6D" w14:textId="28A23FA9" w:rsidR="00F94AB1" w:rsidRDefault="00F94AB1" w:rsidP="00F94AB1">
      <w:pPr>
        <w:pStyle w:val="SingleTxtG"/>
        <w:tabs>
          <w:tab w:val="left" w:pos="1701"/>
        </w:tabs>
        <w:rPr>
          <w:lang w:val="en-US"/>
        </w:rPr>
      </w:pPr>
      <w:r w:rsidRPr="00EB6F22">
        <w:rPr>
          <w:lang w:val="en-US"/>
        </w:rPr>
        <w:t>1.</w:t>
      </w:r>
      <w:r w:rsidRPr="00EB6F22">
        <w:rPr>
          <w:lang w:val="en-US"/>
        </w:rPr>
        <w:tab/>
      </w:r>
      <w:r>
        <w:rPr>
          <w:lang w:val="en-US"/>
        </w:rPr>
        <w:t xml:space="preserve">Informal document </w:t>
      </w:r>
      <w:r w:rsidRPr="0040745C">
        <w:rPr>
          <w:lang w:val="en-US"/>
        </w:rPr>
        <w:t>INF.8</w:t>
      </w:r>
      <w:r>
        <w:rPr>
          <w:lang w:val="en-US"/>
        </w:rPr>
        <w:t xml:space="preserve"> </w:t>
      </w:r>
      <w:r w:rsidR="003F3297">
        <w:rPr>
          <w:lang w:val="en-US"/>
        </w:rPr>
        <w:t>(</w:t>
      </w:r>
      <w:r w:rsidR="00AE498D">
        <w:rPr>
          <w:lang w:val="en-US"/>
        </w:rPr>
        <w:t xml:space="preserve">GHS, </w:t>
      </w:r>
      <w:r w:rsidR="003F3297">
        <w:rPr>
          <w:lang w:val="en-US"/>
        </w:rPr>
        <w:t>42</w:t>
      </w:r>
      <w:r w:rsidR="003F3297" w:rsidRPr="003F3297">
        <w:rPr>
          <w:vertAlign w:val="superscript"/>
          <w:lang w:val="en-US"/>
        </w:rPr>
        <w:t>nd</w:t>
      </w:r>
      <w:r w:rsidR="003F3297">
        <w:rPr>
          <w:lang w:val="en-US"/>
        </w:rPr>
        <w:t xml:space="preserve"> session) </w:t>
      </w:r>
      <w:r>
        <w:rPr>
          <w:lang w:val="en-US"/>
        </w:rPr>
        <w:t xml:space="preserve">and </w:t>
      </w:r>
      <w:r w:rsidRPr="00A60C1B">
        <w:rPr>
          <w:lang w:val="en-US"/>
        </w:rPr>
        <w:t>INF.28</w:t>
      </w:r>
      <w:r>
        <w:rPr>
          <w:rStyle w:val="FootnoteReference"/>
          <w:lang w:val="en-US"/>
        </w:rPr>
        <w:footnoteReference w:id="3"/>
      </w:r>
      <w:r>
        <w:rPr>
          <w:lang w:val="en-US"/>
        </w:rPr>
        <w:t xml:space="preserve"> </w:t>
      </w:r>
      <w:r w:rsidR="003F3297">
        <w:rPr>
          <w:lang w:val="en-US"/>
        </w:rPr>
        <w:t>(</w:t>
      </w:r>
      <w:r w:rsidR="00AE498D">
        <w:rPr>
          <w:lang w:val="en-US"/>
        </w:rPr>
        <w:t xml:space="preserve">TDG </w:t>
      </w:r>
      <w:r w:rsidR="003F3297">
        <w:rPr>
          <w:lang w:val="en-US"/>
        </w:rPr>
        <w:t>60</w:t>
      </w:r>
      <w:r w:rsidR="003F3297" w:rsidRPr="003F3297">
        <w:rPr>
          <w:vertAlign w:val="superscript"/>
          <w:lang w:val="en-US"/>
        </w:rPr>
        <w:t>th</w:t>
      </w:r>
      <w:r w:rsidR="003F3297">
        <w:rPr>
          <w:lang w:val="en-US"/>
        </w:rPr>
        <w:t xml:space="preserve"> session) </w:t>
      </w:r>
      <w:r>
        <w:rPr>
          <w:lang w:val="en-US"/>
        </w:rPr>
        <w:t>propose some amendments to Chapter 2.17 of the GHS but do not contain the necessary consequential amendments yet. These are proposed in this document as follows:</w:t>
      </w:r>
    </w:p>
    <w:p w14:paraId="4758E6C3" w14:textId="77777777" w:rsidR="00F94AB1" w:rsidRDefault="00F94AB1" w:rsidP="00F94AB1">
      <w:pPr>
        <w:pStyle w:val="Bullet1G"/>
        <w:numPr>
          <w:ilvl w:val="0"/>
          <w:numId w:val="0"/>
        </w:numPr>
        <w:ind w:left="2268" w:hanging="567"/>
        <w:rPr>
          <w:lang w:val="en-US"/>
        </w:rPr>
      </w:pPr>
      <w:r>
        <w:rPr>
          <w:lang w:val="en-US"/>
        </w:rPr>
        <w:t>(a)</w:t>
      </w:r>
      <w:r>
        <w:rPr>
          <w:lang w:val="en-US"/>
        </w:rPr>
        <w:tab/>
        <w:t>Annex I contains consequential amendments within Chapter 2.17 of the GHS, especially for the decision logic.</w:t>
      </w:r>
    </w:p>
    <w:p w14:paraId="3899A566" w14:textId="77777777" w:rsidR="00F94AB1" w:rsidRDefault="00F94AB1" w:rsidP="00F94AB1">
      <w:pPr>
        <w:pStyle w:val="Bullet1G"/>
        <w:numPr>
          <w:ilvl w:val="0"/>
          <w:numId w:val="0"/>
        </w:numPr>
        <w:ind w:left="2268" w:hanging="567"/>
        <w:rPr>
          <w:lang w:val="en-US"/>
        </w:rPr>
      </w:pPr>
      <w:r>
        <w:rPr>
          <w:lang w:val="en-US"/>
        </w:rPr>
        <w:t>(b)</w:t>
      </w:r>
      <w:r>
        <w:rPr>
          <w:lang w:val="en-US"/>
        </w:rPr>
        <w:tab/>
      </w:r>
      <w:r w:rsidRPr="00FF0B73">
        <w:rPr>
          <w:lang w:val="en-US"/>
        </w:rPr>
        <w:t>Annex II contains consequential amendments to S</w:t>
      </w:r>
      <w:r>
        <w:rPr>
          <w:lang w:val="en-US"/>
        </w:rPr>
        <w:t>ection 51 of the Manual of Tests and Criteria.</w:t>
      </w:r>
    </w:p>
    <w:p w14:paraId="796B1CBB" w14:textId="3220D0DC" w:rsidR="00F94AB1" w:rsidRDefault="00F94AB1" w:rsidP="00F94AB1">
      <w:pPr>
        <w:pStyle w:val="SingleTxtG"/>
        <w:tabs>
          <w:tab w:val="left" w:pos="1701"/>
        </w:tabs>
        <w:rPr>
          <w:lang w:val="en-US"/>
        </w:rPr>
      </w:pPr>
      <w:r w:rsidRPr="00EB6F22">
        <w:rPr>
          <w:i/>
          <w:iCs/>
          <w:lang w:val="en-US"/>
        </w:rPr>
        <w:t>(</w:t>
      </w:r>
      <w:r>
        <w:rPr>
          <w:i/>
          <w:iCs/>
          <w:lang w:val="en-US"/>
        </w:rPr>
        <w:t xml:space="preserve">Within the </w:t>
      </w:r>
      <w:r w:rsidR="007C77B6">
        <w:rPr>
          <w:i/>
          <w:iCs/>
          <w:lang w:val="en-US"/>
        </w:rPr>
        <w:t>a</w:t>
      </w:r>
      <w:r>
        <w:rPr>
          <w:i/>
          <w:iCs/>
          <w:lang w:val="en-US"/>
        </w:rPr>
        <w:t>nnexes, e</w:t>
      </w:r>
      <w:r w:rsidRPr="005D24DB">
        <w:rPr>
          <w:i/>
          <w:iCs/>
          <w:lang w:val="en-US"/>
        </w:rPr>
        <w:t xml:space="preserve">xplanatory </w:t>
      </w:r>
      <w:r w:rsidRPr="00EB6F22">
        <w:rPr>
          <w:i/>
          <w:iCs/>
          <w:lang w:val="en-US"/>
        </w:rPr>
        <w:t>remarks are in brackets</w:t>
      </w:r>
      <w:r w:rsidRPr="005A6BA1">
        <w:rPr>
          <w:i/>
          <w:iCs/>
          <w:lang w:val="en-US"/>
        </w:rPr>
        <w:t xml:space="preserve">; these are for the understanding of </w:t>
      </w:r>
      <w:r>
        <w:rPr>
          <w:i/>
          <w:iCs/>
          <w:lang w:val="en-US"/>
        </w:rPr>
        <w:t xml:space="preserve">experts </w:t>
      </w:r>
      <w:r w:rsidRPr="005A6BA1">
        <w:rPr>
          <w:i/>
          <w:iCs/>
          <w:lang w:val="en-US"/>
        </w:rPr>
        <w:t>and not optional amendments of the text</w:t>
      </w:r>
      <w:r>
        <w:rPr>
          <w:i/>
          <w:iCs/>
          <w:lang w:val="en-US"/>
        </w:rPr>
        <w:t xml:space="preserve"> of the GHS or the Manual.</w:t>
      </w:r>
      <w:r w:rsidRPr="00EB6F22">
        <w:rPr>
          <w:i/>
          <w:iCs/>
          <w:lang w:val="en-US"/>
        </w:rPr>
        <w:t>)</w:t>
      </w:r>
    </w:p>
    <w:p w14:paraId="1D3A3A9B" w14:textId="57B5B672" w:rsidR="00F94AB1" w:rsidRDefault="00F94AB1" w:rsidP="00F94AB1">
      <w:pPr>
        <w:pStyle w:val="SingleTxtG"/>
        <w:tabs>
          <w:tab w:val="left" w:pos="1701"/>
        </w:tabs>
        <w:rPr>
          <w:lang w:val="en-US"/>
        </w:rPr>
      </w:pPr>
      <w:r>
        <w:rPr>
          <w:lang w:val="en-US"/>
        </w:rPr>
        <w:t>2.</w:t>
      </w:r>
      <w:r>
        <w:rPr>
          <w:lang w:val="en-US"/>
        </w:rPr>
        <w:tab/>
        <w:t xml:space="preserve">In addition to the explanations and justification already given in </w:t>
      </w:r>
      <w:r w:rsidR="003F3297">
        <w:rPr>
          <w:lang w:val="en-US"/>
        </w:rPr>
        <w:t xml:space="preserve">informal documents </w:t>
      </w:r>
      <w:r w:rsidRPr="0040745C">
        <w:rPr>
          <w:lang w:val="en-US"/>
        </w:rPr>
        <w:t>INF.8</w:t>
      </w:r>
      <w:r>
        <w:rPr>
          <w:lang w:val="en-US"/>
        </w:rPr>
        <w:t xml:space="preserve"> </w:t>
      </w:r>
      <w:r w:rsidR="003F3297">
        <w:rPr>
          <w:lang w:val="en-US"/>
        </w:rPr>
        <w:t>(</w:t>
      </w:r>
      <w:r w:rsidR="007C77B6">
        <w:rPr>
          <w:lang w:val="en-US"/>
        </w:rPr>
        <w:t xml:space="preserve">GHS </w:t>
      </w:r>
      <w:r w:rsidR="003F3297">
        <w:rPr>
          <w:lang w:val="en-US"/>
        </w:rPr>
        <w:t>42</w:t>
      </w:r>
      <w:r w:rsidR="003F3297" w:rsidRPr="003F3297">
        <w:rPr>
          <w:vertAlign w:val="superscript"/>
          <w:lang w:val="en-US"/>
        </w:rPr>
        <w:t>nd</w:t>
      </w:r>
      <w:r w:rsidR="003F3297">
        <w:rPr>
          <w:lang w:val="en-US"/>
        </w:rPr>
        <w:t xml:space="preserve"> session) </w:t>
      </w:r>
      <w:r>
        <w:rPr>
          <w:lang w:val="en-US"/>
        </w:rPr>
        <w:t xml:space="preserve">and </w:t>
      </w:r>
      <w:r w:rsidRPr="00A60C1B">
        <w:rPr>
          <w:lang w:val="en-US"/>
        </w:rPr>
        <w:t>INF.28</w:t>
      </w:r>
      <w:r w:rsidR="003F3297">
        <w:rPr>
          <w:lang w:val="en-US"/>
        </w:rPr>
        <w:t xml:space="preserve"> (</w:t>
      </w:r>
      <w:r w:rsidR="007C77B6">
        <w:rPr>
          <w:lang w:val="en-US"/>
        </w:rPr>
        <w:t>TDG</w:t>
      </w:r>
      <w:r w:rsidR="00594427">
        <w:rPr>
          <w:lang w:val="en-US"/>
        </w:rPr>
        <w:t xml:space="preserve">, </w:t>
      </w:r>
      <w:r w:rsidR="003F3297">
        <w:rPr>
          <w:lang w:val="en-US"/>
        </w:rPr>
        <w:t>60</w:t>
      </w:r>
      <w:r w:rsidR="003F3297" w:rsidRPr="003F3297">
        <w:rPr>
          <w:vertAlign w:val="superscript"/>
          <w:lang w:val="en-US"/>
        </w:rPr>
        <w:t>th</w:t>
      </w:r>
      <w:r w:rsidR="003F3297">
        <w:rPr>
          <w:lang w:val="en-US"/>
        </w:rPr>
        <w:t xml:space="preserve"> session)</w:t>
      </w:r>
      <w:r>
        <w:rPr>
          <w:lang w:val="en-US"/>
        </w:rPr>
        <w:t>, the authors would like to emphasize that the proposal in these documents and in this document</w:t>
      </w:r>
      <w:r w:rsidR="00594427">
        <w:rPr>
          <w:lang w:val="en-US"/>
        </w:rPr>
        <w:t>:</w:t>
      </w:r>
    </w:p>
    <w:p w14:paraId="5DE70BC5" w14:textId="77777777" w:rsidR="00F94AB1" w:rsidRDefault="00F94AB1" w:rsidP="00F94AB1">
      <w:pPr>
        <w:pStyle w:val="Bullet1G"/>
        <w:numPr>
          <w:ilvl w:val="0"/>
          <w:numId w:val="0"/>
        </w:numPr>
        <w:ind w:left="2268" w:hanging="567"/>
        <w:rPr>
          <w:lang w:val="en-US"/>
        </w:rPr>
      </w:pPr>
      <w:r>
        <w:rPr>
          <w:lang w:val="en-US"/>
        </w:rPr>
        <w:t>(a)</w:t>
      </w:r>
      <w:r>
        <w:rPr>
          <w:lang w:val="en-US"/>
        </w:rPr>
        <w:tab/>
        <w:t>do not include changes to the transport regulations. The proposed amendments concern the GHS and Section 51 of the Manual of Tests and Criteria only. Section 51 of the Manual belongs to Part V which is “relating to Sectors other than transport” and</w:t>
      </w:r>
    </w:p>
    <w:p w14:paraId="03BB7F01" w14:textId="77777777" w:rsidR="00F94AB1" w:rsidRDefault="00F94AB1" w:rsidP="00F94AB1">
      <w:pPr>
        <w:pStyle w:val="Bullet1G"/>
        <w:numPr>
          <w:ilvl w:val="0"/>
          <w:numId w:val="0"/>
        </w:numPr>
        <w:ind w:left="2268" w:hanging="567"/>
        <w:rPr>
          <w:lang w:val="en-US"/>
        </w:rPr>
      </w:pPr>
      <w:r>
        <w:rPr>
          <w:lang w:val="en-US"/>
        </w:rPr>
        <w:t>(b)</w:t>
      </w:r>
      <w:r>
        <w:rPr>
          <w:lang w:val="en-US"/>
        </w:rPr>
        <w:tab/>
        <w:t xml:space="preserve">and would improve harmony with transport. Failing test series 3 and/or Appendix 10 of the Manual prevents transport as </w:t>
      </w:r>
      <w:r w:rsidRPr="00F31EF7">
        <w:rPr>
          <w:lang w:val="en-US"/>
        </w:rPr>
        <w:t>desensitized explosives (in class 3 or 4.1)</w:t>
      </w:r>
      <w:r>
        <w:rPr>
          <w:lang w:val="en-US"/>
        </w:rPr>
        <w:t xml:space="preserve"> and adding references to test series 3 and Appendix 10 in the Criteria section of Chapter 2.17 of the GHS would achieve that they also may not be classified as desensitized explosives acc. to the GHS.</w:t>
      </w:r>
    </w:p>
    <w:p w14:paraId="4B03F532" w14:textId="6FB978BB" w:rsidR="00F94AB1" w:rsidRDefault="00F94AB1" w:rsidP="00F94AB1">
      <w:pPr>
        <w:pStyle w:val="SingleTxtG"/>
        <w:tabs>
          <w:tab w:val="left" w:pos="1701"/>
        </w:tabs>
        <w:rPr>
          <w:lang w:val="en-US"/>
        </w:rPr>
      </w:pPr>
      <w:r>
        <w:rPr>
          <w:lang w:val="en-US"/>
        </w:rPr>
        <w:lastRenderedPageBreak/>
        <w:t>3.</w:t>
      </w:r>
      <w:r>
        <w:rPr>
          <w:lang w:val="en-US"/>
        </w:rPr>
        <w:tab/>
        <w:t xml:space="preserve">The </w:t>
      </w:r>
      <w:r w:rsidR="00594427">
        <w:rPr>
          <w:lang w:val="en-US"/>
        </w:rPr>
        <w:t>s</w:t>
      </w:r>
      <w:r>
        <w:rPr>
          <w:lang w:val="en-US"/>
        </w:rPr>
        <w:t>ub-</w:t>
      </w:r>
      <w:r w:rsidR="00594427">
        <w:rPr>
          <w:lang w:val="en-US"/>
        </w:rPr>
        <w:t>c</w:t>
      </w:r>
      <w:r>
        <w:rPr>
          <w:lang w:val="en-US"/>
        </w:rPr>
        <w:t xml:space="preserve">ommittees are invited to consider the consequential amendments in </w:t>
      </w:r>
      <w:r w:rsidR="0057619C">
        <w:rPr>
          <w:lang w:val="en-US"/>
        </w:rPr>
        <w:t xml:space="preserve">the </w:t>
      </w:r>
      <w:r>
        <w:rPr>
          <w:lang w:val="en-US"/>
        </w:rPr>
        <w:t xml:space="preserve">light of the proposal as presented in </w:t>
      </w:r>
      <w:r w:rsidR="00FF301E">
        <w:rPr>
          <w:lang w:val="en-US"/>
        </w:rPr>
        <w:t>informal documents</w:t>
      </w:r>
      <w:r w:rsidR="00C31452">
        <w:rPr>
          <w:lang w:val="en-US"/>
        </w:rPr>
        <w:t xml:space="preserve"> </w:t>
      </w:r>
      <w:r w:rsidRPr="0040745C">
        <w:rPr>
          <w:lang w:val="en-US"/>
        </w:rPr>
        <w:t>INF.8</w:t>
      </w:r>
      <w:r>
        <w:rPr>
          <w:lang w:val="en-US"/>
        </w:rPr>
        <w:t xml:space="preserve"> </w:t>
      </w:r>
      <w:r w:rsidR="00C31452">
        <w:rPr>
          <w:lang w:val="en-US"/>
        </w:rPr>
        <w:t>(</w:t>
      </w:r>
      <w:r w:rsidR="00F929AC">
        <w:rPr>
          <w:lang w:val="en-US"/>
        </w:rPr>
        <w:t xml:space="preserve">GHS, </w:t>
      </w:r>
      <w:r w:rsidR="00C31452">
        <w:rPr>
          <w:lang w:val="en-US"/>
        </w:rPr>
        <w:t>42</w:t>
      </w:r>
      <w:r w:rsidR="00C31452" w:rsidRPr="00C31452">
        <w:rPr>
          <w:vertAlign w:val="superscript"/>
          <w:lang w:val="en-US"/>
        </w:rPr>
        <w:t>nd</w:t>
      </w:r>
      <w:r w:rsidR="00C31452">
        <w:rPr>
          <w:lang w:val="en-US"/>
        </w:rPr>
        <w:t xml:space="preserve"> session) </w:t>
      </w:r>
      <w:r>
        <w:rPr>
          <w:lang w:val="en-US"/>
        </w:rPr>
        <w:t xml:space="preserve">and </w:t>
      </w:r>
      <w:r w:rsidRPr="00A60C1B">
        <w:rPr>
          <w:lang w:val="en-US"/>
        </w:rPr>
        <w:t>INF.28</w:t>
      </w:r>
      <w:r w:rsidR="00C31452">
        <w:rPr>
          <w:lang w:val="en-US"/>
        </w:rPr>
        <w:t xml:space="preserve"> (</w:t>
      </w:r>
      <w:r w:rsidR="00F929AC">
        <w:rPr>
          <w:lang w:val="en-US"/>
        </w:rPr>
        <w:t xml:space="preserve">TDG, </w:t>
      </w:r>
      <w:r w:rsidR="00C31452">
        <w:rPr>
          <w:lang w:val="en-US"/>
        </w:rPr>
        <w:t>60</w:t>
      </w:r>
      <w:r w:rsidR="00C31452" w:rsidRPr="00C31452">
        <w:rPr>
          <w:vertAlign w:val="superscript"/>
          <w:lang w:val="en-US"/>
        </w:rPr>
        <w:t>th</w:t>
      </w:r>
      <w:r w:rsidR="00C31452">
        <w:rPr>
          <w:lang w:val="en-US"/>
        </w:rPr>
        <w:t xml:space="preserve"> session)</w:t>
      </w:r>
      <w:r>
        <w:rPr>
          <w:lang w:val="en-US"/>
        </w:rPr>
        <w:t>.</w:t>
      </w:r>
    </w:p>
    <w:p w14:paraId="71E262F7" w14:textId="77777777" w:rsidR="00F94AB1" w:rsidRPr="00EB6F22" w:rsidRDefault="00F94AB1" w:rsidP="00F94AB1">
      <w:pPr>
        <w:pStyle w:val="SingleTxtG"/>
        <w:tabs>
          <w:tab w:val="left" w:pos="1701"/>
        </w:tabs>
        <w:rPr>
          <w:lang w:val="en-US"/>
        </w:rPr>
      </w:pPr>
      <w:r w:rsidRPr="00EB6F22">
        <w:rPr>
          <w:lang w:val="en-US"/>
        </w:rPr>
        <w:br w:type="page"/>
      </w:r>
    </w:p>
    <w:p w14:paraId="14FB9BD6" w14:textId="18F76FA7" w:rsidR="00F94AB1" w:rsidRPr="00EB6F22" w:rsidRDefault="00F94AB1" w:rsidP="00F94AB1">
      <w:pPr>
        <w:pStyle w:val="HChG"/>
        <w:rPr>
          <w:lang w:val="en-US"/>
        </w:rPr>
      </w:pPr>
      <w:r w:rsidRPr="00EB6F22">
        <w:rPr>
          <w:lang w:val="en-US"/>
        </w:rPr>
        <w:lastRenderedPageBreak/>
        <w:tab/>
        <w:t>Annex I</w:t>
      </w:r>
    </w:p>
    <w:p w14:paraId="13962F32" w14:textId="77777777" w:rsidR="00F94AB1" w:rsidRPr="00EB6F22" w:rsidRDefault="00F94AB1" w:rsidP="00F94AB1">
      <w:pPr>
        <w:pStyle w:val="HChG"/>
        <w:spacing w:before="120"/>
        <w:rPr>
          <w:lang w:val="en-US"/>
        </w:rPr>
      </w:pPr>
      <w:r w:rsidRPr="00EB6F22">
        <w:rPr>
          <w:lang w:val="en-US"/>
        </w:rPr>
        <w:tab/>
      </w:r>
      <w:r w:rsidRPr="00EB6F22">
        <w:rPr>
          <w:lang w:val="en-US"/>
        </w:rPr>
        <w:tab/>
        <w:t>Consequential amendments in 2.17.4.1 of Chapter 2.17 of the GHS</w:t>
      </w:r>
    </w:p>
    <w:p w14:paraId="039D4B76" w14:textId="77777777" w:rsidR="00F94AB1" w:rsidRPr="00EB6F22" w:rsidRDefault="00F94AB1" w:rsidP="00F94AB1">
      <w:pPr>
        <w:pStyle w:val="SingleTxtG"/>
        <w:jc w:val="left"/>
        <w:rPr>
          <w:lang w:val="en-US"/>
        </w:rPr>
      </w:pPr>
      <w:r w:rsidRPr="00EB6F22">
        <w:rPr>
          <w:lang w:val="en-US"/>
        </w:rPr>
        <w:tab/>
      </w:r>
      <w:r w:rsidRPr="00EB6F22">
        <w:rPr>
          <w:i/>
          <w:iCs/>
          <w:color w:val="000000" w:themeColor="text1"/>
          <w:lang w:val="en-US"/>
        </w:rPr>
        <w:t xml:space="preserve">(Amendments compared to the current text are shown as follows: additions are </w:t>
      </w:r>
      <w:r w:rsidRPr="00EB6F22">
        <w:rPr>
          <w:i/>
          <w:iCs/>
          <w:color w:val="000000" w:themeColor="text1"/>
          <w:u w:val="single"/>
          <w:lang w:val="en-US"/>
        </w:rPr>
        <w:t>underlined</w:t>
      </w:r>
      <w:r w:rsidRPr="00EB6F22">
        <w:rPr>
          <w:i/>
          <w:iCs/>
          <w:color w:val="000000" w:themeColor="text1"/>
          <w:lang w:val="en-US"/>
        </w:rPr>
        <w:t xml:space="preserve">, deletions in </w:t>
      </w:r>
      <w:r w:rsidRPr="00EB6F22">
        <w:rPr>
          <w:i/>
          <w:iCs/>
          <w:strike/>
          <w:color w:val="000000" w:themeColor="text1"/>
          <w:lang w:val="en-US"/>
        </w:rPr>
        <w:t>strikethrough</w:t>
      </w:r>
      <w:r w:rsidRPr="00EB6F22">
        <w:rPr>
          <w:i/>
          <w:iCs/>
          <w:color w:val="000000" w:themeColor="text1"/>
          <w:lang w:val="en-US"/>
        </w:rPr>
        <w:t>.)</w:t>
      </w:r>
    </w:p>
    <w:p w14:paraId="4464AD7B" w14:textId="77777777" w:rsidR="00F94AB1" w:rsidRPr="00EB6F22" w:rsidRDefault="00F94AB1" w:rsidP="00F94AB1">
      <w:pPr>
        <w:keepNext/>
        <w:keepLines/>
        <w:tabs>
          <w:tab w:val="left" w:pos="2268"/>
          <w:tab w:val="left" w:pos="3119"/>
          <w:tab w:val="left" w:pos="3686"/>
        </w:tabs>
        <w:suppressAutoHyphens w:val="0"/>
        <w:spacing w:after="240" w:line="240" w:lineRule="auto"/>
        <w:ind w:left="1134"/>
        <w:jc w:val="both"/>
        <w:rPr>
          <w:b/>
          <w:bCs/>
          <w:i/>
          <w:color w:val="000000"/>
          <w:szCs w:val="22"/>
          <w:lang w:val="en-US" w:eastAsia="fr-FR"/>
        </w:rPr>
      </w:pPr>
      <w:r w:rsidRPr="00EB6F22">
        <w:rPr>
          <w:b/>
          <w:bCs/>
          <w:color w:val="000000"/>
          <w:szCs w:val="22"/>
          <w:lang w:val="en-US" w:eastAsia="fr-FR"/>
        </w:rPr>
        <w:t>2.17.4.1</w:t>
      </w:r>
      <w:r w:rsidRPr="00EB6F22">
        <w:rPr>
          <w:b/>
          <w:bCs/>
          <w:color w:val="000000"/>
          <w:szCs w:val="22"/>
          <w:lang w:val="en-US" w:eastAsia="fr-FR"/>
        </w:rPr>
        <w:tab/>
      </w:r>
      <w:r w:rsidRPr="00EB6F22">
        <w:rPr>
          <w:b/>
          <w:bCs/>
          <w:i/>
          <w:color w:val="000000"/>
          <w:szCs w:val="22"/>
          <w:lang w:val="en-US" w:eastAsia="fr-FR"/>
        </w:rPr>
        <w:t>Decision logic</w:t>
      </w:r>
    </w:p>
    <w:p w14:paraId="656029B0" w14:textId="77777777" w:rsidR="00F94AB1" w:rsidRPr="00EB6F22" w:rsidRDefault="00F94AB1" w:rsidP="00F94AB1">
      <w:pPr>
        <w:tabs>
          <w:tab w:val="left" w:pos="2268"/>
        </w:tabs>
        <w:suppressAutoHyphens w:val="0"/>
        <w:spacing w:after="240" w:line="240" w:lineRule="auto"/>
        <w:ind w:left="1134" w:right="1134"/>
        <w:jc w:val="both"/>
        <w:rPr>
          <w:lang w:val="en-US"/>
        </w:rPr>
      </w:pPr>
      <w:r w:rsidRPr="00EB6F22">
        <w:rPr>
          <w:lang w:val="en-US"/>
        </w:rPr>
        <w:tab/>
        <w:t xml:space="preserve">To classify desensitized explosives, data for the </w:t>
      </w:r>
      <w:r w:rsidRPr="00EB6F22">
        <w:rPr>
          <w:u w:val="single"/>
          <w:lang w:val="en-US"/>
        </w:rPr>
        <w:t>sensitiv</w:t>
      </w:r>
      <w:r>
        <w:rPr>
          <w:u w:val="single"/>
          <w:lang w:val="en-US"/>
        </w:rPr>
        <w:t>ity,</w:t>
      </w:r>
      <w:r w:rsidRPr="00EB6F22">
        <w:rPr>
          <w:u w:val="single"/>
          <w:lang w:val="en-US"/>
        </w:rPr>
        <w:t xml:space="preserve"> thermal stability,</w:t>
      </w:r>
      <w:r w:rsidRPr="004507A4">
        <w:rPr>
          <w:u w:val="single"/>
          <w:lang w:val="en-US"/>
        </w:rPr>
        <w:t xml:space="preserve"> </w:t>
      </w:r>
      <w:r w:rsidRPr="00EB6F22">
        <w:rPr>
          <w:lang w:val="en-US"/>
        </w:rPr>
        <w:t xml:space="preserve">explosive potential and the corrected burning rate should be determined as described in </w:t>
      </w:r>
      <w:r w:rsidRPr="00EB6F22">
        <w:rPr>
          <w:u w:val="single"/>
          <w:lang w:val="en-US"/>
        </w:rPr>
        <w:t>Part</w:t>
      </w:r>
      <w:r>
        <w:rPr>
          <w:u w:val="single"/>
          <w:lang w:val="en-US"/>
        </w:rPr>
        <w:t> </w:t>
      </w:r>
      <w:r w:rsidRPr="00EB6F22">
        <w:rPr>
          <w:u w:val="single"/>
          <w:lang w:val="en-US"/>
        </w:rPr>
        <w:t>I and</w:t>
      </w:r>
      <w:r w:rsidRPr="000923D9">
        <w:rPr>
          <w:u w:val="single"/>
          <w:lang w:val="en-US"/>
        </w:rPr>
        <w:t xml:space="preserve"> </w:t>
      </w:r>
      <w:r w:rsidRPr="00EB6F22">
        <w:rPr>
          <w:lang w:val="en-US"/>
        </w:rPr>
        <w:t>Part</w:t>
      </w:r>
      <w:r>
        <w:rPr>
          <w:lang w:val="en-US"/>
        </w:rPr>
        <w:t> </w:t>
      </w:r>
      <w:r w:rsidRPr="00EB6F22">
        <w:rPr>
          <w:lang w:val="en-US"/>
        </w:rPr>
        <w:t xml:space="preserve">V of the </w:t>
      </w:r>
      <w:r w:rsidRPr="00EB6F22">
        <w:rPr>
          <w:i/>
          <w:lang w:val="en-US"/>
        </w:rPr>
        <w:t>Manual of Tests and Criteria</w:t>
      </w:r>
      <w:r w:rsidRPr="00EB6F22">
        <w:rPr>
          <w:lang w:val="en-US"/>
        </w:rPr>
        <w:t xml:space="preserve">. </w:t>
      </w:r>
      <w:r w:rsidRPr="00EB6F22">
        <w:rPr>
          <w:u w:val="single"/>
          <w:lang w:val="en-US"/>
        </w:rPr>
        <w:t>For nitrocellulose in nitrocellulose mixtures</w:t>
      </w:r>
      <w:r>
        <w:rPr>
          <w:u w:val="single"/>
          <w:lang w:val="en-US"/>
        </w:rPr>
        <w:t>,</w:t>
      </w:r>
      <w:r w:rsidRPr="00EB6F22">
        <w:rPr>
          <w:u w:val="single"/>
          <w:lang w:val="en-US"/>
        </w:rPr>
        <w:t xml:space="preserve"> </w:t>
      </w:r>
      <w:r>
        <w:rPr>
          <w:u w:val="single"/>
          <w:lang w:val="en-US"/>
        </w:rPr>
        <w:t xml:space="preserve">additional </w:t>
      </w:r>
      <w:r w:rsidRPr="00EB6F22">
        <w:rPr>
          <w:u w:val="single"/>
          <w:lang w:val="en-US"/>
        </w:rPr>
        <w:t xml:space="preserve">data for the stability as described in in Appendix 10 of the </w:t>
      </w:r>
      <w:r w:rsidRPr="00EB6F22">
        <w:rPr>
          <w:i/>
          <w:iCs/>
          <w:u w:val="single"/>
          <w:lang w:val="en-US"/>
        </w:rPr>
        <w:t>Manual of Tests and Criteria</w:t>
      </w:r>
      <w:r w:rsidRPr="00EB6F22">
        <w:rPr>
          <w:u w:val="single"/>
          <w:lang w:val="en-US"/>
        </w:rPr>
        <w:t xml:space="preserve"> are needed.</w:t>
      </w:r>
      <w:r w:rsidRPr="004507A4">
        <w:rPr>
          <w:u w:val="single"/>
          <w:lang w:val="en-US"/>
        </w:rPr>
        <w:t xml:space="preserve"> </w:t>
      </w:r>
      <w:r w:rsidRPr="00EB6F22">
        <w:rPr>
          <w:lang w:val="en-US"/>
        </w:rPr>
        <w:t>Classification is according to decision logic 2.17.1.</w:t>
      </w:r>
    </w:p>
    <w:p w14:paraId="467AC5EF" w14:textId="77777777" w:rsidR="008E2A47" w:rsidRDefault="008E2A47" w:rsidP="00F94AB1">
      <w:pPr>
        <w:spacing w:before="240"/>
        <w:rPr>
          <w:u w:val="single"/>
        </w:rPr>
      </w:pPr>
    </w:p>
    <w:p w14:paraId="298DB6C3" w14:textId="77777777" w:rsidR="003F3297" w:rsidRDefault="003F3297" w:rsidP="00F94AB1">
      <w:pPr>
        <w:spacing w:before="240"/>
        <w:rPr>
          <w:u w:val="single"/>
        </w:rPr>
      </w:pPr>
    </w:p>
    <w:p w14:paraId="3F02D44F" w14:textId="6A97B80F" w:rsidR="003F3297" w:rsidRDefault="003F3297">
      <w:pPr>
        <w:suppressAutoHyphens w:val="0"/>
        <w:spacing w:line="240" w:lineRule="auto"/>
        <w:rPr>
          <w:u w:val="single"/>
        </w:rPr>
      </w:pPr>
      <w:r>
        <w:rPr>
          <w:u w:val="single"/>
        </w:rPr>
        <w:br w:type="page"/>
      </w:r>
    </w:p>
    <w:p w14:paraId="5FFF267C" w14:textId="77777777" w:rsidR="000E38B6" w:rsidRPr="00EB6F22" w:rsidRDefault="000E38B6" w:rsidP="000E38B6">
      <w:pPr>
        <w:pStyle w:val="SingleTxtG"/>
        <w:keepNext/>
        <w:tabs>
          <w:tab w:val="left" w:pos="2268"/>
        </w:tabs>
        <w:spacing w:after="60"/>
        <w:ind w:left="2268" w:hanging="1134"/>
        <w:jc w:val="left"/>
        <w:rPr>
          <w:b/>
          <w:i/>
          <w:lang w:val="en-US"/>
        </w:rPr>
      </w:pPr>
      <w:r w:rsidRPr="00EB6F22">
        <w:rPr>
          <w:lang w:val="en-US"/>
        </w:rPr>
        <w:lastRenderedPageBreak/>
        <w:tab/>
      </w:r>
      <w:r w:rsidRPr="00EB6F22">
        <w:rPr>
          <w:lang w:val="en-US"/>
        </w:rPr>
        <w:tab/>
      </w:r>
      <w:r w:rsidRPr="00EB6F22">
        <w:rPr>
          <w:b/>
          <w:i/>
          <w:lang w:val="en-US"/>
        </w:rPr>
        <w:t xml:space="preserve">Decision logic 2.17.1 for desensitized explosives </w:t>
      </w:r>
      <w:r w:rsidRPr="00EB6F22">
        <w:rPr>
          <w:b/>
          <w:i/>
          <w:lang w:val="en-US"/>
        </w:rPr>
        <w:br/>
      </w:r>
      <w:r w:rsidRPr="00EB6F22">
        <w:rPr>
          <w:bCs/>
          <w:i/>
          <w:lang w:val="en-US"/>
        </w:rPr>
        <w:t>(amendments within the decision logic are not shown)</w:t>
      </w:r>
    </w:p>
    <w:p w14:paraId="6296BCA4" w14:textId="41440264" w:rsidR="00892AFD" w:rsidRDefault="000272C1" w:rsidP="000E38B6">
      <w:pPr>
        <w:spacing w:before="240"/>
      </w:pPr>
      <w:r>
        <w:object w:dxaOrig="9277" w:dyaOrig="12025" w14:anchorId="7AFA9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5pt;height:589.2pt" o:ole="">
            <v:imagedata r:id="rId11" o:title=""/>
          </v:shape>
          <o:OLEObject Type="Embed" ProgID="Visio.Drawing.15" ShapeID="_x0000_i1025" DrawAspect="Content" ObjectID="_1717596697" r:id="rId12"/>
        </w:object>
      </w:r>
    </w:p>
    <w:p w14:paraId="4E6FA498" w14:textId="77777777" w:rsidR="00515AC1" w:rsidRPr="00EB6F22" w:rsidRDefault="00515AC1" w:rsidP="00515AC1">
      <w:pPr>
        <w:pStyle w:val="SingleTxtG"/>
        <w:keepNext/>
        <w:spacing w:before="120" w:after="0" w:line="240" w:lineRule="auto"/>
        <w:ind w:left="284"/>
        <w:rPr>
          <w:i/>
          <w:iCs/>
          <w:sz w:val="18"/>
          <w:szCs w:val="18"/>
          <w:lang w:val="en-US"/>
        </w:rPr>
      </w:pPr>
      <w:r w:rsidRPr="00EB6F22">
        <w:rPr>
          <w:sz w:val="18"/>
          <w:szCs w:val="18"/>
          <w:vertAlign w:val="superscript"/>
          <w:lang w:val="en-US"/>
        </w:rPr>
        <w:t>1</w:t>
      </w:r>
      <w:r w:rsidRPr="00EB6F22">
        <w:rPr>
          <w:i/>
          <w:iCs/>
          <w:sz w:val="18"/>
          <w:szCs w:val="18"/>
          <w:lang w:val="en-US"/>
        </w:rPr>
        <w:tab/>
        <w:t>Test series 2 is optional. The alternative route (via test 6 (a) and (b) and test series 3) may be taken directly without performing test series 2.</w:t>
      </w:r>
    </w:p>
    <w:p w14:paraId="2C0A4492" w14:textId="77777777" w:rsidR="00515AC1" w:rsidRPr="00EB6F22" w:rsidRDefault="00515AC1" w:rsidP="00515AC1">
      <w:pPr>
        <w:pStyle w:val="SingleTxtG"/>
        <w:spacing w:before="60" w:after="0" w:line="240" w:lineRule="auto"/>
        <w:ind w:left="284"/>
        <w:rPr>
          <w:i/>
          <w:iCs/>
          <w:sz w:val="18"/>
          <w:szCs w:val="18"/>
          <w:lang w:val="en-US"/>
        </w:rPr>
      </w:pPr>
      <w:r w:rsidRPr="00EB6F22">
        <w:rPr>
          <w:sz w:val="18"/>
          <w:szCs w:val="18"/>
          <w:vertAlign w:val="superscript"/>
          <w:lang w:val="en-US"/>
        </w:rPr>
        <w:t>2</w:t>
      </w:r>
      <w:r w:rsidRPr="00EB6F22">
        <w:rPr>
          <w:i/>
          <w:iCs/>
          <w:sz w:val="18"/>
          <w:szCs w:val="18"/>
          <w:lang w:val="en-US"/>
        </w:rPr>
        <w:tab/>
        <w:t>Test series 3 is not applicable to nitrocellulose mixtures containing no other explosives than nitrocellulose.</w:t>
      </w:r>
    </w:p>
    <w:p w14:paraId="572AFD68" w14:textId="307EF6C9" w:rsidR="00E704F4" w:rsidRPr="00EB6F22" w:rsidRDefault="00E704F4" w:rsidP="00E704F4">
      <w:pPr>
        <w:pStyle w:val="HChG"/>
        <w:rPr>
          <w:lang w:val="en-US"/>
        </w:rPr>
      </w:pPr>
      <w:r w:rsidRPr="00EB6F22">
        <w:rPr>
          <w:lang w:val="en-US"/>
        </w:rPr>
        <w:lastRenderedPageBreak/>
        <w:tab/>
        <w:t>Annex II</w:t>
      </w:r>
    </w:p>
    <w:p w14:paraId="274863B6" w14:textId="77777777" w:rsidR="00E704F4" w:rsidRPr="00EB6F22" w:rsidRDefault="00E704F4" w:rsidP="00E704F4">
      <w:pPr>
        <w:pStyle w:val="HChG"/>
        <w:spacing w:before="120"/>
        <w:rPr>
          <w:lang w:val="en-US"/>
        </w:rPr>
      </w:pPr>
      <w:r w:rsidRPr="00EB6F22">
        <w:rPr>
          <w:lang w:val="en-US"/>
        </w:rPr>
        <w:tab/>
      </w:r>
      <w:r w:rsidRPr="00EB6F22">
        <w:rPr>
          <w:lang w:val="en-US"/>
        </w:rPr>
        <w:tab/>
        <w:t>Amendments to Section 51 of the Manual of Tests and Criteria</w:t>
      </w:r>
    </w:p>
    <w:p w14:paraId="7142943F" w14:textId="77777777" w:rsidR="00C26554" w:rsidRPr="00EB6F22" w:rsidRDefault="00C26554" w:rsidP="00C26554">
      <w:pPr>
        <w:pStyle w:val="SingleTxtG"/>
        <w:jc w:val="left"/>
        <w:rPr>
          <w:lang w:val="en-US"/>
        </w:rPr>
      </w:pPr>
      <w:r w:rsidRPr="00EB6F22">
        <w:rPr>
          <w:lang w:val="en-US"/>
        </w:rPr>
        <w:tab/>
      </w:r>
      <w:r w:rsidRPr="00EB6F22">
        <w:rPr>
          <w:i/>
          <w:iCs/>
          <w:color w:val="000000" w:themeColor="text1"/>
          <w:lang w:val="en-US"/>
        </w:rPr>
        <w:t xml:space="preserve">(Amendments compared to the current text are shown as follows: additions are </w:t>
      </w:r>
      <w:r w:rsidRPr="00EB6F22">
        <w:rPr>
          <w:i/>
          <w:iCs/>
          <w:color w:val="000000" w:themeColor="text1"/>
          <w:u w:val="single"/>
          <w:lang w:val="en-US"/>
        </w:rPr>
        <w:t>underlined</w:t>
      </w:r>
      <w:r w:rsidRPr="00EB6F22">
        <w:rPr>
          <w:i/>
          <w:iCs/>
          <w:color w:val="000000" w:themeColor="text1"/>
          <w:lang w:val="en-US"/>
        </w:rPr>
        <w:t xml:space="preserve">, deletions in </w:t>
      </w:r>
      <w:r w:rsidRPr="00EB6F22">
        <w:rPr>
          <w:i/>
          <w:iCs/>
          <w:strike/>
          <w:color w:val="000000" w:themeColor="text1"/>
          <w:lang w:val="en-US"/>
        </w:rPr>
        <w:t>strikethrough</w:t>
      </w:r>
      <w:r w:rsidRPr="00EB6F22">
        <w:rPr>
          <w:i/>
          <w:iCs/>
          <w:color w:val="000000" w:themeColor="text1"/>
          <w:lang w:val="en-US"/>
        </w:rPr>
        <w:t>.)</w:t>
      </w:r>
    </w:p>
    <w:p w14:paraId="223E262E" w14:textId="77777777" w:rsidR="00C26554" w:rsidRPr="00EB6F22" w:rsidRDefault="00C26554" w:rsidP="00C26554">
      <w:pPr>
        <w:tabs>
          <w:tab w:val="left" w:pos="2268"/>
        </w:tabs>
        <w:suppressAutoHyphens w:val="0"/>
        <w:spacing w:before="240" w:line="240" w:lineRule="auto"/>
        <w:ind w:left="1134" w:right="1134"/>
        <w:jc w:val="both"/>
        <w:rPr>
          <w:rFonts w:eastAsiaTheme="minorEastAsia"/>
          <w:b/>
          <w:bCs/>
          <w:lang w:val="en-US"/>
        </w:rPr>
      </w:pPr>
      <w:r w:rsidRPr="00EB6F22">
        <w:rPr>
          <w:rFonts w:eastAsiaTheme="minorEastAsia"/>
          <w:b/>
          <w:bCs/>
          <w:lang w:val="en-US"/>
        </w:rPr>
        <w:t>51.1</w:t>
      </w:r>
      <w:r w:rsidRPr="00EB6F22">
        <w:rPr>
          <w:rFonts w:eastAsiaTheme="minorEastAsia"/>
          <w:b/>
          <w:bCs/>
          <w:lang w:val="en-US"/>
        </w:rPr>
        <w:tab/>
      </w:r>
      <w:r w:rsidRPr="00EB6F22">
        <w:rPr>
          <w:rFonts w:eastAsia="Calibri" w:cs="TimesNewRomanPSMT"/>
          <w:b/>
          <w:bCs/>
          <w:lang w:val="en-US"/>
        </w:rPr>
        <w:t>Purpose</w:t>
      </w:r>
    </w:p>
    <w:p w14:paraId="454B7EC3" w14:textId="77777777" w:rsidR="00C26554" w:rsidRPr="00EB6F22" w:rsidRDefault="00C26554" w:rsidP="00C26554">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51.1.1</w:t>
      </w:r>
      <w:r w:rsidRPr="00EB6F22">
        <w:rPr>
          <w:rFonts w:eastAsiaTheme="minorEastAsia"/>
          <w:lang w:val="en-US"/>
        </w:rPr>
        <w:tab/>
        <w:t xml:space="preserve">This section </w:t>
      </w:r>
      <w:r w:rsidRPr="00EB6F22">
        <w:rPr>
          <w:rFonts w:eastAsia="Calibri" w:cs="TimesNewRomanPSMT"/>
          <w:lang w:val="en-US"/>
        </w:rPr>
        <w:t>presents</w:t>
      </w:r>
      <w:r w:rsidRPr="00EB6F22">
        <w:rPr>
          <w:rFonts w:eastAsiaTheme="minorEastAsia"/>
          <w:lang w:val="en-US"/>
        </w:rPr>
        <w:t xml:space="preserve"> the United Nations scheme of the classification of liquid and solid desensitized explosives </w:t>
      </w:r>
      <w:r w:rsidRPr="00EB6F22">
        <w:rPr>
          <w:rFonts w:eastAsiaTheme="minorEastAsia"/>
          <w:u w:val="single"/>
          <w:lang w:val="en-US"/>
        </w:rPr>
        <w:t>(</w:t>
      </w:r>
      <w:r w:rsidRPr="00EB6F22">
        <w:rPr>
          <w:rFonts w:eastAsiaTheme="minorEastAsia"/>
          <w:lang w:val="en-US"/>
        </w:rPr>
        <w:t xml:space="preserve">see Chapter 2.17 of the Globally Harmonized System of Classification and Labelling of Chemicals (GHS)). The text should be used in conjunction with the classification principles of Chapter 2.17 of the GHS and the test series given in </w:t>
      </w:r>
      <w:r w:rsidRPr="00EB6F22">
        <w:rPr>
          <w:rFonts w:eastAsiaTheme="minorEastAsia"/>
          <w:u w:val="single"/>
          <w:lang w:val="en-US"/>
        </w:rPr>
        <w:t xml:space="preserve">sections 12 and 13 and </w:t>
      </w:r>
      <w:r w:rsidRPr="00EB6F22">
        <w:rPr>
          <w:rFonts w:eastAsiaTheme="minorEastAsia"/>
          <w:lang w:val="en-US"/>
        </w:rPr>
        <w:t>sub-sections 16.4 and 16.5 of this Manual.</w:t>
      </w:r>
    </w:p>
    <w:p w14:paraId="7C4AE6B0" w14:textId="77777777" w:rsidR="00C26554" w:rsidRPr="00EB6F22" w:rsidRDefault="00C26554" w:rsidP="00C26554">
      <w:pPr>
        <w:tabs>
          <w:tab w:val="left" w:pos="2268"/>
        </w:tabs>
        <w:suppressAutoHyphens w:val="0"/>
        <w:spacing w:before="240" w:line="240" w:lineRule="auto"/>
        <w:ind w:left="1134" w:right="1134"/>
        <w:jc w:val="both"/>
        <w:rPr>
          <w:rFonts w:eastAsiaTheme="minorEastAsia"/>
          <w:i/>
          <w:iCs/>
          <w:lang w:val="en-US"/>
        </w:rPr>
      </w:pPr>
      <w:r w:rsidRPr="00EB6F22">
        <w:rPr>
          <w:rFonts w:eastAsiaTheme="minorEastAsia"/>
          <w:i/>
          <w:iCs/>
          <w:lang w:val="en-US"/>
        </w:rPr>
        <w:tab/>
        <w:t>For testing of liquid desensitized explosives for transport purposes, refer to section 32, sub</w:t>
      </w:r>
      <w:r w:rsidRPr="00EB6F22">
        <w:rPr>
          <w:rFonts w:eastAsiaTheme="minorEastAsia"/>
          <w:b/>
          <w:bCs/>
          <w:i/>
          <w:iCs/>
          <w:u w:val="single"/>
          <w:lang w:val="en-US"/>
        </w:rPr>
        <w:t>-</w:t>
      </w:r>
      <w:r w:rsidRPr="00EB6F22">
        <w:rPr>
          <w:rFonts w:eastAsiaTheme="minorEastAsia"/>
          <w:i/>
          <w:iCs/>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6080E4B2" w14:textId="77777777" w:rsidR="00C26554" w:rsidRPr="00EB6F22" w:rsidRDefault="00C26554" w:rsidP="00C26554">
      <w:pPr>
        <w:tabs>
          <w:tab w:val="left" w:pos="2268"/>
        </w:tabs>
        <w:suppressAutoHyphens w:val="0"/>
        <w:spacing w:before="240" w:line="240" w:lineRule="auto"/>
        <w:ind w:left="1134" w:right="1134"/>
        <w:jc w:val="both"/>
        <w:rPr>
          <w:rFonts w:eastAsiaTheme="minorEastAsia"/>
          <w:b/>
          <w:bCs/>
          <w:lang w:val="en-US"/>
        </w:rPr>
      </w:pPr>
      <w:r w:rsidRPr="00EB6F22">
        <w:rPr>
          <w:rFonts w:eastAsiaTheme="minorEastAsia"/>
          <w:b/>
          <w:bCs/>
          <w:lang w:val="en-US"/>
        </w:rPr>
        <w:t>51.2</w:t>
      </w:r>
      <w:r w:rsidRPr="00EB6F22">
        <w:rPr>
          <w:rFonts w:eastAsiaTheme="minorEastAsia"/>
          <w:b/>
          <w:bCs/>
          <w:lang w:val="en-US"/>
        </w:rPr>
        <w:tab/>
      </w:r>
      <w:r w:rsidRPr="00EB6F22">
        <w:rPr>
          <w:rFonts w:eastAsia="Calibri" w:cs="TimesNewRomanPSMT"/>
          <w:b/>
          <w:bCs/>
          <w:lang w:val="en-US"/>
        </w:rPr>
        <w:t>Scope</w:t>
      </w:r>
    </w:p>
    <w:p w14:paraId="4BD27D1F" w14:textId="77777777" w:rsidR="00C26554" w:rsidRPr="00EB6F22" w:rsidRDefault="00C26554" w:rsidP="00C26554">
      <w:pPr>
        <w:tabs>
          <w:tab w:val="left" w:pos="1418"/>
        </w:tabs>
        <w:suppressAutoHyphens w:val="0"/>
        <w:spacing w:before="240" w:line="240" w:lineRule="auto"/>
        <w:ind w:left="1134" w:right="1134"/>
        <w:jc w:val="both"/>
        <w:rPr>
          <w:rFonts w:eastAsia="Calibri" w:cs="TimesNewRomanPSMT"/>
          <w:i/>
          <w:iCs/>
          <w:lang w:val="en-US"/>
        </w:rPr>
      </w:pPr>
      <w:r w:rsidRPr="00EB6F22">
        <w:rPr>
          <w:rFonts w:eastAsia="Calibri" w:cs="TimesNewRomanPSMT"/>
          <w:i/>
          <w:iCs/>
          <w:lang w:val="en-US"/>
        </w:rPr>
        <w:t xml:space="preserve">(The wording of 51.2.1 is amended to reflect </w:t>
      </w:r>
      <w:r>
        <w:rPr>
          <w:rFonts w:eastAsia="Calibri" w:cs="TimesNewRomanPSMT"/>
          <w:i/>
          <w:iCs/>
          <w:lang w:val="en-US"/>
        </w:rPr>
        <w:t xml:space="preserve">exactly </w:t>
      </w:r>
      <w:r w:rsidRPr="00EB6F22">
        <w:rPr>
          <w:rFonts w:eastAsia="Calibri" w:cs="TimesNewRomanPSMT"/>
          <w:i/>
          <w:iCs/>
          <w:lang w:val="en-US"/>
        </w:rPr>
        <w:t>the wording proposed for the definition in 2.17.1.1 of the GHS. Furthermore, it is proposed to delete 51.2.2 (and instead to divide 51.2.1) because the criteria are laid down in Chapter 2.17 of the GHS. Repetition might cause problems should further changes be introduced later at one place while an according change at the other place might be overlooked. Alternatively, they should be reproduced exactly as in the GHS, however, this is not the preferred option by the authors.</w:t>
      </w:r>
      <w:r>
        <w:rPr>
          <w:rFonts w:eastAsia="Calibri" w:cs="TimesNewRomanPSMT"/>
          <w:i/>
          <w:iCs/>
          <w:lang w:val="en-US"/>
        </w:rPr>
        <w:t xml:space="preserve"> References to tests are worded as in the respective sub-section headlines of the Manual, e.g. as in 11.4.1.</w:t>
      </w:r>
      <w:r w:rsidRPr="00EB6F22">
        <w:rPr>
          <w:rFonts w:eastAsia="Calibri" w:cs="TimesNewRomanPSMT"/>
          <w:i/>
          <w:iCs/>
          <w:lang w:val="en-US"/>
        </w:rPr>
        <w:t>)</w:t>
      </w:r>
    </w:p>
    <w:p w14:paraId="6516DCC9" w14:textId="77777777" w:rsidR="00C26554" w:rsidRPr="00630761" w:rsidRDefault="00C26554" w:rsidP="00C26554">
      <w:pPr>
        <w:tabs>
          <w:tab w:val="left" w:pos="2268"/>
        </w:tabs>
        <w:suppressAutoHyphens w:val="0"/>
        <w:spacing w:before="240" w:line="240" w:lineRule="auto"/>
        <w:ind w:left="1134" w:right="1134"/>
        <w:jc w:val="both"/>
        <w:rPr>
          <w:rFonts w:eastAsia="Calibri" w:cs="TimesNewRomanPSMT"/>
          <w:u w:val="single"/>
          <w:lang w:val="en-US"/>
        </w:rPr>
      </w:pPr>
      <w:r w:rsidRPr="00EB6F22">
        <w:rPr>
          <w:rFonts w:eastAsia="Calibri" w:cs="TimesNewRomanPSMT"/>
          <w:lang w:val="en-US"/>
        </w:rPr>
        <w:t>51.2.1</w:t>
      </w:r>
      <w:r w:rsidRPr="00EB6F22">
        <w:rPr>
          <w:rFonts w:eastAsia="Calibri" w:cs="TimesNewRomanPSMT"/>
          <w:lang w:val="en-US"/>
        </w:rPr>
        <w:tab/>
        <w:t xml:space="preserve">Desensitized explosives are </w:t>
      </w:r>
      <w:r w:rsidRPr="00EB6F22">
        <w:rPr>
          <w:u w:val="single"/>
          <w:lang w:val="en-US"/>
        </w:rPr>
        <w:t xml:space="preserve">substances and mixtures in the scope of Chapter 2.1 of the GHS </w:t>
      </w:r>
      <w:r w:rsidRPr="00EB6F22">
        <w:rPr>
          <w:rFonts w:eastAsia="Calibri" w:cs="TimesNewRomanPSMT"/>
          <w:strike/>
          <w:lang w:val="en-US"/>
        </w:rPr>
        <w:t xml:space="preserve">solid or liquid explosive substances or mixtures </w:t>
      </w:r>
      <w:r w:rsidRPr="00EB6F22">
        <w:rPr>
          <w:rFonts w:eastAsia="Calibri" w:cs="TimesNewRomanPSMT"/>
          <w:lang w:val="en-US"/>
        </w:rPr>
        <w:t xml:space="preserve">which are phlegmatized to suppress their explosive properties in such a manner that they </w:t>
      </w:r>
      <w:r w:rsidRPr="00EB6F22">
        <w:rPr>
          <w:u w:val="single"/>
          <w:lang w:val="en-US"/>
        </w:rPr>
        <w:t xml:space="preserve">meet the criteria as specified in 2.17.2 of the GHS and thus </w:t>
      </w:r>
      <w:r w:rsidRPr="00EB6F22">
        <w:rPr>
          <w:rFonts w:eastAsia="Calibri" w:cs="TimesNewRomanPSMT"/>
          <w:lang w:val="en-US"/>
        </w:rPr>
        <w:t xml:space="preserve">may be </w:t>
      </w:r>
      <w:r w:rsidRPr="00EB6F22">
        <w:rPr>
          <w:rFonts w:eastAsia="Calibri" w:cs="TimesNewRomanPSMT"/>
          <w:u w:val="single"/>
          <w:lang w:val="en-US"/>
        </w:rPr>
        <w:t xml:space="preserve">exempted </w:t>
      </w:r>
      <w:r w:rsidRPr="00EB6F22">
        <w:rPr>
          <w:rFonts w:eastAsia="Calibri" w:cs="TimesNewRomanPSMT"/>
          <w:strike/>
          <w:lang w:val="en-US"/>
        </w:rPr>
        <w:t xml:space="preserve">excluded </w:t>
      </w:r>
      <w:r w:rsidRPr="00EB6F22">
        <w:rPr>
          <w:rFonts w:eastAsia="Calibri" w:cs="TimesNewRomanPSMT"/>
          <w:lang w:val="en-US"/>
        </w:rPr>
        <w:t>from the hazard class “Explosives” (Chapter 2.1 of GHS).</w:t>
      </w:r>
      <w:r>
        <w:rPr>
          <w:rFonts w:eastAsia="Calibri" w:cs="TimesNewRomanPSMT"/>
          <w:lang w:val="en-US"/>
        </w:rPr>
        <w:t xml:space="preserve"> </w:t>
      </w:r>
    </w:p>
    <w:p w14:paraId="3920F2A5" w14:textId="77777777" w:rsidR="00C26554" w:rsidRPr="00630761" w:rsidRDefault="00C26554" w:rsidP="00C26554">
      <w:pPr>
        <w:tabs>
          <w:tab w:val="left" w:pos="2268"/>
        </w:tabs>
        <w:suppressAutoHyphens w:val="0"/>
        <w:spacing w:before="240" w:line="240" w:lineRule="auto"/>
        <w:ind w:left="1134" w:right="1134"/>
        <w:jc w:val="both"/>
        <w:rPr>
          <w:rFonts w:eastAsia="Calibri" w:cs="TimesNewRomanPSMT"/>
          <w:u w:val="single"/>
          <w:lang w:val="en-US"/>
        </w:rPr>
      </w:pPr>
      <w:r w:rsidRPr="00EB6F22">
        <w:rPr>
          <w:rFonts w:eastAsia="Calibri" w:cs="TimesNewRomanPSMT"/>
          <w:u w:val="single"/>
          <w:lang w:val="en-US"/>
        </w:rPr>
        <w:t>51.2.2</w:t>
      </w:r>
      <w:r w:rsidRPr="00EB6F22">
        <w:rPr>
          <w:rFonts w:eastAsia="Calibri" w:cs="TimesNewRomanPSMT"/>
          <w:u w:val="single"/>
          <w:lang w:val="en-US"/>
        </w:rPr>
        <w:tab/>
      </w:r>
      <w:r w:rsidRPr="00EB6F22">
        <w:rPr>
          <w:rFonts w:eastAsia="Calibri" w:cs="TimesNewRomanPSMT"/>
          <w:lang w:val="en-US"/>
        </w:rPr>
        <w:t>Desensitized explosives</w:t>
      </w:r>
      <w:r w:rsidRPr="00EB6F22">
        <w:rPr>
          <w:rFonts w:eastAsia="Calibri" w:cs="TimesNewRomanPSMT"/>
          <w:strike/>
          <w:lang w:val="en-US"/>
        </w:rPr>
        <w:t>,</w:t>
      </w:r>
      <w:r w:rsidRPr="00EB6F22">
        <w:rPr>
          <w:rFonts w:eastAsia="Calibri" w:cs="TimesNewRomanPSMT"/>
          <w:lang w:val="en-US"/>
        </w:rPr>
        <w:t xml:space="preserve"> should be </w:t>
      </w:r>
      <w:r w:rsidRPr="00EB6F22">
        <w:rPr>
          <w:rFonts w:eastAsia="Calibri" w:cs="TimesNewRomanPSMT"/>
          <w:strike/>
          <w:lang w:val="en-US"/>
        </w:rPr>
        <w:t xml:space="preserve">first </w:t>
      </w:r>
      <w:r w:rsidRPr="00EB6F22">
        <w:rPr>
          <w:rFonts w:eastAsia="Calibri" w:cs="TimesNewRomanPSMT"/>
          <w:lang w:val="en-US"/>
        </w:rPr>
        <w:t>tested</w:t>
      </w:r>
      <w:r>
        <w:rPr>
          <w:rFonts w:eastAsia="Calibri" w:cs="TimesNewRomanPSMT"/>
          <w:lang w:val="en-US"/>
        </w:rPr>
        <w:t xml:space="preserve"> </w:t>
      </w:r>
    </w:p>
    <w:p w14:paraId="400985CC"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(a)</w:t>
      </w:r>
      <w:r w:rsidRPr="00EB6F22">
        <w:rPr>
          <w:rFonts w:eastAsia="Calibri" w:cs="TimesNewRomanPSMT"/>
          <w:u w:val="single"/>
          <w:lang w:val="en-US"/>
        </w:rPr>
        <w:tab/>
        <w:t>for their exothermic decomposition energy</w:t>
      </w:r>
      <w:r w:rsidRPr="00EB6F22">
        <w:rPr>
          <w:rStyle w:val="FootnoteReference"/>
          <w:rFonts w:eastAsia="Calibri"/>
          <w:u w:val="single"/>
          <w:lang w:val="en-US"/>
        </w:rPr>
        <w:t>1</w:t>
      </w:r>
      <w:r w:rsidRPr="00EB6F22">
        <w:rPr>
          <w:rFonts w:eastAsia="Calibri" w:cs="TimesNewRomanPSMT"/>
          <w:u w:val="single"/>
          <w:lang w:val="en-US"/>
        </w:rPr>
        <w:t>,</w:t>
      </w:r>
      <w:r w:rsidRPr="004A0940">
        <w:rPr>
          <w:rFonts w:eastAsia="Calibri" w:cs="TimesNewRomanPSMT"/>
          <w:u w:val="single"/>
          <w:lang w:val="en-US"/>
        </w:rPr>
        <w:t xml:space="preserve"> if attempting to exit the class of desensitized explosives;</w:t>
      </w:r>
    </w:p>
    <w:p w14:paraId="485EC57D" w14:textId="77777777" w:rsidR="00C26554" w:rsidRPr="002728DB" w:rsidRDefault="00C26554" w:rsidP="00C26554">
      <w:pPr>
        <w:suppressAutoHyphens w:val="0"/>
        <w:spacing w:before="120" w:line="240" w:lineRule="auto"/>
        <w:ind w:left="2835" w:right="1134" w:hanging="567"/>
        <w:jc w:val="both"/>
        <w:rPr>
          <w:rFonts w:eastAsia="Calibri" w:cs="TimesNewRomanPSMT"/>
          <w:lang w:val="en-US"/>
        </w:rPr>
      </w:pPr>
      <w:r w:rsidRPr="00EB6F22">
        <w:rPr>
          <w:rFonts w:eastAsia="Calibri" w:cs="TimesNewRomanPSMT"/>
          <w:u w:val="single"/>
          <w:lang w:val="en-US"/>
        </w:rPr>
        <w:t>(b)</w:t>
      </w:r>
      <w:r w:rsidRPr="00EB6F22">
        <w:rPr>
          <w:rFonts w:eastAsia="Calibri" w:cs="TimesNewRomanPSMT"/>
          <w:u w:val="single"/>
          <w:lang w:val="en-US"/>
        </w:rPr>
        <w:tab/>
      </w:r>
      <w:r w:rsidRPr="00EB6F22">
        <w:rPr>
          <w:rFonts w:eastAsia="Calibri" w:cs="TimesNewRomanPSMT"/>
          <w:lang w:val="en-US"/>
        </w:rPr>
        <w:t>according to the test</w:t>
      </w:r>
      <w:r w:rsidRPr="006B5656">
        <w:rPr>
          <w:rFonts w:eastAsia="Calibri" w:cs="TimesNewRomanPSMT"/>
          <w:strike/>
          <w:lang w:val="en-US"/>
        </w:rPr>
        <w:t>s series 1 (type</w:t>
      </w:r>
      <w:r w:rsidRPr="00EB6F22">
        <w:rPr>
          <w:rFonts w:eastAsia="Calibri" w:cs="TimesNewRomanPSMT"/>
          <w:lang w:val="en-US"/>
        </w:rPr>
        <w:t xml:space="preserve"> 1</w:t>
      </w:r>
      <w:r w:rsidRPr="004A0940">
        <w:rPr>
          <w:rFonts w:eastAsia="Calibri" w:cs="TimesNewRomanPSMT"/>
          <w:u w:val="single"/>
          <w:lang w:val="en-US"/>
        </w:rPr>
        <w:t xml:space="preserve"> </w:t>
      </w:r>
      <w:r w:rsidRPr="00EB6F22">
        <w:rPr>
          <w:rFonts w:eastAsia="Calibri" w:cs="TimesNewRomanPSMT"/>
          <w:lang w:val="en-US"/>
        </w:rPr>
        <w:t>(a)</w:t>
      </w:r>
      <w:r w:rsidRPr="006B5656">
        <w:rPr>
          <w:rFonts w:eastAsia="Calibri" w:cs="TimesNewRomanPSMT"/>
          <w:strike/>
          <w:lang w:val="en-US"/>
        </w:rPr>
        <w:t>)</w:t>
      </w:r>
      <w:r w:rsidRPr="00EB6F22">
        <w:rPr>
          <w:rFonts w:eastAsia="Calibri" w:cs="TimesNewRomanPSMT"/>
          <w:lang w:val="en-US"/>
        </w:rPr>
        <w:t xml:space="preserve">, </w:t>
      </w:r>
      <w:r w:rsidRPr="006B5656">
        <w:rPr>
          <w:rFonts w:eastAsia="Calibri" w:cs="TimesNewRomanPSMT"/>
          <w:u w:val="single"/>
          <w:lang w:val="en-US"/>
        </w:rPr>
        <w:t>test series</w:t>
      </w:r>
      <w:r>
        <w:rPr>
          <w:rFonts w:eastAsia="Calibri" w:cs="TimesNewRomanPSMT"/>
          <w:lang w:val="en-US"/>
        </w:rPr>
        <w:t xml:space="preserve"> </w:t>
      </w:r>
      <w:r w:rsidRPr="00EB6F22">
        <w:rPr>
          <w:rFonts w:eastAsia="Calibri" w:cs="TimesNewRomanPSMT"/>
          <w:lang w:val="en-US"/>
        </w:rPr>
        <w:t>2</w:t>
      </w:r>
      <w:r w:rsidRPr="00EB6F22">
        <w:rPr>
          <w:rFonts w:eastAsia="Calibri" w:cs="TimesNewRomanPSMT"/>
          <w:u w:val="single"/>
          <w:lang w:val="en-US"/>
        </w:rPr>
        <w:t>, 3</w:t>
      </w:r>
      <w:r w:rsidRPr="00EB6F22">
        <w:rPr>
          <w:rFonts w:eastAsia="Calibri" w:cs="TimesNewRomanPSMT"/>
          <w:lang w:val="en-US"/>
        </w:rPr>
        <w:t xml:space="preserve"> and </w:t>
      </w:r>
      <w:r w:rsidRPr="006B5656">
        <w:rPr>
          <w:rFonts w:eastAsia="Calibri" w:cs="TimesNewRomanPSMT"/>
          <w:u w:val="single"/>
          <w:lang w:val="en-US"/>
        </w:rPr>
        <w:t xml:space="preserve">tests </w:t>
      </w:r>
      <w:r w:rsidRPr="00EB6F22">
        <w:rPr>
          <w:rFonts w:eastAsia="Calibri" w:cs="TimesNewRomanPSMT"/>
          <w:lang w:val="en-US"/>
        </w:rPr>
        <w:t xml:space="preserve">6 </w:t>
      </w:r>
      <w:r w:rsidRPr="006B5656">
        <w:rPr>
          <w:rFonts w:eastAsia="Calibri" w:cs="TimesNewRomanPSMT"/>
          <w:strike/>
          <w:lang w:val="en-US"/>
        </w:rPr>
        <w:t xml:space="preserve">(type </w:t>
      </w:r>
      <w:r w:rsidRPr="00EB6F22">
        <w:rPr>
          <w:rFonts w:eastAsia="Calibri" w:cs="TimesNewRomanPSMT"/>
          <w:lang w:val="en-US"/>
        </w:rPr>
        <w:t>(a) and (b), respectively</w:t>
      </w:r>
      <w:r w:rsidRPr="002728DB">
        <w:rPr>
          <w:rFonts w:eastAsia="Calibri" w:cs="TimesNewRomanPSMT"/>
          <w:strike/>
          <w:lang w:val="en-US"/>
        </w:rPr>
        <w:t>)</w:t>
      </w:r>
      <w:r w:rsidRPr="00EB6F22">
        <w:rPr>
          <w:rFonts w:eastAsia="Calibri" w:cs="TimesNewRomanPSMT"/>
          <w:lang w:val="en-US"/>
        </w:rPr>
        <w:t xml:space="preserve"> of this Manual</w:t>
      </w:r>
      <w:r w:rsidRPr="00EB6F22">
        <w:rPr>
          <w:rStyle w:val="FootnoteReference"/>
          <w:rFonts w:eastAsia="Calibri"/>
          <w:strike/>
          <w:lang w:val="en-US"/>
        </w:rPr>
        <w:t>1</w:t>
      </w:r>
      <w:r w:rsidRPr="002728DB">
        <w:rPr>
          <w:rFonts w:eastAsia="Calibri"/>
          <w:strike/>
          <w:lang w:val="en-US"/>
        </w:rPr>
        <w:t>.</w:t>
      </w:r>
      <w:r w:rsidRPr="002728DB">
        <w:rPr>
          <w:rFonts w:eastAsia="Calibri"/>
          <w:u w:val="single"/>
          <w:lang w:val="en-US"/>
        </w:rPr>
        <w:t>, according to the classification procedure in section 51.3, to preclude a mass explosion in the corrected burning rate test</w:t>
      </w:r>
      <w:r w:rsidRPr="002728DB">
        <w:rPr>
          <w:rStyle w:val="FootnoteReference"/>
          <w:rFonts w:eastAsia="Calibri"/>
          <w:u w:val="single"/>
          <w:lang w:val="en-US"/>
        </w:rPr>
        <w:t xml:space="preserve"> </w:t>
      </w:r>
      <w:r>
        <w:rPr>
          <w:rFonts w:eastAsia="Calibri" w:cs="TimesNewRomanPSMT"/>
          <w:u w:val="single"/>
          <w:lang w:val="en-US"/>
        </w:rPr>
        <w:t>;</w:t>
      </w:r>
    </w:p>
    <w:p w14:paraId="76CB3934" w14:textId="77777777" w:rsidR="00C26554" w:rsidRDefault="00C26554" w:rsidP="00C26554">
      <w:pPr>
        <w:suppressAutoHyphens w:val="0"/>
        <w:spacing w:before="120" w:after="240" w:line="240" w:lineRule="auto"/>
        <w:ind w:left="2835" w:right="1134" w:hanging="567"/>
        <w:jc w:val="both"/>
        <w:rPr>
          <w:rFonts w:eastAsia="Calibri" w:cs="TimesNewRomanPSMT"/>
          <w:u w:val="single"/>
          <w:lang w:val="en-US"/>
        </w:rPr>
      </w:pPr>
      <w:r w:rsidRPr="00EB6F22">
        <w:rPr>
          <w:rFonts w:eastAsia="Calibri" w:cs="TimesNewRomanPSMT"/>
          <w:u w:val="single"/>
          <w:lang w:val="en-US"/>
        </w:rPr>
        <w:t>(c)</w:t>
      </w:r>
      <w:r w:rsidRPr="00EB6F22">
        <w:rPr>
          <w:rFonts w:eastAsia="Calibri" w:cs="TimesNewRomanPSMT"/>
          <w:u w:val="single"/>
          <w:lang w:val="en-US"/>
        </w:rPr>
        <w:tab/>
      </w:r>
      <w:r>
        <w:rPr>
          <w:rFonts w:eastAsia="Calibri" w:cs="TimesNewRomanPSMT"/>
          <w:u w:val="single"/>
          <w:lang w:val="en-US"/>
        </w:rPr>
        <w:t>according to the corrected burning rate test;</w:t>
      </w:r>
    </w:p>
    <w:p w14:paraId="6D5E7633" w14:textId="77777777" w:rsidR="00C26554" w:rsidRPr="00EB6F22" w:rsidRDefault="00C26554" w:rsidP="00C26554">
      <w:pPr>
        <w:suppressAutoHyphens w:val="0"/>
        <w:spacing w:before="120" w:after="240" w:line="240" w:lineRule="auto"/>
        <w:ind w:left="2835" w:right="1134" w:hanging="567"/>
        <w:jc w:val="both"/>
        <w:rPr>
          <w:rFonts w:eastAsia="Calibri" w:cs="TimesNewRomanPSMT"/>
          <w:lang w:val="en-US"/>
        </w:rPr>
      </w:pPr>
      <w:r>
        <w:rPr>
          <w:rFonts w:eastAsia="Calibri" w:cs="TimesNewRomanPSMT"/>
          <w:u w:val="single"/>
          <w:lang w:val="en-US"/>
        </w:rPr>
        <w:t>(d)</w:t>
      </w:r>
      <w:r>
        <w:rPr>
          <w:rFonts w:eastAsia="Calibri" w:cs="TimesNewRomanPSMT"/>
          <w:u w:val="single"/>
          <w:lang w:val="en-US"/>
        </w:rPr>
        <w:tab/>
      </w:r>
      <w:r w:rsidRPr="00EB6F22">
        <w:rPr>
          <w:rFonts w:eastAsia="Calibri" w:cs="TimesNewRomanPSMT"/>
          <w:u w:val="single"/>
          <w:lang w:val="en-US"/>
        </w:rPr>
        <w:t>and nitrocellulose in nitrocellulose mixtures should be tested according to Appendix 10 of this Manual</w:t>
      </w:r>
      <w:r>
        <w:rPr>
          <w:rFonts w:eastAsia="Calibri" w:cs="TimesNewRomanPSMT"/>
          <w:u w:val="single"/>
          <w:lang w:val="en-US"/>
        </w:rPr>
        <w:t>.</w:t>
      </w:r>
    </w:p>
    <w:p w14:paraId="5BE97B89" w14:textId="77777777" w:rsidR="00C26554" w:rsidRPr="00E1533F" w:rsidRDefault="00C26554" w:rsidP="00C26554">
      <w:pPr>
        <w:pBdr>
          <w:top w:val="single" w:sz="4" w:space="1" w:color="auto"/>
        </w:pBdr>
        <w:tabs>
          <w:tab w:val="left" w:pos="1418"/>
        </w:tabs>
        <w:suppressAutoHyphens w:val="0"/>
        <w:spacing w:before="40" w:line="240" w:lineRule="auto"/>
        <w:ind w:left="1134" w:right="1134"/>
        <w:rPr>
          <w:rStyle w:val="FootnoteTextChar"/>
          <w:i/>
          <w:iCs/>
          <w:lang w:val="en-US"/>
        </w:rPr>
      </w:pPr>
      <w:r w:rsidRPr="00EB6F22">
        <w:rPr>
          <w:rStyle w:val="FootnoteReference"/>
          <w:rFonts w:eastAsiaTheme="minorEastAsia"/>
          <w:strike/>
          <w:lang w:val="en-US"/>
        </w:rPr>
        <w:t>1</w:t>
      </w:r>
      <w:r w:rsidRPr="00E1533F">
        <w:rPr>
          <w:rStyle w:val="FootnoteTextChar"/>
          <w:rFonts w:eastAsiaTheme="minorEastAsia"/>
          <w:i/>
          <w:iCs/>
          <w:lang w:val="en-US"/>
        </w:rPr>
        <w:tab/>
        <w:t>(Foo</w:t>
      </w:r>
      <w:r>
        <w:rPr>
          <w:rStyle w:val="FootnoteTextChar"/>
          <w:rFonts w:eastAsiaTheme="minorEastAsia"/>
          <w:i/>
          <w:iCs/>
          <w:lang w:val="en-US"/>
        </w:rPr>
        <w:t>t</w:t>
      </w:r>
      <w:r w:rsidRPr="00E1533F">
        <w:rPr>
          <w:rStyle w:val="FootnoteTextChar"/>
          <w:rFonts w:eastAsiaTheme="minorEastAsia"/>
          <w:i/>
          <w:iCs/>
          <w:lang w:val="en-US"/>
        </w:rPr>
        <w:t>note 1 is deleted and former footnote 2 now becomes footnote 1).</w:t>
      </w:r>
    </w:p>
    <w:p w14:paraId="27351E19" w14:textId="1D1C3C38" w:rsidR="00C26554" w:rsidRPr="00EB6F22" w:rsidRDefault="00C26554" w:rsidP="00C26554">
      <w:pPr>
        <w:pStyle w:val="FootnoteText"/>
        <w:tabs>
          <w:tab w:val="clear" w:pos="1021"/>
          <w:tab w:val="left" w:pos="1418"/>
        </w:tabs>
        <w:spacing w:before="40"/>
        <w:rPr>
          <w:rFonts w:eastAsia="Calibri" w:cs="TimesNewRomanPSMT"/>
          <w:strike/>
          <w:lang w:val="en-US"/>
        </w:rPr>
      </w:pPr>
      <w:r w:rsidRPr="00EB6F22">
        <w:rPr>
          <w:lang w:val="en-US"/>
        </w:rPr>
        <w:tab/>
      </w:r>
      <w:r w:rsidRPr="00EB6F22">
        <w:rPr>
          <w:rStyle w:val="FootnoteReference"/>
          <w:strike/>
          <w:lang w:val="en-US"/>
        </w:rPr>
        <w:t>2</w:t>
      </w:r>
      <w:r w:rsidRPr="00EB6F22">
        <w:rPr>
          <w:rStyle w:val="FootnoteReference"/>
          <w:u w:val="single"/>
          <w:lang w:val="en-US"/>
        </w:rPr>
        <w:t>1</w:t>
      </w:r>
      <w:r w:rsidRPr="00EB6F22">
        <w:rPr>
          <w:i/>
          <w:iCs/>
          <w:lang w:val="en-US"/>
        </w:rPr>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w:t>
      </w:r>
      <w:r w:rsidRPr="00EB6F22">
        <w:rPr>
          <w:i/>
          <w:iCs/>
          <w:lang w:val="en-US"/>
        </w:rPr>
        <w:lastRenderedPageBreak/>
        <w:t>estimated using a suitable calorimetric technique (see Section 20, sub-section 20.3.3.3 in Part II of this Manual).</w:t>
      </w:r>
    </w:p>
    <w:p w14:paraId="3BD06B11" w14:textId="77777777" w:rsidR="00C26554" w:rsidRPr="00EB6F22" w:rsidRDefault="00C26554" w:rsidP="00C26554">
      <w:pPr>
        <w:tabs>
          <w:tab w:val="left" w:pos="2268"/>
        </w:tabs>
        <w:suppressAutoHyphens w:val="0"/>
        <w:spacing w:before="120" w:line="240" w:lineRule="auto"/>
        <w:ind w:left="1134" w:right="1134"/>
        <w:jc w:val="both"/>
        <w:rPr>
          <w:rFonts w:eastAsia="Calibri" w:cs="TimesNewRomanPSMT"/>
          <w:strike/>
          <w:lang w:val="en-US"/>
        </w:rPr>
      </w:pPr>
      <w:r w:rsidRPr="00EB6F22">
        <w:rPr>
          <w:rFonts w:eastAsia="Calibri" w:cs="TimesNewRomanPSMT"/>
          <w:strike/>
          <w:lang w:val="en-US"/>
        </w:rPr>
        <w:t>51.2.2</w:t>
      </w:r>
      <w:r w:rsidRPr="00EB6F22">
        <w:rPr>
          <w:rFonts w:eastAsia="Calibri" w:cs="TimesNewRomanPSMT"/>
          <w:strike/>
          <w:lang w:val="en-US"/>
        </w:rPr>
        <w:tab/>
        <w:t>Any explosive while in a desensitized state shall be considered in this class unless, in that state:</w:t>
      </w:r>
    </w:p>
    <w:p w14:paraId="45A837AD" w14:textId="77777777" w:rsidR="00C26554" w:rsidRPr="00EB6F22" w:rsidRDefault="00C26554" w:rsidP="00C26554">
      <w:pPr>
        <w:tabs>
          <w:tab w:val="left" w:pos="1701"/>
        </w:tabs>
        <w:suppressAutoHyphens w:val="0"/>
        <w:spacing w:before="120" w:line="240" w:lineRule="auto"/>
        <w:ind w:left="2835" w:right="1134" w:hanging="567"/>
        <w:jc w:val="both"/>
        <w:rPr>
          <w:rFonts w:eastAsia="Calibri" w:cs="TimesNewRomanPSMT"/>
          <w:strike/>
          <w:lang w:val="en-US"/>
        </w:rPr>
      </w:pPr>
      <w:r w:rsidRPr="00EB6F22">
        <w:rPr>
          <w:rFonts w:eastAsia="Calibri" w:cs="TimesNewRomanPSMT"/>
          <w:strike/>
          <w:lang w:val="en-US"/>
        </w:rPr>
        <w:t>(a)</w:t>
      </w:r>
      <w:r w:rsidRPr="00EB6F22">
        <w:rPr>
          <w:rFonts w:eastAsia="Calibri" w:cs="TimesNewRomanPSMT"/>
          <w:strike/>
          <w:lang w:val="en-US"/>
        </w:rPr>
        <w:tab/>
      </w:r>
      <w:r w:rsidRPr="00EB6F22">
        <w:rPr>
          <w:rFonts w:eastAsia="Calibri" w:cs="TimesNewRomanPSMT"/>
          <w:strike/>
          <w:lang w:val="en-US"/>
        </w:rPr>
        <w:tab/>
        <w:t>It is intended to produce a practical explosive or pyrotechnic effect;</w:t>
      </w:r>
    </w:p>
    <w:p w14:paraId="616CD325" w14:textId="77777777" w:rsidR="00C26554" w:rsidRPr="00EB6F22" w:rsidRDefault="00C26554" w:rsidP="00C26554">
      <w:pPr>
        <w:suppressAutoHyphens w:val="0"/>
        <w:spacing w:before="120" w:line="240" w:lineRule="auto"/>
        <w:ind w:left="2835" w:right="1134" w:hanging="567"/>
        <w:jc w:val="both"/>
        <w:rPr>
          <w:rFonts w:eastAsia="Calibri" w:cs="TimesNewRomanPSMT"/>
          <w:strike/>
          <w:lang w:val="en-US"/>
        </w:rPr>
      </w:pPr>
      <w:r w:rsidRPr="00EB6F22">
        <w:rPr>
          <w:rFonts w:eastAsia="Calibri" w:cs="TimesNewRomanPSMT"/>
          <w:strike/>
          <w:lang w:val="en-US"/>
        </w:rPr>
        <w:t>(b)</w:t>
      </w:r>
      <w:r w:rsidRPr="00EB6F22">
        <w:rPr>
          <w:rFonts w:eastAsia="Calibri" w:cs="TimesNewRomanPSMT"/>
          <w:strike/>
          <w:lang w:val="en-US"/>
        </w:rPr>
        <w:tab/>
        <w:t>It has a mass explosion hazard according to Test Series 6(a) or 6(b) or the corrected burning rate according to the burning rate test 51.4 is more than 1 200 kg/min;</w:t>
      </w:r>
    </w:p>
    <w:p w14:paraId="26ED107A" w14:textId="77777777" w:rsidR="00C26554" w:rsidRPr="00EB6F22" w:rsidRDefault="00C26554" w:rsidP="00C26554">
      <w:pPr>
        <w:suppressAutoHyphens w:val="0"/>
        <w:spacing w:before="120" w:line="240" w:lineRule="auto"/>
        <w:ind w:left="2835" w:right="1134" w:hanging="567"/>
        <w:jc w:val="both"/>
        <w:rPr>
          <w:rFonts w:eastAsia="Calibri" w:cs="TimesNewRomanPSMT"/>
          <w:strike/>
          <w:lang w:val="en-US"/>
        </w:rPr>
      </w:pPr>
      <w:r w:rsidRPr="00EB6F22">
        <w:rPr>
          <w:rFonts w:eastAsia="Calibri" w:cs="TimesNewRomanPSMT"/>
          <w:strike/>
          <w:lang w:val="en-US"/>
        </w:rPr>
        <w:t>(c)</w:t>
      </w:r>
      <w:r w:rsidRPr="00EB6F22">
        <w:rPr>
          <w:rFonts w:eastAsia="Calibri" w:cs="TimesNewRomanPSMT"/>
          <w:strike/>
          <w:lang w:val="en-US"/>
        </w:rPr>
        <w:tab/>
        <w:t>The exothermic decomposition energy is less than 300 J/g</w:t>
      </w:r>
      <w:r w:rsidRPr="00EB6F22">
        <w:rPr>
          <w:rStyle w:val="FootnoteReference"/>
          <w:rFonts w:eastAsia="Calibri"/>
          <w:strike/>
          <w:lang w:val="en-US"/>
        </w:rPr>
        <w:t>2</w:t>
      </w:r>
      <w:r w:rsidRPr="00EB6F22">
        <w:rPr>
          <w:rFonts w:eastAsia="Calibri" w:cs="TimesNewRomanPSMT"/>
          <w:strike/>
          <w:lang w:val="en-US"/>
        </w:rPr>
        <w:t>.</w:t>
      </w:r>
    </w:p>
    <w:p w14:paraId="6F9DF095" w14:textId="77777777" w:rsidR="00C26554" w:rsidRPr="00EB6F22" w:rsidRDefault="00C26554" w:rsidP="00C26554">
      <w:pPr>
        <w:keepNext/>
        <w:tabs>
          <w:tab w:val="left" w:pos="2268"/>
        </w:tabs>
        <w:suppressAutoHyphens w:val="0"/>
        <w:spacing w:before="120" w:line="240" w:lineRule="auto"/>
        <w:ind w:left="1134" w:right="1134"/>
        <w:rPr>
          <w:rFonts w:eastAsiaTheme="minorEastAsia"/>
          <w:b/>
          <w:bCs/>
          <w:lang w:val="en-US"/>
        </w:rPr>
      </w:pPr>
      <w:r w:rsidRPr="00EB6F22">
        <w:rPr>
          <w:rFonts w:eastAsiaTheme="minorEastAsia"/>
          <w:b/>
          <w:bCs/>
          <w:lang w:val="en-US"/>
        </w:rPr>
        <w:t>51.3</w:t>
      </w:r>
      <w:r w:rsidRPr="00EB6F22">
        <w:rPr>
          <w:rFonts w:eastAsiaTheme="minorEastAsia"/>
          <w:b/>
          <w:bCs/>
          <w:lang w:val="en-US"/>
        </w:rPr>
        <w:tab/>
      </w:r>
      <w:r w:rsidRPr="00EB6F22">
        <w:rPr>
          <w:rFonts w:eastAsia="Calibri" w:cs="TimesNewRomanPSMT"/>
          <w:b/>
          <w:bCs/>
          <w:lang w:val="en-US"/>
        </w:rPr>
        <w:t>Classification</w:t>
      </w:r>
      <w:r w:rsidRPr="00EB6F22">
        <w:rPr>
          <w:rFonts w:eastAsiaTheme="minorEastAsia"/>
          <w:b/>
          <w:bCs/>
          <w:lang w:val="en-US"/>
        </w:rPr>
        <w:t xml:space="preserve"> procedure</w:t>
      </w:r>
    </w:p>
    <w:p w14:paraId="19238349" w14:textId="77777777" w:rsidR="00C26554" w:rsidRPr="00EB6F22" w:rsidRDefault="00C26554" w:rsidP="00C26554">
      <w:pPr>
        <w:tabs>
          <w:tab w:val="left" w:pos="2268"/>
        </w:tabs>
        <w:suppressAutoHyphens w:val="0"/>
        <w:spacing w:before="240" w:line="240" w:lineRule="auto"/>
        <w:ind w:left="1134" w:right="1134"/>
        <w:jc w:val="both"/>
        <w:rPr>
          <w:rFonts w:eastAsia="Calibri" w:cs="TimesNewRomanPSMT"/>
          <w:lang w:val="en-US"/>
        </w:rPr>
      </w:pPr>
      <w:r w:rsidRPr="00EB6F22">
        <w:rPr>
          <w:rFonts w:eastAsia="Calibri" w:cs="TimesNewRomanPSMT"/>
          <w:lang w:val="en-US"/>
        </w:rPr>
        <w:t>51.3.1</w:t>
      </w:r>
      <w:r w:rsidRPr="00EB6F22">
        <w:rPr>
          <w:rFonts w:eastAsia="Calibri" w:cs="TimesNewRomanPSMT"/>
          <w:lang w:val="en-US"/>
        </w:rPr>
        <w:tab/>
        <w:t xml:space="preserve">Before packaged substances or mixtures are subjected to the burning rate test, </w:t>
      </w:r>
      <w:r w:rsidRPr="00E1533F">
        <w:rPr>
          <w:rFonts w:eastAsia="Calibri" w:cs="TimesNewRomanPSMT"/>
          <w:u w:val="single"/>
          <w:lang w:val="en-US"/>
        </w:rPr>
        <w:t>tests as specified below should be performed to rule out the possibility of mass explosion</w:t>
      </w:r>
      <w:r w:rsidRPr="0073582F">
        <w:rPr>
          <w:rFonts w:eastAsia="Calibri" w:cs="TimesNewRomanPSMT"/>
          <w:u w:val="single"/>
          <w:lang w:val="en-US"/>
        </w:rPr>
        <w:t>.</w:t>
      </w:r>
      <w:r w:rsidRPr="0073582F">
        <w:rPr>
          <w:rFonts w:eastAsia="Calibri" w:cs="TimesNewRomanPSMT"/>
          <w:strike/>
          <w:u w:val="single"/>
          <w:lang w:val="en-US"/>
        </w:rPr>
        <w:t xml:space="preserve"> </w:t>
      </w:r>
      <w:r w:rsidRPr="00E1533F">
        <w:rPr>
          <w:rFonts w:eastAsia="Calibri" w:cs="TimesNewRomanPSMT"/>
          <w:strike/>
          <w:lang w:val="en-US"/>
        </w:rPr>
        <w:t>the test series 6 types 6 (a) and 6 (b) shall be performed in alphabetical order.</w:t>
      </w:r>
      <w:r w:rsidRPr="0073582F">
        <w:rPr>
          <w:rFonts w:eastAsia="Calibri" w:cs="TimesNewRomanPSMT"/>
          <w:strike/>
          <w:lang w:val="en-US"/>
        </w:rPr>
        <w:t xml:space="preserve"> </w:t>
      </w:r>
      <w:r w:rsidRPr="004F0D69">
        <w:rPr>
          <w:rFonts w:eastAsia="Calibri" w:cs="TimesNewRomanPSMT"/>
          <w:u w:val="single"/>
          <w:lang w:val="en-US"/>
        </w:rPr>
        <w:t>According to test</w:t>
      </w:r>
      <w:r>
        <w:rPr>
          <w:rFonts w:eastAsia="Calibri" w:cs="TimesNewRomanPSMT"/>
          <w:u w:val="single"/>
          <w:lang w:val="en-US"/>
        </w:rPr>
        <w:t> </w:t>
      </w:r>
      <w:r w:rsidRPr="004F0D69">
        <w:rPr>
          <w:rFonts w:eastAsia="Calibri" w:cs="TimesNewRomanPSMT"/>
          <w:u w:val="single"/>
          <w:lang w:val="en-US"/>
        </w:rPr>
        <w:t>6</w:t>
      </w:r>
      <w:r>
        <w:rPr>
          <w:rFonts w:eastAsia="Calibri" w:cs="TimesNewRomanPSMT"/>
          <w:u w:val="single"/>
          <w:lang w:val="en-US"/>
        </w:rPr>
        <w:t> </w:t>
      </w:r>
      <w:r w:rsidRPr="004F0D69">
        <w:rPr>
          <w:rFonts w:eastAsia="Calibri" w:cs="TimesNewRomanPSMT"/>
          <w:u w:val="single"/>
          <w:lang w:val="en-US"/>
        </w:rPr>
        <w:t>(a)</w:t>
      </w:r>
      <w:r>
        <w:rPr>
          <w:rFonts w:eastAsia="Calibri" w:cs="TimesNewRomanPSMT"/>
          <w:u w:val="single"/>
          <w:lang w:val="en-US"/>
        </w:rPr>
        <w:t>,</w:t>
      </w:r>
      <w:r w:rsidRPr="004F0D69">
        <w:rPr>
          <w:rFonts w:eastAsia="Calibri" w:cs="TimesNewRomanPSMT"/>
          <w:u w:val="single"/>
          <w:lang w:val="en-US"/>
        </w:rPr>
        <w:t xml:space="preserve"> </w:t>
      </w:r>
      <w:r w:rsidRPr="004F0D69">
        <w:rPr>
          <w:rFonts w:eastAsia="Calibri" w:cs="TimesNewRomanPSMT"/>
          <w:strike/>
          <w:lang w:val="en-US"/>
        </w:rPr>
        <w:t xml:space="preserve">The </w:t>
      </w:r>
      <w:r w:rsidRPr="00EB6F22">
        <w:rPr>
          <w:rFonts w:eastAsia="Calibri" w:cs="TimesNewRomanPSMT"/>
          <w:lang w:val="en-US"/>
        </w:rPr>
        <w:t xml:space="preserve">substances </w:t>
      </w:r>
      <w:r w:rsidRPr="0073582F">
        <w:rPr>
          <w:rFonts w:eastAsia="Calibri" w:cs="TimesNewRomanPSMT"/>
          <w:u w:val="single"/>
          <w:lang w:val="en-US"/>
        </w:rPr>
        <w:t xml:space="preserve">and </w:t>
      </w:r>
      <w:r w:rsidRPr="0073582F">
        <w:rPr>
          <w:rFonts w:eastAsia="Calibri" w:cs="TimesNewRomanPSMT"/>
          <w:strike/>
          <w:lang w:val="en-US"/>
        </w:rPr>
        <w:t xml:space="preserve">or </w:t>
      </w:r>
      <w:r w:rsidRPr="00EB6F22">
        <w:rPr>
          <w:rFonts w:eastAsia="Calibri" w:cs="TimesNewRomanPSMT"/>
          <w:lang w:val="en-US"/>
        </w:rPr>
        <w:t xml:space="preserve">mixtures should be tested first with a standard detonator (Appendix 1 of the Manual) and, if no explosion occurs, with an igniter just sufficient (but not more than 30 g of black powder) to ensure ignition of the substance or mixture in the packaging. </w:t>
      </w:r>
      <w:r w:rsidRPr="0073582F">
        <w:rPr>
          <w:rFonts w:eastAsia="Calibri" w:cs="TimesNewRomanPSMT"/>
          <w:strike/>
          <w:lang w:val="en-US"/>
        </w:rPr>
        <w:t>The initiation system giving</w:t>
      </w:r>
      <w:r w:rsidRPr="00157B6B">
        <w:rPr>
          <w:rFonts w:eastAsia="Calibri" w:cs="TimesNewRomanPSMT"/>
          <w:strike/>
          <w:lang w:val="en-US"/>
        </w:rPr>
        <w:t xml:space="preserve"> </w:t>
      </w:r>
      <w:r w:rsidRPr="004F0D69">
        <w:rPr>
          <w:rFonts w:eastAsia="Calibri" w:cs="TimesNewRomanPSMT"/>
          <w:u w:val="single"/>
          <w:lang w:val="en-US"/>
        </w:rPr>
        <w:t xml:space="preserve">If there is </w:t>
      </w:r>
      <w:r w:rsidRPr="00EB6F22">
        <w:rPr>
          <w:rFonts w:eastAsia="Calibri" w:cs="TimesNewRomanPSMT"/>
          <w:lang w:val="en-US"/>
        </w:rPr>
        <w:t xml:space="preserve">a positive result in </w:t>
      </w:r>
      <w:r w:rsidRPr="004F0D69">
        <w:rPr>
          <w:rFonts w:eastAsia="Calibri" w:cs="TimesNewRomanPSMT"/>
          <w:u w:val="single"/>
          <w:lang w:val="en-US"/>
        </w:rPr>
        <w:t xml:space="preserve">test </w:t>
      </w:r>
      <w:r w:rsidRPr="00EB6F22">
        <w:rPr>
          <w:rFonts w:eastAsia="Calibri" w:cs="TimesNewRomanPSMT"/>
          <w:lang w:val="en-US"/>
        </w:rPr>
        <w:t>6 (a)</w:t>
      </w:r>
      <w:r w:rsidRPr="004F0D69">
        <w:rPr>
          <w:rFonts w:eastAsia="Calibri" w:cs="TimesNewRomanPSMT"/>
          <w:u w:val="single"/>
          <w:lang w:val="en-US"/>
        </w:rPr>
        <w:t>,</w:t>
      </w:r>
      <w:r w:rsidRPr="00EB6F22">
        <w:rPr>
          <w:rFonts w:eastAsia="Calibri" w:cs="TimesNewRomanPSMT"/>
          <w:lang w:val="en-US"/>
        </w:rPr>
        <w:t xml:space="preserve"> </w:t>
      </w:r>
      <w:r w:rsidRPr="004F0D69">
        <w:rPr>
          <w:rFonts w:eastAsia="Calibri" w:cs="TimesNewRomanPSMT"/>
          <w:lang w:val="en-US"/>
        </w:rPr>
        <w:t xml:space="preserve">test </w:t>
      </w:r>
      <w:r w:rsidRPr="004F0D69">
        <w:rPr>
          <w:rFonts w:eastAsia="Calibri" w:cs="TimesNewRomanPSMT"/>
          <w:u w:val="single"/>
          <w:lang w:val="en-US"/>
        </w:rPr>
        <w:t xml:space="preserve">6 (b) </w:t>
      </w:r>
      <w:r w:rsidRPr="00EB6F22">
        <w:rPr>
          <w:rFonts w:eastAsia="Calibri" w:cs="TimesNewRomanPSMT"/>
          <w:lang w:val="en-US"/>
        </w:rPr>
        <w:t xml:space="preserve">should be </w:t>
      </w:r>
      <w:r w:rsidRPr="00490F05">
        <w:rPr>
          <w:rFonts w:eastAsia="Calibri" w:cs="TimesNewRomanPSMT"/>
          <w:u w:val="single"/>
          <w:lang w:val="en-US"/>
        </w:rPr>
        <w:t xml:space="preserve">performed with the initiation system causing the positive result in </w:t>
      </w:r>
      <w:r>
        <w:rPr>
          <w:rFonts w:eastAsia="Calibri" w:cs="TimesNewRomanPSMT"/>
          <w:u w:val="single"/>
          <w:lang w:val="en-US"/>
        </w:rPr>
        <w:t>test</w:t>
      </w:r>
      <w:r w:rsidRPr="00490F05">
        <w:rPr>
          <w:rFonts w:eastAsia="Calibri" w:cs="TimesNewRomanPSMT"/>
          <w:u w:val="single"/>
          <w:lang w:val="en-US"/>
        </w:rPr>
        <w:t xml:space="preserve"> 6 (a)</w:t>
      </w:r>
      <w:r>
        <w:rPr>
          <w:rFonts w:eastAsia="Calibri" w:cs="TimesNewRomanPSMT"/>
          <w:u w:val="single"/>
          <w:lang w:val="en-US"/>
        </w:rPr>
        <w:t>.</w:t>
      </w:r>
      <w:r w:rsidRPr="00490F05">
        <w:rPr>
          <w:rFonts w:eastAsia="Calibri" w:cs="TimesNewRomanPSMT"/>
          <w:strike/>
          <w:lang w:val="en-US"/>
        </w:rPr>
        <w:t xml:space="preserve"> used for the 6 (b) test.</w:t>
      </w:r>
    </w:p>
    <w:p w14:paraId="02704471" w14:textId="77777777" w:rsidR="00C26554" w:rsidRPr="00EB6F22" w:rsidRDefault="00C26554" w:rsidP="00C26554">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51.3.2</w:t>
      </w:r>
      <w:r w:rsidRPr="00EB6F22">
        <w:rPr>
          <w:rFonts w:eastAsiaTheme="minorEastAsia"/>
          <w:lang w:val="en-US"/>
        </w:rPr>
        <w:tab/>
      </w:r>
      <w:r w:rsidRPr="00490F05">
        <w:rPr>
          <w:rFonts w:eastAsiaTheme="minorEastAsia"/>
          <w:strike/>
          <w:lang w:val="en-US"/>
        </w:rPr>
        <w:t>However, it</w:t>
      </w:r>
      <w:r w:rsidRPr="00157B6B">
        <w:rPr>
          <w:rFonts w:eastAsiaTheme="minorEastAsia"/>
          <w:strike/>
          <w:lang w:val="en-US"/>
        </w:rPr>
        <w:t xml:space="preserve"> </w:t>
      </w:r>
      <w:r w:rsidRPr="00490F05">
        <w:rPr>
          <w:rFonts w:eastAsiaTheme="minorEastAsia"/>
          <w:u w:val="single"/>
          <w:lang w:val="en-US"/>
        </w:rPr>
        <w:t xml:space="preserve">It </w:t>
      </w:r>
      <w:r w:rsidRPr="00EB6F22">
        <w:rPr>
          <w:rFonts w:eastAsiaTheme="minorEastAsia"/>
          <w:lang w:val="en-US"/>
        </w:rPr>
        <w:t>is not always necessary to conduct tests of all types</w:t>
      </w:r>
      <w:r w:rsidRPr="00490F05">
        <w:rPr>
          <w:rFonts w:eastAsiaTheme="minorEastAsia"/>
          <w:u w:val="single"/>
          <w:lang w:val="en-US"/>
        </w:rPr>
        <w:t>:</w:t>
      </w:r>
      <w:r w:rsidRPr="00490F05">
        <w:rPr>
          <w:rFonts w:eastAsiaTheme="minorEastAsia"/>
          <w:strike/>
          <w:lang w:val="en-US"/>
        </w:rPr>
        <w:t>.</w:t>
      </w:r>
    </w:p>
    <w:p w14:paraId="27FE4A04"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(a)</w:t>
      </w:r>
      <w:r w:rsidRPr="00EB6F22">
        <w:rPr>
          <w:rFonts w:eastAsia="Calibri" w:cs="TimesNewRomanPSMT"/>
          <w:u w:val="single"/>
          <w:lang w:val="en-US"/>
        </w:rPr>
        <w:tab/>
        <w:t xml:space="preserve">Test series 3 may be waived if the explosive itself (i.e. before </w:t>
      </w:r>
      <w:r>
        <w:rPr>
          <w:rFonts w:eastAsia="Calibri" w:cs="TimesNewRomanPSMT"/>
          <w:u w:val="single"/>
          <w:lang w:val="en-US"/>
        </w:rPr>
        <w:t>phlegmatized</w:t>
      </w:r>
      <w:r w:rsidRPr="00EB6F22">
        <w:rPr>
          <w:rFonts w:eastAsia="Calibri" w:cs="TimesNewRomanPSMT"/>
          <w:u w:val="single"/>
          <w:lang w:val="en-US"/>
        </w:rPr>
        <w:t>) is not too sensitive or thermally unstable according to test series 3.</w:t>
      </w:r>
    </w:p>
    <w:p w14:paraId="616A4050"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(b)</w:t>
      </w:r>
      <w:r w:rsidRPr="00EB6F22">
        <w:rPr>
          <w:rFonts w:eastAsia="Calibri" w:cs="TimesNewRomanPSMT"/>
          <w:u w:val="single"/>
          <w:lang w:val="en-US"/>
        </w:rPr>
        <w:tab/>
        <w:t>Test series 3 and tests 6 (a) and (b) may be waived if test series 2 has been passed.</w:t>
      </w:r>
    </w:p>
    <w:p w14:paraId="44322B22" w14:textId="77777777" w:rsidR="00C26554" w:rsidRPr="00EB6F22" w:rsidRDefault="00C26554" w:rsidP="00C26554">
      <w:pPr>
        <w:suppressAutoHyphens w:val="0"/>
        <w:spacing w:before="120" w:line="240" w:lineRule="auto"/>
        <w:ind w:left="2835" w:right="1134" w:hanging="567"/>
        <w:jc w:val="both"/>
        <w:rPr>
          <w:rFonts w:eastAsia="Calibri" w:cs="TimesNewRomanPSMT"/>
          <w:u w:val="single"/>
          <w:lang w:val="en-US"/>
        </w:rPr>
      </w:pPr>
      <w:r w:rsidRPr="00EB6F22">
        <w:rPr>
          <w:rFonts w:eastAsia="Calibri" w:cs="TimesNewRomanPSMT"/>
          <w:u w:val="single"/>
          <w:lang w:val="en-US"/>
        </w:rPr>
        <w:t>(c)</w:t>
      </w:r>
      <w:r w:rsidRPr="00EB6F22">
        <w:rPr>
          <w:rFonts w:eastAsia="Calibri" w:cs="TimesNewRomanPSMT"/>
          <w:u w:val="single"/>
          <w:lang w:val="en-US"/>
        </w:rPr>
        <w:tab/>
        <w:t xml:space="preserve">Test series 3 is not applicable to nitrocellulose mixtures </w:t>
      </w:r>
      <w:r>
        <w:rPr>
          <w:rFonts w:eastAsia="Calibri" w:cs="TimesNewRomanPSMT"/>
          <w:u w:val="single"/>
          <w:lang w:val="en-US"/>
        </w:rPr>
        <w:t xml:space="preserve">containing no other explosives, </w:t>
      </w:r>
      <w:r w:rsidRPr="00EB6F22">
        <w:rPr>
          <w:rFonts w:eastAsia="Calibri" w:cs="TimesNewRomanPSMT"/>
          <w:u w:val="single"/>
          <w:lang w:val="en-US"/>
        </w:rPr>
        <w:t>for which stability is established according to Appendix 10.</w:t>
      </w:r>
    </w:p>
    <w:p w14:paraId="53AD8AAC" w14:textId="77777777" w:rsidR="00C26554" w:rsidRPr="00D70CAD" w:rsidRDefault="00C26554" w:rsidP="00C26554">
      <w:pPr>
        <w:suppressAutoHyphens w:val="0"/>
        <w:spacing w:before="120" w:line="240" w:lineRule="auto"/>
        <w:ind w:left="2835" w:right="1134" w:hanging="567"/>
        <w:jc w:val="both"/>
        <w:rPr>
          <w:rFonts w:eastAsiaTheme="minorEastAsia"/>
          <w:u w:val="single"/>
          <w:lang w:val="en-US"/>
        </w:rPr>
      </w:pPr>
      <w:r w:rsidRPr="00490F05">
        <w:rPr>
          <w:rFonts w:eastAsiaTheme="minorEastAsia"/>
          <w:u w:val="single"/>
          <w:lang w:val="en-US"/>
        </w:rPr>
        <w:t>(d)</w:t>
      </w:r>
      <w:r w:rsidRPr="00490F05">
        <w:rPr>
          <w:rFonts w:eastAsiaTheme="minorEastAsia"/>
          <w:u w:val="single"/>
          <w:lang w:val="en-US"/>
        </w:rPr>
        <w:tab/>
      </w:r>
      <w:r>
        <w:rPr>
          <w:rFonts w:eastAsiaTheme="minorEastAsia"/>
          <w:u w:val="single"/>
          <w:lang w:val="en-US"/>
        </w:rPr>
        <w:t>Tests 6 (a) and 6 (b) may be modified or waived according to section 51.3.3.</w:t>
      </w:r>
    </w:p>
    <w:p w14:paraId="43ADC1B9" w14:textId="77777777" w:rsidR="00C26554" w:rsidRPr="00EB6F22" w:rsidRDefault="00C26554" w:rsidP="00C26554">
      <w:pPr>
        <w:suppressAutoHyphens w:val="0"/>
        <w:spacing w:before="120" w:line="240" w:lineRule="auto"/>
        <w:ind w:left="2835" w:right="1134" w:hanging="567"/>
        <w:jc w:val="both"/>
        <w:rPr>
          <w:rFonts w:eastAsiaTheme="minorEastAsia"/>
          <w:lang w:val="en-US"/>
        </w:rPr>
      </w:pPr>
      <w:r>
        <w:rPr>
          <w:rFonts w:eastAsiaTheme="minorEastAsia"/>
          <w:lang w:val="en-US"/>
        </w:rPr>
        <w:t>(e)</w:t>
      </w:r>
      <w:r>
        <w:rPr>
          <w:rFonts w:eastAsiaTheme="minorEastAsia"/>
          <w:lang w:val="en-US"/>
        </w:rPr>
        <w:tab/>
      </w:r>
      <w:r w:rsidRPr="00EB6F22">
        <w:rPr>
          <w:rFonts w:eastAsiaTheme="minorEastAsia"/>
          <w:lang w:val="en-US"/>
        </w:rPr>
        <w:t xml:space="preserve">Test </w:t>
      </w:r>
      <w:r w:rsidRPr="00E90A78">
        <w:rPr>
          <w:rFonts w:eastAsiaTheme="minorEastAsia"/>
          <w:strike/>
          <w:lang w:val="en-US"/>
        </w:rPr>
        <w:t xml:space="preserve">type </w:t>
      </w:r>
      <w:r w:rsidRPr="00EB6F22">
        <w:rPr>
          <w:rFonts w:eastAsiaTheme="minorEastAsia"/>
          <w:lang w:val="en-US"/>
        </w:rPr>
        <w:t xml:space="preserve">6 (b) may be waived if in each </w:t>
      </w:r>
      <w:r w:rsidRPr="00784A7D">
        <w:rPr>
          <w:rFonts w:eastAsiaTheme="minorEastAsia"/>
          <w:lang w:val="en-US"/>
        </w:rPr>
        <w:t xml:space="preserve">type </w:t>
      </w:r>
      <w:r w:rsidRPr="00EB6F22">
        <w:rPr>
          <w:rFonts w:eastAsiaTheme="minorEastAsia"/>
          <w:lang w:val="en-US"/>
        </w:rPr>
        <w:t>6 (a) test:</w:t>
      </w:r>
    </w:p>
    <w:p w14:paraId="7BEDBCDB" w14:textId="77777777" w:rsidR="00C26554" w:rsidRPr="00EB6F22" w:rsidRDefault="00C26554" w:rsidP="00C26554">
      <w:pPr>
        <w:suppressAutoHyphens w:val="0"/>
        <w:spacing w:before="120" w:line="240" w:lineRule="auto"/>
        <w:ind w:left="3402" w:right="1134" w:hanging="567"/>
        <w:rPr>
          <w:rFonts w:eastAsia="Calibri" w:cs="TimesNewRomanPSMT"/>
          <w:lang w:val="en-US"/>
        </w:rPr>
      </w:pPr>
      <w:r w:rsidRPr="00EB6F22">
        <w:rPr>
          <w:rFonts w:eastAsia="Calibri" w:cs="TimesNewRomanPSMT"/>
          <w:lang w:val="en-US"/>
        </w:rPr>
        <w:t>(</w:t>
      </w:r>
      <w:r w:rsidRPr="00EB6F22">
        <w:rPr>
          <w:rFonts w:eastAsia="Calibri" w:cs="TimesNewRomanPSMT"/>
          <w:u w:val="single"/>
          <w:lang w:val="en-US"/>
        </w:rPr>
        <w:t>i</w:t>
      </w:r>
      <w:r w:rsidRPr="00EB6F22">
        <w:rPr>
          <w:rFonts w:eastAsia="Calibri" w:cs="TimesNewRomanPSMT"/>
          <w:strike/>
          <w:lang w:val="en-US"/>
        </w:rPr>
        <w:t>a</w:t>
      </w:r>
      <w:r w:rsidRPr="00EB6F22">
        <w:rPr>
          <w:rFonts w:eastAsia="Calibri" w:cs="TimesNewRomanPSMT"/>
          <w:lang w:val="en-US"/>
        </w:rPr>
        <w:t>)</w:t>
      </w:r>
      <w:r w:rsidRPr="00EB6F22">
        <w:rPr>
          <w:rFonts w:eastAsia="Calibri" w:cs="TimesNewRomanPSMT"/>
          <w:lang w:val="en-US"/>
        </w:rPr>
        <w:tab/>
        <w:t>The exterior of the package is undamaged by internal detonation and/or ignition; or</w:t>
      </w:r>
    </w:p>
    <w:p w14:paraId="6A7317EA" w14:textId="77777777" w:rsidR="00C26554" w:rsidRPr="00EB6F22" w:rsidRDefault="00C26554" w:rsidP="00C26554">
      <w:pPr>
        <w:suppressAutoHyphens w:val="0"/>
        <w:spacing w:before="120" w:line="240" w:lineRule="auto"/>
        <w:ind w:left="3402" w:right="1134" w:hanging="567"/>
        <w:rPr>
          <w:rFonts w:eastAsia="Calibri" w:cs="TimesNewRomanPSMT"/>
          <w:lang w:val="en-US"/>
        </w:rPr>
      </w:pPr>
      <w:r w:rsidRPr="00EB6F22">
        <w:rPr>
          <w:rFonts w:eastAsia="Calibri" w:cs="TimesNewRomanPSMT"/>
          <w:lang w:val="en-US"/>
        </w:rPr>
        <w:t>(</w:t>
      </w:r>
      <w:r w:rsidRPr="00EB6F22">
        <w:rPr>
          <w:rFonts w:eastAsia="Calibri" w:cs="TimesNewRomanPSMT"/>
          <w:u w:val="single"/>
          <w:lang w:val="en-US"/>
        </w:rPr>
        <w:t>ii</w:t>
      </w:r>
      <w:r w:rsidRPr="00EB6F22">
        <w:rPr>
          <w:rFonts w:eastAsia="Calibri" w:cs="TimesNewRomanPSMT"/>
          <w:strike/>
          <w:lang w:val="en-US"/>
        </w:rPr>
        <w:t>b</w:t>
      </w:r>
      <w:r w:rsidRPr="00EB6F22">
        <w:rPr>
          <w:rFonts w:eastAsia="Calibri" w:cs="TimesNewRomanPSMT"/>
          <w:lang w:val="en-US"/>
        </w:rPr>
        <w:t>)</w:t>
      </w:r>
      <w:r w:rsidRPr="00EB6F22">
        <w:rPr>
          <w:rFonts w:eastAsia="Calibri" w:cs="TimesNewRomanPSMT"/>
          <w:lang w:val="en-US"/>
        </w:rPr>
        <w:tab/>
        <w:t xml:space="preserve">The contents of the package fail to explode, or explode so feebly as would exclude propagation of the explosive effect from one package to another in test </w:t>
      </w:r>
      <w:r w:rsidRPr="00784A7D">
        <w:rPr>
          <w:rFonts w:eastAsia="Calibri" w:cs="TimesNewRomanPSMT"/>
          <w:strike/>
          <w:lang w:val="en-US"/>
        </w:rPr>
        <w:t xml:space="preserve">type </w:t>
      </w:r>
      <w:r w:rsidRPr="00EB6F22">
        <w:rPr>
          <w:rFonts w:eastAsia="Calibri" w:cs="TimesNewRomanPSMT"/>
          <w:lang w:val="en-US"/>
        </w:rPr>
        <w:t>6</w:t>
      </w:r>
      <w:r w:rsidRPr="00784A7D">
        <w:rPr>
          <w:rFonts w:eastAsia="Calibri" w:cs="TimesNewRomanPSMT"/>
          <w:u w:val="single"/>
          <w:lang w:val="en-US"/>
        </w:rPr>
        <w:t xml:space="preserve"> </w:t>
      </w:r>
      <w:r w:rsidRPr="00EB6F22">
        <w:rPr>
          <w:rFonts w:eastAsia="Calibri" w:cs="TimesNewRomanPSMT"/>
          <w:lang w:val="en-US"/>
        </w:rPr>
        <w:t>(b).</w:t>
      </w:r>
    </w:p>
    <w:p w14:paraId="5C695DAC" w14:textId="77777777" w:rsidR="00C26554" w:rsidRPr="00EB6F22" w:rsidRDefault="00C26554" w:rsidP="00C26554">
      <w:pPr>
        <w:tabs>
          <w:tab w:val="left" w:pos="2268"/>
        </w:tabs>
        <w:suppressAutoHyphens w:val="0"/>
        <w:spacing w:before="240" w:line="240" w:lineRule="auto"/>
        <w:ind w:left="1134" w:right="1134"/>
        <w:rPr>
          <w:rFonts w:eastAsiaTheme="minorEastAsia"/>
          <w:lang w:val="en-US"/>
        </w:rPr>
      </w:pPr>
      <w:r w:rsidRPr="00EB6F22">
        <w:rPr>
          <w:rFonts w:eastAsiaTheme="minorEastAsia"/>
          <w:lang w:val="en-US"/>
        </w:rPr>
        <w:t>51.3.3</w:t>
      </w:r>
      <w:r w:rsidRPr="00EB6F22">
        <w:rPr>
          <w:rFonts w:eastAsiaTheme="minorEastAsia"/>
          <w:lang w:val="en-US"/>
        </w:rPr>
        <w:tab/>
        <w:t xml:space="preserve">If a substance or mixture gives a negative result (no propagation of detonation) in </w:t>
      </w:r>
      <w:r w:rsidRPr="0092657A">
        <w:rPr>
          <w:rFonts w:eastAsiaTheme="minorEastAsia"/>
          <w:strike/>
          <w:lang w:val="en-US"/>
        </w:rPr>
        <w:t xml:space="preserve">the Series 1 type </w:t>
      </w:r>
      <w:r w:rsidRPr="0092657A">
        <w:rPr>
          <w:rFonts w:eastAsiaTheme="minorEastAsia"/>
          <w:u w:val="single"/>
          <w:lang w:val="en-US"/>
        </w:rPr>
        <w:t xml:space="preserve">test </w:t>
      </w:r>
      <w:r w:rsidRPr="00EB6F22">
        <w:rPr>
          <w:rFonts w:eastAsiaTheme="minorEastAsia"/>
          <w:lang w:val="en-US"/>
        </w:rPr>
        <w:t>1</w:t>
      </w:r>
      <w:r w:rsidRPr="0092657A">
        <w:rPr>
          <w:rFonts w:eastAsiaTheme="minorEastAsia"/>
          <w:u w:val="single"/>
          <w:lang w:val="en-US"/>
        </w:rPr>
        <w:t xml:space="preserve"> </w:t>
      </w:r>
      <w:r w:rsidRPr="00EB6F22">
        <w:rPr>
          <w:rFonts w:eastAsiaTheme="minorEastAsia"/>
          <w:lang w:val="en-US"/>
        </w:rPr>
        <w:t>(a)</w:t>
      </w:r>
      <w:r w:rsidRPr="0092657A">
        <w:rPr>
          <w:rFonts w:eastAsiaTheme="minorEastAsia"/>
          <w:strike/>
          <w:lang w:val="en-US"/>
        </w:rPr>
        <w:t xml:space="preserve"> test</w:t>
      </w:r>
      <w:r w:rsidRPr="00EB6F22">
        <w:rPr>
          <w:rFonts w:eastAsiaTheme="minorEastAsia"/>
          <w:lang w:val="en-US"/>
        </w:rPr>
        <w:t xml:space="preserve">, </w:t>
      </w:r>
      <w:r w:rsidRPr="0092657A">
        <w:rPr>
          <w:rFonts w:eastAsiaTheme="minorEastAsia"/>
          <w:strike/>
          <w:lang w:val="en-US"/>
        </w:rPr>
        <w:t xml:space="preserve">the </w:t>
      </w:r>
      <w:r w:rsidRPr="00237385">
        <w:rPr>
          <w:rFonts w:eastAsiaTheme="minorEastAsia"/>
          <w:u w:val="single"/>
          <w:lang w:val="en-US"/>
        </w:rPr>
        <w:t xml:space="preserve">test </w:t>
      </w:r>
      <w:r w:rsidRPr="00EB6F22">
        <w:rPr>
          <w:rFonts w:eastAsiaTheme="minorEastAsia"/>
          <w:lang w:val="en-US"/>
        </w:rPr>
        <w:t>6</w:t>
      </w:r>
      <w:r w:rsidRPr="0092657A">
        <w:rPr>
          <w:rFonts w:eastAsiaTheme="minorEastAsia"/>
          <w:u w:val="single"/>
          <w:lang w:val="en-US"/>
        </w:rPr>
        <w:t xml:space="preserve"> </w:t>
      </w:r>
      <w:r w:rsidRPr="00EB6F22">
        <w:rPr>
          <w:rFonts w:eastAsiaTheme="minorEastAsia"/>
          <w:lang w:val="en-US"/>
        </w:rPr>
        <w:t xml:space="preserve">(a) </w:t>
      </w:r>
      <w:r w:rsidRPr="00237385">
        <w:rPr>
          <w:rFonts w:eastAsiaTheme="minorEastAsia"/>
          <w:strike/>
          <w:lang w:val="en-US"/>
        </w:rPr>
        <w:t xml:space="preserve">test </w:t>
      </w:r>
      <w:r w:rsidRPr="00EB6F22">
        <w:rPr>
          <w:rFonts w:eastAsiaTheme="minorEastAsia"/>
          <w:lang w:val="en-US"/>
        </w:rPr>
        <w:t>with a detonator may be waived</w:t>
      </w:r>
      <w:r w:rsidRPr="0092657A">
        <w:rPr>
          <w:rStyle w:val="FootnoteReference"/>
          <w:rFonts w:eastAsiaTheme="minorEastAsia"/>
          <w:strike/>
          <w:sz w:val="20"/>
          <w:lang w:val="en-US"/>
        </w:rPr>
        <w:t>3</w:t>
      </w:r>
      <w:r w:rsidRPr="0092657A">
        <w:rPr>
          <w:rStyle w:val="FootnoteReference"/>
          <w:rFonts w:eastAsiaTheme="minorEastAsia"/>
          <w:u w:val="single"/>
        </w:rPr>
        <w:t>2</w:t>
      </w:r>
      <w:r w:rsidRPr="00EB6F22">
        <w:rPr>
          <w:rFonts w:eastAsiaTheme="minorEastAsia"/>
          <w:lang w:val="en-US"/>
        </w:rPr>
        <w:t xml:space="preserve">). If a substance or mixture gives a negative result (no or slow deflagration) in </w:t>
      </w:r>
      <w:r w:rsidRPr="00237385">
        <w:rPr>
          <w:rFonts w:eastAsiaTheme="minorEastAsia"/>
          <w:strike/>
          <w:lang w:val="en-US"/>
        </w:rPr>
        <w:t xml:space="preserve">a Series 2 type </w:t>
      </w:r>
      <w:r w:rsidRPr="0092657A">
        <w:rPr>
          <w:rFonts w:eastAsiaTheme="minorEastAsia"/>
          <w:u w:val="single"/>
          <w:lang w:val="en-US"/>
        </w:rPr>
        <w:t xml:space="preserve">test </w:t>
      </w:r>
      <w:r w:rsidRPr="00EB6F22">
        <w:rPr>
          <w:rFonts w:eastAsiaTheme="minorEastAsia"/>
          <w:lang w:val="en-US"/>
        </w:rPr>
        <w:t>2</w:t>
      </w:r>
      <w:r w:rsidRPr="00237385">
        <w:rPr>
          <w:rFonts w:eastAsiaTheme="minorEastAsia"/>
          <w:u w:val="single"/>
          <w:lang w:val="en-US"/>
        </w:rPr>
        <w:t xml:space="preserve"> </w:t>
      </w:r>
      <w:r w:rsidRPr="00EB6F22">
        <w:rPr>
          <w:rFonts w:eastAsiaTheme="minorEastAsia"/>
          <w:lang w:val="en-US"/>
        </w:rPr>
        <w:t>(c)</w:t>
      </w:r>
      <w:r w:rsidRPr="00237385">
        <w:rPr>
          <w:rFonts w:eastAsiaTheme="minorEastAsia"/>
          <w:strike/>
          <w:lang w:val="en-US"/>
        </w:rPr>
        <w:t xml:space="preserve"> test</w:t>
      </w:r>
      <w:r w:rsidRPr="00EB6F22">
        <w:rPr>
          <w:rFonts w:eastAsiaTheme="minorEastAsia"/>
          <w:lang w:val="en-US"/>
        </w:rPr>
        <w:t xml:space="preserve">, </w:t>
      </w:r>
      <w:r w:rsidRPr="00237385">
        <w:rPr>
          <w:rFonts w:eastAsiaTheme="minorEastAsia"/>
          <w:strike/>
          <w:lang w:val="en-US"/>
        </w:rPr>
        <w:t xml:space="preserve">the </w:t>
      </w:r>
      <w:r w:rsidRPr="00237385">
        <w:rPr>
          <w:rFonts w:eastAsiaTheme="minorEastAsia"/>
          <w:u w:val="single"/>
          <w:lang w:val="en-US"/>
        </w:rPr>
        <w:t xml:space="preserve">test </w:t>
      </w:r>
      <w:r w:rsidRPr="00EB6F22">
        <w:rPr>
          <w:rFonts w:eastAsiaTheme="minorEastAsia"/>
          <w:lang w:val="en-US"/>
        </w:rPr>
        <w:t xml:space="preserve">6 (a) </w:t>
      </w:r>
      <w:r w:rsidRPr="00237385">
        <w:rPr>
          <w:rFonts w:eastAsiaTheme="minorEastAsia"/>
          <w:strike/>
          <w:lang w:val="en-US"/>
        </w:rPr>
        <w:t xml:space="preserve">test </w:t>
      </w:r>
      <w:r w:rsidRPr="00EB6F22">
        <w:rPr>
          <w:rFonts w:eastAsiaTheme="minorEastAsia"/>
          <w:lang w:val="en-US"/>
        </w:rPr>
        <w:t>with an igniter may be waived.</w:t>
      </w:r>
    </w:p>
    <w:p w14:paraId="513B7E61" w14:textId="77777777" w:rsidR="00C26554" w:rsidRDefault="00C26554" w:rsidP="00C26554">
      <w:pPr>
        <w:tabs>
          <w:tab w:val="left" w:pos="2268"/>
        </w:tabs>
        <w:suppressAutoHyphens w:val="0"/>
        <w:spacing w:before="240" w:after="120" w:line="240" w:lineRule="auto"/>
        <w:ind w:left="1134" w:right="1134"/>
        <w:rPr>
          <w:rFonts w:eastAsiaTheme="minorEastAsia"/>
          <w:lang w:val="en-US"/>
        </w:rPr>
      </w:pPr>
      <w:r w:rsidRPr="00EB6F22">
        <w:rPr>
          <w:rFonts w:eastAsiaTheme="minorEastAsia"/>
          <w:lang w:val="en-US"/>
        </w:rPr>
        <w:t>51.3.4</w:t>
      </w:r>
      <w:r w:rsidRPr="00EB6F22">
        <w:rPr>
          <w:rFonts w:eastAsiaTheme="minorEastAsia"/>
          <w:lang w:val="en-US"/>
        </w:rPr>
        <w:tab/>
        <w:t xml:space="preserve">The test for determination of the burning rate by large-scale test need not be performed if, in </w:t>
      </w:r>
      <w:r w:rsidRPr="00237385">
        <w:rPr>
          <w:rFonts w:eastAsiaTheme="minorEastAsia"/>
          <w:strike/>
          <w:lang w:val="en-US"/>
        </w:rPr>
        <w:t xml:space="preserve">a </w:t>
      </w:r>
      <w:r w:rsidRPr="00EB6F22">
        <w:rPr>
          <w:rFonts w:eastAsiaTheme="minorEastAsia"/>
          <w:lang w:val="en-US"/>
        </w:rPr>
        <w:t xml:space="preserve">test </w:t>
      </w:r>
      <w:r w:rsidRPr="00237385">
        <w:rPr>
          <w:rFonts w:eastAsiaTheme="minorEastAsia"/>
          <w:strike/>
          <w:lang w:val="en-US"/>
        </w:rPr>
        <w:t xml:space="preserve">type </w:t>
      </w:r>
      <w:r w:rsidRPr="00EB6F22">
        <w:rPr>
          <w:rFonts w:eastAsiaTheme="minorEastAsia"/>
          <w:lang w:val="en-US"/>
        </w:rPr>
        <w:t xml:space="preserve">6 (b), there is practically instantaneous explosion of virtually the total contents of the stack. In such cases the product is assigned to </w:t>
      </w:r>
      <w:r w:rsidRPr="00E90A78">
        <w:rPr>
          <w:rFonts w:eastAsiaTheme="minorEastAsia"/>
          <w:strike/>
          <w:lang w:val="en-US"/>
        </w:rPr>
        <w:t>Division 1.1</w:t>
      </w:r>
      <w:r w:rsidRPr="00F3652D">
        <w:rPr>
          <w:rFonts w:eastAsiaTheme="minorEastAsia"/>
          <w:strike/>
          <w:lang w:val="en-US"/>
        </w:rPr>
        <w:t xml:space="preserve"> </w:t>
      </w:r>
      <w:r w:rsidRPr="00E90A78">
        <w:rPr>
          <w:rFonts w:eastAsiaTheme="minorEastAsia"/>
          <w:u w:val="single"/>
          <w:lang w:val="en-US"/>
        </w:rPr>
        <w:t>the class of explosives (see Chapter 2.1 of the GHS</w:t>
      </w:r>
      <w:r>
        <w:rPr>
          <w:rFonts w:eastAsiaTheme="minorEastAsia"/>
          <w:lang w:val="en-US"/>
        </w:rPr>
        <w:t>)</w:t>
      </w:r>
      <w:r w:rsidRPr="00EB6F22">
        <w:rPr>
          <w:rFonts w:eastAsiaTheme="minorEastAsia"/>
          <w:lang w:val="en-US"/>
        </w:rPr>
        <w:t>.</w:t>
      </w:r>
    </w:p>
    <w:p w14:paraId="726C227B" w14:textId="77777777" w:rsidR="00C26554" w:rsidRPr="00784A7D" w:rsidRDefault="00C26554" w:rsidP="00C26554">
      <w:pPr>
        <w:pStyle w:val="FootnoteText"/>
        <w:pBdr>
          <w:top w:val="single" w:sz="4" w:space="1" w:color="auto"/>
        </w:pBdr>
        <w:tabs>
          <w:tab w:val="clear" w:pos="1021"/>
          <w:tab w:val="left" w:pos="1418"/>
        </w:tabs>
        <w:spacing w:before="40"/>
        <w:ind w:firstLine="0"/>
        <w:rPr>
          <w:i/>
          <w:iCs/>
          <w:lang w:val="en-US"/>
        </w:rPr>
      </w:pPr>
      <w:r w:rsidRPr="0092657A">
        <w:rPr>
          <w:strike/>
          <w:vertAlign w:val="superscript"/>
          <w:lang w:val="en-US"/>
        </w:rPr>
        <w:t>3</w:t>
      </w:r>
      <w:r w:rsidRPr="0092657A">
        <w:rPr>
          <w:u w:val="single"/>
          <w:vertAlign w:val="superscript"/>
          <w:lang w:val="en-US"/>
        </w:rPr>
        <w:t>2</w:t>
      </w:r>
      <w:r>
        <w:rPr>
          <w:i/>
          <w:iCs/>
          <w:lang w:val="en-US"/>
        </w:rPr>
        <w:tab/>
      </w:r>
      <w:r w:rsidRPr="00784A7D">
        <w:rPr>
          <w:i/>
          <w:iCs/>
          <w:lang w:val="en-US"/>
        </w:rPr>
        <w:t xml:space="preserve">If </w:t>
      </w:r>
      <w:r w:rsidRPr="0052109D">
        <w:rPr>
          <w:i/>
          <w:iCs/>
          <w:strike/>
          <w:lang w:val="en-US"/>
        </w:rPr>
        <w:t xml:space="preserve">the type </w:t>
      </w:r>
      <w:r w:rsidRPr="00784A7D">
        <w:rPr>
          <w:i/>
          <w:iCs/>
          <w:u w:val="single"/>
          <w:lang w:val="en-US"/>
        </w:rPr>
        <w:t xml:space="preserve">test </w:t>
      </w:r>
      <w:r w:rsidRPr="00784A7D">
        <w:rPr>
          <w:i/>
          <w:iCs/>
          <w:lang w:val="en-US"/>
        </w:rPr>
        <w:t xml:space="preserve">1 (a) </w:t>
      </w:r>
      <w:r w:rsidRPr="00F3652D">
        <w:rPr>
          <w:i/>
          <w:iCs/>
          <w:strike/>
          <w:lang w:val="en-US"/>
        </w:rPr>
        <w:t xml:space="preserve">test </w:t>
      </w:r>
      <w:r w:rsidRPr="00784A7D">
        <w:rPr>
          <w:i/>
          <w:iCs/>
          <w:lang w:val="en-US"/>
        </w:rPr>
        <w:t>is not carried out</w:t>
      </w:r>
      <w:r w:rsidRPr="00784A7D">
        <w:rPr>
          <w:i/>
          <w:iCs/>
          <w:u w:val="single"/>
          <w:lang w:val="en-US"/>
        </w:rPr>
        <w:t>, test</w:t>
      </w:r>
      <w:r w:rsidRPr="00784A7D">
        <w:rPr>
          <w:i/>
          <w:iCs/>
          <w:lang w:val="en-US"/>
        </w:rPr>
        <w:t xml:space="preserve"> </w:t>
      </w:r>
      <w:r w:rsidRPr="0052109D">
        <w:rPr>
          <w:i/>
          <w:iCs/>
          <w:strike/>
          <w:lang w:val="en-US"/>
        </w:rPr>
        <w:t xml:space="preserve">the Series 6 type </w:t>
      </w:r>
      <w:r w:rsidRPr="00784A7D">
        <w:rPr>
          <w:i/>
          <w:iCs/>
          <w:lang w:val="en-US"/>
        </w:rPr>
        <w:t>6</w:t>
      </w:r>
      <w:r w:rsidRPr="00F3652D">
        <w:rPr>
          <w:i/>
          <w:iCs/>
          <w:u w:val="single"/>
          <w:lang w:val="en-US"/>
        </w:rPr>
        <w:t xml:space="preserve"> </w:t>
      </w:r>
      <w:r w:rsidRPr="00784A7D">
        <w:rPr>
          <w:i/>
          <w:iCs/>
          <w:lang w:val="en-US"/>
        </w:rPr>
        <w:t>(a) test cannot be waived</w:t>
      </w:r>
      <w:r>
        <w:rPr>
          <w:i/>
          <w:iCs/>
          <w:lang w:val="en-US"/>
        </w:rPr>
        <w:t>.</w:t>
      </w:r>
    </w:p>
    <w:p w14:paraId="24FB0EB3" w14:textId="0FCE7D62" w:rsidR="00515AC1" w:rsidRPr="00890B55" w:rsidRDefault="00EC3016" w:rsidP="00962289">
      <w:pPr>
        <w:tabs>
          <w:tab w:val="left" w:pos="567"/>
          <w:tab w:val="left" w:pos="1134"/>
        </w:tabs>
        <w:suppressAutoHyphens w:val="0"/>
        <w:spacing w:before="120" w:line="240" w:lineRule="auto"/>
        <w:ind w:left="1134" w:right="1134"/>
        <w:rPr>
          <w:u w:val="single"/>
        </w:rPr>
      </w:pPr>
      <w:r w:rsidRPr="00EC3016">
        <w:rPr>
          <w:rFonts w:eastAsia="Calibri" w:cs="TimesNewRomanPSMT"/>
          <w:i/>
          <w:iCs/>
          <w:noProof/>
          <w:lang w:val="en-US"/>
        </w:rPr>
        <mc:AlternateContent>
          <mc:Choice Requires="wps">
            <w:drawing>
              <wp:anchor distT="45720" distB="45720" distL="114300" distR="114300" simplePos="0" relativeHeight="251659264" behindDoc="0" locked="0" layoutInCell="1" allowOverlap="1" wp14:anchorId="7FACD4B1" wp14:editId="3EAA93B4">
                <wp:simplePos x="0" y="0"/>
                <wp:positionH relativeFrom="column">
                  <wp:posOffset>2739390</wp:posOffset>
                </wp:positionH>
                <wp:positionV relativeFrom="page">
                  <wp:posOffset>9516745</wp:posOffset>
                </wp:positionV>
                <wp:extent cx="1382395" cy="25273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52730"/>
                        </a:xfrm>
                        <a:prstGeom prst="rect">
                          <a:avLst/>
                        </a:prstGeom>
                        <a:solidFill>
                          <a:srgbClr val="FFFFFF"/>
                        </a:solidFill>
                        <a:ln w="9525">
                          <a:solidFill>
                            <a:schemeClr val="bg1"/>
                          </a:solidFill>
                          <a:miter lim="800000"/>
                          <a:headEnd/>
                          <a:tailEnd/>
                        </a:ln>
                      </wps:spPr>
                      <wps:txbx>
                        <w:txbxContent>
                          <w:p w14:paraId="779EE9CE" w14:textId="7F0FFA58" w:rsidR="00EC3016" w:rsidRDefault="00EC3016">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CD4B1" id="_x0000_t202" coordsize="21600,21600" o:spt="202" path="m,l,21600r21600,l21600,xe">
                <v:stroke joinstyle="miter"/>
                <v:path gradientshapeok="t" o:connecttype="rect"/>
              </v:shapetype>
              <v:shape id="Text Box 2" o:spid="_x0000_s1026" type="#_x0000_t202" style="position:absolute;left:0;text-align:left;margin-left:215.7pt;margin-top:749.35pt;width:108.8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" strokecolor="white [3212]">
                <v:textbox style="mso-fit-shape-to-text:t">
                  <w:txbxContent>
                    <w:p w14:paraId="779EE9CE" w14:textId="7F0FFA58" w:rsidR="00EC3016" w:rsidRDefault="00EC3016">
                      <w:r>
                        <w:t>________________</w:t>
                      </w:r>
                    </w:p>
                  </w:txbxContent>
                </v:textbox>
                <w10:wrap type="square" anchory="page"/>
              </v:shape>
            </w:pict>
          </mc:Fallback>
        </mc:AlternateContent>
      </w:r>
      <w:r w:rsidR="00C26554" w:rsidRPr="00EB6F22">
        <w:rPr>
          <w:rFonts w:eastAsia="Calibri" w:cs="TimesNewRomanPSMT"/>
          <w:i/>
          <w:iCs/>
          <w:lang w:val="en-US"/>
        </w:rPr>
        <w:tab/>
        <w:t>(No amendments are foreseen in the further text of Section 51.)</w:t>
      </w:r>
    </w:p>
    <w:sectPr w:rsidR="00515AC1" w:rsidRPr="00890B55" w:rsidSect="007626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560" w:right="1134" w:bottom="141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8959" w14:textId="77777777" w:rsidR="00D9256B" w:rsidRDefault="00D9256B"/>
  </w:endnote>
  <w:endnote w:type="continuationSeparator" w:id="0">
    <w:p w14:paraId="6BED18BE" w14:textId="77777777" w:rsidR="00D9256B" w:rsidRDefault="00D9256B"/>
  </w:endnote>
  <w:endnote w:type="continuationNotice" w:id="1">
    <w:p w14:paraId="4D30BB87" w14:textId="77777777" w:rsidR="00D9256B" w:rsidRDefault="00D9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48C8" w14:textId="77777777" w:rsidR="00D9256B" w:rsidRPr="000B175B" w:rsidRDefault="00D9256B" w:rsidP="000B175B">
      <w:pPr>
        <w:tabs>
          <w:tab w:val="right" w:pos="2155"/>
        </w:tabs>
        <w:spacing w:after="80"/>
        <w:ind w:left="680"/>
        <w:rPr>
          <w:u w:val="single"/>
        </w:rPr>
      </w:pPr>
      <w:r>
        <w:rPr>
          <w:u w:val="single"/>
        </w:rPr>
        <w:tab/>
      </w:r>
    </w:p>
  </w:footnote>
  <w:footnote w:type="continuationSeparator" w:id="0">
    <w:p w14:paraId="79172A32" w14:textId="77777777" w:rsidR="00D9256B" w:rsidRPr="00FC68B7" w:rsidRDefault="00D9256B" w:rsidP="00FC68B7">
      <w:pPr>
        <w:tabs>
          <w:tab w:val="left" w:pos="2155"/>
        </w:tabs>
        <w:spacing w:after="80"/>
        <w:ind w:left="680"/>
        <w:rPr>
          <w:u w:val="single"/>
        </w:rPr>
      </w:pPr>
      <w:r>
        <w:rPr>
          <w:u w:val="single"/>
        </w:rPr>
        <w:tab/>
      </w:r>
    </w:p>
  </w:footnote>
  <w:footnote w:type="continuationNotice" w:id="1">
    <w:p w14:paraId="00C8B896" w14:textId="77777777" w:rsidR="00D9256B" w:rsidRDefault="00D9256B"/>
  </w:footnote>
  <w:footnote w:id="2">
    <w:p w14:paraId="352C3542" w14:textId="77777777" w:rsidR="00F94AB1" w:rsidRPr="00D76349" w:rsidRDefault="00F94AB1" w:rsidP="00F94AB1">
      <w:pPr>
        <w:pStyle w:val="FootnoteText"/>
      </w:pPr>
      <w:r>
        <w:tab/>
      </w:r>
      <w:r>
        <w:tab/>
      </w:r>
      <w:r>
        <w:rPr>
          <w:rStyle w:val="FootnoteReference"/>
        </w:rPr>
        <w:footnoteRef/>
      </w:r>
      <w:r>
        <w:t xml:space="preserve"> </w:t>
      </w:r>
      <w:r w:rsidRPr="00C150EC">
        <w:rPr>
          <w:lang w:val="en-US"/>
        </w:rPr>
        <w:t>based on paragraphs 28 to 31 of the report of the GHS Sub-Committee on its forty-first session</w:t>
      </w:r>
      <w:r>
        <w:rPr>
          <w:lang w:val="en-US"/>
        </w:rPr>
        <w:t xml:space="preserve"> </w:t>
      </w:r>
      <w:r w:rsidRPr="00C150EC">
        <w:rPr>
          <w:lang w:val="en-US"/>
        </w:rPr>
        <w:t>(ST/SG/AC.10/C.4/82) and paragraph 81 of the report of the TDG Sub-Committee on its fifty-ninth session (see ST/SG/AC.10/C.3/118).</w:t>
      </w:r>
    </w:p>
  </w:footnote>
  <w:footnote w:id="3">
    <w:p w14:paraId="7C03E32A" w14:textId="4553C0EA" w:rsidR="00F94AB1" w:rsidRPr="00A60C1B" w:rsidRDefault="00F94AB1" w:rsidP="00F94AB1">
      <w:pPr>
        <w:pStyle w:val="FootnoteText"/>
        <w:rPr>
          <w:lang w:val="en-US"/>
        </w:rPr>
      </w:pPr>
      <w:r>
        <w:tab/>
      </w:r>
      <w:r>
        <w:tab/>
      </w:r>
      <w:r>
        <w:rPr>
          <w:rStyle w:val="FootnoteReference"/>
        </w:rPr>
        <w:footnoteRef/>
      </w:r>
      <w:r>
        <w:t xml:space="preserve"> </w:t>
      </w:r>
      <w:r w:rsidR="00FF301E">
        <w:rPr>
          <w:lang w:val="fr-CH"/>
        </w:rPr>
        <w:t xml:space="preserve">Informal document </w:t>
      </w:r>
      <w:r w:rsidRPr="00A60C1B">
        <w:t>INF.28</w:t>
      </w:r>
      <w:r w:rsidRPr="00A60C1B">
        <w:rPr>
          <w:lang w:val="en-US"/>
        </w:rPr>
        <w:t xml:space="preserve"> </w:t>
      </w:r>
      <w:r w:rsidR="00FF301E">
        <w:rPr>
          <w:lang w:val="en-US"/>
        </w:rPr>
        <w:t>(60</w:t>
      </w:r>
      <w:r w:rsidR="00FF301E" w:rsidRPr="00FF301E">
        <w:rPr>
          <w:vertAlign w:val="superscript"/>
          <w:lang w:val="en-US"/>
        </w:rPr>
        <w:t>th</w:t>
      </w:r>
      <w:r w:rsidR="00FF301E">
        <w:rPr>
          <w:lang w:val="en-US"/>
        </w:rPr>
        <w:t xml:space="preserve"> session) </w:t>
      </w:r>
      <w:r w:rsidRPr="00A60C1B">
        <w:rPr>
          <w:lang w:val="en-US"/>
        </w:rPr>
        <w:t>contains the same</w:t>
      </w:r>
      <w:r>
        <w:rPr>
          <w:lang w:val="en-US"/>
        </w:rPr>
        <w:t xml:space="preserve"> proposal as </w:t>
      </w:r>
      <w:r w:rsidR="00FF301E">
        <w:rPr>
          <w:lang w:val="en-US"/>
        </w:rPr>
        <w:t xml:space="preserve">informal document </w:t>
      </w:r>
      <w:r w:rsidRPr="00A60C1B">
        <w:rPr>
          <w:lang w:val="en-US"/>
        </w:rPr>
        <w:t>INF.8</w:t>
      </w:r>
      <w:r w:rsidR="00FF301E">
        <w:rPr>
          <w:lang w:val="en-US"/>
        </w:rPr>
        <w:t xml:space="preserve"> (42</w:t>
      </w:r>
      <w:r w:rsidR="00FF301E" w:rsidRPr="00FF301E">
        <w:rPr>
          <w:vertAlign w:val="superscript"/>
          <w:lang w:val="en-US"/>
        </w:rPr>
        <w:t>nd</w:t>
      </w:r>
      <w:r w:rsidR="00FF301E">
        <w:rPr>
          <w:lang w:val="en-US"/>
        </w:rPr>
        <w:t xml:space="preserve"> session)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52EFC642" w:rsidR="00567DFB" w:rsidRPr="00E1707A" w:rsidRDefault="00DE236F">
    <w:pPr>
      <w:pStyle w:val="Header"/>
      <w:rPr>
        <w:lang w:val="nl-NL"/>
      </w:rPr>
    </w:pPr>
    <w:r w:rsidRPr="00E1707A">
      <w:rPr>
        <w:lang w:val="nl-NL"/>
      </w:rPr>
      <w:t>UN/SCETDG/</w:t>
    </w:r>
    <w:r w:rsidR="002E5936">
      <w:rPr>
        <w:lang w:val="nl-NL"/>
      </w:rPr>
      <w:t>60</w:t>
    </w:r>
    <w:r w:rsidRPr="00E1707A">
      <w:rPr>
        <w:lang w:val="nl-NL"/>
      </w:rPr>
      <w:t>/INF.</w:t>
    </w:r>
    <w:r w:rsidR="00EC3016">
      <w:rPr>
        <w:lang w:val="nl-NL"/>
      </w:rPr>
      <w:t>36</w:t>
    </w:r>
  </w:p>
  <w:p w14:paraId="2CBE178D" w14:textId="5DCC263B" w:rsidR="00DE236F" w:rsidRPr="00B5392B" w:rsidRDefault="00DE236F">
    <w:pPr>
      <w:pStyle w:val="Header"/>
      <w:rPr>
        <w:lang w:val="nl-NL"/>
      </w:rPr>
    </w:pPr>
    <w:r w:rsidRPr="00E1707A">
      <w:rPr>
        <w:lang w:val="nl-NL"/>
      </w:rPr>
      <w:t>UN/SCEGHS/</w:t>
    </w:r>
    <w:r w:rsidR="00E1707A" w:rsidRPr="00E1707A">
      <w:rPr>
        <w:lang w:val="nl-NL"/>
      </w:rPr>
      <w:t>4</w:t>
    </w:r>
    <w:r w:rsidR="002E5936">
      <w:rPr>
        <w:lang w:val="nl-NL"/>
      </w:rPr>
      <w:t>2</w:t>
    </w:r>
    <w:r w:rsidRPr="00E1707A">
      <w:rPr>
        <w:lang w:val="nl-NL"/>
      </w:rPr>
      <w:t>/INF.</w:t>
    </w:r>
    <w:r w:rsidR="00EC3016">
      <w:rPr>
        <w:lang w:val="nl-NL"/>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5C8D56ED" w:rsidR="008B2FD9" w:rsidRPr="00E1707A" w:rsidRDefault="008B2FD9" w:rsidP="008B2FD9">
    <w:pPr>
      <w:pStyle w:val="Header"/>
      <w:jc w:val="right"/>
      <w:rPr>
        <w:lang w:val="nl-NL"/>
      </w:rPr>
    </w:pPr>
    <w:r w:rsidRPr="00E1707A">
      <w:rPr>
        <w:lang w:val="nl-NL"/>
      </w:rPr>
      <w:t>UN/SCETDG/</w:t>
    </w:r>
    <w:r w:rsidR="00EC3016">
      <w:rPr>
        <w:lang w:val="nl-NL"/>
      </w:rPr>
      <w:t>60</w:t>
    </w:r>
    <w:r w:rsidRPr="00E1707A">
      <w:rPr>
        <w:lang w:val="nl-NL"/>
      </w:rPr>
      <w:t>/INF.</w:t>
    </w:r>
    <w:r w:rsidR="00EC3016">
      <w:rPr>
        <w:lang w:val="nl-NL"/>
      </w:rPr>
      <w:t>36</w:t>
    </w:r>
  </w:p>
  <w:p w14:paraId="2CBE178E" w14:textId="5EE8FCC8" w:rsidR="00DE236F" w:rsidRPr="00E638E2" w:rsidRDefault="008B2FD9" w:rsidP="008B2FD9">
    <w:pPr>
      <w:pStyle w:val="Header"/>
      <w:jc w:val="right"/>
      <w:rPr>
        <w:lang w:val="fr-CH"/>
      </w:rPr>
    </w:pPr>
    <w:r w:rsidRPr="00E1707A">
      <w:rPr>
        <w:lang w:val="nl-NL"/>
      </w:rPr>
      <w:t>UN/SCEGHS/4</w:t>
    </w:r>
    <w:r w:rsidR="00EC3016">
      <w:rPr>
        <w:lang w:val="nl-NL"/>
      </w:rPr>
      <w:t>2</w:t>
    </w:r>
    <w:r w:rsidRPr="00E1707A">
      <w:rPr>
        <w:lang w:val="nl-NL"/>
      </w:rPr>
      <w:t>/INF.1</w:t>
    </w:r>
    <w:r w:rsidR="00EC3016">
      <w:rPr>
        <w:lang w:val="nl-N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1" w14:textId="77777777" w:rsidR="00DE236F" w:rsidRDefault="00DE236F" w:rsidP="00796F36">
    <w:pPr>
      <w:pStyle w:val="Header"/>
      <w:pBdr>
        <w:bottom w:val="none" w:sz="0" w:space="0" w:color="auto"/>
      </w:pBdr>
    </w:pPr>
  </w:p>
  <w:p w14:paraId="2CBE1792" w14:textId="77777777" w:rsidR="00DE236F" w:rsidRDefault="00DE2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2"/>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C"/>
    <w:rsid w:val="000272C1"/>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E38B6"/>
    <w:rsid w:val="000F52D6"/>
    <w:rsid w:val="000F67B5"/>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497C"/>
    <w:rsid w:val="003F23A4"/>
    <w:rsid w:val="003F3297"/>
    <w:rsid w:val="003F5B52"/>
    <w:rsid w:val="00403EC6"/>
    <w:rsid w:val="00406CD4"/>
    <w:rsid w:val="00412406"/>
    <w:rsid w:val="00414400"/>
    <w:rsid w:val="00416028"/>
    <w:rsid w:val="0041F112"/>
    <w:rsid w:val="0042348E"/>
    <w:rsid w:val="00426195"/>
    <w:rsid w:val="0042717A"/>
    <w:rsid w:val="00430051"/>
    <w:rsid w:val="00430086"/>
    <w:rsid w:val="00430918"/>
    <w:rsid w:val="004325CB"/>
    <w:rsid w:val="00437F3F"/>
    <w:rsid w:val="00440CA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05B1"/>
    <w:rsid w:val="00492AF9"/>
    <w:rsid w:val="00494C77"/>
    <w:rsid w:val="00497711"/>
    <w:rsid w:val="004977CE"/>
    <w:rsid w:val="004B1E47"/>
    <w:rsid w:val="004B2C9D"/>
    <w:rsid w:val="004B5939"/>
    <w:rsid w:val="004B73D6"/>
    <w:rsid w:val="004C39D0"/>
    <w:rsid w:val="004C4F1A"/>
    <w:rsid w:val="004C571E"/>
    <w:rsid w:val="004C6D6D"/>
    <w:rsid w:val="004D56A5"/>
    <w:rsid w:val="004E0C5D"/>
    <w:rsid w:val="004F1E93"/>
    <w:rsid w:val="004F2F21"/>
    <w:rsid w:val="004F3AC0"/>
    <w:rsid w:val="004F4240"/>
    <w:rsid w:val="004F77CD"/>
    <w:rsid w:val="00507CF1"/>
    <w:rsid w:val="00514EDD"/>
    <w:rsid w:val="00515AC1"/>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7619C"/>
    <w:rsid w:val="0058129D"/>
    <w:rsid w:val="00584BB9"/>
    <w:rsid w:val="005869A6"/>
    <w:rsid w:val="00590144"/>
    <w:rsid w:val="00594427"/>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2490"/>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54516"/>
    <w:rsid w:val="00662121"/>
    <w:rsid w:val="00662E09"/>
    <w:rsid w:val="006648AD"/>
    <w:rsid w:val="0066648F"/>
    <w:rsid w:val="00670CF0"/>
    <w:rsid w:val="00675F87"/>
    <w:rsid w:val="00687476"/>
    <w:rsid w:val="00690CD6"/>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7025C0"/>
    <w:rsid w:val="00707F04"/>
    <w:rsid w:val="00710842"/>
    <w:rsid w:val="00711637"/>
    <w:rsid w:val="007149A0"/>
    <w:rsid w:val="00714F4F"/>
    <w:rsid w:val="00716B23"/>
    <w:rsid w:val="0072632A"/>
    <w:rsid w:val="0073435C"/>
    <w:rsid w:val="00736E6A"/>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C77B6"/>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2AFD"/>
    <w:rsid w:val="008979B1"/>
    <w:rsid w:val="008A0B75"/>
    <w:rsid w:val="008A1542"/>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E2A47"/>
    <w:rsid w:val="008F2D9A"/>
    <w:rsid w:val="008F44B8"/>
    <w:rsid w:val="008F483C"/>
    <w:rsid w:val="008F504A"/>
    <w:rsid w:val="00904EBC"/>
    <w:rsid w:val="00917870"/>
    <w:rsid w:val="00923019"/>
    <w:rsid w:val="00923160"/>
    <w:rsid w:val="00924B63"/>
    <w:rsid w:val="009363B6"/>
    <w:rsid w:val="00940F46"/>
    <w:rsid w:val="00941ECC"/>
    <w:rsid w:val="00945A5D"/>
    <w:rsid w:val="00946A0D"/>
    <w:rsid w:val="00955109"/>
    <w:rsid w:val="00955ECC"/>
    <w:rsid w:val="00962289"/>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4856"/>
    <w:rsid w:val="009C6394"/>
    <w:rsid w:val="009D0E2A"/>
    <w:rsid w:val="009D0F0E"/>
    <w:rsid w:val="009D1AAE"/>
    <w:rsid w:val="009D5536"/>
    <w:rsid w:val="009D634E"/>
    <w:rsid w:val="009D6B51"/>
    <w:rsid w:val="009E1560"/>
    <w:rsid w:val="009E24A1"/>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E498D"/>
    <w:rsid w:val="00AF0878"/>
    <w:rsid w:val="00AF2F9D"/>
    <w:rsid w:val="00AF6710"/>
    <w:rsid w:val="00B013E6"/>
    <w:rsid w:val="00B01E71"/>
    <w:rsid w:val="00B04D66"/>
    <w:rsid w:val="00B10C19"/>
    <w:rsid w:val="00B1157C"/>
    <w:rsid w:val="00B1292B"/>
    <w:rsid w:val="00B1501F"/>
    <w:rsid w:val="00B22B5C"/>
    <w:rsid w:val="00B26710"/>
    <w:rsid w:val="00B26B3C"/>
    <w:rsid w:val="00B27ED7"/>
    <w:rsid w:val="00B28366"/>
    <w:rsid w:val="00B30179"/>
    <w:rsid w:val="00B3317B"/>
    <w:rsid w:val="00B3578D"/>
    <w:rsid w:val="00B41384"/>
    <w:rsid w:val="00B4398E"/>
    <w:rsid w:val="00B47F37"/>
    <w:rsid w:val="00B50E39"/>
    <w:rsid w:val="00B5392B"/>
    <w:rsid w:val="00B71E2B"/>
    <w:rsid w:val="00B73DA8"/>
    <w:rsid w:val="00B74F7C"/>
    <w:rsid w:val="00B758FC"/>
    <w:rsid w:val="00B75E05"/>
    <w:rsid w:val="00B81E12"/>
    <w:rsid w:val="00B84AAC"/>
    <w:rsid w:val="00B90F54"/>
    <w:rsid w:val="00B91CC3"/>
    <w:rsid w:val="00B92A0C"/>
    <w:rsid w:val="00B93068"/>
    <w:rsid w:val="00B931A6"/>
    <w:rsid w:val="00BA1131"/>
    <w:rsid w:val="00BA5059"/>
    <w:rsid w:val="00BA62F0"/>
    <w:rsid w:val="00BB176D"/>
    <w:rsid w:val="00BB26DB"/>
    <w:rsid w:val="00BB28DD"/>
    <w:rsid w:val="00BB3B28"/>
    <w:rsid w:val="00BC74E9"/>
    <w:rsid w:val="00BD6FBB"/>
    <w:rsid w:val="00BE1FF8"/>
    <w:rsid w:val="00BE289D"/>
    <w:rsid w:val="00BE50CA"/>
    <w:rsid w:val="00BE618E"/>
    <w:rsid w:val="00BF57C3"/>
    <w:rsid w:val="00C0263F"/>
    <w:rsid w:val="00C03B44"/>
    <w:rsid w:val="00C10E79"/>
    <w:rsid w:val="00C11170"/>
    <w:rsid w:val="00C13A85"/>
    <w:rsid w:val="00C218A4"/>
    <w:rsid w:val="00C26554"/>
    <w:rsid w:val="00C2756F"/>
    <w:rsid w:val="00C31452"/>
    <w:rsid w:val="00C323C9"/>
    <w:rsid w:val="00C36D37"/>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07544"/>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9256B"/>
    <w:rsid w:val="00D9274F"/>
    <w:rsid w:val="00D96248"/>
    <w:rsid w:val="00D96CC5"/>
    <w:rsid w:val="00D978C6"/>
    <w:rsid w:val="00D97B77"/>
    <w:rsid w:val="00DA62E3"/>
    <w:rsid w:val="00DA6620"/>
    <w:rsid w:val="00DA67AD"/>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607DC"/>
    <w:rsid w:val="00E631BA"/>
    <w:rsid w:val="00E638E2"/>
    <w:rsid w:val="00E63DE8"/>
    <w:rsid w:val="00E6613A"/>
    <w:rsid w:val="00E704F4"/>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3016"/>
    <w:rsid w:val="00EC755A"/>
    <w:rsid w:val="00ED1E0A"/>
    <w:rsid w:val="00ED3508"/>
    <w:rsid w:val="00ED3F6F"/>
    <w:rsid w:val="00ED7502"/>
    <w:rsid w:val="00ED7A2A"/>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29AC"/>
    <w:rsid w:val="00F93C5A"/>
    <w:rsid w:val="00F94AB1"/>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301E"/>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character" w:customStyle="1" w:styleId="SingleTxtGCar">
    <w:name w:val="_ Single Txt_G Car"/>
    <w:rsid w:val="00C265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559EEE27-827E-41E1-9C88-46DBB442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25</cp:revision>
  <cp:lastPrinted>2014-03-14T07:40:00Z</cp:lastPrinted>
  <dcterms:created xsi:type="dcterms:W3CDTF">2022-06-24T07:41:00Z</dcterms:created>
  <dcterms:modified xsi:type="dcterms:W3CDTF">2022-06-24T15:25:00Z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y fmtid="{D5CDD505-2E9C-101B-9397-08002B2CF9AE}" pid="10" name="MediaServiceImageTags">
    <vt:lpwstr/>
  </property>
</Properties>
</file>