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2120F401" w14:textId="77777777" w:rsidTr="00691F20">
        <w:trPr>
          <w:cantSplit/>
          <w:trHeight w:hRule="exact" w:val="851"/>
        </w:trPr>
        <w:tc>
          <w:tcPr>
            <w:tcW w:w="9639" w:type="dxa"/>
            <w:tcBorders>
              <w:bottom w:val="single" w:sz="4" w:space="0" w:color="auto"/>
            </w:tcBorders>
            <w:vAlign w:val="bottom"/>
          </w:tcPr>
          <w:p w14:paraId="56C00F8A" w14:textId="759BF5E0"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60</w:t>
            </w:r>
            <w:r w:rsidRPr="00EA2D43">
              <w:rPr>
                <w:b/>
                <w:sz w:val="40"/>
                <w:szCs w:val="40"/>
              </w:rPr>
              <w:t>/INF.</w:t>
            </w:r>
            <w:r w:rsidR="009C1781">
              <w:rPr>
                <w:b/>
                <w:sz w:val="40"/>
                <w:szCs w:val="40"/>
              </w:rPr>
              <w:t>18</w:t>
            </w:r>
          </w:p>
        </w:tc>
      </w:tr>
      <w:tr w:rsidR="0099001C" w:rsidRPr="00EA2D43" w14:paraId="255C37D3" w14:textId="77777777" w:rsidTr="00E07137">
        <w:trPr>
          <w:cantSplit/>
          <w:trHeight w:hRule="exact" w:val="2704"/>
        </w:trPr>
        <w:tc>
          <w:tcPr>
            <w:tcW w:w="9639" w:type="dxa"/>
            <w:tcBorders>
              <w:top w:val="single" w:sz="4" w:space="0" w:color="auto"/>
            </w:tcBorders>
          </w:tcPr>
          <w:p w14:paraId="083DA029"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3F35F78C" w14:textId="3006430D" w:rsidR="00EA2D43" w:rsidRPr="00966CD6" w:rsidRDefault="00263951" w:rsidP="00D427EE">
            <w:pPr>
              <w:tabs>
                <w:tab w:val="right" w:pos="9000"/>
              </w:tabs>
              <w:spacing w:before="120"/>
              <w:outlineLvl w:val="0"/>
              <w:rPr>
                <w:b/>
                <w:color w:val="000000"/>
              </w:rPr>
            </w:pPr>
            <w:r w:rsidRPr="006500BA">
              <w:rPr>
                <w:b/>
              </w:rPr>
              <w:t xml:space="preserve">Sub-Committee of Experts on the </w:t>
            </w:r>
            <w:r>
              <w:rPr>
                <w:b/>
              </w:rPr>
              <w:t>Transport of Dangerous Goods</w:t>
            </w:r>
            <w:r w:rsidR="00426C3A" w:rsidRPr="00966CD6">
              <w:rPr>
                <w:b/>
                <w:color w:val="000000"/>
              </w:rPr>
              <w:tab/>
            </w:r>
            <w:r w:rsidR="009C1781">
              <w:rPr>
                <w:b/>
                <w:color w:val="000000"/>
              </w:rPr>
              <w:t>1</w:t>
            </w:r>
            <w:r w:rsidR="00D2448E">
              <w:rPr>
                <w:b/>
                <w:color w:val="000000"/>
              </w:rPr>
              <w:t>4</w:t>
            </w:r>
            <w:r w:rsidR="009C1781">
              <w:rPr>
                <w:b/>
                <w:color w:val="000000"/>
              </w:rPr>
              <w:t xml:space="preserve"> June</w:t>
            </w:r>
            <w:r w:rsidR="003E1E60" w:rsidRPr="00966CD6">
              <w:rPr>
                <w:b/>
                <w:color w:val="000000"/>
              </w:rPr>
              <w:t xml:space="preserve"> 2022</w:t>
            </w:r>
          </w:p>
          <w:p w14:paraId="1466879C" w14:textId="77777777" w:rsidR="00224BDB" w:rsidRPr="006500BA" w:rsidRDefault="00224BDB" w:rsidP="00224BDB">
            <w:pPr>
              <w:spacing w:before="120"/>
              <w:rPr>
                <w:b/>
              </w:rPr>
            </w:pPr>
            <w:r>
              <w:rPr>
                <w:b/>
              </w:rPr>
              <w:t xml:space="preserve">Sixtieth </w:t>
            </w:r>
            <w:r w:rsidRPr="006500BA">
              <w:rPr>
                <w:b/>
              </w:rPr>
              <w:t>session</w:t>
            </w:r>
          </w:p>
          <w:p w14:paraId="3C6D25AB" w14:textId="77777777" w:rsidR="00224BDB" w:rsidRPr="006500BA" w:rsidRDefault="00224BDB" w:rsidP="00224BDB">
            <w:r w:rsidRPr="006500BA">
              <w:t xml:space="preserve">Geneva, </w:t>
            </w:r>
            <w:r>
              <w:t xml:space="preserve">27 June-6 July 2022 </w:t>
            </w:r>
          </w:p>
          <w:p w14:paraId="424ADB3A" w14:textId="77777777" w:rsidR="00E07137" w:rsidRDefault="00E07137" w:rsidP="00C27AA0">
            <w:pPr>
              <w:jc w:val="both"/>
            </w:pPr>
            <w:r>
              <w:t xml:space="preserve">Item 6 (d) of the provisional agenda </w:t>
            </w:r>
          </w:p>
          <w:p w14:paraId="4CC90C32" w14:textId="77777777" w:rsidR="00E07137" w:rsidRPr="00E07137" w:rsidRDefault="00E07137" w:rsidP="00C27AA0">
            <w:pPr>
              <w:jc w:val="both"/>
              <w:rPr>
                <w:b/>
                <w:bCs/>
              </w:rPr>
            </w:pPr>
            <w:r w:rsidRPr="00E07137">
              <w:rPr>
                <w:b/>
                <w:bCs/>
              </w:rPr>
              <w:t xml:space="preserve">Miscellaneous proposals for amendments to the Model Regulations </w:t>
            </w:r>
          </w:p>
          <w:p w14:paraId="57E5C8FB" w14:textId="77777777" w:rsidR="0099001C" w:rsidRPr="00EA2D43" w:rsidRDefault="00E07137" w:rsidP="00C27AA0">
            <w:pPr>
              <w:jc w:val="both"/>
              <w:rPr>
                <w:highlight w:val="yellow"/>
              </w:rPr>
            </w:pPr>
            <w:r w:rsidRPr="00E07137">
              <w:rPr>
                <w:b/>
                <w:bCs/>
              </w:rPr>
              <w:t>on the Transport of Dangerous Goods: other miscellaneous proposals</w:t>
            </w:r>
          </w:p>
        </w:tc>
      </w:tr>
    </w:tbl>
    <w:p w14:paraId="5DD6700B" w14:textId="77777777" w:rsidR="00A50173" w:rsidRPr="00A50173" w:rsidRDefault="00A50173" w:rsidP="00A50173">
      <w:pPr>
        <w:pStyle w:val="HChG"/>
        <w:rPr>
          <w:lang w:val="en-US"/>
        </w:rPr>
      </w:pPr>
      <w:r w:rsidRPr="00870D13">
        <w:tab/>
      </w:r>
      <w:r>
        <w:tab/>
      </w:r>
      <w:r>
        <w:tab/>
      </w:r>
      <w:r w:rsidR="007E70FF">
        <w:t>Comments on ST/SG/AC.10/C.3/2022/23</w:t>
      </w:r>
      <w:r w:rsidR="00F53B3F">
        <w:t>: Filling ratio and degree of filling</w:t>
      </w:r>
    </w:p>
    <w:p w14:paraId="06954066" w14:textId="576F0B1F" w:rsidR="006A7757" w:rsidRPr="00870D13" w:rsidRDefault="006A7757" w:rsidP="006A7757">
      <w:pPr>
        <w:pStyle w:val="H1G"/>
        <w:rPr>
          <w:rFonts w:eastAsia="MS Mincho"/>
        </w:rPr>
      </w:pPr>
      <w:r w:rsidRPr="00870D13">
        <w:rPr>
          <w:rFonts w:eastAsia="MS Mincho"/>
        </w:rPr>
        <w:tab/>
      </w:r>
      <w:r w:rsidRPr="00870D13">
        <w:rPr>
          <w:rFonts w:eastAsia="MS Mincho"/>
        </w:rPr>
        <w:tab/>
      </w:r>
      <w:r w:rsidR="00F53B3F">
        <w:t>Transmitted by the expert from Spai</w:t>
      </w:r>
      <w:r w:rsidR="00B078E8">
        <w:t>n</w:t>
      </w:r>
    </w:p>
    <w:p w14:paraId="26D439D6" w14:textId="77777777" w:rsidR="00D45103" w:rsidRDefault="00E1360D" w:rsidP="00775D8C">
      <w:pPr>
        <w:pStyle w:val="HChG"/>
      </w:pPr>
      <w:r>
        <w:tab/>
      </w:r>
      <w:r w:rsidR="00FC244C">
        <w:t>I.</w:t>
      </w:r>
      <w:r w:rsidR="00FC244C">
        <w:tab/>
        <w:t>Introduction</w:t>
      </w:r>
    </w:p>
    <w:p w14:paraId="36BB83BC" w14:textId="65EF382D" w:rsidR="00D62C64" w:rsidRDefault="00FC244C" w:rsidP="00D62C64">
      <w:pPr>
        <w:pStyle w:val="SingleTxtG"/>
      </w:pPr>
      <w:r>
        <w:t>1.</w:t>
      </w:r>
      <w:r>
        <w:tab/>
      </w:r>
      <w:r w:rsidR="00065499">
        <w:t xml:space="preserve">Following the </w:t>
      </w:r>
      <w:r w:rsidR="00E07137">
        <w:t xml:space="preserve">submission of ST/SG/AC.10/C.3/2022/23 </w:t>
      </w:r>
      <w:r w:rsidR="003F2060">
        <w:t xml:space="preserve">it was found that the specific case of liquefied </w:t>
      </w:r>
      <w:r w:rsidR="005C13CD">
        <w:t>refrigerated gases had not been covered adequately by the proposal, and a small working group including representatives from EIGA</w:t>
      </w:r>
      <w:r w:rsidR="00D62C64">
        <w:t>,</w:t>
      </w:r>
      <w:r w:rsidR="005C13CD">
        <w:t xml:space="preserve"> ECMA</w:t>
      </w:r>
      <w:r w:rsidR="00D62C64">
        <w:t>,</w:t>
      </w:r>
      <w:r w:rsidR="005C13CD">
        <w:t xml:space="preserve"> CGA, Liquid Gas Europe</w:t>
      </w:r>
      <w:r w:rsidR="0042573C">
        <w:t>,</w:t>
      </w:r>
      <w:r w:rsidR="005C13CD">
        <w:t xml:space="preserve"> </w:t>
      </w:r>
      <w:proofErr w:type="spellStart"/>
      <w:r w:rsidR="005C13CD">
        <w:t>C</w:t>
      </w:r>
      <w:r w:rsidR="009C1781">
        <w:t>efic</w:t>
      </w:r>
      <w:proofErr w:type="spellEnd"/>
      <w:r w:rsidR="005C13CD">
        <w:t xml:space="preserve"> </w:t>
      </w:r>
      <w:r w:rsidR="0042573C">
        <w:t xml:space="preserve">and experts from Spain </w:t>
      </w:r>
      <w:r w:rsidR="005C13CD">
        <w:t>was set up to discuss this specific issue</w:t>
      </w:r>
      <w:r w:rsidR="00D62C64">
        <w:t>.</w:t>
      </w:r>
    </w:p>
    <w:p w14:paraId="52B99797" w14:textId="296D6469" w:rsidR="005450F3" w:rsidRDefault="002F178F" w:rsidP="005450F3">
      <w:pPr>
        <w:pStyle w:val="SingleTxtG"/>
      </w:pPr>
      <w:r>
        <w:t>2.</w:t>
      </w:r>
      <w:r>
        <w:tab/>
      </w:r>
      <w:r w:rsidR="005450F3">
        <w:t xml:space="preserve">In general, the approach of using with more accuracy the definition of filling </w:t>
      </w:r>
      <w:proofErr w:type="gramStart"/>
      <w:r w:rsidR="005450F3">
        <w:t>ratio, and</w:t>
      </w:r>
      <w:proofErr w:type="gramEnd"/>
      <w:r w:rsidR="005450F3">
        <w:t xml:space="preserve"> introducing a definition for </w:t>
      </w:r>
      <w:r w:rsidR="005E249C">
        <w:t>“</w:t>
      </w:r>
      <w:r w:rsidR="005450F3">
        <w:t>degree of filling</w:t>
      </w:r>
      <w:r w:rsidR="005E249C">
        <w:t>”</w:t>
      </w:r>
      <w:r w:rsidR="005450F3">
        <w:t>, was supported by all members of this group. Equally</w:t>
      </w:r>
      <w:r w:rsidR="002D1E27">
        <w:t>, it was accepted that according</w:t>
      </w:r>
      <w:r w:rsidR="005450F3">
        <w:t xml:space="preserve"> to the definitions </w:t>
      </w:r>
      <w:r w:rsidR="00F434EE">
        <w:t>in</w:t>
      </w:r>
      <w:r w:rsidR="005450F3">
        <w:t xml:space="preserve"> the Model Regulations, and according to the views of all, refrigerated liquefied gases are gases.</w:t>
      </w:r>
    </w:p>
    <w:p w14:paraId="34F962F5" w14:textId="77777777" w:rsidR="00201E38" w:rsidRDefault="00201E38" w:rsidP="00201E38">
      <w:pPr>
        <w:pStyle w:val="HChG"/>
      </w:pPr>
      <w:r>
        <w:tab/>
        <w:t>II.</w:t>
      </w:r>
      <w:r>
        <w:tab/>
        <w:t>Analysis</w:t>
      </w:r>
    </w:p>
    <w:p w14:paraId="5E562872" w14:textId="34451182" w:rsidR="00201E38" w:rsidRDefault="00201E38" w:rsidP="00201E38">
      <w:pPr>
        <w:pStyle w:val="SingleTxtG"/>
      </w:pPr>
      <w:r>
        <w:t>3.</w:t>
      </w:r>
      <w:r>
        <w:tab/>
        <w:t xml:space="preserve">Refrigerated liquefied gases are relevant </w:t>
      </w:r>
      <w:r w:rsidR="003C3C04">
        <w:t>regarding</w:t>
      </w:r>
      <w:r>
        <w:t xml:space="preserve"> the filling ratio/degree of filling in P203(5), 4.2.3.6.2+4, 4.2.5.3 TP5 and 6.7.4.15.1i (iv)+table. For these cases, in other languages, the wording filling ratio/degree of filling has not been used as in the English language version in these paragraphs.</w:t>
      </w:r>
    </w:p>
    <w:p w14:paraId="2A5A7648" w14:textId="6597FD45" w:rsidR="00201E38" w:rsidRDefault="008E646E" w:rsidP="00201E38">
      <w:pPr>
        <w:pStyle w:val="SingleTxtG"/>
      </w:pPr>
      <w:r>
        <w:t>4.</w:t>
      </w:r>
      <w:r>
        <w:tab/>
      </w:r>
      <w:r w:rsidR="00201E38">
        <w:t xml:space="preserve">The filling process of a </w:t>
      </w:r>
      <w:r w:rsidR="00B66E74">
        <w:t>refrigerated liquefied gas</w:t>
      </w:r>
      <w:r w:rsidR="00201E38">
        <w:t xml:space="preserve"> is done by limiting the volume of the liquid phase; this may be done by a cock, or by other means. Depending on the gas filled in, and the temperature, this results in different masses of gas filled in.</w:t>
      </w:r>
    </w:p>
    <w:p w14:paraId="6B786BF7" w14:textId="20F21DE6" w:rsidR="00201E38" w:rsidRDefault="008E646E" w:rsidP="00201E38">
      <w:pPr>
        <w:pStyle w:val="SingleTxtG"/>
      </w:pPr>
      <w:r>
        <w:t>5.</w:t>
      </w:r>
      <w:r>
        <w:tab/>
      </w:r>
      <w:r w:rsidR="00201E38">
        <w:t xml:space="preserve">It was felt that in 6.7.4.15.1i (iv)+table the intent is to specify the maximum mass for a specific gas; and therefore, kg is the correct unit. </w:t>
      </w:r>
      <w:r>
        <w:t xml:space="preserve">Nevertheless, </w:t>
      </w:r>
      <w:r w:rsidR="00201E38">
        <w:t>“</w:t>
      </w:r>
      <w:r>
        <w:t>d</w:t>
      </w:r>
      <w:r w:rsidR="00201E38">
        <w:t>egree of filling</w:t>
      </w:r>
      <w:r w:rsidR="009C13A1">
        <w:t>”</w:t>
      </w:r>
      <w:r w:rsidR="00201E38">
        <w:t xml:space="preserve"> was therefore not correctly used there and should be </w:t>
      </w:r>
      <w:r>
        <w:t>amended</w:t>
      </w:r>
      <w:r w:rsidR="00201E38">
        <w:t>.</w:t>
      </w:r>
    </w:p>
    <w:p w14:paraId="05D2CB56" w14:textId="7B3CC629" w:rsidR="00201E38" w:rsidRDefault="008E646E" w:rsidP="00201E38">
      <w:pPr>
        <w:pStyle w:val="SingleTxtG"/>
      </w:pPr>
      <w:r>
        <w:t>6.</w:t>
      </w:r>
      <w:r>
        <w:tab/>
      </w:r>
      <w:r w:rsidR="00201E38">
        <w:t xml:space="preserve">On the other points, it seems clear that the usual way to limit the filling by industry is by limiting the volume of the liquid phase; and as degree of filling is a concept related to volume, it is the term usually used. Nevertheless, </w:t>
      </w:r>
      <w:r w:rsidR="00172C04">
        <w:t>in case of</w:t>
      </w:r>
      <w:r w:rsidR="00201E38">
        <w:t xml:space="preserve"> </w:t>
      </w:r>
      <w:r w:rsidR="0045616D">
        <w:t>refrigerated liquefied gases</w:t>
      </w:r>
      <w:r w:rsidR="00172C04">
        <w:t>,</w:t>
      </w:r>
      <w:r w:rsidR="00201E38">
        <w:t xml:space="preserve"> the gas phase </w:t>
      </w:r>
      <w:r w:rsidR="00030639">
        <w:t xml:space="preserve">of </w:t>
      </w:r>
      <w:r w:rsidR="00201E38">
        <w:t xml:space="preserve">a gas is also important, and therefore the correct terminology </w:t>
      </w:r>
      <w:r w:rsidR="00FE3F20">
        <w:t>should be</w:t>
      </w:r>
      <w:r w:rsidR="00201E38">
        <w:t xml:space="preserve"> filling ratio; but even so it is not practical to use filling ratio because weight is normally not controlled directly in most cases. It was agreed that the important criteria express</w:t>
      </w:r>
      <w:r w:rsidR="001B36BA">
        <w:t>ed</w:t>
      </w:r>
      <w:r w:rsidR="00201E38">
        <w:t xml:space="preserve"> in P203(5), 4.2.3.6.2+4 is </w:t>
      </w:r>
      <w:r w:rsidR="00201E38" w:rsidRPr="001B36BA">
        <w:rPr>
          <w:u w:val="single"/>
        </w:rPr>
        <w:t>limiting the volume of the liquid phase.</w:t>
      </w:r>
      <w:r w:rsidR="00201E38">
        <w:t xml:space="preserve"> The use of the term filling ratio/degree of filling in these paragraphs really had no direct consequence in the condition </w:t>
      </w:r>
      <w:r w:rsidR="00201E38">
        <w:lastRenderedPageBreak/>
        <w:t>expressed on the volume of the liquid phase, and therefore the best solution could perhaps be to use neither of both expressions.</w:t>
      </w:r>
    </w:p>
    <w:p w14:paraId="02CF453D" w14:textId="77777777" w:rsidR="00FC244C" w:rsidRPr="00B208C1" w:rsidRDefault="00C02512" w:rsidP="00C86842">
      <w:pPr>
        <w:pStyle w:val="SingleTxtG"/>
      </w:pPr>
      <w:r>
        <w:t>7.</w:t>
      </w:r>
      <w:r>
        <w:tab/>
      </w:r>
      <w:r w:rsidR="00C86842">
        <w:t>Additionally, it was felt that the definition for “degree of filling” should not refer to “receptacles” but to “means of containment”; this amendment is also included below.</w:t>
      </w:r>
    </w:p>
    <w:p w14:paraId="649FE1F7" w14:textId="3BB4CB2C" w:rsidR="00C51B28" w:rsidRDefault="00C51B28" w:rsidP="00C51B28">
      <w:pPr>
        <w:pStyle w:val="HChG"/>
      </w:pPr>
      <w:r>
        <w:tab/>
        <w:t>II</w:t>
      </w:r>
      <w:r w:rsidR="009C1781">
        <w:t>I</w:t>
      </w:r>
      <w:r>
        <w:t>.</w:t>
      </w:r>
      <w:r>
        <w:tab/>
        <w:t>Proposal</w:t>
      </w:r>
    </w:p>
    <w:p w14:paraId="64ACB266" w14:textId="6AAA3174" w:rsidR="00800FB0" w:rsidRDefault="00AD6EF5" w:rsidP="00633DBA">
      <w:pPr>
        <w:pStyle w:val="SingleTxtG"/>
      </w:pPr>
      <w:r>
        <w:t>8.</w:t>
      </w:r>
      <w:r>
        <w:tab/>
      </w:r>
      <w:r w:rsidR="00800FB0">
        <w:t xml:space="preserve">It is proposed to amend the initial proposal as contained in ST/SG/AC.10/C.3/2022/23 as indicated below. The complete list of amendments, consolidating those contained in this document with the ones from the previous document can be found in </w:t>
      </w:r>
      <w:r w:rsidR="001211BC">
        <w:t>A</w:t>
      </w:r>
      <w:r w:rsidR="00800FB0">
        <w:t>nnex 1</w:t>
      </w:r>
      <w:r w:rsidR="005A43C6">
        <w:t xml:space="preserve"> to this document</w:t>
      </w:r>
      <w:r w:rsidR="001211BC">
        <w:t>.</w:t>
      </w:r>
    </w:p>
    <w:p w14:paraId="5044D296" w14:textId="4DB7C422" w:rsidR="00633DBA" w:rsidRDefault="00633DBA" w:rsidP="00633DBA">
      <w:pPr>
        <w:pStyle w:val="SingleTxtG"/>
        <w:rPr>
          <w:lang w:eastAsia="es-ES"/>
        </w:rPr>
      </w:pPr>
      <w:r>
        <w:t>P203 (5)</w:t>
      </w:r>
      <w:r w:rsidR="00475ACA">
        <w:t>:</w:t>
      </w:r>
    </w:p>
    <w:p w14:paraId="7B4FB508" w14:textId="1F7821D6" w:rsidR="00633DBA" w:rsidRDefault="00633DBA" w:rsidP="00633DBA">
      <w:pPr>
        <w:pStyle w:val="SingleTxtG"/>
      </w:pPr>
      <w:r>
        <w:t>“</w:t>
      </w:r>
      <w:r>
        <w:rPr>
          <w:strike/>
        </w:rPr>
        <w:t xml:space="preserve">Degree of filling </w:t>
      </w:r>
      <w:proofErr w:type="spellStart"/>
      <w:r>
        <w:rPr>
          <w:b/>
          <w:bCs/>
        </w:rPr>
        <w:t>Filling</w:t>
      </w:r>
      <w:proofErr w:type="spellEnd"/>
    </w:p>
    <w:p w14:paraId="3BE0ED5E" w14:textId="77777777" w:rsidR="00633DBA" w:rsidRDefault="00633DBA" w:rsidP="00633DBA">
      <w:pPr>
        <w:pStyle w:val="SingleTxtG"/>
      </w:pPr>
      <w:r>
        <w:rPr>
          <w:lang w:val="en-US"/>
        </w:rPr>
        <w:t>For non-flammable, non-toxic refrigerated liquefied gases the volume of liquid phase at the filling temperature and at a pressure of 100 kPa (1 bar) shall not exceed 98 % of the water capacity of the pressure receptacle.</w:t>
      </w:r>
    </w:p>
    <w:p w14:paraId="3EFEF38F" w14:textId="77777777" w:rsidR="00633DBA" w:rsidRDefault="00633DBA" w:rsidP="00633DBA">
      <w:pPr>
        <w:pStyle w:val="SingleTxtG"/>
      </w:pPr>
      <w:r>
        <w:rPr>
          <w:lang w:val="en-US"/>
        </w:rPr>
        <w:t xml:space="preserve">For flammable refrigerated liquefied gases the </w:t>
      </w:r>
      <w:r>
        <w:rPr>
          <w:strike/>
          <w:lang w:val="en-US"/>
        </w:rPr>
        <w:t>degree of filling</w:t>
      </w:r>
      <w:r>
        <w:rPr>
          <w:lang w:val="en-US"/>
        </w:rPr>
        <w:t xml:space="preserve"> </w:t>
      </w:r>
      <w:r>
        <w:rPr>
          <w:b/>
          <w:bCs/>
          <w:lang w:val="en-US"/>
        </w:rPr>
        <w:t xml:space="preserve">gas filled </w:t>
      </w:r>
      <w:r w:rsidRPr="001211BC">
        <w:rPr>
          <w:b/>
          <w:bCs/>
          <w:lang w:val="en-US"/>
        </w:rPr>
        <w:t>into the receptacle</w:t>
      </w:r>
      <w:r w:rsidRPr="001211BC">
        <w:rPr>
          <w:lang w:val="en-US"/>
        </w:rPr>
        <w:t xml:space="preserve"> </w:t>
      </w:r>
      <w:r>
        <w:rPr>
          <w:lang w:val="en-US"/>
        </w:rPr>
        <w:t xml:space="preserve">shall remain below the level at which, if the contents were raised to the temperature at which the </w:t>
      </w:r>
      <w:proofErr w:type="spellStart"/>
      <w:r>
        <w:rPr>
          <w:lang w:val="en-US"/>
        </w:rPr>
        <w:t>vapour</w:t>
      </w:r>
      <w:proofErr w:type="spellEnd"/>
      <w:r>
        <w:rPr>
          <w:lang w:val="en-US"/>
        </w:rPr>
        <w:t xml:space="preserve"> pressure </w:t>
      </w:r>
      <w:proofErr w:type="spellStart"/>
      <w:r>
        <w:rPr>
          <w:lang w:val="en-US"/>
        </w:rPr>
        <w:t>equalled</w:t>
      </w:r>
      <w:proofErr w:type="spellEnd"/>
      <w:r>
        <w:rPr>
          <w:lang w:val="en-US"/>
        </w:rPr>
        <w:t xml:space="preserve"> the opening pressure of the relief valve, the volume of the liquid phase would reach 98 % of the water capacity at that temperature.”</w:t>
      </w:r>
    </w:p>
    <w:p w14:paraId="55D28891" w14:textId="1DEC2AB0" w:rsidR="00633DBA" w:rsidRDefault="00633DBA" w:rsidP="00633DBA">
      <w:pPr>
        <w:pStyle w:val="SingleTxtG"/>
      </w:pPr>
      <w:r>
        <w:rPr>
          <w:lang w:val="en-US"/>
        </w:rPr>
        <w:t>4.2.3.6.2</w:t>
      </w:r>
      <w:r w:rsidR="00475ACA">
        <w:rPr>
          <w:lang w:val="en-US"/>
        </w:rPr>
        <w:t>:</w:t>
      </w:r>
    </w:p>
    <w:p w14:paraId="08CE17CB" w14:textId="77777777" w:rsidR="00633DBA" w:rsidRDefault="00633DBA" w:rsidP="00633DBA">
      <w:pPr>
        <w:pStyle w:val="SingleTxtG"/>
        <w:ind w:firstLine="50"/>
      </w:pPr>
      <w:r>
        <w:rPr>
          <w:lang w:val="en-US"/>
        </w:rPr>
        <w:t xml:space="preserve">“In estimating the initial </w:t>
      </w:r>
      <w:r>
        <w:rPr>
          <w:strike/>
          <w:lang w:val="en-US"/>
        </w:rPr>
        <w:t>degree of filling</w:t>
      </w:r>
      <w:r>
        <w:rPr>
          <w:lang w:val="en-US"/>
        </w:rPr>
        <w:t xml:space="preserve"> </w:t>
      </w:r>
      <w:r>
        <w:rPr>
          <w:b/>
          <w:bCs/>
          <w:lang w:val="en-US"/>
        </w:rPr>
        <w:t xml:space="preserve">quantity of gas filled </w:t>
      </w:r>
      <w:r w:rsidRPr="001211BC">
        <w:rPr>
          <w:b/>
          <w:bCs/>
          <w:lang w:val="en-US"/>
        </w:rPr>
        <w:t>into the shell</w:t>
      </w:r>
      <w:r w:rsidRPr="001211BC">
        <w:rPr>
          <w:lang w:val="en-US"/>
        </w:rPr>
        <w:t xml:space="preserve"> </w:t>
      </w:r>
      <w:r>
        <w:rPr>
          <w:lang w:val="en-US"/>
        </w:rPr>
        <w:t xml:space="preserve">the necessary holding time for the intended journey including any delays which might be encountered shall be taken into consideration. The initial </w:t>
      </w:r>
      <w:r>
        <w:rPr>
          <w:strike/>
          <w:lang w:val="en-US"/>
        </w:rPr>
        <w:t>degree of filling of the</w:t>
      </w:r>
      <w:r>
        <w:rPr>
          <w:lang w:val="en-US"/>
        </w:rPr>
        <w:t xml:space="preserve"> </w:t>
      </w:r>
      <w:r>
        <w:rPr>
          <w:b/>
          <w:bCs/>
          <w:lang w:val="en-US"/>
        </w:rPr>
        <w:t>quantity of gas filled into the</w:t>
      </w:r>
      <w:r>
        <w:rPr>
          <w:lang w:val="en-US"/>
        </w:rPr>
        <w:t xml:space="preserve"> shell, except as provided for in 4.2.3.6.3 and 4.2.3.6.4, shall be such that if the contents, except helium, were to be raised to a temperature at which the </w:t>
      </w:r>
      <w:proofErr w:type="spellStart"/>
      <w:r>
        <w:rPr>
          <w:lang w:val="en-US"/>
        </w:rPr>
        <w:t>vapour</w:t>
      </w:r>
      <w:proofErr w:type="spellEnd"/>
      <w:r>
        <w:rPr>
          <w:lang w:val="en-US"/>
        </w:rPr>
        <w:t xml:space="preserve"> pressure is equal to the maximum allowable working pressure (MAWP) the volume occupied by liquid would not exceed 98 %.”</w:t>
      </w:r>
    </w:p>
    <w:p w14:paraId="6573768C" w14:textId="082E6FB8" w:rsidR="00633DBA" w:rsidRDefault="00633DBA" w:rsidP="00633DBA">
      <w:pPr>
        <w:pStyle w:val="SingleTxtG"/>
      </w:pPr>
      <w:r>
        <w:rPr>
          <w:lang w:val="en-US"/>
        </w:rPr>
        <w:t>4.2.3.6.4:</w:t>
      </w:r>
    </w:p>
    <w:p w14:paraId="1997D4B8" w14:textId="77777777" w:rsidR="00633DBA" w:rsidRDefault="00633DBA" w:rsidP="00633DBA">
      <w:pPr>
        <w:pStyle w:val="SingleTxtG"/>
      </w:pPr>
      <w:r>
        <w:t xml:space="preserve">“A higher initial </w:t>
      </w:r>
      <w:r>
        <w:rPr>
          <w:strike/>
        </w:rPr>
        <w:t xml:space="preserve">degree of </w:t>
      </w:r>
      <w:r w:rsidRPr="001211BC">
        <w:rPr>
          <w:strike/>
        </w:rPr>
        <w:t>filling</w:t>
      </w:r>
      <w:r w:rsidRPr="001211BC">
        <w:t xml:space="preserve"> </w:t>
      </w:r>
      <w:r w:rsidRPr="001211BC">
        <w:rPr>
          <w:b/>
          <w:bCs/>
          <w:lang w:val="en-US"/>
        </w:rPr>
        <w:t>quantity of gas filled into the shell</w:t>
      </w:r>
      <w:r w:rsidRPr="001211BC">
        <w:rPr>
          <w:lang w:val="en-US"/>
        </w:rPr>
        <w:t xml:space="preserve"> </w:t>
      </w:r>
      <w:r>
        <w:t>may be allowed, subject to approval by the competent authority, when the intended duration of transport is considerably shorter than the holding time.”</w:t>
      </w:r>
    </w:p>
    <w:p w14:paraId="70C853FC" w14:textId="788087C8" w:rsidR="00633DBA" w:rsidRDefault="00633DBA" w:rsidP="00633DBA">
      <w:pPr>
        <w:pStyle w:val="SingleTxtG"/>
        <w:ind w:firstLine="50"/>
      </w:pPr>
      <w:r>
        <w:t>4.2.5.3:</w:t>
      </w:r>
    </w:p>
    <w:p w14:paraId="504ACCC7" w14:textId="77777777" w:rsidR="00633DBA" w:rsidRDefault="00633DBA" w:rsidP="00633DBA">
      <w:pPr>
        <w:pStyle w:val="SingleTxtG"/>
        <w:ind w:firstLine="50"/>
      </w:pPr>
      <w:r>
        <w:t xml:space="preserve">“The </w:t>
      </w:r>
      <w:r>
        <w:rPr>
          <w:strike/>
        </w:rPr>
        <w:t xml:space="preserve">degree of </w:t>
      </w:r>
      <w:r>
        <w:rPr>
          <w:b/>
          <w:bCs/>
        </w:rPr>
        <w:t>restrictions on</w:t>
      </w:r>
      <w:r>
        <w:rPr>
          <w:strike/>
        </w:rPr>
        <w:t xml:space="preserve"> </w:t>
      </w:r>
      <w:r>
        <w:t>filling prescribed in 4.2.3.6 shall be met.”</w:t>
      </w:r>
    </w:p>
    <w:p w14:paraId="609ECD3A" w14:textId="75E60EB8" w:rsidR="00633DBA" w:rsidRDefault="00633DBA" w:rsidP="00633DBA">
      <w:pPr>
        <w:pStyle w:val="SingleTxtG"/>
        <w:ind w:firstLine="50"/>
      </w:pPr>
      <w:r>
        <w:t>6.7.4.15.1 (</w:t>
      </w:r>
      <w:proofErr w:type="spellStart"/>
      <w:r>
        <w:t>i</w:t>
      </w:r>
      <w:proofErr w:type="spellEnd"/>
      <w:r>
        <w:t>)(iv)</w:t>
      </w:r>
      <w:r w:rsidR="00475ACA">
        <w:t>:</w:t>
      </w:r>
    </w:p>
    <w:p w14:paraId="4734093B" w14:textId="197914F3" w:rsidR="00633DBA" w:rsidRDefault="00633DBA" w:rsidP="00633DBA">
      <w:pPr>
        <w:pStyle w:val="SingleTxtG"/>
        <w:ind w:firstLine="50"/>
      </w:pPr>
      <w:r>
        <w:t xml:space="preserve">“(iv) </w:t>
      </w:r>
      <w:r>
        <w:rPr>
          <w:strike/>
        </w:rPr>
        <w:t>Degree</w:t>
      </w:r>
      <w:r>
        <w:rPr>
          <w:b/>
          <w:bCs/>
          <w:strike/>
        </w:rPr>
        <w:t xml:space="preserve"> </w:t>
      </w:r>
      <w:r>
        <w:rPr>
          <w:strike/>
        </w:rPr>
        <w:t>of ratio</w:t>
      </w:r>
      <w:r>
        <w:rPr>
          <w:strike/>
          <w:color w:val="000000"/>
        </w:rPr>
        <w:t xml:space="preserve"> </w:t>
      </w:r>
      <w:r w:rsidRPr="001211BC">
        <w:rPr>
          <w:b/>
          <w:bCs/>
        </w:rPr>
        <w:t>Maximum allowable mass of gas filled</w:t>
      </w:r>
      <w:r>
        <w:rPr>
          <w:b/>
          <w:bCs/>
        </w:rPr>
        <w:t>”</w:t>
      </w:r>
      <w:r>
        <w:t xml:space="preserve"> (in kg)</w:t>
      </w:r>
      <w:r>
        <w:rPr>
          <w:vertAlign w:val="superscript"/>
        </w:rPr>
        <w:t>3</w:t>
      </w:r>
      <w:r>
        <w:t xml:space="preserve">;” </w:t>
      </w:r>
    </w:p>
    <w:p w14:paraId="3252EA23" w14:textId="15CFADD8" w:rsidR="00633DBA" w:rsidRDefault="00633DBA" w:rsidP="00633DBA">
      <w:pPr>
        <w:pStyle w:val="SingleTxtG"/>
        <w:ind w:firstLine="50"/>
      </w:pPr>
      <w:r>
        <w:t>Figure 6.7.4.15.1 in its last column under “HOLDING TIMES”</w:t>
      </w:r>
      <w:r w:rsidR="00475ACA">
        <w:t>:</w:t>
      </w:r>
    </w:p>
    <w:p w14:paraId="31ED020E" w14:textId="03B8124B" w:rsidR="00633DBA" w:rsidRDefault="00633DBA" w:rsidP="00633DBA">
      <w:pPr>
        <w:pStyle w:val="SingleTxtG"/>
        <w:ind w:firstLine="50"/>
      </w:pPr>
      <w:r>
        <w:rPr>
          <w:strike/>
        </w:rPr>
        <w:t>“Degree of filling</w:t>
      </w:r>
      <w:r>
        <w:t xml:space="preserve"> </w:t>
      </w:r>
      <w:r w:rsidRPr="001211BC">
        <w:rPr>
          <w:b/>
          <w:bCs/>
        </w:rPr>
        <w:t>Maximum allowable mass of gas filled”</w:t>
      </w:r>
    </w:p>
    <w:p w14:paraId="6C74958C" w14:textId="77777777" w:rsidR="00633DBA" w:rsidRDefault="00633DBA" w:rsidP="00633DBA">
      <w:pPr>
        <w:pStyle w:val="SingleTxtG"/>
        <w:ind w:firstLine="50"/>
      </w:pPr>
      <w:r>
        <w:rPr>
          <w:b/>
          <w:bCs/>
        </w:rPr>
        <w:t>“</w:t>
      </w:r>
      <w:r>
        <w:t>kg”</w:t>
      </w:r>
    </w:p>
    <w:p w14:paraId="4F99FA1E" w14:textId="77777777" w:rsidR="00800FB0" w:rsidRDefault="00800FB0" w:rsidP="00B226A3">
      <w:pPr>
        <w:ind w:left="1134" w:right="1134"/>
        <w:jc w:val="both"/>
        <w:rPr>
          <w:rFonts w:ascii="Arial" w:hAnsi="Arial" w:cs="Arial"/>
        </w:rPr>
      </w:pPr>
      <w:r>
        <w:t>“</w:t>
      </w:r>
      <w:r>
        <w:rPr>
          <w:i/>
          <w:iCs/>
        </w:rPr>
        <w:t xml:space="preserve">Degree of filling </w:t>
      </w:r>
      <w:r>
        <w:t>means the ratio, expressed in %, of the volume of liquid or solid introduced at 15 ºC</w:t>
      </w:r>
      <w:r>
        <w:rPr>
          <w:strike/>
        </w:rPr>
        <w:t xml:space="preserve"> into the receptacle</w:t>
      </w:r>
      <w:r>
        <w:t xml:space="preserve"> </w:t>
      </w:r>
      <w:r>
        <w:rPr>
          <w:b/>
          <w:bCs/>
        </w:rPr>
        <w:t>into the means of containment</w:t>
      </w:r>
      <w:r>
        <w:t xml:space="preserve"> and the volume of the </w:t>
      </w:r>
      <w:r>
        <w:rPr>
          <w:strike/>
        </w:rPr>
        <w:t>receptacle</w:t>
      </w:r>
      <w:r>
        <w:t xml:space="preserve"> </w:t>
      </w:r>
      <w:r>
        <w:rPr>
          <w:b/>
          <w:bCs/>
        </w:rPr>
        <w:t>means of containment</w:t>
      </w:r>
      <w:r>
        <w:t xml:space="preserve"> ready for use.”</w:t>
      </w:r>
    </w:p>
    <w:p w14:paraId="611D3E38" w14:textId="77777777" w:rsidR="00800FB0" w:rsidRDefault="00800FB0" w:rsidP="00633DBA">
      <w:pPr>
        <w:pStyle w:val="SingleTxtG"/>
        <w:ind w:firstLine="50"/>
      </w:pPr>
    </w:p>
    <w:p w14:paraId="31CF2FD8" w14:textId="3B1A5B1D" w:rsidR="00AE4E50" w:rsidRPr="001E2D52" w:rsidRDefault="00B226A3" w:rsidP="001E2D52">
      <w:pPr>
        <w:pStyle w:val="HChG"/>
      </w:pPr>
      <w:r w:rsidRPr="001E2D52">
        <w:t xml:space="preserve">Annex </w:t>
      </w:r>
      <w:r w:rsidR="001B2C77">
        <w:t>I</w:t>
      </w:r>
    </w:p>
    <w:p w14:paraId="746B2E02" w14:textId="172AA1CD" w:rsidR="00D307F3" w:rsidRDefault="00D2448E" w:rsidP="00D2448E">
      <w:pPr>
        <w:pStyle w:val="HChG"/>
        <w:jc w:val="both"/>
      </w:pPr>
      <w:r>
        <w:tab/>
      </w:r>
      <w:r>
        <w:tab/>
      </w:r>
      <w:r w:rsidR="00D307F3">
        <w:t>Consolidated list of amendments including those proposed in ST/SG/AC.10/C.3/2022/23.</w:t>
      </w:r>
    </w:p>
    <w:p w14:paraId="4ED0F9F0" w14:textId="5FEEF12F" w:rsidR="001E2D52" w:rsidRPr="001E2D52" w:rsidRDefault="00D2448E" w:rsidP="00792D96">
      <w:pPr>
        <w:keepNext/>
        <w:keepLines/>
      </w:pPr>
      <w:r>
        <w:tab/>
      </w:r>
      <w:r>
        <w:tab/>
      </w:r>
      <w:r w:rsidR="001E2D52">
        <w:t xml:space="preserve">Modifications to </w:t>
      </w:r>
      <w:r w:rsidR="004F47EC" w:rsidRPr="004F47EC">
        <w:t>ST/SG/AC.10/C.3/</w:t>
      </w:r>
      <w:r w:rsidR="001E2D52">
        <w:t xml:space="preserve">2022/23 </w:t>
      </w:r>
      <w:r w:rsidR="001E2D52" w:rsidRPr="001E2D52">
        <w:rPr>
          <w:color w:val="FF0000"/>
        </w:rPr>
        <w:t>marked in red</w:t>
      </w:r>
    </w:p>
    <w:p w14:paraId="421145BA" w14:textId="77777777" w:rsidR="00AD6EF5" w:rsidRPr="00DC3AAF" w:rsidRDefault="00AD6EF5" w:rsidP="00AD6EF5">
      <w:pPr>
        <w:pStyle w:val="HChG"/>
        <w:ind w:firstLine="0"/>
        <w:jc w:val="both"/>
      </w:pPr>
      <w:r>
        <w:rPr>
          <w:szCs w:val="28"/>
        </w:rPr>
        <w:t>Proposals for amending the English language version</w:t>
      </w:r>
    </w:p>
    <w:p w14:paraId="2BACCCBC" w14:textId="77777777" w:rsidR="00AD6EF5" w:rsidRDefault="00AD6EF5" w:rsidP="00AD6EF5">
      <w:pPr>
        <w:pStyle w:val="SingleTxtG"/>
        <w:rPr>
          <w:lang w:val="en-US"/>
        </w:rPr>
      </w:pPr>
      <w:r>
        <w:rPr>
          <w:lang w:val="en-US"/>
        </w:rPr>
        <w:t>12.</w:t>
      </w:r>
      <w:r>
        <w:rPr>
          <w:lang w:val="en-US"/>
        </w:rPr>
        <w:tab/>
        <w:t xml:space="preserve">In all proposed amendments, the deleted text appears </w:t>
      </w:r>
      <w:r w:rsidRPr="002E03FE">
        <w:rPr>
          <w:strike/>
          <w:lang w:val="en-US"/>
        </w:rPr>
        <w:t>stricken through</w:t>
      </w:r>
      <w:r>
        <w:rPr>
          <w:lang w:val="en-US"/>
        </w:rPr>
        <w:t xml:space="preserve"> and </w:t>
      </w:r>
      <w:r w:rsidRPr="006E69EE">
        <w:rPr>
          <w:bCs/>
          <w:lang w:val="en-US"/>
        </w:rPr>
        <w:t>new text</w:t>
      </w:r>
      <w:r>
        <w:rPr>
          <w:b/>
          <w:lang w:val="en-US"/>
        </w:rPr>
        <w:t xml:space="preserve"> in</w:t>
      </w:r>
      <w:r w:rsidRPr="00CC6443">
        <w:rPr>
          <w:b/>
          <w:lang w:val="en-US"/>
        </w:rPr>
        <w:t xml:space="preserve"> bold</w:t>
      </w:r>
      <w:r>
        <w:rPr>
          <w:lang w:val="en-US"/>
        </w:rPr>
        <w:t>.</w:t>
      </w:r>
    </w:p>
    <w:p w14:paraId="1F370BCF" w14:textId="77777777" w:rsidR="00AD6EF5" w:rsidRDefault="00AD6EF5" w:rsidP="00AD6EF5">
      <w:pPr>
        <w:pStyle w:val="SingleTxtG"/>
      </w:pPr>
      <w:r>
        <w:t>13.</w:t>
      </w:r>
      <w:r>
        <w:tab/>
        <w:t>Spain proposes to amend section 9.6 of the Data sheet of the Recommendations on the transport of dangerous goods as follows:</w:t>
      </w:r>
    </w:p>
    <w:p w14:paraId="1DCCD0EE" w14:textId="77777777" w:rsidR="00AD6EF5" w:rsidRPr="009939FF" w:rsidRDefault="00AD6EF5" w:rsidP="00AD6EF5">
      <w:pPr>
        <w:pStyle w:val="SingleTxtG"/>
        <w:ind w:firstLine="50"/>
        <w:rPr>
          <w:b/>
        </w:rPr>
      </w:pPr>
      <w:r>
        <w:tab/>
        <w:t xml:space="preserve">9.6 </w:t>
      </w:r>
      <w:r w:rsidRPr="009939FF">
        <w:rPr>
          <w:strike/>
        </w:rPr>
        <w:t>Degree of</w:t>
      </w:r>
      <w:r>
        <w:rPr>
          <w:strike/>
        </w:rPr>
        <w:t xml:space="preserve"> filling</w:t>
      </w:r>
      <w:r>
        <w:t xml:space="preserve"> </w:t>
      </w:r>
      <w:proofErr w:type="spellStart"/>
      <w:r w:rsidRPr="004A349A">
        <w:rPr>
          <w:b/>
          <w:bCs/>
        </w:rPr>
        <w:t>Filling</w:t>
      </w:r>
      <w:proofErr w:type="spellEnd"/>
      <w:r>
        <w:t xml:space="preserve"> </w:t>
      </w:r>
      <w:r w:rsidRPr="009939FF">
        <w:rPr>
          <w:b/>
        </w:rPr>
        <w:t>ratio</w:t>
      </w:r>
    </w:p>
    <w:p w14:paraId="5577EDF0" w14:textId="77777777" w:rsidR="00AD6EF5" w:rsidRDefault="00AD6EF5" w:rsidP="00AD6EF5">
      <w:pPr>
        <w:pStyle w:val="SingleTxtG"/>
      </w:pPr>
      <w:r>
        <w:t>14.</w:t>
      </w:r>
      <w:r>
        <w:tab/>
      </w:r>
      <w:r w:rsidR="000F10C6">
        <w:t xml:space="preserve">Amend </w:t>
      </w:r>
      <w:r>
        <w:t xml:space="preserve">packing instruction P203, under (5) </w:t>
      </w:r>
      <w:r w:rsidR="000F10C6" w:rsidRPr="000F10C6">
        <w:rPr>
          <w:color w:val="FF0000"/>
        </w:rPr>
        <w:t>as proposed in th</w:t>
      </w:r>
      <w:r w:rsidR="000F10C6">
        <w:rPr>
          <w:color w:val="FF0000"/>
        </w:rPr>
        <w:t>is</w:t>
      </w:r>
      <w:r w:rsidR="000F10C6" w:rsidRPr="000F10C6">
        <w:rPr>
          <w:color w:val="FF0000"/>
        </w:rPr>
        <w:t xml:space="preserve"> informal document</w:t>
      </w:r>
      <w:r>
        <w:t>:</w:t>
      </w:r>
    </w:p>
    <w:p w14:paraId="74EFE1DB" w14:textId="77777777" w:rsidR="00AD6EF5" w:rsidRPr="00397BED" w:rsidRDefault="00AD6EF5" w:rsidP="00AD6EF5">
      <w:pPr>
        <w:pStyle w:val="SingleTxtG"/>
        <w:keepNext/>
        <w:keepLines/>
        <w:rPr>
          <w:strike/>
        </w:rPr>
      </w:pPr>
      <w:r>
        <w:tab/>
      </w:r>
      <w:r>
        <w:tab/>
        <w:t>“</w:t>
      </w:r>
      <w:r w:rsidRPr="00397BED">
        <w:rPr>
          <w:strike/>
        </w:rPr>
        <w:t>Degree of filling</w:t>
      </w:r>
      <w:r>
        <w:rPr>
          <w:strike/>
        </w:rPr>
        <w:t xml:space="preserve"> </w:t>
      </w:r>
      <w:proofErr w:type="spellStart"/>
      <w:r w:rsidRPr="00397BED">
        <w:rPr>
          <w:b/>
        </w:rPr>
        <w:t>Filling</w:t>
      </w:r>
      <w:proofErr w:type="spellEnd"/>
      <w:r w:rsidRPr="00397BED">
        <w:rPr>
          <w:b/>
        </w:rPr>
        <w:t xml:space="preserve"> </w:t>
      </w:r>
      <w:r w:rsidRPr="000F10C6">
        <w:rPr>
          <w:b/>
          <w:strike/>
          <w:color w:val="FF0000"/>
        </w:rPr>
        <w:t>ratio</w:t>
      </w:r>
    </w:p>
    <w:p w14:paraId="31B88E50" w14:textId="77777777" w:rsidR="00AD6EF5" w:rsidRPr="00291AC4" w:rsidRDefault="00AD6EF5" w:rsidP="00AD6EF5">
      <w:pPr>
        <w:pStyle w:val="SingleTxtG"/>
        <w:keepNext/>
        <w:keepLines/>
        <w:ind w:left="1701"/>
        <w:rPr>
          <w:lang w:val="en-US"/>
        </w:rPr>
      </w:pPr>
      <w:r w:rsidRPr="00291AC4">
        <w:rPr>
          <w:lang w:val="en-US"/>
        </w:rPr>
        <w:t>For non-flammable, non-toxic refrigerated liquefied gases the volume of liquid phase at the filling temperature and at a pressure of 100 kPa (1 bar) shall not exceed 98 % of the water capacity of the pressure receptacle.</w:t>
      </w:r>
    </w:p>
    <w:p w14:paraId="1038615E" w14:textId="77777777" w:rsidR="00AD6EF5" w:rsidRPr="00291AC4" w:rsidRDefault="00AD6EF5" w:rsidP="00AD6EF5">
      <w:pPr>
        <w:pStyle w:val="SingleTxtG"/>
        <w:ind w:left="1701"/>
        <w:rPr>
          <w:lang w:val="en-US"/>
        </w:rPr>
      </w:pPr>
      <w:r w:rsidRPr="00291AC4">
        <w:rPr>
          <w:lang w:val="en-US"/>
        </w:rPr>
        <w:t xml:space="preserve">For flammable refrigerated liquefied gases the </w:t>
      </w:r>
      <w:r w:rsidRPr="00E06E48">
        <w:rPr>
          <w:strike/>
          <w:lang w:val="en-US"/>
        </w:rPr>
        <w:t>degree of filling</w:t>
      </w:r>
      <w:r w:rsidRPr="00291AC4">
        <w:rPr>
          <w:lang w:val="en-US"/>
        </w:rPr>
        <w:t xml:space="preserve"> </w:t>
      </w:r>
      <w:r>
        <w:rPr>
          <w:b/>
          <w:bCs/>
          <w:color w:val="FF0000"/>
          <w:lang w:val="en-US"/>
        </w:rPr>
        <w:t>gas filled into the receptacle</w:t>
      </w:r>
      <w:r w:rsidRPr="00B45FA9">
        <w:rPr>
          <w:color w:val="FF0000"/>
          <w:lang w:val="en-US"/>
        </w:rPr>
        <w:t xml:space="preserve"> </w:t>
      </w:r>
      <w:r w:rsidRPr="00291AC4">
        <w:rPr>
          <w:lang w:val="en-US"/>
        </w:rPr>
        <w:t xml:space="preserve">shall remain below the level at which, if the contents were raised to the temperature at which the </w:t>
      </w:r>
      <w:proofErr w:type="spellStart"/>
      <w:r w:rsidRPr="00291AC4">
        <w:rPr>
          <w:lang w:val="en-US"/>
        </w:rPr>
        <w:t>vapour</w:t>
      </w:r>
      <w:proofErr w:type="spellEnd"/>
      <w:r w:rsidRPr="00291AC4">
        <w:rPr>
          <w:lang w:val="en-US"/>
        </w:rPr>
        <w:t xml:space="preserve"> pressure </w:t>
      </w:r>
      <w:proofErr w:type="spellStart"/>
      <w:r w:rsidRPr="00291AC4">
        <w:rPr>
          <w:lang w:val="en-US"/>
        </w:rPr>
        <w:t>equalled</w:t>
      </w:r>
      <w:proofErr w:type="spellEnd"/>
      <w:r w:rsidRPr="00291AC4">
        <w:rPr>
          <w:lang w:val="en-US"/>
        </w:rPr>
        <w:t xml:space="preserve"> the opening pressure of the relief valve, the volume of the liquid phase would reach 98 % of the water capacity at that temperature.”</w:t>
      </w:r>
    </w:p>
    <w:p w14:paraId="5DFBFF81" w14:textId="77777777" w:rsidR="00AD6EF5" w:rsidRDefault="00AD6EF5" w:rsidP="00AD6EF5">
      <w:pPr>
        <w:pStyle w:val="SingleTxtG"/>
        <w:rPr>
          <w:lang w:val="en-US"/>
        </w:rPr>
      </w:pPr>
      <w:r>
        <w:rPr>
          <w:lang w:val="en-US"/>
        </w:rPr>
        <w:t>15.</w:t>
      </w:r>
      <w:r>
        <w:rPr>
          <w:lang w:val="en-US"/>
        </w:rPr>
        <w:tab/>
      </w:r>
      <w:r w:rsidR="000F10C6">
        <w:rPr>
          <w:color w:val="FF0000"/>
          <w:lang w:val="en-US"/>
        </w:rPr>
        <w:t>A</w:t>
      </w:r>
      <w:r w:rsidR="000F10C6" w:rsidRPr="000F10C6">
        <w:rPr>
          <w:color w:val="FF0000"/>
        </w:rPr>
        <w:t>s proposed in th</w:t>
      </w:r>
      <w:r w:rsidR="000F10C6">
        <w:rPr>
          <w:color w:val="FF0000"/>
        </w:rPr>
        <w:t>is</w:t>
      </w:r>
      <w:r w:rsidR="000F10C6" w:rsidRPr="000F10C6">
        <w:rPr>
          <w:color w:val="FF0000"/>
        </w:rPr>
        <w:t xml:space="preserve"> informal document</w:t>
      </w:r>
      <w:r w:rsidR="000F10C6">
        <w:rPr>
          <w:lang w:val="en-US"/>
        </w:rPr>
        <w:t xml:space="preserve"> a</w:t>
      </w:r>
      <w:r>
        <w:rPr>
          <w:lang w:val="en-US"/>
        </w:rPr>
        <w:t xml:space="preserve">mend </w:t>
      </w:r>
      <w:r w:rsidRPr="00196BB5">
        <w:rPr>
          <w:lang w:val="en-US"/>
        </w:rPr>
        <w:t>4.2.3.6.2 to read:</w:t>
      </w:r>
    </w:p>
    <w:p w14:paraId="2785E616" w14:textId="77777777" w:rsidR="00AD6EF5" w:rsidRDefault="00AD6EF5" w:rsidP="00AD6EF5">
      <w:pPr>
        <w:pStyle w:val="SingleTxtG"/>
        <w:ind w:left="1701"/>
        <w:rPr>
          <w:lang w:val="en-US"/>
        </w:rPr>
      </w:pPr>
      <w:r>
        <w:rPr>
          <w:lang w:val="en-US"/>
        </w:rPr>
        <w:t>“</w:t>
      </w:r>
      <w:r w:rsidRPr="00A13C5E">
        <w:rPr>
          <w:lang w:val="en-US"/>
        </w:rPr>
        <w:t xml:space="preserve">In estimating the initial </w:t>
      </w:r>
      <w:r w:rsidRPr="00603641">
        <w:rPr>
          <w:strike/>
          <w:lang w:val="en-US"/>
        </w:rPr>
        <w:t xml:space="preserve">degree of </w:t>
      </w:r>
      <w:r w:rsidRPr="009246E1">
        <w:rPr>
          <w:lang w:val="en-US"/>
        </w:rPr>
        <w:t>filling</w:t>
      </w:r>
      <w:r w:rsidRPr="00A13C5E">
        <w:rPr>
          <w:lang w:val="en-US"/>
        </w:rPr>
        <w:t xml:space="preserve"> </w:t>
      </w:r>
      <w:bookmarkStart w:id="0" w:name="_Hlk104558268"/>
      <w:r>
        <w:rPr>
          <w:b/>
          <w:bCs/>
          <w:color w:val="FF0000"/>
          <w:lang w:val="en-US"/>
        </w:rPr>
        <w:t xml:space="preserve">quantity of gas filled into the shell </w:t>
      </w:r>
      <w:bookmarkEnd w:id="0"/>
      <w:r w:rsidRPr="00A13C5E">
        <w:rPr>
          <w:lang w:val="en-US"/>
        </w:rPr>
        <w:t>the necessary holding time for the intended journey</w:t>
      </w:r>
      <w:r>
        <w:rPr>
          <w:lang w:val="en-US"/>
        </w:rPr>
        <w:t xml:space="preserve"> </w:t>
      </w:r>
      <w:r w:rsidRPr="00A13C5E">
        <w:rPr>
          <w:lang w:val="en-US"/>
        </w:rPr>
        <w:t xml:space="preserve">including any delays which might be encountered shall be taken into consideration. The initial </w:t>
      </w:r>
      <w:r w:rsidRPr="00110325">
        <w:rPr>
          <w:strike/>
          <w:lang w:val="en-US"/>
        </w:rPr>
        <w:t xml:space="preserve">degree of filling of </w:t>
      </w:r>
      <w:proofErr w:type="gramStart"/>
      <w:r w:rsidRPr="00110325">
        <w:rPr>
          <w:strike/>
          <w:lang w:val="en-US"/>
        </w:rPr>
        <w:t>the</w:t>
      </w:r>
      <w:r w:rsidRPr="00A13C5E">
        <w:rPr>
          <w:lang w:val="en-US"/>
        </w:rPr>
        <w:t xml:space="preserve"> </w:t>
      </w:r>
      <w:r>
        <w:rPr>
          <w:lang w:val="en-US"/>
        </w:rPr>
        <w:t xml:space="preserve"> </w:t>
      </w:r>
      <w:r w:rsidRPr="00110325">
        <w:rPr>
          <w:b/>
          <w:bCs/>
          <w:color w:val="FF0000"/>
          <w:lang w:val="en-US"/>
        </w:rPr>
        <w:t>quantity</w:t>
      </w:r>
      <w:proofErr w:type="gramEnd"/>
      <w:r w:rsidRPr="00110325">
        <w:rPr>
          <w:b/>
          <w:bCs/>
          <w:color w:val="FF0000"/>
          <w:lang w:val="en-US"/>
        </w:rPr>
        <w:t xml:space="preserve"> of gas filled into the</w:t>
      </w:r>
      <w:r>
        <w:rPr>
          <w:lang w:val="en-US"/>
        </w:rPr>
        <w:t xml:space="preserve"> </w:t>
      </w:r>
      <w:r w:rsidRPr="00A13C5E">
        <w:rPr>
          <w:lang w:val="en-US"/>
        </w:rPr>
        <w:t>shell, except as provided for in 4.2.3.6.3 and 4.2.3.6.4, shall be such that if the contents, except helium,</w:t>
      </w:r>
      <w:r>
        <w:rPr>
          <w:lang w:val="en-US"/>
        </w:rPr>
        <w:t xml:space="preserve"> </w:t>
      </w:r>
      <w:r w:rsidRPr="00A13C5E">
        <w:rPr>
          <w:lang w:val="en-US"/>
        </w:rPr>
        <w:t xml:space="preserve">were to be raised to a temperature at which the </w:t>
      </w:r>
      <w:proofErr w:type="spellStart"/>
      <w:r w:rsidRPr="00A13C5E">
        <w:rPr>
          <w:lang w:val="en-US"/>
        </w:rPr>
        <w:t>vapour</w:t>
      </w:r>
      <w:proofErr w:type="spellEnd"/>
      <w:r w:rsidRPr="00A13C5E">
        <w:rPr>
          <w:lang w:val="en-US"/>
        </w:rPr>
        <w:t xml:space="preserve"> pressure is equal to the maximum allowable working</w:t>
      </w:r>
      <w:r>
        <w:rPr>
          <w:lang w:val="en-US"/>
        </w:rPr>
        <w:t xml:space="preserve"> </w:t>
      </w:r>
      <w:r w:rsidRPr="00A13C5E">
        <w:rPr>
          <w:lang w:val="en-US"/>
        </w:rPr>
        <w:t>pressure (MAWP) the volume occupied by liquid would not exceed 98 %.</w:t>
      </w:r>
      <w:r>
        <w:rPr>
          <w:lang w:val="en-US"/>
        </w:rPr>
        <w:t>”</w:t>
      </w:r>
    </w:p>
    <w:p w14:paraId="56D894E2" w14:textId="77777777" w:rsidR="00AD6EF5" w:rsidRDefault="00AD6EF5" w:rsidP="00AD6EF5">
      <w:pPr>
        <w:pStyle w:val="SingleTxtG"/>
        <w:rPr>
          <w:lang w:val="en-US"/>
        </w:rPr>
      </w:pPr>
      <w:r>
        <w:rPr>
          <w:lang w:val="en-US"/>
        </w:rPr>
        <w:t>16.</w:t>
      </w:r>
      <w:r>
        <w:rPr>
          <w:lang w:val="en-US"/>
        </w:rPr>
        <w:tab/>
      </w:r>
      <w:r w:rsidR="000F10C6">
        <w:rPr>
          <w:color w:val="FF0000"/>
          <w:lang w:val="en-US"/>
        </w:rPr>
        <w:t>A</w:t>
      </w:r>
      <w:r w:rsidR="000F10C6" w:rsidRPr="000F10C6">
        <w:rPr>
          <w:color w:val="FF0000"/>
        </w:rPr>
        <w:t>s proposed in th</w:t>
      </w:r>
      <w:r w:rsidR="000F10C6">
        <w:rPr>
          <w:color w:val="FF0000"/>
        </w:rPr>
        <w:t>is</w:t>
      </w:r>
      <w:r w:rsidR="000F10C6" w:rsidRPr="000F10C6">
        <w:rPr>
          <w:color w:val="FF0000"/>
        </w:rPr>
        <w:t xml:space="preserve"> informal document</w:t>
      </w:r>
      <w:r w:rsidR="000F10C6">
        <w:rPr>
          <w:lang w:val="en-US"/>
        </w:rPr>
        <w:t xml:space="preserve"> a</w:t>
      </w:r>
      <w:r>
        <w:rPr>
          <w:lang w:val="en-US"/>
        </w:rPr>
        <w:t>mend 4.2.3.6.4 to read as follows:</w:t>
      </w:r>
    </w:p>
    <w:p w14:paraId="4DD49976" w14:textId="77777777" w:rsidR="00AD6EF5" w:rsidRDefault="00AD6EF5" w:rsidP="00AD6EF5">
      <w:pPr>
        <w:pStyle w:val="SingleTxtG"/>
        <w:ind w:left="1701"/>
      </w:pPr>
      <w:r>
        <w:t>“</w:t>
      </w:r>
      <w:r w:rsidRPr="00603641">
        <w:t xml:space="preserve">A higher initial </w:t>
      </w:r>
      <w:r w:rsidRPr="00603641">
        <w:rPr>
          <w:strike/>
        </w:rPr>
        <w:t xml:space="preserve">degree of </w:t>
      </w:r>
      <w:r w:rsidRPr="00BF0C89">
        <w:rPr>
          <w:strike/>
        </w:rPr>
        <w:t>filling</w:t>
      </w:r>
      <w:r w:rsidRPr="00603641">
        <w:t xml:space="preserve"> </w:t>
      </w:r>
      <w:r w:rsidRPr="00BF0C89">
        <w:rPr>
          <w:b/>
          <w:bCs/>
          <w:color w:val="FF0000"/>
        </w:rPr>
        <w:t xml:space="preserve">quantity of gas filled into the </w:t>
      </w:r>
      <w:r>
        <w:rPr>
          <w:b/>
          <w:bCs/>
          <w:color w:val="FF0000"/>
        </w:rPr>
        <w:t xml:space="preserve">shell </w:t>
      </w:r>
      <w:r w:rsidRPr="00603641">
        <w:t>may be allowed, subject to approval by the competent</w:t>
      </w:r>
      <w:r>
        <w:t xml:space="preserve"> </w:t>
      </w:r>
      <w:r w:rsidRPr="00603641">
        <w:t>authority, when the intended duration of transport is considerably shorter than the holding time.</w:t>
      </w:r>
      <w:r>
        <w:t>”</w:t>
      </w:r>
    </w:p>
    <w:p w14:paraId="70102B44" w14:textId="77777777" w:rsidR="00AD6EF5" w:rsidRDefault="00AD6EF5" w:rsidP="00AD6EF5">
      <w:pPr>
        <w:pStyle w:val="SingleTxtG"/>
        <w:rPr>
          <w:lang w:val="en-US"/>
        </w:rPr>
      </w:pPr>
      <w:r w:rsidRPr="00046120">
        <w:rPr>
          <w:lang w:val="en-US"/>
        </w:rPr>
        <w:t>1</w:t>
      </w:r>
      <w:r>
        <w:rPr>
          <w:lang w:val="en-US"/>
        </w:rPr>
        <w:t>7</w:t>
      </w:r>
      <w:r w:rsidRPr="00046120">
        <w:rPr>
          <w:lang w:val="en-US"/>
        </w:rPr>
        <w:t>.</w:t>
      </w:r>
      <w:r>
        <w:rPr>
          <w:lang w:val="en-US"/>
        </w:rPr>
        <w:tab/>
      </w:r>
      <w:r w:rsidRPr="00046120">
        <w:rPr>
          <w:lang w:val="en-US"/>
        </w:rPr>
        <w:t>Amend 4.2.5.</w:t>
      </w:r>
      <w:r>
        <w:rPr>
          <w:lang w:val="en-US"/>
        </w:rPr>
        <w:t>2.</w:t>
      </w:r>
      <w:r w:rsidRPr="00046120">
        <w:rPr>
          <w:lang w:val="en-US"/>
        </w:rPr>
        <w:t>3 as follows</w:t>
      </w:r>
      <w:r>
        <w:rPr>
          <w:lang w:val="en-US"/>
        </w:rPr>
        <w:t xml:space="preserve"> (same wording as in portable tank instruction T50)</w:t>
      </w:r>
      <w:r w:rsidRPr="00046120">
        <w:rPr>
          <w:lang w:val="en-US"/>
        </w:rPr>
        <w:t>:</w:t>
      </w:r>
    </w:p>
    <w:p w14:paraId="3758C305" w14:textId="77777777" w:rsidR="00AD6EF5" w:rsidRPr="00966CD6" w:rsidRDefault="00AD6EF5" w:rsidP="00AD6EF5">
      <w:pPr>
        <w:pStyle w:val="SingleTxtG"/>
        <w:ind w:left="1701"/>
        <w:rPr>
          <w:color w:val="000000"/>
          <w:lang w:val="en-US"/>
        </w:rPr>
      </w:pPr>
      <w:r w:rsidRPr="00966CD6">
        <w:rPr>
          <w:color w:val="000000"/>
          <w:lang w:val="en-US"/>
        </w:rPr>
        <w:t xml:space="preserve">“Non-refrigerated liquefied gases are assigned to portable tank instruction T50. T50 provides the maximum allowable working pressures, bottom opening requirements, pressure relief requirements and </w:t>
      </w:r>
      <w:r w:rsidRPr="00966CD6">
        <w:rPr>
          <w:strike/>
          <w:color w:val="000000"/>
          <w:lang w:val="en-US"/>
        </w:rPr>
        <w:t>degree of</w:t>
      </w:r>
      <w:r w:rsidRPr="00966CD6">
        <w:rPr>
          <w:color w:val="000000"/>
          <w:lang w:val="en-US"/>
        </w:rPr>
        <w:t xml:space="preserve"> filling </w:t>
      </w:r>
      <w:r w:rsidRPr="00966CD6">
        <w:rPr>
          <w:b/>
          <w:bCs/>
          <w:color w:val="000000"/>
          <w:lang w:val="en-US"/>
        </w:rPr>
        <w:t>ratio</w:t>
      </w:r>
      <w:r w:rsidRPr="00966CD6">
        <w:rPr>
          <w:color w:val="000000"/>
          <w:lang w:val="en-US"/>
        </w:rPr>
        <w:t xml:space="preserve"> requirements for non-refrigerated liquefied gases permitted for transport in portable tanks”</w:t>
      </w:r>
    </w:p>
    <w:p w14:paraId="633E5F45" w14:textId="77777777" w:rsidR="00AD6EF5" w:rsidRDefault="00AD6EF5" w:rsidP="00AD6EF5">
      <w:pPr>
        <w:pStyle w:val="SingleTxtG"/>
        <w:ind w:firstLine="50"/>
      </w:pPr>
      <w:r>
        <w:t>18.</w:t>
      </w:r>
      <w:r>
        <w:tab/>
      </w:r>
      <w:r w:rsidR="000F10C6">
        <w:rPr>
          <w:color w:val="FF0000"/>
          <w:lang w:val="en-US"/>
        </w:rPr>
        <w:t>A</w:t>
      </w:r>
      <w:r w:rsidR="000F10C6" w:rsidRPr="000F10C6">
        <w:rPr>
          <w:color w:val="FF0000"/>
        </w:rPr>
        <w:t>s proposed in th</w:t>
      </w:r>
      <w:r w:rsidR="000F10C6">
        <w:rPr>
          <w:color w:val="FF0000"/>
        </w:rPr>
        <w:t>is</w:t>
      </w:r>
      <w:r w:rsidR="000F10C6" w:rsidRPr="000F10C6">
        <w:rPr>
          <w:color w:val="FF0000"/>
        </w:rPr>
        <w:t xml:space="preserve"> informal document</w:t>
      </w:r>
      <w:r w:rsidR="000F10C6">
        <w:rPr>
          <w:lang w:val="en-US"/>
        </w:rPr>
        <w:t xml:space="preserve"> a</w:t>
      </w:r>
      <w:r>
        <w:t>mend special provision TP5 of 4.2.5.3 as follows:</w:t>
      </w:r>
    </w:p>
    <w:p w14:paraId="6AD9CCB4" w14:textId="77777777" w:rsidR="00AD6EF5" w:rsidRDefault="00AD6EF5" w:rsidP="00AD6EF5">
      <w:pPr>
        <w:pStyle w:val="SingleTxtG"/>
        <w:ind w:firstLine="567"/>
      </w:pPr>
      <w:r>
        <w:t>“</w:t>
      </w:r>
      <w:r w:rsidRPr="0023339E">
        <w:t xml:space="preserve">The </w:t>
      </w:r>
      <w:r w:rsidRPr="0023339E">
        <w:rPr>
          <w:strike/>
        </w:rPr>
        <w:t>degree of</w:t>
      </w:r>
      <w:r>
        <w:rPr>
          <w:strike/>
        </w:rPr>
        <w:t xml:space="preserve"> </w:t>
      </w:r>
      <w:r w:rsidRPr="00C40AB3">
        <w:rPr>
          <w:b/>
          <w:bCs/>
          <w:color w:val="FF0000"/>
        </w:rPr>
        <w:t>restrictions on</w:t>
      </w:r>
      <w:r w:rsidR="000F10C6">
        <w:rPr>
          <w:color w:val="FF0000"/>
        </w:rPr>
        <w:t xml:space="preserve"> </w:t>
      </w:r>
      <w:r w:rsidRPr="009246E1">
        <w:t>filling</w:t>
      </w:r>
      <w:r w:rsidRPr="0023339E">
        <w:t xml:space="preserve"> prescribed in 4.2.3.6 shall be met</w:t>
      </w:r>
      <w:r>
        <w:t>.”</w:t>
      </w:r>
    </w:p>
    <w:p w14:paraId="408F1226" w14:textId="77777777" w:rsidR="00AD6EF5" w:rsidRDefault="00AD6EF5" w:rsidP="00AD6EF5">
      <w:pPr>
        <w:pStyle w:val="SingleTxtG"/>
        <w:ind w:firstLine="50"/>
      </w:pPr>
      <w:r>
        <w:t>19.</w:t>
      </w:r>
      <w:r>
        <w:tab/>
      </w:r>
      <w:r w:rsidR="000F10C6">
        <w:rPr>
          <w:color w:val="FF0000"/>
          <w:lang w:val="en-US"/>
        </w:rPr>
        <w:t>A</w:t>
      </w:r>
      <w:r w:rsidR="000F10C6" w:rsidRPr="000F10C6">
        <w:rPr>
          <w:color w:val="FF0000"/>
        </w:rPr>
        <w:t>s proposed in th</w:t>
      </w:r>
      <w:r w:rsidR="000F10C6">
        <w:rPr>
          <w:color w:val="FF0000"/>
        </w:rPr>
        <w:t>is</w:t>
      </w:r>
      <w:r w:rsidR="000F10C6" w:rsidRPr="000F10C6">
        <w:rPr>
          <w:color w:val="FF0000"/>
        </w:rPr>
        <w:t xml:space="preserve"> informal document</w:t>
      </w:r>
      <w:r w:rsidR="000F10C6">
        <w:rPr>
          <w:lang w:val="en-US"/>
        </w:rPr>
        <w:t xml:space="preserve"> a</w:t>
      </w:r>
      <w:r w:rsidR="000F10C6">
        <w:t xml:space="preserve">mend </w:t>
      </w:r>
      <w:r>
        <w:t>6.7.4.15.1 (</w:t>
      </w:r>
      <w:proofErr w:type="spellStart"/>
      <w:r>
        <w:t>i</w:t>
      </w:r>
      <w:proofErr w:type="spellEnd"/>
      <w:r>
        <w:t>)(iv</w:t>
      </w:r>
      <w:r w:rsidR="000F10C6">
        <w:t>)</w:t>
      </w:r>
      <w:r>
        <w:t xml:space="preserve"> as follows:</w:t>
      </w:r>
    </w:p>
    <w:p w14:paraId="4BB7FFEA" w14:textId="77777777" w:rsidR="00AD6EF5" w:rsidRDefault="00AD6EF5" w:rsidP="00AD6EF5">
      <w:pPr>
        <w:pStyle w:val="SingleTxtG"/>
        <w:ind w:firstLine="567"/>
      </w:pPr>
      <w:r>
        <w:t>“</w:t>
      </w:r>
      <w:r w:rsidRPr="00BF3A46">
        <w:t xml:space="preserve">(iv) </w:t>
      </w:r>
      <w:bookmarkStart w:id="1" w:name="_Hlk104562673"/>
      <w:r w:rsidRPr="00FF7AA1">
        <w:rPr>
          <w:b/>
          <w:bCs/>
          <w:color w:val="FF0000"/>
        </w:rPr>
        <w:t>Maximum allowable mass of gas filled</w:t>
      </w:r>
      <w:r w:rsidRPr="00FF7AA1">
        <w:rPr>
          <w:color w:val="FF0000"/>
        </w:rPr>
        <w:t xml:space="preserve"> </w:t>
      </w:r>
      <w:bookmarkEnd w:id="1"/>
      <w:r w:rsidRPr="00BF3A46">
        <w:t>(in kg)</w:t>
      </w:r>
      <w:r w:rsidRPr="002552B8">
        <w:rPr>
          <w:vertAlign w:val="superscript"/>
        </w:rPr>
        <w:t>3</w:t>
      </w:r>
      <w:r w:rsidRPr="00BF3A46">
        <w:t>;</w:t>
      </w:r>
      <w:r>
        <w:t>”</w:t>
      </w:r>
    </w:p>
    <w:p w14:paraId="6CE1921E" w14:textId="77777777" w:rsidR="00AD6EF5" w:rsidRDefault="00AD6EF5" w:rsidP="00AD6EF5">
      <w:pPr>
        <w:pStyle w:val="SingleTxtG"/>
        <w:ind w:firstLine="50"/>
      </w:pPr>
      <w:r>
        <w:t>20.</w:t>
      </w:r>
      <w:r>
        <w:tab/>
      </w:r>
      <w:r w:rsidR="000F10C6">
        <w:rPr>
          <w:color w:val="FF0000"/>
          <w:lang w:val="en-US"/>
        </w:rPr>
        <w:t>A</w:t>
      </w:r>
      <w:r w:rsidR="000F10C6" w:rsidRPr="000F10C6">
        <w:rPr>
          <w:color w:val="FF0000"/>
        </w:rPr>
        <w:t>s proposed in th</w:t>
      </w:r>
      <w:r w:rsidR="000F10C6">
        <w:rPr>
          <w:color w:val="FF0000"/>
        </w:rPr>
        <w:t>is</w:t>
      </w:r>
      <w:r w:rsidR="000F10C6" w:rsidRPr="000F10C6">
        <w:rPr>
          <w:color w:val="FF0000"/>
        </w:rPr>
        <w:t xml:space="preserve"> informal document</w:t>
      </w:r>
      <w:r w:rsidR="000F10C6">
        <w:rPr>
          <w:lang w:val="en-US"/>
        </w:rPr>
        <w:t xml:space="preserve"> a</w:t>
      </w:r>
      <w:r w:rsidR="000F10C6">
        <w:t>mend</w:t>
      </w:r>
      <w:r>
        <w:t>, Figure 6.7.4.15.1 in its last column under “HOLDING TIMES” as follows:</w:t>
      </w:r>
    </w:p>
    <w:p w14:paraId="24AF6822" w14:textId="77777777" w:rsidR="00AD6EF5" w:rsidRDefault="00AD6EF5" w:rsidP="00AD6EF5">
      <w:pPr>
        <w:pStyle w:val="SingleTxtG"/>
        <w:ind w:firstLine="567"/>
        <w:rPr>
          <w:b/>
          <w:bCs/>
        </w:rPr>
      </w:pPr>
      <w:r>
        <w:rPr>
          <w:strike/>
        </w:rPr>
        <w:t>“</w:t>
      </w:r>
      <w:r w:rsidRPr="00FF7AA1">
        <w:rPr>
          <w:b/>
          <w:bCs/>
          <w:color w:val="FF0000"/>
        </w:rPr>
        <w:t>Maximum allowable mass of gas filled</w:t>
      </w:r>
      <w:r w:rsidRPr="001B6B18">
        <w:t>”</w:t>
      </w:r>
    </w:p>
    <w:p w14:paraId="783AB518" w14:textId="77777777" w:rsidR="00AD6EF5" w:rsidRDefault="00AD6EF5" w:rsidP="00AD6EF5">
      <w:pPr>
        <w:pStyle w:val="SingleTxtG"/>
        <w:ind w:firstLine="567"/>
      </w:pPr>
      <w:r>
        <w:rPr>
          <w:b/>
          <w:bCs/>
        </w:rPr>
        <w:t>“</w:t>
      </w:r>
      <w:r w:rsidRPr="00BF3A46">
        <w:t>kg</w:t>
      </w:r>
      <w:r w:rsidRPr="001B6B18">
        <w:t>”</w:t>
      </w:r>
    </w:p>
    <w:p w14:paraId="7F424443" w14:textId="77777777" w:rsidR="00AD6EF5" w:rsidRDefault="00AD6EF5" w:rsidP="00AD6EF5">
      <w:pPr>
        <w:pStyle w:val="HChG"/>
      </w:pPr>
      <w:r>
        <w:tab/>
      </w:r>
      <w:r>
        <w:tab/>
      </w:r>
      <w:r w:rsidRPr="00E50DAE">
        <w:t>Proposals for amending the French language version</w:t>
      </w:r>
    </w:p>
    <w:p w14:paraId="2C41C9EF" w14:textId="77777777" w:rsidR="00AD6EF5" w:rsidRPr="00E06E48" w:rsidRDefault="00AD6EF5" w:rsidP="00AD6EF5">
      <w:pPr>
        <w:pStyle w:val="SingleTxtG"/>
        <w:rPr>
          <w:rFonts w:ascii="TimesNewRomanPSMT" w:hAnsi="TimesNewRomanPSMT" w:cs="TimesNewRomanPSMT"/>
        </w:rPr>
      </w:pPr>
      <w:r>
        <w:rPr>
          <w:rFonts w:ascii="TimesNewRomanPSMT" w:hAnsi="TimesNewRomanPSMT" w:cs="TimesNewRomanPSMT"/>
        </w:rPr>
        <w:t>21</w:t>
      </w:r>
      <w:r w:rsidRPr="00E06E48">
        <w:rPr>
          <w:rFonts w:ascii="TimesNewRomanPSMT" w:hAnsi="TimesNewRomanPSMT" w:cs="TimesNewRomanPSMT"/>
        </w:rPr>
        <w:t>.</w:t>
      </w:r>
      <w:r w:rsidRPr="00E06E48">
        <w:rPr>
          <w:rFonts w:ascii="TimesNewRomanPSMT" w:hAnsi="TimesNewRomanPSMT" w:cs="TimesNewRomanPSMT"/>
        </w:rPr>
        <w:tab/>
        <w:t xml:space="preserve">Spain proposes to </w:t>
      </w:r>
      <w:r>
        <w:rPr>
          <w:rFonts w:ascii="TimesNewRomanPSMT" w:hAnsi="TimesNewRomanPSMT" w:cs="TimesNewRomanPSMT"/>
        </w:rPr>
        <w:t>a</w:t>
      </w:r>
      <w:r w:rsidRPr="00E06E48">
        <w:rPr>
          <w:rFonts w:ascii="TimesNewRomanPSMT" w:hAnsi="TimesNewRomanPSMT" w:cs="TimesNewRomanPSMT"/>
        </w:rPr>
        <w:t>mend 4.1.1.10 a) as follows:</w:t>
      </w:r>
    </w:p>
    <w:p w14:paraId="72EC9895" w14:textId="77777777" w:rsidR="00AD6EF5"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w:t>
      </w:r>
      <w:r w:rsidRPr="00494446">
        <w:rPr>
          <w:rFonts w:ascii="TimesNewRomanPSMT" w:hAnsi="TimesNewRomanPSMT" w:cs="TimesNewRomanPSMT"/>
          <w:lang w:val="fr-FR"/>
        </w:rPr>
        <w:t>Telle que la pression manométrique totale dans l'emballage ou le GRV (c'est-à-dire pression de</w:t>
      </w:r>
      <w:r>
        <w:rPr>
          <w:rFonts w:ascii="TimesNewRomanPSMT" w:hAnsi="TimesNewRomanPSMT" w:cs="TimesNewRomanPSMT"/>
          <w:lang w:val="fr-FR"/>
        </w:rPr>
        <w:t xml:space="preserve"> </w:t>
      </w:r>
      <w:r w:rsidRPr="00494446">
        <w:rPr>
          <w:rFonts w:ascii="TimesNewRomanPSMT" w:hAnsi="TimesNewRomanPSMT" w:cs="TimesNewRomanPSMT"/>
          <w:lang w:val="fr-FR"/>
        </w:rPr>
        <w:t>vapeur de la matière contenue, plus pression partielle de l'air ou d'autres gaz inertes,</w:t>
      </w:r>
      <w:r>
        <w:rPr>
          <w:rFonts w:ascii="TimesNewRomanPSMT" w:hAnsi="TimesNewRomanPSMT" w:cs="TimesNewRomanPSMT"/>
          <w:lang w:val="fr-FR"/>
        </w:rPr>
        <w:t xml:space="preserve"> </w:t>
      </w:r>
      <w:r w:rsidRPr="00494446">
        <w:rPr>
          <w:rFonts w:ascii="TimesNewRomanPSMT" w:hAnsi="TimesNewRomanPSMT" w:cs="TimesNewRomanPSMT"/>
          <w:lang w:val="fr-FR"/>
        </w:rPr>
        <w:t xml:space="preserve">et moins 100 kPa) à 55 °C, déterminée sur la base d'un </w:t>
      </w:r>
      <w:r w:rsidRPr="00494446">
        <w:rPr>
          <w:rFonts w:ascii="TimesNewRomanPSMT" w:hAnsi="TimesNewRomanPSMT" w:cs="TimesNewRomanPSMT"/>
          <w:strike/>
          <w:lang w:val="fr-FR"/>
        </w:rPr>
        <w:t>taux</w:t>
      </w:r>
      <w:r w:rsidRPr="00082928">
        <w:rPr>
          <w:rFonts w:ascii="TimesNewRomanPSMT" w:hAnsi="TimesNewRomanPSMT" w:cs="TimesNewRomanPSMT"/>
          <w:lang w:val="fr-FR"/>
        </w:rPr>
        <w:t xml:space="preserve"> </w:t>
      </w:r>
      <w:r w:rsidRPr="004C27B8">
        <w:rPr>
          <w:rFonts w:ascii="TimesNewRomanPSMT" w:hAnsi="TimesNewRomanPSMT" w:cs="TimesNewRomanPSMT"/>
          <w:b/>
          <w:lang w:val="fr-FR"/>
        </w:rPr>
        <w:t xml:space="preserve">degré </w:t>
      </w:r>
      <w:r w:rsidRPr="009C6EE3">
        <w:rPr>
          <w:rFonts w:ascii="TimesNewRomanPSMT" w:hAnsi="TimesNewRomanPSMT" w:cs="TimesNewRomanPSMT"/>
          <w:strike/>
          <w:lang w:val="fr-FR"/>
        </w:rPr>
        <w:t>de</w:t>
      </w:r>
      <w:r w:rsidRPr="004C27B8">
        <w:rPr>
          <w:rFonts w:ascii="TimesNewRomanPSMT" w:hAnsi="TimesNewRomanPSMT" w:cs="TimesNewRomanPSMT"/>
          <w:lang w:val="fr-FR"/>
        </w:rPr>
        <w:t xml:space="preserve"> </w:t>
      </w:r>
      <w:r w:rsidRPr="009C6EE3">
        <w:rPr>
          <w:rFonts w:ascii="TimesNewRomanPSMT" w:hAnsi="TimesNewRomanPSMT" w:cs="TimesNewRomanPSMT"/>
          <w:strike/>
          <w:lang w:val="fr-FR"/>
        </w:rPr>
        <w:t>remplissage</w:t>
      </w:r>
      <w:r>
        <w:rPr>
          <w:rFonts w:ascii="TimesNewRomanPSMT" w:hAnsi="TimesNewRomanPSMT" w:cs="TimesNewRomanPSMT"/>
          <w:lang w:val="fr-FR"/>
        </w:rPr>
        <w:t xml:space="preserve"> </w:t>
      </w:r>
      <w:r w:rsidRPr="00494446">
        <w:rPr>
          <w:rFonts w:ascii="TimesNewRomanPSMT" w:hAnsi="TimesNewRomanPSMT" w:cs="TimesNewRomanPSMT"/>
          <w:lang w:val="fr-FR"/>
        </w:rPr>
        <w:t xml:space="preserve">maximal </w:t>
      </w:r>
      <w:r w:rsidRPr="009C6EE3">
        <w:rPr>
          <w:rFonts w:ascii="TimesNewRomanPSMT" w:hAnsi="TimesNewRomanPSMT" w:cs="TimesNewRomanPSMT"/>
          <w:b/>
          <w:lang w:val="fr-FR"/>
        </w:rPr>
        <w:t>de remplissage</w:t>
      </w:r>
      <w:r>
        <w:rPr>
          <w:rFonts w:ascii="TimesNewRomanPSMT" w:hAnsi="TimesNewRomanPSMT" w:cs="TimesNewRomanPSMT"/>
          <w:lang w:val="fr-FR"/>
        </w:rPr>
        <w:t xml:space="preserve"> </w:t>
      </w:r>
      <w:r w:rsidRPr="00494446">
        <w:rPr>
          <w:rFonts w:ascii="TimesNewRomanPSMT" w:hAnsi="TimesNewRomanPSMT" w:cs="TimesNewRomanPSMT"/>
          <w:lang w:val="fr-FR"/>
        </w:rPr>
        <w:t>conforme</w:t>
      </w:r>
      <w:r>
        <w:rPr>
          <w:rFonts w:ascii="TimesNewRomanPSMT" w:hAnsi="TimesNewRomanPSMT" w:cs="TimesNewRomanPSMT"/>
          <w:lang w:val="fr-FR"/>
        </w:rPr>
        <w:t xml:space="preserve"> </w:t>
      </w:r>
      <w:r w:rsidRPr="00494446">
        <w:rPr>
          <w:rFonts w:ascii="TimesNewRomanPSMT" w:hAnsi="TimesNewRomanPSMT" w:cs="TimesNewRomanPSMT"/>
          <w:lang w:val="fr-FR"/>
        </w:rPr>
        <w:t>au 4.1.1.4 et d'une température de remplissage de 15 °C, ne dépasse pas les deux tiers de</w:t>
      </w:r>
      <w:r>
        <w:rPr>
          <w:rFonts w:ascii="TimesNewRomanPSMT" w:hAnsi="TimesNewRomanPSMT" w:cs="TimesNewRomanPSMT"/>
          <w:lang w:val="fr-FR"/>
        </w:rPr>
        <w:t xml:space="preserve"> </w:t>
      </w:r>
      <w:r w:rsidRPr="00494446">
        <w:rPr>
          <w:rFonts w:ascii="TimesNewRomanPSMT" w:hAnsi="TimesNewRomanPSMT" w:cs="TimesNewRomanPSMT"/>
          <w:lang w:val="fr-FR"/>
        </w:rPr>
        <w:t>la pression d'épreuve inscrite</w:t>
      </w:r>
      <w:r>
        <w:rPr>
          <w:rFonts w:ascii="TimesNewRomanPSMT" w:hAnsi="TimesNewRomanPSMT" w:cs="TimesNewRomanPSMT"/>
          <w:lang w:val="fr-FR"/>
        </w:rPr>
        <w:t>. »</w:t>
      </w:r>
    </w:p>
    <w:p w14:paraId="79A68642" w14:textId="77777777" w:rsidR="00AD6EF5" w:rsidRDefault="00AD6EF5" w:rsidP="00AD6EF5">
      <w:pPr>
        <w:pStyle w:val="SingleTxtG"/>
        <w:rPr>
          <w:lang w:val="en-US"/>
        </w:rPr>
      </w:pPr>
      <w:r>
        <w:rPr>
          <w:lang w:val="en-US"/>
        </w:rPr>
        <w:t>22.</w:t>
      </w:r>
      <w:r>
        <w:rPr>
          <w:lang w:val="en-US"/>
        </w:rPr>
        <w:tab/>
      </w:r>
      <w:r w:rsidR="001475C0">
        <w:rPr>
          <w:color w:val="FF0000"/>
          <w:lang w:val="en-US"/>
        </w:rPr>
        <w:t>A</w:t>
      </w:r>
      <w:r w:rsidR="001475C0" w:rsidRPr="000F10C6">
        <w:rPr>
          <w:color w:val="FF0000"/>
        </w:rPr>
        <w:t>s proposed in th</w:t>
      </w:r>
      <w:r w:rsidR="001475C0">
        <w:rPr>
          <w:color w:val="FF0000"/>
        </w:rPr>
        <w:t>is</w:t>
      </w:r>
      <w:r w:rsidR="001475C0" w:rsidRPr="000F10C6">
        <w:rPr>
          <w:color w:val="FF0000"/>
        </w:rPr>
        <w:t xml:space="preserve"> informal document</w:t>
      </w:r>
      <w:r w:rsidR="001475C0">
        <w:rPr>
          <w:lang w:val="en-US"/>
        </w:rPr>
        <w:t xml:space="preserve"> a</w:t>
      </w:r>
      <w:r w:rsidR="001475C0">
        <w:t xml:space="preserve">mend </w:t>
      </w:r>
      <w:r>
        <w:t>4.1.4.1 packing instruction P203, under (5) as follows</w:t>
      </w:r>
      <w:r>
        <w:rPr>
          <w:lang w:val="en-US"/>
        </w:rPr>
        <w:t>:</w:t>
      </w:r>
    </w:p>
    <w:p w14:paraId="0479952E" w14:textId="77777777" w:rsidR="00AD6EF5" w:rsidRPr="001629C8" w:rsidRDefault="00AD6EF5" w:rsidP="00AD6EF5">
      <w:pPr>
        <w:pStyle w:val="SingleTxtG"/>
        <w:ind w:firstLine="567"/>
        <w:rPr>
          <w:rFonts w:ascii="TimesNewRomanPSMT" w:hAnsi="TimesNewRomanPSMT" w:cs="TimesNewRomanPSMT"/>
          <w:b/>
          <w:bCs/>
          <w:color w:val="FF0000"/>
          <w:lang w:val="fr-FR"/>
        </w:rPr>
      </w:pPr>
      <w:r w:rsidRPr="003C75FC">
        <w:rPr>
          <w:rFonts w:ascii="TimesNewRomanPSMT" w:hAnsi="TimesNewRomanPSMT" w:cs="TimesNewRomanPSMT"/>
          <w:lang w:val="fr-FR"/>
        </w:rPr>
        <w:t>«</w:t>
      </w:r>
      <w:r>
        <w:rPr>
          <w:rFonts w:ascii="TimesNewRomanPSMT" w:hAnsi="TimesNewRomanPSMT" w:cs="TimesNewRomanPSMT"/>
          <w:strike/>
          <w:lang w:val="fr-FR"/>
        </w:rPr>
        <w:t> </w:t>
      </w:r>
      <w:r w:rsidRPr="003C75FC">
        <w:rPr>
          <w:rFonts w:ascii="TimesNewRomanPSMT" w:hAnsi="TimesNewRomanPSMT" w:cs="TimesNewRomanPSMT"/>
          <w:lang w:val="fr-FR"/>
        </w:rPr>
        <w:t>5)</w:t>
      </w:r>
      <w:r>
        <w:rPr>
          <w:rFonts w:ascii="TimesNewRomanPSMT" w:hAnsi="TimesNewRomanPSMT" w:cs="TimesNewRomanPSMT"/>
          <w:strike/>
          <w:lang w:val="fr-FR"/>
        </w:rPr>
        <w:t xml:space="preserve"> </w:t>
      </w:r>
      <w:r w:rsidRPr="00CC00D6">
        <w:rPr>
          <w:rFonts w:ascii="TimesNewRomanPSMT" w:hAnsi="TimesNewRomanPSMT" w:cs="TimesNewRomanPSMT"/>
          <w:strike/>
          <w:lang w:val="fr-FR"/>
        </w:rPr>
        <w:t xml:space="preserve">Degré de </w:t>
      </w:r>
      <w:proofErr w:type="gramStart"/>
      <w:r w:rsidRPr="001629C8">
        <w:rPr>
          <w:rFonts w:ascii="TimesNewRomanPSMT" w:hAnsi="TimesNewRomanPSMT" w:cs="TimesNewRomanPSMT"/>
          <w:lang w:val="fr-FR"/>
        </w:rPr>
        <w:t>remplissage</w:t>
      </w:r>
      <w:r w:rsidRPr="00CC00D6">
        <w:rPr>
          <w:rFonts w:ascii="TimesNewRomanPSMT" w:hAnsi="TimesNewRomanPSMT" w:cs="TimesNewRomanPSMT"/>
          <w:strike/>
          <w:lang w:val="fr-FR"/>
        </w:rPr>
        <w:t xml:space="preserve"> </w:t>
      </w:r>
      <w:r>
        <w:rPr>
          <w:rFonts w:ascii="TimesNewRomanPSMT" w:hAnsi="TimesNewRomanPSMT" w:cs="TimesNewRomanPSMT"/>
          <w:strike/>
          <w:lang w:val="fr-FR"/>
        </w:rPr>
        <w:t xml:space="preserve"> </w:t>
      </w:r>
      <w:proofErr w:type="spellStart"/>
      <w:r w:rsidRPr="001629C8">
        <w:rPr>
          <w:rFonts w:ascii="TimesNewRomanPSMT" w:hAnsi="TimesNewRomanPSMT" w:cs="TimesNewRomanPSMT"/>
          <w:b/>
          <w:bCs/>
          <w:color w:val="FF0000"/>
          <w:lang w:val="fr-FR"/>
        </w:rPr>
        <w:t>Remplissage</w:t>
      </w:r>
      <w:proofErr w:type="spellEnd"/>
      <w:proofErr w:type="gramEnd"/>
    </w:p>
    <w:p w14:paraId="475CBB49" w14:textId="77777777" w:rsidR="00AD6EF5" w:rsidRPr="009939FF" w:rsidRDefault="00AD6EF5" w:rsidP="00AD6EF5">
      <w:pPr>
        <w:pStyle w:val="SingleTxtG"/>
        <w:rPr>
          <w:rFonts w:ascii="TimesNewRomanPSMT" w:hAnsi="TimesNewRomanPSMT" w:cs="TimesNewRomanPSMT"/>
          <w:lang w:val="fr-FR"/>
        </w:rPr>
      </w:pPr>
      <w:r w:rsidRPr="009939FF">
        <w:rPr>
          <w:rFonts w:ascii="TimesNewRomanPSMT" w:hAnsi="TimesNewRomanPSMT" w:cs="TimesNewRomanPSMT"/>
          <w:lang w:val="fr-FR"/>
        </w:rPr>
        <w:t>Pour les gaz liquéfiés réfrigérés non toxiques ininflammables, la phase liquide à la température de remplissage et</w:t>
      </w:r>
      <w:r>
        <w:rPr>
          <w:rFonts w:ascii="TimesNewRomanPSMT" w:hAnsi="TimesNewRomanPSMT" w:cs="TimesNewRomanPSMT"/>
          <w:lang w:val="fr-FR"/>
        </w:rPr>
        <w:t xml:space="preserve"> </w:t>
      </w:r>
      <w:r w:rsidRPr="009939FF">
        <w:rPr>
          <w:rFonts w:ascii="TimesNewRomanPSMT" w:hAnsi="TimesNewRomanPSMT" w:cs="TimesNewRomanPSMT"/>
          <w:lang w:val="fr-FR"/>
        </w:rPr>
        <w:t>à une pression de 100 kPa (1 bar) ne doit pas dépasser 98 % de la contenance (en eau) du récipient.</w:t>
      </w:r>
    </w:p>
    <w:p w14:paraId="4B89B47D" w14:textId="77777777" w:rsidR="00AD6EF5" w:rsidRPr="009939FF" w:rsidRDefault="00AD6EF5" w:rsidP="00AD6EF5">
      <w:pPr>
        <w:pStyle w:val="SingleTxtG"/>
        <w:rPr>
          <w:rFonts w:ascii="TimesNewRomanPSMT" w:hAnsi="TimesNewRomanPSMT" w:cs="TimesNewRomanPSMT"/>
          <w:lang w:val="fr-FR"/>
        </w:rPr>
      </w:pPr>
      <w:r w:rsidRPr="009939FF">
        <w:rPr>
          <w:rFonts w:ascii="TimesNewRomanPSMT" w:hAnsi="TimesNewRomanPSMT" w:cs="TimesNewRomanPSMT"/>
          <w:lang w:val="fr-FR"/>
        </w:rPr>
        <w:t xml:space="preserve">Pour les gaz liquéfiés réfrigérés inflammables, le </w:t>
      </w:r>
      <w:proofErr w:type="gramStart"/>
      <w:r w:rsidRPr="009939FF">
        <w:rPr>
          <w:rFonts w:ascii="TimesNewRomanPSMT" w:hAnsi="TimesNewRomanPSMT" w:cs="TimesNewRomanPSMT"/>
          <w:strike/>
          <w:lang w:val="fr-FR"/>
        </w:rPr>
        <w:t>degré</w:t>
      </w:r>
      <w:r w:rsidRPr="009939FF">
        <w:rPr>
          <w:rFonts w:ascii="TimesNewRomanPSMT" w:hAnsi="TimesNewRomanPSMT" w:cs="TimesNewRomanPSMT"/>
          <w:lang w:val="fr-FR"/>
        </w:rPr>
        <w:t xml:space="preserve"> </w:t>
      </w:r>
      <w:r>
        <w:rPr>
          <w:rFonts w:ascii="TimesNewRomanPSMT" w:hAnsi="TimesNewRomanPSMT" w:cs="TimesNewRomanPSMT"/>
          <w:lang w:val="fr-FR"/>
        </w:rPr>
        <w:t xml:space="preserve"> </w:t>
      </w:r>
      <w:r w:rsidRPr="002816E0">
        <w:rPr>
          <w:rFonts w:ascii="TimesNewRomanPSMT" w:hAnsi="TimesNewRomanPSMT" w:cs="TimesNewRomanPSMT"/>
          <w:b/>
          <w:bCs/>
          <w:color w:val="FF0000"/>
          <w:lang w:val="fr-FR"/>
        </w:rPr>
        <w:t>gaz</w:t>
      </w:r>
      <w:proofErr w:type="gramEnd"/>
      <w:r w:rsidRPr="002816E0">
        <w:rPr>
          <w:rFonts w:ascii="TimesNewRomanPSMT" w:hAnsi="TimesNewRomanPSMT" w:cs="TimesNewRomanPSMT"/>
          <w:b/>
          <w:bCs/>
          <w:color w:val="FF0000"/>
          <w:lang w:val="fr-FR"/>
        </w:rPr>
        <w:t xml:space="preserve"> rempli dans le récipient </w:t>
      </w:r>
      <w:r w:rsidRPr="001629C8">
        <w:rPr>
          <w:rFonts w:ascii="TimesNewRomanPSMT" w:hAnsi="TimesNewRomanPSMT" w:cs="TimesNewRomanPSMT"/>
          <w:strike/>
          <w:lang w:val="fr-FR"/>
        </w:rPr>
        <w:t>de remplissage</w:t>
      </w:r>
      <w:r w:rsidRPr="009939FF">
        <w:rPr>
          <w:rFonts w:ascii="TimesNewRomanPSMT" w:hAnsi="TimesNewRomanPSMT" w:cs="TimesNewRomanPSMT"/>
          <w:lang w:val="fr-FR"/>
        </w:rPr>
        <w:t xml:space="preserve"> doit rester inférieur à une valeur telle que,</w:t>
      </w:r>
      <w:r>
        <w:rPr>
          <w:rFonts w:ascii="TimesNewRomanPSMT" w:hAnsi="TimesNewRomanPSMT" w:cs="TimesNewRomanPSMT"/>
          <w:lang w:val="fr-FR"/>
        </w:rPr>
        <w:t xml:space="preserve"> </w:t>
      </w:r>
      <w:r w:rsidRPr="009939FF">
        <w:rPr>
          <w:rFonts w:ascii="TimesNewRomanPSMT" w:hAnsi="TimesNewRomanPSMT" w:cs="TimesNewRomanPSMT"/>
          <w:lang w:val="fr-FR"/>
        </w:rPr>
        <w:t>lorsque le contenu est porté à la température à laquelle la tension de vapeur égale la pression d'ouverture du dispositif de décompression, la phase liquide atteindrait 98 % de la contenance (en eau) du récipient à cette température.</w:t>
      </w:r>
      <w:r>
        <w:rPr>
          <w:rFonts w:ascii="TimesNewRomanPSMT" w:hAnsi="TimesNewRomanPSMT" w:cs="TimesNewRomanPSMT"/>
          <w:lang w:val="fr-FR"/>
        </w:rPr>
        <w:t> »</w:t>
      </w:r>
    </w:p>
    <w:p w14:paraId="7CDDF87F" w14:textId="77777777" w:rsidR="00AD6EF5" w:rsidRPr="00DC73B1" w:rsidRDefault="00AD6EF5" w:rsidP="00AD6EF5">
      <w:pPr>
        <w:pStyle w:val="SingleTxtG"/>
        <w:rPr>
          <w:rFonts w:ascii="TimesNewRomanPSMT" w:hAnsi="TimesNewRomanPSMT" w:cs="TimesNewRomanPSMT"/>
          <w:lang w:val="fr-FR"/>
        </w:rPr>
      </w:pPr>
      <w:r w:rsidRPr="00DC73B1">
        <w:rPr>
          <w:rFonts w:ascii="TimesNewRomanPSMT" w:hAnsi="TimesNewRomanPSMT" w:cs="TimesNewRomanPSMT"/>
          <w:lang w:val="fr-FR"/>
        </w:rPr>
        <w:t>23.</w:t>
      </w:r>
      <w:r w:rsidRPr="00DC73B1">
        <w:rPr>
          <w:rFonts w:ascii="TimesNewRomanPSMT" w:hAnsi="TimesNewRomanPSMT" w:cs="TimesNewRomanPSMT"/>
          <w:lang w:val="fr-FR"/>
        </w:rPr>
        <w:tab/>
      </w:r>
      <w:proofErr w:type="spellStart"/>
      <w:r w:rsidRPr="00DC73B1">
        <w:rPr>
          <w:rFonts w:ascii="TimesNewRomanPSMT" w:hAnsi="TimesNewRomanPSMT" w:cs="TimesNewRomanPSMT"/>
          <w:lang w:val="fr-FR"/>
        </w:rPr>
        <w:t>Amend</w:t>
      </w:r>
      <w:proofErr w:type="spellEnd"/>
      <w:r w:rsidRPr="00DC73B1">
        <w:rPr>
          <w:rFonts w:ascii="TimesNewRomanPSMT" w:hAnsi="TimesNewRomanPSMT" w:cs="TimesNewRomanPSMT"/>
          <w:lang w:val="fr-FR"/>
        </w:rPr>
        <w:t xml:space="preserve"> 4.1.7.0.1 as </w:t>
      </w:r>
      <w:proofErr w:type="spellStart"/>
      <w:proofErr w:type="gramStart"/>
      <w:r w:rsidRPr="00DC73B1">
        <w:rPr>
          <w:rFonts w:ascii="TimesNewRomanPSMT" w:hAnsi="TimesNewRomanPSMT" w:cs="TimesNewRomanPSMT"/>
          <w:lang w:val="fr-FR"/>
        </w:rPr>
        <w:t>follows</w:t>
      </w:r>
      <w:proofErr w:type="spellEnd"/>
      <w:r w:rsidRPr="00DC73B1">
        <w:rPr>
          <w:rFonts w:ascii="TimesNewRomanPSMT" w:hAnsi="TimesNewRomanPSMT" w:cs="TimesNewRomanPSMT"/>
          <w:lang w:val="fr-FR"/>
        </w:rPr>
        <w:t>:</w:t>
      </w:r>
      <w:proofErr w:type="gramEnd"/>
    </w:p>
    <w:p w14:paraId="6A931F36" w14:textId="77777777" w:rsidR="00AD6EF5"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w:t>
      </w:r>
      <w:r w:rsidRPr="004C27B8">
        <w:rPr>
          <w:rFonts w:ascii="TimesNewRomanPSMT" w:hAnsi="TimesNewRomanPSMT" w:cs="TimesNewRomanPSMT"/>
          <w:lang w:val="fr-FR"/>
        </w:rPr>
        <w:t>Pour les peroxydes organiques, tous les récipients doivent être « effectivement fermés ». En cas de</w:t>
      </w:r>
      <w:r>
        <w:rPr>
          <w:rFonts w:ascii="TimesNewRomanPSMT" w:hAnsi="TimesNewRomanPSMT" w:cs="TimesNewRomanPSMT"/>
          <w:lang w:val="fr-FR"/>
        </w:rPr>
        <w:t xml:space="preserve"> </w:t>
      </w:r>
      <w:r w:rsidRPr="004C27B8">
        <w:rPr>
          <w:rFonts w:ascii="TimesNewRomanPSMT" w:hAnsi="TimesNewRomanPSMT" w:cs="TimesNewRomanPSMT"/>
          <w:lang w:val="fr-FR"/>
        </w:rPr>
        <w:t>risque de forte augmentation de la pression interne dans un colis à cause de la transformation d'un gaz, un évent peut être</w:t>
      </w:r>
      <w:r>
        <w:rPr>
          <w:rFonts w:ascii="TimesNewRomanPSMT" w:hAnsi="TimesNewRomanPSMT" w:cs="TimesNewRomanPSMT"/>
          <w:lang w:val="fr-FR"/>
        </w:rPr>
        <w:t xml:space="preserve"> </w:t>
      </w:r>
      <w:r w:rsidRPr="004C27B8">
        <w:rPr>
          <w:rFonts w:ascii="TimesNewRomanPSMT" w:hAnsi="TimesNewRomanPSMT" w:cs="TimesNewRomanPSMT"/>
          <w:lang w:val="fr-FR"/>
        </w:rPr>
        <w:t xml:space="preserve">prévu, à condition que le gaz émis ne présente pas de danger ; dans le cas contraire, le </w:t>
      </w:r>
      <w:r w:rsidRPr="004C27B8">
        <w:rPr>
          <w:rFonts w:ascii="TimesNewRomanPSMT" w:hAnsi="TimesNewRomanPSMT" w:cs="TimesNewRomanPSMT"/>
          <w:strike/>
          <w:lang w:val="fr-FR"/>
        </w:rPr>
        <w:t>taux</w:t>
      </w:r>
      <w:r>
        <w:rPr>
          <w:rFonts w:ascii="TimesNewRomanPSMT" w:hAnsi="TimesNewRomanPSMT" w:cs="TimesNewRomanPSMT"/>
          <w:lang w:val="fr-FR"/>
        </w:rPr>
        <w:t xml:space="preserve"> </w:t>
      </w:r>
      <w:r w:rsidRPr="004C27B8">
        <w:rPr>
          <w:rFonts w:ascii="TimesNewRomanPSMT" w:hAnsi="TimesNewRomanPSMT" w:cs="TimesNewRomanPSMT"/>
          <w:b/>
          <w:lang w:val="fr-FR"/>
        </w:rPr>
        <w:t>degré</w:t>
      </w:r>
      <w:r>
        <w:rPr>
          <w:rFonts w:ascii="TimesNewRomanPSMT" w:hAnsi="TimesNewRomanPSMT" w:cs="TimesNewRomanPSMT"/>
          <w:lang w:val="fr-FR"/>
        </w:rPr>
        <w:t xml:space="preserve"> </w:t>
      </w:r>
      <w:r w:rsidRPr="004C27B8">
        <w:rPr>
          <w:rFonts w:ascii="TimesNewRomanPSMT" w:hAnsi="TimesNewRomanPSMT" w:cs="TimesNewRomanPSMT"/>
          <w:lang w:val="fr-FR"/>
        </w:rPr>
        <w:t>de remplissage devra être</w:t>
      </w:r>
      <w:r>
        <w:rPr>
          <w:rFonts w:ascii="TimesNewRomanPSMT" w:hAnsi="TimesNewRomanPSMT" w:cs="TimesNewRomanPSMT"/>
          <w:lang w:val="fr-FR"/>
        </w:rPr>
        <w:t xml:space="preserve"> </w:t>
      </w:r>
      <w:r w:rsidRPr="004C27B8">
        <w:rPr>
          <w:rFonts w:ascii="TimesNewRomanPSMT" w:hAnsi="TimesNewRomanPSMT" w:cs="TimesNewRomanPSMT"/>
          <w:lang w:val="fr-FR"/>
        </w:rPr>
        <w:t>limité. Tout évent doit être aménagé de sorte que le liquide ne puisse pas s'échapper lorsque le colis est en position debout</w:t>
      </w:r>
      <w:r>
        <w:rPr>
          <w:rFonts w:ascii="TimesNewRomanPSMT" w:hAnsi="TimesNewRomanPSMT" w:cs="TimesNewRomanPSMT"/>
          <w:lang w:val="fr-FR"/>
        </w:rPr>
        <w:t xml:space="preserve"> </w:t>
      </w:r>
      <w:r w:rsidRPr="004C27B8">
        <w:rPr>
          <w:rFonts w:ascii="TimesNewRomanPSMT" w:hAnsi="TimesNewRomanPSMT" w:cs="TimesNewRomanPSMT"/>
          <w:lang w:val="fr-FR"/>
        </w:rPr>
        <w:t>et à ne laisser entrer aucune impureté. L'emballage extérieur, s'il en existe un, doit être conçu de façon à ne pas gêner le</w:t>
      </w:r>
      <w:r>
        <w:rPr>
          <w:rFonts w:ascii="TimesNewRomanPSMT" w:hAnsi="TimesNewRomanPSMT" w:cs="TimesNewRomanPSMT"/>
          <w:lang w:val="fr-FR"/>
        </w:rPr>
        <w:t xml:space="preserve"> </w:t>
      </w:r>
      <w:r w:rsidRPr="004C27B8">
        <w:rPr>
          <w:rFonts w:ascii="TimesNewRomanPSMT" w:hAnsi="TimesNewRomanPSMT" w:cs="TimesNewRomanPSMT"/>
          <w:lang w:val="fr-FR"/>
        </w:rPr>
        <w:t>fonctionnement de l'évent.</w:t>
      </w:r>
      <w:r>
        <w:rPr>
          <w:rFonts w:ascii="TimesNewRomanPSMT" w:hAnsi="TimesNewRomanPSMT" w:cs="TimesNewRomanPSMT"/>
          <w:lang w:val="fr-FR"/>
        </w:rPr>
        <w:t> »</w:t>
      </w:r>
    </w:p>
    <w:p w14:paraId="29215D38" w14:textId="77777777" w:rsidR="00AD6EF5" w:rsidRPr="00DC73B1" w:rsidRDefault="00AD6EF5" w:rsidP="00AD6EF5">
      <w:pPr>
        <w:pStyle w:val="SingleTxtG"/>
        <w:rPr>
          <w:rFonts w:ascii="TimesNewRomanPSMT" w:hAnsi="TimesNewRomanPSMT" w:cs="TimesNewRomanPSMT"/>
          <w:lang w:val="fr-FR"/>
        </w:rPr>
      </w:pPr>
      <w:r w:rsidRPr="00DC73B1">
        <w:rPr>
          <w:rFonts w:ascii="TimesNewRomanPSMT" w:hAnsi="TimesNewRomanPSMT" w:cs="TimesNewRomanPSMT"/>
          <w:lang w:val="fr-FR"/>
        </w:rPr>
        <w:t>24.</w:t>
      </w:r>
      <w:r w:rsidRPr="00DC73B1">
        <w:rPr>
          <w:rFonts w:ascii="TimesNewRomanPSMT" w:hAnsi="TimesNewRomanPSMT" w:cs="TimesNewRomanPSMT"/>
          <w:lang w:val="fr-FR"/>
        </w:rPr>
        <w:tab/>
      </w:r>
      <w:proofErr w:type="spellStart"/>
      <w:r w:rsidRPr="00DC73B1">
        <w:rPr>
          <w:rFonts w:ascii="TimesNewRomanPSMT" w:hAnsi="TimesNewRomanPSMT" w:cs="TimesNewRomanPSMT"/>
          <w:lang w:val="fr-FR"/>
        </w:rPr>
        <w:t>Amend</w:t>
      </w:r>
      <w:proofErr w:type="spellEnd"/>
      <w:r w:rsidRPr="00DC73B1">
        <w:rPr>
          <w:rFonts w:ascii="TimesNewRomanPSMT" w:hAnsi="TimesNewRomanPSMT" w:cs="TimesNewRomanPSMT"/>
          <w:lang w:val="fr-FR"/>
        </w:rPr>
        <w:t xml:space="preserve"> 4.2.1.9.2 as </w:t>
      </w:r>
      <w:proofErr w:type="spellStart"/>
      <w:proofErr w:type="gramStart"/>
      <w:r w:rsidRPr="00DC73B1">
        <w:rPr>
          <w:rFonts w:ascii="TimesNewRomanPSMT" w:hAnsi="TimesNewRomanPSMT" w:cs="TimesNewRomanPSMT"/>
          <w:lang w:val="fr-FR"/>
        </w:rPr>
        <w:t>follows</w:t>
      </w:r>
      <w:proofErr w:type="spellEnd"/>
      <w:r w:rsidRPr="00DC73B1">
        <w:rPr>
          <w:rFonts w:ascii="TimesNewRomanPSMT" w:hAnsi="TimesNewRomanPSMT" w:cs="TimesNewRomanPSMT"/>
          <w:lang w:val="fr-FR"/>
        </w:rPr>
        <w:t>:</w:t>
      </w:r>
      <w:proofErr w:type="gramEnd"/>
    </w:p>
    <w:p w14:paraId="0001F7D4" w14:textId="77777777" w:rsidR="00AD6EF5" w:rsidRPr="007F4012"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xml:space="preserve">« </w:t>
      </w:r>
      <w:r w:rsidRPr="007F4012">
        <w:rPr>
          <w:rFonts w:ascii="TimesNewRomanPSMT" w:hAnsi="TimesNewRomanPSMT" w:cs="TimesNewRomanPSMT"/>
          <w:lang w:val="fr-FR"/>
        </w:rPr>
        <w:t xml:space="preserve">Dans les cas généraux d'utilisation, le </w:t>
      </w:r>
      <w:r w:rsidRPr="007F4012">
        <w:rPr>
          <w:rFonts w:ascii="TimesNewRomanPSMT" w:hAnsi="TimesNewRomanPSMT" w:cs="TimesNewRomanPSMT"/>
          <w:strike/>
          <w:lang w:val="fr-FR"/>
        </w:rPr>
        <w:t>taux</w:t>
      </w:r>
      <w:r>
        <w:rPr>
          <w:rFonts w:ascii="TimesNewRomanPSMT" w:hAnsi="TimesNewRomanPSMT" w:cs="TimesNewRomanPSMT"/>
          <w:lang w:val="fr-FR"/>
        </w:rPr>
        <w:t xml:space="preserve"> </w:t>
      </w:r>
      <w:r>
        <w:rPr>
          <w:rFonts w:ascii="TimesNewRomanPSMT" w:hAnsi="TimesNewRomanPSMT" w:cs="TimesNewRomanPSMT"/>
          <w:b/>
          <w:lang w:val="fr-FR"/>
        </w:rPr>
        <w:t>degré</w:t>
      </w:r>
      <w:r w:rsidRPr="007F4012">
        <w:rPr>
          <w:rFonts w:ascii="TimesNewRomanPSMT" w:hAnsi="TimesNewRomanPSMT" w:cs="TimesNewRomanPSMT"/>
          <w:lang w:val="fr-FR"/>
        </w:rPr>
        <w:t xml:space="preserve"> maximal de remplissage (en %) est donnée par la formule</w:t>
      </w:r>
      <w:r>
        <w:rPr>
          <w:rFonts w:ascii="TimesNewRomanPSMT" w:hAnsi="TimesNewRomanPSMT" w:cs="TimesNewRomanPSMT"/>
          <w:lang w:val="fr-FR"/>
        </w:rPr>
        <w:t xml:space="preserve"> </w:t>
      </w:r>
      <w:r w:rsidRPr="007F4012">
        <w:rPr>
          <w:rFonts w:ascii="TimesNewRomanPSMT" w:hAnsi="TimesNewRomanPSMT" w:cs="TimesNewRomanPSMT"/>
          <w:lang w:val="fr-FR"/>
        </w:rPr>
        <w:t>suivante :</w:t>
      </w:r>
      <w:r>
        <w:rPr>
          <w:rFonts w:ascii="TimesNewRomanPSMT" w:hAnsi="TimesNewRomanPSMT" w:cs="TimesNewRomanPSMT"/>
          <w:lang w:val="fr-FR"/>
        </w:rPr>
        <w:t xml:space="preserve"> </w:t>
      </w:r>
      <w:r w:rsidRPr="009D29CE">
        <w:rPr>
          <w:rFonts w:ascii="TimesNewRomanPSMT" w:hAnsi="TimesNewRomanPSMT" w:cs="TimesNewRomanPSMT"/>
          <w:strike/>
          <w:lang w:val="fr-FR"/>
        </w:rPr>
        <w:t>Taux</w:t>
      </w:r>
      <w:r>
        <w:rPr>
          <w:rFonts w:ascii="TimesNewRomanPSMT" w:hAnsi="TimesNewRomanPSMT" w:cs="TimesNewRomanPSMT"/>
          <w:lang w:val="fr-FR"/>
        </w:rPr>
        <w:t xml:space="preserve"> </w:t>
      </w:r>
      <w:r>
        <w:rPr>
          <w:rFonts w:ascii="TimesNewRomanPSMT" w:hAnsi="TimesNewRomanPSMT" w:cs="TimesNewRomanPSMT"/>
          <w:b/>
          <w:lang w:val="fr-FR"/>
        </w:rPr>
        <w:t>D</w:t>
      </w:r>
      <w:r w:rsidRPr="009D29CE">
        <w:rPr>
          <w:rFonts w:ascii="TimesNewRomanPSMT" w:hAnsi="TimesNewRomanPSMT" w:cs="TimesNewRomanPSMT"/>
          <w:b/>
          <w:lang w:val="fr-FR"/>
        </w:rPr>
        <w:t>egré</w:t>
      </w:r>
      <w:r>
        <w:rPr>
          <w:rFonts w:ascii="TimesNewRomanPSMT" w:hAnsi="TimesNewRomanPSMT" w:cs="TimesNewRomanPSMT"/>
          <w:lang w:val="fr-FR"/>
        </w:rPr>
        <w:t xml:space="preserve"> de remplissage=… »</w:t>
      </w:r>
    </w:p>
    <w:p w14:paraId="668D2241" w14:textId="77777777" w:rsidR="00AD6EF5" w:rsidRPr="00DC73B1" w:rsidRDefault="00AD6EF5" w:rsidP="00AD6EF5">
      <w:pPr>
        <w:pStyle w:val="SingleTxtG"/>
        <w:rPr>
          <w:rFonts w:ascii="TimesNewRomanPSMT" w:hAnsi="TimesNewRomanPSMT" w:cs="TimesNewRomanPSMT"/>
          <w:lang w:val="fr-FR"/>
        </w:rPr>
      </w:pPr>
      <w:r w:rsidRPr="00DC73B1">
        <w:rPr>
          <w:rFonts w:ascii="TimesNewRomanPSMT" w:hAnsi="TimesNewRomanPSMT" w:cs="TimesNewRomanPSMT"/>
          <w:lang w:val="fr-FR"/>
        </w:rPr>
        <w:t>25.</w:t>
      </w:r>
      <w:r w:rsidRPr="00DC73B1">
        <w:rPr>
          <w:rFonts w:ascii="TimesNewRomanPSMT" w:hAnsi="TimesNewRomanPSMT" w:cs="TimesNewRomanPSMT"/>
          <w:lang w:val="fr-FR"/>
        </w:rPr>
        <w:tab/>
      </w:r>
      <w:proofErr w:type="spellStart"/>
      <w:r w:rsidRPr="00DC73B1">
        <w:rPr>
          <w:rFonts w:ascii="TimesNewRomanPSMT" w:hAnsi="TimesNewRomanPSMT" w:cs="TimesNewRomanPSMT"/>
          <w:lang w:val="fr-FR"/>
        </w:rPr>
        <w:t>Amend</w:t>
      </w:r>
      <w:proofErr w:type="spellEnd"/>
      <w:r w:rsidRPr="00DC73B1">
        <w:rPr>
          <w:rFonts w:ascii="TimesNewRomanPSMT" w:hAnsi="TimesNewRomanPSMT" w:cs="TimesNewRomanPSMT"/>
          <w:lang w:val="fr-FR"/>
        </w:rPr>
        <w:t xml:space="preserve"> 4.2.1.9.3 as </w:t>
      </w:r>
      <w:proofErr w:type="spellStart"/>
      <w:proofErr w:type="gramStart"/>
      <w:r w:rsidRPr="00DC73B1">
        <w:rPr>
          <w:rFonts w:ascii="TimesNewRomanPSMT" w:hAnsi="TimesNewRomanPSMT" w:cs="TimesNewRomanPSMT"/>
          <w:lang w:val="fr-FR"/>
        </w:rPr>
        <w:t>follows</w:t>
      </w:r>
      <w:proofErr w:type="spellEnd"/>
      <w:r w:rsidRPr="00DC73B1">
        <w:rPr>
          <w:rFonts w:ascii="TimesNewRomanPSMT" w:hAnsi="TimesNewRomanPSMT" w:cs="TimesNewRomanPSMT"/>
          <w:lang w:val="fr-FR"/>
        </w:rPr>
        <w:t>:</w:t>
      </w:r>
      <w:proofErr w:type="gramEnd"/>
    </w:p>
    <w:p w14:paraId="4F681831" w14:textId="77777777" w:rsidR="00AD6EF5"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w:t>
      </w:r>
      <w:r w:rsidRPr="009D29CE">
        <w:rPr>
          <w:rFonts w:ascii="TimesNewRomanPSMT" w:hAnsi="TimesNewRomanPSMT" w:cs="TimesNewRomanPSMT"/>
          <w:lang w:val="fr-FR"/>
        </w:rPr>
        <w:t>Pour les matières liquides de la division 6.1 ou de la classe 8 qui relèvent des groupes d'emballage I ou</w:t>
      </w:r>
      <w:r>
        <w:rPr>
          <w:rFonts w:ascii="TimesNewRomanPSMT" w:hAnsi="TimesNewRomanPSMT" w:cs="TimesNewRomanPSMT"/>
          <w:lang w:val="fr-FR"/>
        </w:rPr>
        <w:t xml:space="preserve"> </w:t>
      </w:r>
      <w:r w:rsidRPr="009D29CE">
        <w:rPr>
          <w:rFonts w:ascii="TimesNewRomanPSMT" w:hAnsi="TimesNewRomanPSMT" w:cs="TimesNewRomanPSMT"/>
          <w:lang w:val="fr-FR"/>
        </w:rPr>
        <w:t>II, de même que pour les matières liquides dont la pression absolue de vapeur est supérieure à 175 kPa (1,75 bar) à 65 °C,</w:t>
      </w:r>
      <w:r>
        <w:rPr>
          <w:rFonts w:ascii="TimesNewRomanPSMT" w:hAnsi="TimesNewRomanPSMT" w:cs="TimesNewRomanPSMT"/>
          <w:lang w:val="fr-FR"/>
        </w:rPr>
        <w:t xml:space="preserve"> </w:t>
      </w:r>
      <w:r w:rsidRPr="009D29CE">
        <w:rPr>
          <w:rFonts w:ascii="TimesNewRomanPSMT" w:hAnsi="TimesNewRomanPSMT" w:cs="TimesNewRomanPSMT"/>
          <w:lang w:val="fr-FR"/>
        </w:rPr>
        <w:t xml:space="preserve">le </w:t>
      </w:r>
      <w:r w:rsidRPr="009D29CE">
        <w:rPr>
          <w:rFonts w:ascii="TimesNewRomanPSMT" w:hAnsi="TimesNewRomanPSMT" w:cs="TimesNewRomanPSMT"/>
          <w:strike/>
          <w:lang w:val="fr-FR"/>
        </w:rPr>
        <w:t>taux</w:t>
      </w:r>
      <w:r w:rsidRPr="007C5CFA">
        <w:rPr>
          <w:rFonts w:ascii="TimesNewRomanPSMT" w:hAnsi="TimesNewRomanPSMT" w:cs="TimesNewRomanPSMT"/>
          <w:lang w:val="fr-FR"/>
        </w:rPr>
        <w:t xml:space="preserve"> </w:t>
      </w:r>
      <w:r w:rsidRPr="009D29CE">
        <w:rPr>
          <w:rFonts w:ascii="TimesNewRomanPSMT" w:hAnsi="TimesNewRomanPSMT" w:cs="TimesNewRomanPSMT"/>
          <w:b/>
          <w:lang w:val="fr-FR"/>
        </w:rPr>
        <w:t>degré</w:t>
      </w:r>
      <w:r>
        <w:rPr>
          <w:rFonts w:ascii="TimesNewRomanPSMT" w:hAnsi="TimesNewRomanPSMT" w:cs="TimesNewRomanPSMT"/>
          <w:lang w:val="fr-FR"/>
        </w:rPr>
        <w:t xml:space="preserve"> </w:t>
      </w:r>
      <w:r w:rsidRPr="009D29CE">
        <w:rPr>
          <w:rFonts w:ascii="TimesNewRomanPSMT" w:hAnsi="TimesNewRomanPSMT" w:cs="TimesNewRomanPSMT"/>
          <w:lang w:val="fr-FR"/>
        </w:rPr>
        <w:t>maximal de remplissage (en %) est donné par la formule suivante :</w:t>
      </w:r>
      <w:r>
        <w:rPr>
          <w:rFonts w:ascii="TimesNewRomanPSMT" w:hAnsi="TimesNewRomanPSMT" w:cs="TimesNewRomanPSMT"/>
          <w:lang w:val="fr-FR"/>
        </w:rPr>
        <w:t xml:space="preserve"> </w:t>
      </w:r>
      <w:r w:rsidRPr="009D29CE">
        <w:rPr>
          <w:rFonts w:ascii="TimesNewRomanPSMT" w:hAnsi="TimesNewRomanPSMT" w:cs="TimesNewRomanPSMT"/>
          <w:strike/>
          <w:lang w:val="fr-FR"/>
        </w:rPr>
        <w:t>Taux</w:t>
      </w:r>
      <w:r>
        <w:rPr>
          <w:rFonts w:ascii="TimesNewRomanPSMT" w:hAnsi="TimesNewRomanPSMT" w:cs="TimesNewRomanPSMT"/>
          <w:strike/>
          <w:lang w:val="fr-FR"/>
        </w:rPr>
        <w:t xml:space="preserve"> </w:t>
      </w:r>
      <w:r w:rsidRPr="007C5CFA">
        <w:rPr>
          <w:rFonts w:ascii="TimesNewRomanPSMT" w:hAnsi="TimesNewRomanPSMT" w:cs="TimesNewRomanPSMT"/>
          <w:lang w:val="fr-FR"/>
        </w:rPr>
        <w:t>D</w:t>
      </w:r>
      <w:r w:rsidRPr="009D29CE">
        <w:rPr>
          <w:rFonts w:ascii="TimesNewRomanPSMT" w:hAnsi="TimesNewRomanPSMT" w:cs="TimesNewRomanPSMT"/>
          <w:b/>
          <w:lang w:val="fr-FR"/>
        </w:rPr>
        <w:t xml:space="preserve">egré </w:t>
      </w:r>
      <w:r w:rsidRPr="009D29CE">
        <w:rPr>
          <w:rFonts w:ascii="TimesNewRomanPSMT" w:hAnsi="TimesNewRomanPSMT" w:cs="TimesNewRomanPSMT"/>
          <w:lang w:val="fr-FR"/>
        </w:rPr>
        <w:t>de remplissage</w:t>
      </w:r>
      <w:r>
        <w:rPr>
          <w:rFonts w:ascii="TimesNewRomanPSMT" w:hAnsi="TimesNewRomanPSMT" w:cs="TimesNewRomanPSMT"/>
          <w:lang w:val="fr-FR"/>
        </w:rPr>
        <w:t>=... »</w:t>
      </w:r>
    </w:p>
    <w:p w14:paraId="6774EBD0" w14:textId="77777777" w:rsidR="00AD6EF5" w:rsidRPr="00A314CE" w:rsidRDefault="00AD6EF5" w:rsidP="00AD6EF5">
      <w:pPr>
        <w:pStyle w:val="SingleTxtG"/>
        <w:rPr>
          <w:highlight w:val="yellow"/>
        </w:rPr>
      </w:pPr>
      <w:r>
        <w:t>26</w:t>
      </w:r>
      <w:r w:rsidRPr="00A314CE">
        <w:t>.</w:t>
      </w:r>
      <w:r w:rsidRPr="00A314CE">
        <w:tab/>
        <w:t xml:space="preserve">The present text </w:t>
      </w:r>
      <w:r>
        <w:t xml:space="preserve">of 4.2.1.9.5 </w:t>
      </w:r>
      <w:r w:rsidRPr="00A314CE">
        <w:t xml:space="preserve">does </w:t>
      </w:r>
      <w:proofErr w:type="gramStart"/>
      <w:r w:rsidRPr="00A314CE">
        <w:t>express correct</w:t>
      </w:r>
      <w:r>
        <w:t>ly</w:t>
      </w:r>
      <w:proofErr w:type="gramEnd"/>
      <w:r>
        <w:t xml:space="preserve"> the same meaning as “</w:t>
      </w:r>
      <w:proofErr w:type="spellStart"/>
      <w:r>
        <w:t>degré</w:t>
      </w:r>
      <w:proofErr w:type="spellEnd"/>
      <w:r>
        <w:t xml:space="preserve"> de </w:t>
      </w:r>
      <w:proofErr w:type="spellStart"/>
      <w:r>
        <w:t>remplissage</w:t>
      </w:r>
      <w:proofErr w:type="spellEnd"/>
      <w:r>
        <w:t>”, without using this precise wording. Nevertheless, the text could be amended as follows including this terminology:</w:t>
      </w:r>
    </w:p>
    <w:p w14:paraId="0B876681" w14:textId="77777777" w:rsidR="00AD6EF5" w:rsidRDefault="00AD6EF5" w:rsidP="00AD6EF5">
      <w:pPr>
        <w:pStyle w:val="SingleTxtG"/>
        <w:ind w:left="1701"/>
        <w:rPr>
          <w:lang w:val="fr-FR"/>
        </w:rPr>
      </w:pPr>
      <w:r w:rsidRPr="006A5954">
        <w:rPr>
          <w:lang w:val="fr-FR"/>
        </w:rPr>
        <w:t>«</w:t>
      </w:r>
      <w:r>
        <w:rPr>
          <w:lang w:val="fr-FR"/>
        </w:rPr>
        <w:t xml:space="preserve"> </w:t>
      </w:r>
      <w:r w:rsidRPr="00A314CE">
        <w:rPr>
          <w:lang w:val="fr-FR"/>
        </w:rPr>
        <w:t>Les dispositions des 4.2.1.9.2 à 4.2.1.9.4.1 ne s’appliquent pas aux citerne</w:t>
      </w:r>
      <w:r>
        <w:rPr>
          <w:lang w:val="fr-FR"/>
        </w:rPr>
        <w:t>s</w:t>
      </w:r>
      <w:r w:rsidRPr="00A314CE">
        <w:rPr>
          <w:lang w:val="fr-FR"/>
        </w:rPr>
        <w:t xml:space="preserve"> mobiles dont le contenu est maintenu à une température supérieure à 50</w:t>
      </w:r>
      <w:r>
        <w:rPr>
          <w:lang w:val="fr-FR"/>
        </w:rPr>
        <w:t xml:space="preserve"> </w:t>
      </w:r>
      <w:r w:rsidRPr="00A314CE">
        <w:rPr>
          <w:lang w:val="fr-FR"/>
        </w:rPr>
        <w:t>ºC durant le transport (par exemple, au moyen d’un dispositif de chauffage). Po</w:t>
      </w:r>
      <w:r>
        <w:rPr>
          <w:lang w:val="fr-FR"/>
        </w:rPr>
        <w:t>u</w:t>
      </w:r>
      <w:r w:rsidRPr="00A314CE">
        <w:rPr>
          <w:lang w:val="fr-FR"/>
        </w:rPr>
        <w:t>r les citernes mobiles équipées d’un tel dispositif, un régulateur de temp</w:t>
      </w:r>
      <w:r>
        <w:rPr>
          <w:lang w:val="fr-FR"/>
        </w:rPr>
        <w:t>é</w:t>
      </w:r>
      <w:r w:rsidRPr="00A314CE">
        <w:rPr>
          <w:lang w:val="fr-FR"/>
        </w:rPr>
        <w:t xml:space="preserve">rature sera utilisé afin </w:t>
      </w:r>
      <w:r w:rsidRPr="00A314CE">
        <w:rPr>
          <w:b/>
          <w:lang w:val="fr-FR"/>
        </w:rPr>
        <w:t>d’assurer</w:t>
      </w:r>
      <w:r w:rsidRPr="00A314CE">
        <w:rPr>
          <w:lang w:val="fr-FR"/>
        </w:rPr>
        <w:t xml:space="preserve"> que </w:t>
      </w:r>
      <w:r w:rsidRPr="00A314CE">
        <w:rPr>
          <w:strike/>
          <w:lang w:val="fr-FR"/>
        </w:rPr>
        <w:t>la citerne ne soit jamais pleine</w:t>
      </w:r>
      <w:r w:rsidRPr="00A314CE">
        <w:rPr>
          <w:lang w:val="fr-FR"/>
        </w:rPr>
        <w:t xml:space="preserve"> </w:t>
      </w:r>
      <w:proofErr w:type="gramStart"/>
      <w:r w:rsidRPr="00A314CE">
        <w:rPr>
          <w:b/>
          <w:lang w:val="fr-FR"/>
        </w:rPr>
        <w:t>le degré maximale</w:t>
      </w:r>
      <w:proofErr w:type="gramEnd"/>
      <w:r w:rsidRPr="00A314CE">
        <w:rPr>
          <w:b/>
          <w:lang w:val="fr-FR"/>
        </w:rPr>
        <w:t xml:space="preserve"> de remplissage</w:t>
      </w:r>
      <w:r w:rsidRPr="00A314CE">
        <w:rPr>
          <w:lang w:val="fr-FR"/>
        </w:rPr>
        <w:t xml:space="preserve"> </w:t>
      </w:r>
      <w:r w:rsidRPr="00A314CE">
        <w:rPr>
          <w:strike/>
          <w:lang w:val="fr-FR"/>
        </w:rPr>
        <w:t>à plus</w:t>
      </w:r>
      <w:r w:rsidRPr="00A314CE">
        <w:rPr>
          <w:lang w:val="fr-FR"/>
        </w:rPr>
        <w:t xml:space="preserve"> </w:t>
      </w:r>
      <w:r w:rsidRPr="00A314CE">
        <w:rPr>
          <w:b/>
          <w:lang w:val="fr-FR"/>
        </w:rPr>
        <w:t>ne dépasse pas</w:t>
      </w:r>
      <w:r w:rsidRPr="00A314CE">
        <w:rPr>
          <w:lang w:val="fr-FR"/>
        </w:rPr>
        <w:t xml:space="preserve"> </w:t>
      </w:r>
      <w:proofErr w:type="spellStart"/>
      <w:r w:rsidRPr="00A314CE">
        <w:rPr>
          <w:lang w:val="fr-FR"/>
        </w:rPr>
        <w:t>d</w:t>
      </w:r>
      <w:r w:rsidRPr="00A314CE">
        <w:rPr>
          <w:strike/>
          <w:lang w:val="fr-FR"/>
        </w:rPr>
        <w:t>e</w:t>
      </w:r>
      <w:r w:rsidRPr="00A314CE">
        <w:rPr>
          <w:b/>
          <w:lang w:val="fr-FR"/>
        </w:rPr>
        <w:t>u</w:t>
      </w:r>
      <w:proofErr w:type="spellEnd"/>
      <w:r w:rsidRPr="00A314CE">
        <w:rPr>
          <w:lang w:val="fr-FR"/>
        </w:rPr>
        <w:t xml:space="preserve"> 95% à un moment quelconque du transport.</w:t>
      </w:r>
      <w:r w:rsidRPr="006A5954">
        <w:rPr>
          <w:lang w:val="fr-FR"/>
        </w:rPr>
        <w:t> »</w:t>
      </w:r>
    </w:p>
    <w:p w14:paraId="64741177" w14:textId="77777777" w:rsidR="00AD6EF5" w:rsidRPr="00753E1A" w:rsidRDefault="00AD6EF5" w:rsidP="00AD6EF5">
      <w:pPr>
        <w:pStyle w:val="SingleTxtG"/>
        <w:rPr>
          <w:rFonts w:ascii="TimesNewRomanPSMT" w:hAnsi="TimesNewRomanPSMT" w:cs="TimesNewRomanPSMT"/>
          <w:lang w:val="fr-FR"/>
        </w:rPr>
      </w:pPr>
      <w:r w:rsidRPr="00753E1A">
        <w:rPr>
          <w:rFonts w:ascii="TimesNewRomanPSMT" w:hAnsi="TimesNewRomanPSMT" w:cs="TimesNewRomanPSMT"/>
          <w:lang w:val="fr-FR"/>
        </w:rPr>
        <w:t>27.</w:t>
      </w:r>
      <w:r w:rsidRPr="00753E1A">
        <w:rPr>
          <w:rFonts w:ascii="TimesNewRomanPSMT" w:hAnsi="TimesNewRomanPSMT" w:cs="TimesNewRomanPSMT"/>
          <w:lang w:val="fr-FR"/>
        </w:rPr>
        <w:tab/>
      </w:r>
      <w:proofErr w:type="spellStart"/>
      <w:r w:rsidRPr="00753E1A">
        <w:rPr>
          <w:rFonts w:ascii="TimesNewRomanPSMT" w:hAnsi="TimesNewRomanPSMT" w:cs="TimesNewRomanPSMT"/>
          <w:lang w:val="fr-FR"/>
        </w:rPr>
        <w:t>Amend</w:t>
      </w:r>
      <w:proofErr w:type="spellEnd"/>
      <w:r w:rsidRPr="00753E1A">
        <w:rPr>
          <w:rFonts w:ascii="TimesNewRomanPSMT" w:hAnsi="TimesNewRomanPSMT" w:cs="TimesNewRomanPSMT"/>
          <w:lang w:val="fr-FR"/>
        </w:rPr>
        <w:t xml:space="preserve"> 4.2.1.9.5.1 as </w:t>
      </w:r>
      <w:proofErr w:type="spellStart"/>
      <w:proofErr w:type="gramStart"/>
      <w:r w:rsidRPr="00753E1A">
        <w:rPr>
          <w:rFonts w:ascii="TimesNewRomanPSMT" w:hAnsi="TimesNewRomanPSMT" w:cs="TimesNewRomanPSMT"/>
          <w:lang w:val="fr-FR"/>
        </w:rPr>
        <w:t>follows</w:t>
      </w:r>
      <w:proofErr w:type="spellEnd"/>
      <w:r w:rsidRPr="00753E1A">
        <w:rPr>
          <w:rFonts w:ascii="TimesNewRomanPSMT" w:hAnsi="TimesNewRomanPSMT" w:cs="TimesNewRomanPSMT"/>
          <w:lang w:val="fr-FR"/>
        </w:rPr>
        <w:t>:</w:t>
      </w:r>
      <w:proofErr w:type="gramEnd"/>
    </w:p>
    <w:p w14:paraId="53CF01AF" w14:textId="77777777" w:rsidR="00AD6EF5"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w:t>
      </w:r>
      <w:r w:rsidRPr="0055258E">
        <w:rPr>
          <w:rFonts w:ascii="TimesNewRomanPSMT" w:hAnsi="TimesNewRomanPSMT" w:cs="TimesNewRomanPSMT"/>
          <w:lang w:val="fr-FR"/>
        </w:rPr>
        <w:t xml:space="preserve">Le </w:t>
      </w:r>
      <w:r w:rsidRPr="00294D0F">
        <w:rPr>
          <w:rFonts w:ascii="TimesNewRomanPSMT" w:hAnsi="TimesNewRomanPSMT" w:cs="TimesNewRomanPSMT"/>
          <w:strike/>
          <w:lang w:val="fr-FR"/>
        </w:rPr>
        <w:t>taux</w:t>
      </w:r>
      <w:r>
        <w:rPr>
          <w:rFonts w:ascii="TimesNewRomanPSMT" w:hAnsi="TimesNewRomanPSMT" w:cs="TimesNewRomanPSMT"/>
          <w:lang w:val="fr-FR"/>
        </w:rPr>
        <w:t xml:space="preserve"> </w:t>
      </w:r>
      <w:r w:rsidRPr="00294D0F">
        <w:rPr>
          <w:rFonts w:ascii="TimesNewRomanPSMT" w:hAnsi="TimesNewRomanPSMT" w:cs="TimesNewRomanPSMT"/>
          <w:b/>
          <w:lang w:val="fr-FR"/>
        </w:rPr>
        <w:t xml:space="preserve">degré </w:t>
      </w:r>
      <w:r w:rsidRPr="0055258E">
        <w:rPr>
          <w:rFonts w:ascii="TimesNewRomanPSMT" w:hAnsi="TimesNewRomanPSMT" w:cs="TimesNewRomanPSMT"/>
          <w:lang w:val="fr-FR"/>
        </w:rPr>
        <w:t>de remplissage maximal (en %) pour les matières solides transportées à des températures</w:t>
      </w:r>
      <w:r>
        <w:rPr>
          <w:rFonts w:ascii="TimesNewRomanPSMT" w:hAnsi="TimesNewRomanPSMT" w:cs="TimesNewRomanPSMT"/>
          <w:lang w:val="fr-FR"/>
        </w:rPr>
        <w:t xml:space="preserve"> </w:t>
      </w:r>
      <w:r w:rsidRPr="0055258E">
        <w:rPr>
          <w:rFonts w:ascii="TimesNewRomanPSMT" w:hAnsi="TimesNewRomanPSMT" w:cs="TimesNewRomanPSMT"/>
          <w:lang w:val="fr-FR"/>
        </w:rPr>
        <w:t>supérieures à leur point de fusion et pour les liquides à température élevée doit être déterminé au moyen de la formule</w:t>
      </w:r>
      <w:r>
        <w:rPr>
          <w:rFonts w:ascii="TimesNewRomanPSMT" w:hAnsi="TimesNewRomanPSMT" w:cs="TimesNewRomanPSMT"/>
          <w:lang w:val="fr-FR"/>
        </w:rPr>
        <w:t xml:space="preserve"> </w:t>
      </w:r>
      <w:r w:rsidRPr="0055258E">
        <w:rPr>
          <w:rFonts w:ascii="TimesNewRomanPSMT" w:hAnsi="TimesNewRomanPSMT" w:cs="TimesNewRomanPSMT"/>
          <w:lang w:val="fr-FR"/>
        </w:rPr>
        <w:t>suivante :</w:t>
      </w:r>
      <w:r>
        <w:rPr>
          <w:rFonts w:ascii="TimesNewRomanPSMT" w:hAnsi="TimesNewRomanPSMT" w:cs="TimesNewRomanPSMT"/>
          <w:lang w:val="fr-FR"/>
        </w:rPr>
        <w:t xml:space="preserve"> </w:t>
      </w:r>
      <w:proofErr w:type="gramStart"/>
      <w:r w:rsidRPr="00294D0F">
        <w:rPr>
          <w:rFonts w:ascii="TimesNewRomanPSMT" w:hAnsi="TimesNewRomanPSMT" w:cs="TimesNewRomanPSMT"/>
          <w:strike/>
          <w:lang w:val="fr-FR"/>
        </w:rPr>
        <w:t xml:space="preserve">Taux </w:t>
      </w:r>
      <w:r>
        <w:rPr>
          <w:rFonts w:ascii="TimesNewRomanPSMT" w:hAnsi="TimesNewRomanPSMT" w:cs="TimesNewRomanPSMT"/>
          <w:lang w:val="fr-FR"/>
        </w:rPr>
        <w:t xml:space="preserve"> </w:t>
      </w:r>
      <w:r w:rsidRPr="00294D0F">
        <w:rPr>
          <w:rFonts w:ascii="TimesNewRomanPSMT" w:hAnsi="TimesNewRomanPSMT" w:cs="TimesNewRomanPSMT"/>
          <w:b/>
          <w:lang w:val="fr-FR"/>
        </w:rPr>
        <w:t>Degré</w:t>
      </w:r>
      <w:proofErr w:type="gramEnd"/>
      <w:r>
        <w:rPr>
          <w:rFonts w:ascii="TimesNewRomanPSMT" w:hAnsi="TimesNewRomanPSMT" w:cs="TimesNewRomanPSMT"/>
          <w:lang w:val="fr-FR"/>
        </w:rPr>
        <w:t xml:space="preserve"> </w:t>
      </w:r>
      <w:r w:rsidRPr="0055258E">
        <w:rPr>
          <w:rFonts w:ascii="TimesNewRomanPSMT" w:hAnsi="TimesNewRomanPSMT" w:cs="TimesNewRomanPSMT"/>
          <w:lang w:val="fr-FR"/>
        </w:rPr>
        <w:t>de rempl</w:t>
      </w:r>
      <w:r>
        <w:rPr>
          <w:rFonts w:ascii="TimesNewRomanPSMT" w:hAnsi="TimesNewRomanPSMT" w:cs="TimesNewRomanPSMT"/>
          <w:lang w:val="fr-FR"/>
        </w:rPr>
        <w:t>issage=... »</w:t>
      </w:r>
    </w:p>
    <w:p w14:paraId="47806F4A" w14:textId="77777777" w:rsidR="00AD6EF5" w:rsidRPr="00753E1A" w:rsidRDefault="00AD6EF5" w:rsidP="00AD6EF5">
      <w:pPr>
        <w:pStyle w:val="SingleTxtG"/>
        <w:rPr>
          <w:rFonts w:ascii="TimesNewRomanPSMT" w:hAnsi="TimesNewRomanPSMT" w:cs="TimesNewRomanPSMT"/>
          <w:lang w:val="fr-FR"/>
        </w:rPr>
      </w:pPr>
      <w:r w:rsidRPr="00753E1A">
        <w:rPr>
          <w:rFonts w:ascii="TimesNewRomanPSMT" w:hAnsi="TimesNewRomanPSMT" w:cs="TimesNewRomanPSMT"/>
          <w:lang w:val="fr-FR"/>
        </w:rPr>
        <w:t>28.</w:t>
      </w:r>
      <w:r w:rsidRPr="00753E1A">
        <w:rPr>
          <w:rFonts w:ascii="TimesNewRomanPSMT" w:hAnsi="TimesNewRomanPSMT" w:cs="TimesNewRomanPSMT"/>
          <w:lang w:val="fr-FR"/>
        </w:rPr>
        <w:tab/>
      </w:r>
      <w:proofErr w:type="spellStart"/>
      <w:r w:rsidRPr="00753E1A">
        <w:rPr>
          <w:rFonts w:ascii="TimesNewRomanPSMT" w:hAnsi="TimesNewRomanPSMT" w:cs="TimesNewRomanPSMT"/>
          <w:lang w:val="fr-FR"/>
        </w:rPr>
        <w:t>Amend</w:t>
      </w:r>
      <w:proofErr w:type="spellEnd"/>
      <w:r w:rsidRPr="00753E1A">
        <w:rPr>
          <w:rFonts w:ascii="TimesNewRomanPSMT" w:hAnsi="TimesNewRomanPSMT" w:cs="TimesNewRomanPSMT"/>
          <w:lang w:val="fr-FR"/>
        </w:rPr>
        <w:t xml:space="preserve"> 4.2.1.9.6 (a) as </w:t>
      </w:r>
      <w:proofErr w:type="spellStart"/>
      <w:proofErr w:type="gramStart"/>
      <w:r w:rsidRPr="00753E1A">
        <w:rPr>
          <w:rFonts w:ascii="TimesNewRomanPSMT" w:hAnsi="TimesNewRomanPSMT" w:cs="TimesNewRomanPSMT"/>
          <w:lang w:val="fr-FR"/>
        </w:rPr>
        <w:t>follows</w:t>
      </w:r>
      <w:proofErr w:type="spellEnd"/>
      <w:r w:rsidRPr="00753E1A">
        <w:rPr>
          <w:rFonts w:ascii="TimesNewRomanPSMT" w:hAnsi="TimesNewRomanPSMT" w:cs="TimesNewRomanPSMT"/>
          <w:lang w:val="fr-FR"/>
        </w:rPr>
        <w:t>:</w:t>
      </w:r>
      <w:proofErr w:type="gramEnd"/>
    </w:p>
    <w:p w14:paraId="253A461F" w14:textId="77777777" w:rsidR="00AD6EF5"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w:t>
      </w:r>
      <w:r w:rsidRPr="00AB306E">
        <w:rPr>
          <w:rFonts w:ascii="TimesNewRomanPSMT" w:hAnsi="TimesNewRomanPSMT" w:cs="TimesNewRomanPSMT"/>
          <w:lang w:val="fr-FR"/>
        </w:rPr>
        <w:t xml:space="preserve">Si leur </w:t>
      </w:r>
      <w:r w:rsidRPr="00AB306E">
        <w:rPr>
          <w:rFonts w:ascii="TimesNewRomanPSMT" w:hAnsi="TimesNewRomanPSMT" w:cs="TimesNewRomanPSMT"/>
          <w:strike/>
          <w:lang w:val="fr-FR"/>
        </w:rPr>
        <w:t>taux</w:t>
      </w:r>
      <w:r>
        <w:rPr>
          <w:rFonts w:ascii="TimesNewRomanPSMT" w:hAnsi="TimesNewRomanPSMT" w:cs="TimesNewRomanPSMT"/>
          <w:lang w:val="fr-FR"/>
        </w:rPr>
        <w:t xml:space="preserve"> </w:t>
      </w:r>
      <w:r>
        <w:rPr>
          <w:rFonts w:ascii="TimesNewRomanPSMT" w:hAnsi="TimesNewRomanPSMT" w:cs="TimesNewRomanPSMT"/>
          <w:b/>
          <w:lang w:val="fr-FR"/>
        </w:rPr>
        <w:t xml:space="preserve">degré </w:t>
      </w:r>
      <w:r w:rsidRPr="00AB306E">
        <w:rPr>
          <w:rFonts w:ascii="TimesNewRomanPSMT" w:hAnsi="TimesNewRomanPSMT" w:cs="TimesNewRomanPSMT"/>
          <w:lang w:val="fr-FR"/>
        </w:rPr>
        <w:t>de remplissage, dans le cas de liquides ayant une viscosité inférieure à 2 680 mm2/s</w:t>
      </w:r>
      <w:r>
        <w:rPr>
          <w:rFonts w:ascii="TimesNewRomanPSMT" w:hAnsi="TimesNewRomanPSMT" w:cs="TimesNewRomanPSMT"/>
          <w:lang w:val="fr-FR"/>
        </w:rPr>
        <w:t xml:space="preserve"> </w:t>
      </w:r>
      <w:r w:rsidRPr="00AB306E">
        <w:rPr>
          <w:rFonts w:ascii="TimesNewRomanPSMT" w:hAnsi="TimesNewRomanPSMT" w:cs="TimesNewRomanPSMT"/>
          <w:lang w:val="fr-FR"/>
        </w:rPr>
        <w:t>à 20 °C ou à la température maximale de la matière au cours du transport dans le cas d'une</w:t>
      </w:r>
      <w:r>
        <w:rPr>
          <w:rFonts w:ascii="TimesNewRomanPSMT" w:hAnsi="TimesNewRomanPSMT" w:cs="TimesNewRomanPSMT"/>
          <w:lang w:val="fr-FR"/>
        </w:rPr>
        <w:t xml:space="preserve"> </w:t>
      </w:r>
      <w:r w:rsidRPr="00AB306E">
        <w:rPr>
          <w:rFonts w:ascii="TimesNewRomanPSMT" w:hAnsi="TimesNewRomanPSMT" w:cs="TimesNewRomanPSMT"/>
          <w:lang w:val="fr-FR"/>
        </w:rPr>
        <w:t>matière transportée à chaud, est supérieur à 20 % mais inférieur à 80 %, à moins que les</w:t>
      </w:r>
      <w:r>
        <w:rPr>
          <w:rFonts w:ascii="TimesNewRomanPSMT" w:hAnsi="TimesNewRomanPSMT" w:cs="TimesNewRomanPSMT"/>
          <w:lang w:val="fr-FR"/>
        </w:rPr>
        <w:t xml:space="preserve"> </w:t>
      </w:r>
      <w:r w:rsidRPr="00AB306E">
        <w:rPr>
          <w:rFonts w:ascii="TimesNewRomanPSMT" w:hAnsi="TimesNewRomanPSMT" w:cs="TimesNewRomanPSMT"/>
          <w:lang w:val="fr-FR"/>
        </w:rPr>
        <w:t>réservoirs soient divisés par des cloisons ou brise-flots en sections de capacités maximale de 7</w:t>
      </w:r>
      <w:r>
        <w:rPr>
          <w:rFonts w:ascii="TimesNewRomanPSMT" w:hAnsi="TimesNewRomanPSMT" w:cs="TimesNewRomanPSMT"/>
          <w:lang w:val="fr-FR"/>
        </w:rPr>
        <w:t xml:space="preserve"> </w:t>
      </w:r>
      <w:r w:rsidRPr="00AB306E">
        <w:rPr>
          <w:rFonts w:ascii="TimesNewRomanPSMT" w:hAnsi="TimesNewRomanPSMT" w:cs="TimesNewRomanPSMT"/>
          <w:lang w:val="fr-FR"/>
        </w:rPr>
        <w:t xml:space="preserve">500 </w:t>
      </w:r>
      <w:proofErr w:type="gramStart"/>
      <w:r w:rsidRPr="00AB306E">
        <w:rPr>
          <w:rFonts w:ascii="TimesNewRomanPSMT" w:hAnsi="TimesNewRomanPSMT" w:cs="TimesNewRomanPSMT"/>
          <w:lang w:val="fr-FR"/>
        </w:rPr>
        <w:t>l;</w:t>
      </w:r>
      <w:proofErr w:type="gramEnd"/>
      <w:r>
        <w:rPr>
          <w:rFonts w:ascii="TimesNewRomanPSMT" w:hAnsi="TimesNewRomanPSMT" w:cs="TimesNewRomanPSMT"/>
          <w:lang w:val="fr-FR"/>
        </w:rPr>
        <w:t> »</w:t>
      </w:r>
    </w:p>
    <w:p w14:paraId="47A0DDBE" w14:textId="77777777" w:rsidR="00AD6EF5" w:rsidRPr="00DC73B1" w:rsidRDefault="00AD6EF5" w:rsidP="00AD6EF5">
      <w:pPr>
        <w:pStyle w:val="SingleTxtG"/>
        <w:rPr>
          <w:rFonts w:ascii="TimesNewRomanPSMT" w:hAnsi="TimesNewRomanPSMT" w:cs="TimesNewRomanPSMT"/>
          <w:lang w:val="fr-FR"/>
        </w:rPr>
      </w:pPr>
      <w:r w:rsidRPr="00DC73B1">
        <w:rPr>
          <w:rFonts w:ascii="TimesNewRomanPSMT" w:hAnsi="TimesNewRomanPSMT" w:cs="TimesNewRomanPSMT"/>
          <w:lang w:val="fr-FR"/>
        </w:rPr>
        <w:t>29.</w:t>
      </w:r>
      <w:r w:rsidRPr="00DC73B1">
        <w:rPr>
          <w:rFonts w:ascii="TimesNewRomanPSMT" w:hAnsi="TimesNewRomanPSMT" w:cs="TimesNewRomanPSMT"/>
          <w:lang w:val="fr-FR"/>
        </w:rPr>
        <w:tab/>
      </w:r>
      <w:proofErr w:type="spellStart"/>
      <w:r w:rsidRPr="00DC73B1">
        <w:rPr>
          <w:rFonts w:ascii="TimesNewRomanPSMT" w:hAnsi="TimesNewRomanPSMT" w:cs="TimesNewRomanPSMT"/>
          <w:lang w:val="fr-FR"/>
        </w:rPr>
        <w:t>Amend</w:t>
      </w:r>
      <w:proofErr w:type="spellEnd"/>
      <w:r w:rsidRPr="00DC73B1">
        <w:rPr>
          <w:rFonts w:ascii="TimesNewRomanPSMT" w:hAnsi="TimesNewRomanPSMT" w:cs="TimesNewRomanPSMT"/>
          <w:lang w:val="fr-FR"/>
        </w:rPr>
        <w:t xml:space="preserve"> 4.2.1.13.13 as </w:t>
      </w:r>
      <w:proofErr w:type="spellStart"/>
      <w:proofErr w:type="gramStart"/>
      <w:r w:rsidRPr="00DC73B1">
        <w:rPr>
          <w:rFonts w:ascii="TimesNewRomanPSMT" w:hAnsi="TimesNewRomanPSMT" w:cs="TimesNewRomanPSMT"/>
          <w:lang w:val="fr-FR"/>
        </w:rPr>
        <w:t>follows</w:t>
      </w:r>
      <w:proofErr w:type="spellEnd"/>
      <w:r w:rsidRPr="00DC73B1">
        <w:rPr>
          <w:rFonts w:ascii="TimesNewRomanPSMT" w:hAnsi="TimesNewRomanPSMT" w:cs="TimesNewRomanPSMT"/>
          <w:lang w:val="fr-FR"/>
        </w:rPr>
        <w:t>:</w:t>
      </w:r>
      <w:proofErr w:type="gramEnd"/>
    </w:p>
    <w:p w14:paraId="01678AA2" w14:textId="77777777" w:rsidR="00AD6EF5" w:rsidRDefault="00AD6EF5" w:rsidP="00AD6EF5">
      <w:pPr>
        <w:pStyle w:val="SingleTxtG"/>
        <w:ind w:firstLine="567"/>
        <w:rPr>
          <w:rFonts w:ascii="TimesNewRomanPSMT" w:hAnsi="TimesNewRomanPSMT" w:cs="TimesNewRomanPSMT"/>
          <w:lang w:val="fr-FR"/>
        </w:rPr>
      </w:pPr>
      <w:r>
        <w:rPr>
          <w:rFonts w:ascii="TimesNewRomanPSMT" w:hAnsi="TimesNewRomanPSMT" w:cs="TimesNewRomanPSMT"/>
          <w:lang w:val="fr-FR"/>
        </w:rPr>
        <w:t xml:space="preserve">« </w:t>
      </w:r>
      <w:r w:rsidRPr="0089410B">
        <w:rPr>
          <w:rFonts w:ascii="TimesNewRomanPSMT" w:hAnsi="TimesNewRomanPSMT" w:cs="TimesNewRomanPSMT"/>
          <w:lang w:val="fr-FR"/>
        </w:rPr>
        <w:t xml:space="preserve">Le </w:t>
      </w:r>
      <w:r w:rsidRPr="0089410B">
        <w:rPr>
          <w:rFonts w:ascii="TimesNewRomanPSMT" w:hAnsi="TimesNewRomanPSMT" w:cs="TimesNewRomanPSMT"/>
          <w:strike/>
          <w:lang w:val="fr-FR"/>
        </w:rPr>
        <w:t>taux</w:t>
      </w:r>
      <w:r w:rsidRPr="0089410B">
        <w:rPr>
          <w:rFonts w:ascii="TimesNewRomanPSMT" w:hAnsi="TimesNewRomanPSMT" w:cs="TimesNewRomanPSMT"/>
          <w:lang w:val="fr-FR"/>
        </w:rPr>
        <w:t xml:space="preserve"> </w:t>
      </w:r>
      <w:r w:rsidRPr="0089410B">
        <w:rPr>
          <w:rFonts w:ascii="TimesNewRomanPSMT" w:hAnsi="TimesNewRomanPSMT" w:cs="TimesNewRomanPSMT"/>
          <w:b/>
          <w:lang w:val="fr-FR"/>
        </w:rPr>
        <w:t>degré</w:t>
      </w:r>
      <w:r>
        <w:rPr>
          <w:rFonts w:ascii="TimesNewRomanPSMT" w:hAnsi="TimesNewRomanPSMT" w:cs="TimesNewRomanPSMT"/>
          <w:lang w:val="fr-FR"/>
        </w:rPr>
        <w:t xml:space="preserve"> </w:t>
      </w:r>
      <w:r w:rsidRPr="0089410B">
        <w:rPr>
          <w:rFonts w:ascii="TimesNewRomanPSMT" w:hAnsi="TimesNewRomanPSMT" w:cs="TimesNewRomanPSMT"/>
          <w:lang w:val="fr-FR"/>
        </w:rPr>
        <w:t>de remplissage ne doit pas dépasser 90 % à 15 °C.</w:t>
      </w:r>
      <w:r>
        <w:rPr>
          <w:rFonts w:ascii="TimesNewRomanPSMT" w:hAnsi="TimesNewRomanPSMT" w:cs="TimesNewRomanPSMT"/>
          <w:lang w:val="fr-FR"/>
        </w:rPr>
        <w:t> »</w:t>
      </w:r>
    </w:p>
    <w:p w14:paraId="7C3E1CB3" w14:textId="77777777" w:rsidR="00AD6EF5" w:rsidRPr="00DC73B1" w:rsidRDefault="00AD6EF5" w:rsidP="00AD6EF5">
      <w:pPr>
        <w:pStyle w:val="SingleTxtG"/>
        <w:rPr>
          <w:rFonts w:ascii="TimesNewRomanPSMT" w:hAnsi="TimesNewRomanPSMT" w:cs="TimesNewRomanPSMT"/>
          <w:lang w:val="fr-FR"/>
        </w:rPr>
      </w:pPr>
      <w:r w:rsidRPr="00DC73B1">
        <w:rPr>
          <w:rFonts w:ascii="TimesNewRomanPSMT" w:hAnsi="TimesNewRomanPSMT" w:cs="TimesNewRomanPSMT"/>
          <w:lang w:val="fr-FR"/>
        </w:rPr>
        <w:t>30.</w:t>
      </w:r>
      <w:r w:rsidRPr="00DC73B1">
        <w:rPr>
          <w:rFonts w:ascii="TimesNewRomanPSMT" w:hAnsi="TimesNewRomanPSMT" w:cs="TimesNewRomanPSMT"/>
          <w:lang w:val="fr-FR"/>
        </w:rPr>
        <w:tab/>
      </w:r>
      <w:proofErr w:type="spellStart"/>
      <w:r w:rsidRPr="00DC73B1">
        <w:rPr>
          <w:rFonts w:ascii="TimesNewRomanPSMT" w:hAnsi="TimesNewRomanPSMT" w:cs="TimesNewRomanPSMT"/>
          <w:lang w:val="fr-FR"/>
        </w:rPr>
        <w:t>Amend</w:t>
      </w:r>
      <w:proofErr w:type="spellEnd"/>
      <w:r w:rsidRPr="00DC73B1">
        <w:rPr>
          <w:rFonts w:ascii="TimesNewRomanPSMT" w:hAnsi="TimesNewRomanPSMT" w:cs="TimesNewRomanPSMT"/>
          <w:lang w:val="fr-FR"/>
        </w:rPr>
        <w:t xml:space="preserve"> 4.2.1.16.2 as </w:t>
      </w:r>
      <w:proofErr w:type="spellStart"/>
      <w:proofErr w:type="gramStart"/>
      <w:r w:rsidRPr="00DC73B1">
        <w:rPr>
          <w:rFonts w:ascii="TimesNewRomanPSMT" w:hAnsi="TimesNewRomanPSMT" w:cs="TimesNewRomanPSMT"/>
          <w:lang w:val="fr-FR"/>
        </w:rPr>
        <w:t>follows</w:t>
      </w:r>
      <w:proofErr w:type="spellEnd"/>
      <w:r w:rsidRPr="00DC73B1">
        <w:rPr>
          <w:rFonts w:ascii="TimesNewRomanPSMT" w:hAnsi="TimesNewRomanPSMT" w:cs="TimesNewRomanPSMT"/>
          <w:lang w:val="fr-FR"/>
        </w:rPr>
        <w:t>:</w:t>
      </w:r>
      <w:proofErr w:type="gramEnd"/>
    </w:p>
    <w:p w14:paraId="75DFF38A" w14:textId="77777777" w:rsidR="00AD6EF5"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w:t>
      </w:r>
      <w:r w:rsidRPr="00AD5E4D">
        <w:rPr>
          <w:rFonts w:ascii="TimesNewRomanPSMT" w:hAnsi="TimesNewRomanPSMT" w:cs="TimesNewRomanPSMT"/>
          <w:lang w:val="fr-FR"/>
        </w:rPr>
        <w:t xml:space="preserve">Le </w:t>
      </w:r>
      <w:r w:rsidRPr="00AD5E4D">
        <w:rPr>
          <w:rFonts w:ascii="TimesNewRomanPSMT" w:hAnsi="TimesNewRomanPSMT" w:cs="TimesNewRomanPSMT"/>
          <w:strike/>
          <w:lang w:val="fr-FR"/>
        </w:rPr>
        <w:t>taux</w:t>
      </w:r>
      <w:r>
        <w:rPr>
          <w:rFonts w:ascii="TimesNewRomanPSMT" w:hAnsi="TimesNewRomanPSMT" w:cs="TimesNewRomanPSMT"/>
          <w:lang w:val="fr-FR"/>
        </w:rPr>
        <w:t xml:space="preserve"> </w:t>
      </w:r>
      <w:r w:rsidRPr="00AD5E4D">
        <w:rPr>
          <w:rFonts w:ascii="TimesNewRomanPSMT" w:hAnsi="TimesNewRomanPSMT" w:cs="TimesNewRomanPSMT"/>
          <w:b/>
          <w:lang w:val="fr-FR"/>
        </w:rPr>
        <w:t>degré</w:t>
      </w:r>
      <w:r>
        <w:rPr>
          <w:rFonts w:ascii="TimesNewRomanPSMT" w:hAnsi="TimesNewRomanPSMT" w:cs="TimesNewRomanPSMT"/>
          <w:lang w:val="fr-FR"/>
        </w:rPr>
        <w:t xml:space="preserve"> </w:t>
      </w:r>
      <w:r w:rsidRPr="00AD5E4D">
        <w:rPr>
          <w:rFonts w:ascii="TimesNewRomanPSMT" w:hAnsi="TimesNewRomanPSMT" w:cs="TimesNewRomanPSMT"/>
          <w:lang w:val="fr-FR"/>
        </w:rPr>
        <w:t>de remplissage des citernes mobiles ne doit pas dépasser 90 % ou toute autre valeur approuvée</w:t>
      </w:r>
      <w:r>
        <w:rPr>
          <w:rFonts w:ascii="TimesNewRomanPSMT" w:hAnsi="TimesNewRomanPSMT" w:cs="TimesNewRomanPSMT"/>
          <w:lang w:val="fr-FR"/>
        </w:rPr>
        <w:t xml:space="preserve"> </w:t>
      </w:r>
      <w:r w:rsidRPr="00AD5E4D">
        <w:rPr>
          <w:rFonts w:ascii="TimesNewRomanPSMT" w:hAnsi="TimesNewRomanPSMT" w:cs="TimesNewRomanPSMT"/>
          <w:lang w:val="fr-FR"/>
        </w:rPr>
        <w:t>par l'autorité compétente.</w:t>
      </w:r>
      <w:r>
        <w:rPr>
          <w:rFonts w:ascii="TimesNewRomanPSMT" w:hAnsi="TimesNewRomanPSMT" w:cs="TimesNewRomanPSMT"/>
          <w:lang w:val="fr-FR"/>
        </w:rPr>
        <w:t xml:space="preserve"> »</w:t>
      </w:r>
    </w:p>
    <w:p w14:paraId="2B8EEBE5" w14:textId="77777777" w:rsidR="00AD6EF5" w:rsidRPr="00DC73B1" w:rsidRDefault="00AD6EF5" w:rsidP="00AD6EF5">
      <w:pPr>
        <w:pStyle w:val="SingleTxtG"/>
        <w:rPr>
          <w:rFonts w:ascii="TimesNewRomanPSMT" w:hAnsi="TimesNewRomanPSMT" w:cs="TimesNewRomanPSMT"/>
          <w:lang w:val="fr-FR"/>
        </w:rPr>
      </w:pPr>
      <w:r w:rsidRPr="00DC73B1">
        <w:rPr>
          <w:rFonts w:ascii="TimesNewRomanPSMT" w:hAnsi="TimesNewRomanPSMT" w:cs="TimesNewRomanPSMT"/>
          <w:lang w:val="fr-FR"/>
        </w:rPr>
        <w:t>31.</w:t>
      </w:r>
      <w:r w:rsidRPr="00DC73B1">
        <w:rPr>
          <w:rFonts w:ascii="TimesNewRomanPSMT" w:hAnsi="TimesNewRomanPSMT" w:cs="TimesNewRomanPSMT"/>
          <w:lang w:val="fr-FR"/>
        </w:rPr>
        <w:tab/>
      </w:r>
      <w:proofErr w:type="spellStart"/>
      <w:r w:rsidRPr="00DC73B1">
        <w:rPr>
          <w:rFonts w:ascii="TimesNewRomanPSMT" w:hAnsi="TimesNewRomanPSMT" w:cs="TimesNewRomanPSMT"/>
          <w:lang w:val="fr-FR"/>
        </w:rPr>
        <w:t>Amend</w:t>
      </w:r>
      <w:proofErr w:type="spellEnd"/>
      <w:r w:rsidRPr="00DC73B1">
        <w:rPr>
          <w:rFonts w:ascii="TimesNewRomanPSMT" w:hAnsi="TimesNewRomanPSMT" w:cs="TimesNewRomanPSMT"/>
          <w:lang w:val="fr-FR"/>
        </w:rPr>
        <w:t xml:space="preserve"> 4.2.1.19.2 as </w:t>
      </w:r>
      <w:proofErr w:type="spellStart"/>
      <w:proofErr w:type="gramStart"/>
      <w:r w:rsidRPr="00DC73B1">
        <w:rPr>
          <w:rFonts w:ascii="TimesNewRomanPSMT" w:hAnsi="TimesNewRomanPSMT" w:cs="TimesNewRomanPSMT"/>
          <w:lang w:val="fr-FR"/>
        </w:rPr>
        <w:t>follows</w:t>
      </w:r>
      <w:proofErr w:type="spellEnd"/>
      <w:r w:rsidRPr="00DC73B1">
        <w:rPr>
          <w:rFonts w:ascii="TimesNewRomanPSMT" w:hAnsi="TimesNewRomanPSMT" w:cs="TimesNewRomanPSMT"/>
          <w:lang w:val="fr-FR"/>
        </w:rPr>
        <w:t>:</w:t>
      </w:r>
      <w:proofErr w:type="gramEnd"/>
    </w:p>
    <w:p w14:paraId="24FC8649" w14:textId="77777777" w:rsidR="00AD6EF5" w:rsidRDefault="00AD6EF5" w:rsidP="00AD6EF5">
      <w:pPr>
        <w:pStyle w:val="SingleTxtG"/>
        <w:ind w:left="1701"/>
        <w:rPr>
          <w:rFonts w:ascii="TimesNewRomanPSMT" w:hAnsi="TimesNewRomanPSMT" w:cs="TimesNewRomanPSMT"/>
          <w:lang w:val="fr-FR"/>
        </w:rPr>
      </w:pPr>
      <w:r>
        <w:rPr>
          <w:rFonts w:ascii="TimesNewRomanPSMT" w:hAnsi="TimesNewRomanPSMT" w:cs="TimesNewRomanPSMT"/>
          <w:lang w:val="fr-FR"/>
        </w:rPr>
        <w:t>« </w:t>
      </w:r>
      <w:r w:rsidRPr="00AD5E4D">
        <w:rPr>
          <w:rFonts w:ascii="TimesNewRomanPSMT" w:hAnsi="TimesNewRomanPSMT" w:cs="TimesNewRomanPSMT"/>
          <w:lang w:val="fr-FR"/>
        </w:rPr>
        <w:t>Sauf indication contraire dans la Liste des marchandises dangereuses du chapitre 3.2, les citernes</w:t>
      </w:r>
      <w:r>
        <w:rPr>
          <w:rFonts w:ascii="TimesNewRomanPSMT" w:hAnsi="TimesNewRomanPSMT" w:cs="TimesNewRomanPSMT"/>
          <w:lang w:val="fr-FR"/>
        </w:rPr>
        <w:t xml:space="preserve"> </w:t>
      </w:r>
      <w:r w:rsidRPr="00AD5E4D">
        <w:rPr>
          <w:rFonts w:ascii="TimesNewRomanPSMT" w:hAnsi="TimesNewRomanPSMT" w:cs="TimesNewRomanPSMT"/>
          <w:lang w:val="fr-FR"/>
        </w:rPr>
        <w:t>mobiles employées pour le transport de ces matières solides au-dessus de leur point de fusion doivent être conformes aux</w:t>
      </w:r>
      <w:r>
        <w:rPr>
          <w:rFonts w:ascii="TimesNewRomanPSMT" w:hAnsi="TimesNewRomanPSMT" w:cs="TimesNewRomanPSMT"/>
          <w:lang w:val="fr-FR"/>
        </w:rPr>
        <w:t xml:space="preserve"> </w:t>
      </w:r>
      <w:r w:rsidRPr="00AD5E4D">
        <w:rPr>
          <w:rFonts w:ascii="TimesNewRomanPSMT" w:hAnsi="TimesNewRomanPSMT" w:cs="TimesNewRomanPSMT"/>
          <w:lang w:val="fr-FR"/>
        </w:rPr>
        <w:t>dispositions de l'instruction de transport en citernes mobiles T4 pour les matières solides du groupe d'emballage III ou T7</w:t>
      </w:r>
      <w:r>
        <w:rPr>
          <w:rFonts w:ascii="TimesNewRomanPSMT" w:hAnsi="TimesNewRomanPSMT" w:cs="TimesNewRomanPSMT"/>
          <w:lang w:val="fr-FR"/>
        </w:rPr>
        <w:t xml:space="preserve"> </w:t>
      </w:r>
      <w:r w:rsidRPr="00AD5E4D">
        <w:rPr>
          <w:rFonts w:ascii="TimesNewRomanPSMT" w:hAnsi="TimesNewRomanPSMT" w:cs="TimesNewRomanPSMT"/>
          <w:lang w:val="fr-FR"/>
        </w:rPr>
        <w:t>pour les matières solides du groupe d'emballage II. Une citerne mobile qui garantit un niveau de sécurité équivalent ou</w:t>
      </w:r>
      <w:r>
        <w:rPr>
          <w:rFonts w:ascii="TimesNewRomanPSMT" w:hAnsi="TimesNewRomanPSMT" w:cs="TimesNewRomanPSMT"/>
          <w:lang w:val="fr-FR"/>
        </w:rPr>
        <w:t xml:space="preserve"> </w:t>
      </w:r>
      <w:r w:rsidRPr="00AD5E4D">
        <w:rPr>
          <w:rFonts w:ascii="TimesNewRomanPSMT" w:hAnsi="TimesNewRomanPSMT" w:cs="TimesNewRomanPSMT"/>
          <w:lang w:val="fr-FR"/>
        </w:rPr>
        <w:t xml:space="preserve">supérieur peut être choisie conformément au 4.2.5.2.5. Le </w:t>
      </w:r>
      <w:r w:rsidRPr="00AD5E4D">
        <w:rPr>
          <w:rFonts w:ascii="TimesNewRomanPSMT" w:hAnsi="TimesNewRomanPSMT" w:cs="TimesNewRomanPSMT"/>
          <w:strike/>
          <w:lang w:val="fr-FR"/>
        </w:rPr>
        <w:t>taux</w:t>
      </w:r>
      <w:r>
        <w:rPr>
          <w:rFonts w:ascii="TimesNewRomanPSMT" w:hAnsi="TimesNewRomanPSMT" w:cs="TimesNewRomanPSMT"/>
          <w:lang w:val="fr-FR"/>
        </w:rPr>
        <w:t xml:space="preserve"> </w:t>
      </w:r>
      <w:r w:rsidRPr="00AD5E4D">
        <w:rPr>
          <w:rFonts w:ascii="TimesNewRomanPSMT" w:hAnsi="TimesNewRomanPSMT" w:cs="TimesNewRomanPSMT"/>
          <w:b/>
          <w:lang w:val="fr-FR"/>
        </w:rPr>
        <w:t xml:space="preserve">degré </w:t>
      </w:r>
      <w:r w:rsidRPr="00AD5E4D">
        <w:rPr>
          <w:rFonts w:ascii="TimesNewRomanPSMT" w:hAnsi="TimesNewRomanPSMT" w:cs="TimesNewRomanPSMT"/>
          <w:lang w:val="fr-FR"/>
        </w:rPr>
        <w:t>de remplissage maximal (en %) doit être déterminé</w:t>
      </w:r>
      <w:r>
        <w:rPr>
          <w:rFonts w:ascii="TimesNewRomanPSMT" w:hAnsi="TimesNewRomanPSMT" w:cs="TimesNewRomanPSMT"/>
          <w:lang w:val="fr-FR"/>
        </w:rPr>
        <w:t xml:space="preserve"> </w:t>
      </w:r>
      <w:r w:rsidRPr="00AD5E4D">
        <w:rPr>
          <w:rFonts w:ascii="TimesNewRomanPSMT" w:hAnsi="TimesNewRomanPSMT" w:cs="TimesNewRomanPSMT"/>
          <w:lang w:val="fr-FR"/>
        </w:rPr>
        <w:t>conformément au 4.2.1.9.5 (TP3).</w:t>
      </w:r>
      <w:r>
        <w:rPr>
          <w:rFonts w:ascii="TimesNewRomanPSMT" w:hAnsi="TimesNewRomanPSMT" w:cs="TimesNewRomanPSMT"/>
          <w:lang w:val="fr-FR"/>
        </w:rPr>
        <w:t> »</w:t>
      </w:r>
    </w:p>
    <w:p w14:paraId="06B86D0C" w14:textId="77777777" w:rsidR="00AD6EF5" w:rsidRPr="001475C0" w:rsidRDefault="00AD6EF5" w:rsidP="00AD6EF5">
      <w:pPr>
        <w:pStyle w:val="SingleTxtG"/>
        <w:rPr>
          <w:rFonts w:ascii="TimesNewRomanPSMT" w:hAnsi="TimesNewRomanPSMT" w:cs="TimesNewRomanPSMT"/>
        </w:rPr>
      </w:pPr>
      <w:r w:rsidRPr="001475C0">
        <w:rPr>
          <w:rFonts w:ascii="TimesNewRomanPSMT" w:hAnsi="TimesNewRomanPSMT" w:cs="TimesNewRomanPSMT"/>
          <w:color w:val="FF0000"/>
          <w:lang w:val="fr-FR"/>
        </w:rPr>
        <w:t>31bis</w:t>
      </w:r>
      <w:r>
        <w:rPr>
          <w:rFonts w:ascii="TimesNewRomanPSMT" w:hAnsi="TimesNewRomanPSMT" w:cs="TimesNewRomanPSMT"/>
          <w:lang w:val="fr-FR"/>
        </w:rPr>
        <w:t>.</w:t>
      </w:r>
      <w:r>
        <w:rPr>
          <w:rFonts w:ascii="TimesNewRomanPSMT" w:hAnsi="TimesNewRomanPSMT" w:cs="TimesNewRomanPSMT"/>
          <w:lang w:val="fr-FR"/>
        </w:rPr>
        <w:tab/>
      </w:r>
      <w:r w:rsidR="001475C0">
        <w:rPr>
          <w:color w:val="FF0000"/>
          <w:lang w:val="en-US"/>
        </w:rPr>
        <w:t>A</w:t>
      </w:r>
      <w:r w:rsidR="001475C0" w:rsidRPr="000F10C6">
        <w:rPr>
          <w:color w:val="FF0000"/>
        </w:rPr>
        <w:t>s proposed in th</w:t>
      </w:r>
      <w:r w:rsidR="001475C0">
        <w:rPr>
          <w:color w:val="FF0000"/>
        </w:rPr>
        <w:t>is</w:t>
      </w:r>
      <w:r w:rsidR="001475C0" w:rsidRPr="000F10C6">
        <w:rPr>
          <w:color w:val="FF0000"/>
        </w:rPr>
        <w:t xml:space="preserve"> informal document</w:t>
      </w:r>
      <w:r w:rsidR="001475C0">
        <w:rPr>
          <w:lang w:val="en-US"/>
        </w:rPr>
        <w:t xml:space="preserve"> a</w:t>
      </w:r>
      <w:r w:rsidR="001475C0">
        <w:t>mend</w:t>
      </w:r>
      <w:r w:rsidR="001475C0" w:rsidRPr="001475C0">
        <w:rPr>
          <w:rFonts w:ascii="TimesNewRomanPSMT" w:hAnsi="TimesNewRomanPSMT" w:cs="TimesNewRomanPSMT"/>
        </w:rPr>
        <w:t xml:space="preserve"> </w:t>
      </w:r>
      <w:r w:rsidRPr="001475C0">
        <w:rPr>
          <w:rFonts w:ascii="TimesNewRomanPSMT" w:hAnsi="TimesNewRomanPSMT" w:cs="TimesNewRomanPSMT"/>
        </w:rPr>
        <w:t xml:space="preserve">4.2.3.6.2 as </w:t>
      </w:r>
      <w:proofErr w:type="gramStart"/>
      <w:r w:rsidRPr="001475C0">
        <w:rPr>
          <w:rFonts w:ascii="TimesNewRomanPSMT" w:hAnsi="TimesNewRomanPSMT" w:cs="TimesNewRomanPSMT"/>
        </w:rPr>
        <w:t>follows :</w:t>
      </w:r>
      <w:proofErr w:type="gramEnd"/>
    </w:p>
    <w:p w14:paraId="6C3C269F" w14:textId="77777777" w:rsidR="00AD6EF5" w:rsidRDefault="00AD6EF5" w:rsidP="00AD6EF5">
      <w:pPr>
        <w:pStyle w:val="SingleTxtG"/>
        <w:ind w:left="1701"/>
        <w:rPr>
          <w:rFonts w:ascii="TimesNewRomanPSMT" w:hAnsi="TimesNewRomanPSMT" w:cs="TimesNewRomanPSMT"/>
          <w:lang w:val="fr-FR"/>
        </w:rPr>
      </w:pPr>
      <w:r w:rsidRPr="001475C0">
        <w:rPr>
          <w:rFonts w:ascii="TimesNewRomanPSMT" w:hAnsi="TimesNewRomanPSMT" w:cs="TimesNewRomanPSMT"/>
        </w:rPr>
        <w:tab/>
      </w:r>
      <w:r w:rsidRPr="007A3864">
        <w:rPr>
          <w:rFonts w:ascii="TimesNewRomanPSMT" w:hAnsi="TimesNewRomanPSMT" w:cs="TimesNewRomanPSMT"/>
          <w:lang w:val="fr-FR"/>
        </w:rPr>
        <w:t xml:space="preserve">Lors de l'évaluation </w:t>
      </w:r>
      <w:r w:rsidRPr="00635E56">
        <w:rPr>
          <w:rFonts w:ascii="TimesNewRomanPSMT" w:hAnsi="TimesNewRomanPSMT" w:cs="TimesNewRomanPSMT"/>
          <w:strike/>
          <w:lang w:val="fr-FR"/>
        </w:rPr>
        <w:t>du taux</w:t>
      </w:r>
      <w:r w:rsidRPr="007A3864">
        <w:rPr>
          <w:rFonts w:ascii="TimesNewRomanPSMT" w:hAnsi="TimesNewRomanPSMT" w:cs="TimesNewRomanPSMT"/>
          <w:lang w:val="fr-FR"/>
        </w:rPr>
        <w:t xml:space="preserve"> initial </w:t>
      </w:r>
      <w:bookmarkStart w:id="2" w:name="_Hlk104564613"/>
      <w:r w:rsidRPr="00635E56">
        <w:rPr>
          <w:rFonts w:ascii="TimesNewRomanPSMT" w:hAnsi="TimesNewRomanPSMT" w:cs="TimesNewRomanPSMT"/>
          <w:b/>
          <w:bCs/>
          <w:color w:val="FF0000"/>
          <w:lang w:val="fr-FR"/>
        </w:rPr>
        <w:t xml:space="preserve">de la quantité de gaz </w:t>
      </w:r>
      <w:r w:rsidR="001475C0">
        <w:rPr>
          <w:rFonts w:ascii="TimesNewRomanPSMT" w:hAnsi="TimesNewRomanPSMT" w:cs="TimesNewRomanPSMT"/>
          <w:b/>
          <w:bCs/>
          <w:color w:val="FF0000"/>
          <w:lang w:val="fr-FR"/>
        </w:rPr>
        <w:t>rempli</w:t>
      </w:r>
      <w:r w:rsidR="009866D5">
        <w:rPr>
          <w:rFonts w:ascii="TimesNewRomanPSMT" w:hAnsi="TimesNewRomanPSMT" w:cs="TimesNewRomanPSMT"/>
          <w:b/>
          <w:bCs/>
          <w:color w:val="FF0000"/>
          <w:lang w:val="fr-FR"/>
        </w:rPr>
        <w:t>e</w:t>
      </w:r>
      <w:r w:rsidRPr="00635E56">
        <w:rPr>
          <w:rFonts w:ascii="TimesNewRomanPSMT" w:hAnsi="TimesNewRomanPSMT" w:cs="TimesNewRomanPSMT"/>
          <w:b/>
          <w:bCs/>
          <w:color w:val="FF0000"/>
          <w:lang w:val="fr-FR"/>
        </w:rPr>
        <w:t xml:space="preserve"> dans le </w:t>
      </w:r>
      <w:r>
        <w:rPr>
          <w:rFonts w:ascii="TimesNewRomanPSMT" w:hAnsi="TimesNewRomanPSMT" w:cs="TimesNewRomanPSMT"/>
          <w:b/>
          <w:bCs/>
          <w:color w:val="FF0000"/>
          <w:lang w:val="fr-FR"/>
        </w:rPr>
        <w:t xml:space="preserve">réservoir </w:t>
      </w:r>
      <w:bookmarkEnd w:id="2"/>
      <w:r w:rsidRPr="00635E56">
        <w:rPr>
          <w:rFonts w:ascii="TimesNewRomanPSMT" w:hAnsi="TimesNewRomanPSMT" w:cs="TimesNewRomanPSMT"/>
          <w:strike/>
          <w:lang w:val="fr-FR"/>
        </w:rPr>
        <w:t>du remplissage</w:t>
      </w:r>
      <w:r w:rsidRPr="007A3864">
        <w:rPr>
          <w:rFonts w:ascii="TimesNewRomanPSMT" w:hAnsi="TimesNewRomanPSMT" w:cs="TimesNewRomanPSMT"/>
          <w:lang w:val="fr-FR"/>
        </w:rPr>
        <w:t>, on doit tenir compte du temps de retenue nécessaire</w:t>
      </w:r>
      <w:r>
        <w:rPr>
          <w:rFonts w:ascii="TimesNewRomanPSMT" w:hAnsi="TimesNewRomanPSMT" w:cs="TimesNewRomanPSMT"/>
          <w:lang w:val="fr-FR"/>
        </w:rPr>
        <w:t xml:space="preserve"> </w:t>
      </w:r>
      <w:r w:rsidRPr="007A3864">
        <w:rPr>
          <w:rFonts w:ascii="TimesNewRomanPSMT" w:hAnsi="TimesNewRomanPSMT" w:cs="TimesNewRomanPSMT"/>
          <w:lang w:val="fr-FR"/>
        </w:rPr>
        <w:t xml:space="preserve">pour le trajet prévu ainsi que de tous retards qui pourraient se produire. </w:t>
      </w:r>
      <w:r w:rsidRPr="007A3864">
        <w:rPr>
          <w:rFonts w:ascii="TimesNewRomanPSMT" w:hAnsi="TimesNewRomanPSMT" w:cs="TimesNewRomanPSMT"/>
          <w:strike/>
          <w:lang w:val="fr-FR"/>
        </w:rPr>
        <w:t xml:space="preserve">Le </w:t>
      </w:r>
      <w:proofErr w:type="gramStart"/>
      <w:r w:rsidRPr="007A3864">
        <w:rPr>
          <w:rFonts w:ascii="TimesNewRomanPSMT" w:hAnsi="TimesNewRomanPSMT" w:cs="TimesNewRomanPSMT"/>
          <w:strike/>
          <w:lang w:val="fr-FR"/>
        </w:rPr>
        <w:t>taux</w:t>
      </w:r>
      <w:r w:rsidRPr="007A3864">
        <w:rPr>
          <w:rFonts w:ascii="TimesNewRomanPSMT" w:hAnsi="TimesNewRomanPSMT" w:cs="TimesNewRomanPSMT"/>
          <w:lang w:val="fr-FR"/>
        </w:rPr>
        <w:t xml:space="preserve"> </w:t>
      </w:r>
      <w:r>
        <w:rPr>
          <w:rFonts w:ascii="TimesNewRomanPSMT" w:hAnsi="TimesNewRomanPSMT" w:cs="TimesNewRomanPSMT"/>
          <w:lang w:val="fr-FR"/>
        </w:rPr>
        <w:t xml:space="preserve"> </w:t>
      </w:r>
      <w:r w:rsidRPr="00F00244">
        <w:rPr>
          <w:rFonts w:ascii="TimesNewRomanPSMT" w:hAnsi="TimesNewRomanPSMT" w:cs="TimesNewRomanPSMT"/>
          <w:b/>
          <w:bCs/>
          <w:color w:val="FF0000"/>
          <w:lang w:val="fr-FR"/>
        </w:rPr>
        <w:t>La</w:t>
      </w:r>
      <w:proofErr w:type="gramEnd"/>
      <w:r w:rsidRPr="00F00244">
        <w:rPr>
          <w:rFonts w:ascii="TimesNewRomanPSMT" w:hAnsi="TimesNewRomanPSMT" w:cs="TimesNewRomanPSMT"/>
          <w:b/>
          <w:bCs/>
          <w:color w:val="FF0000"/>
          <w:lang w:val="fr-FR"/>
        </w:rPr>
        <w:t xml:space="preserve"> quantité </w:t>
      </w:r>
      <w:r w:rsidRPr="007A3864">
        <w:rPr>
          <w:rFonts w:ascii="TimesNewRomanPSMT" w:hAnsi="TimesNewRomanPSMT" w:cs="TimesNewRomanPSMT"/>
          <w:b/>
          <w:bCs/>
          <w:color w:val="FF0000"/>
          <w:lang w:val="fr-FR"/>
        </w:rPr>
        <w:t>initial</w:t>
      </w:r>
      <w:r w:rsidRPr="00F00244">
        <w:rPr>
          <w:rFonts w:ascii="TimesNewRomanPSMT" w:hAnsi="TimesNewRomanPSMT" w:cs="TimesNewRomanPSMT"/>
          <w:b/>
          <w:bCs/>
          <w:color w:val="FF0000"/>
          <w:lang w:val="fr-FR"/>
        </w:rPr>
        <w:t>e</w:t>
      </w:r>
      <w:r w:rsidRPr="007A3864">
        <w:rPr>
          <w:rFonts w:ascii="TimesNewRomanPSMT" w:hAnsi="TimesNewRomanPSMT" w:cs="TimesNewRomanPSMT"/>
          <w:b/>
          <w:bCs/>
          <w:color w:val="FF0000"/>
          <w:lang w:val="fr-FR"/>
        </w:rPr>
        <w:t xml:space="preserve"> de</w:t>
      </w:r>
      <w:r w:rsidRPr="00F00244">
        <w:rPr>
          <w:rFonts w:ascii="TimesNewRomanPSMT" w:hAnsi="TimesNewRomanPSMT" w:cs="TimesNewRomanPSMT"/>
          <w:b/>
          <w:bCs/>
          <w:color w:val="FF0000"/>
          <w:lang w:val="fr-FR"/>
        </w:rPr>
        <w:t xml:space="preserve"> gaz </w:t>
      </w:r>
      <w:r w:rsidR="001475C0">
        <w:rPr>
          <w:rFonts w:ascii="TimesNewRomanPSMT" w:hAnsi="TimesNewRomanPSMT" w:cs="TimesNewRomanPSMT"/>
          <w:b/>
          <w:bCs/>
          <w:color w:val="FF0000"/>
          <w:lang w:val="fr-FR"/>
        </w:rPr>
        <w:t>rempli</w:t>
      </w:r>
      <w:r w:rsidR="009866D5">
        <w:rPr>
          <w:rFonts w:ascii="TimesNewRomanPSMT" w:hAnsi="TimesNewRomanPSMT" w:cs="TimesNewRomanPSMT"/>
          <w:b/>
          <w:bCs/>
          <w:color w:val="FF0000"/>
          <w:lang w:val="fr-FR"/>
        </w:rPr>
        <w:t>e</w:t>
      </w:r>
      <w:r w:rsidRPr="00F00244">
        <w:rPr>
          <w:rFonts w:ascii="TimesNewRomanPSMT" w:hAnsi="TimesNewRomanPSMT" w:cs="TimesNewRomanPSMT"/>
          <w:b/>
          <w:bCs/>
          <w:color w:val="FF0000"/>
          <w:lang w:val="fr-FR"/>
        </w:rPr>
        <w:t xml:space="preserve"> dans</w:t>
      </w:r>
      <w:r>
        <w:rPr>
          <w:rFonts w:ascii="TimesNewRomanPSMT" w:hAnsi="TimesNewRomanPSMT" w:cs="TimesNewRomanPSMT"/>
          <w:lang w:val="fr-FR"/>
        </w:rPr>
        <w:t xml:space="preserve"> </w:t>
      </w:r>
      <w:r w:rsidRPr="007A3864">
        <w:rPr>
          <w:rFonts w:ascii="TimesNewRomanPSMT" w:hAnsi="TimesNewRomanPSMT" w:cs="TimesNewRomanPSMT"/>
          <w:strike/>
          <w:lang w:val="fr-FR"/>
        </w:rPr>
        <w:t>remplissage d</w:t>
      </w:r>
      <w:r w:rsidRPr="007A3864">
        <w:rPr>
          <w:rFonts w:ascii="TimesNewRomanPSMT" w:hAnsi="TimesNewRomanPSMT" w:cs="TimesNewRomanPSMT"/>
          <w:lang w:val="fr-FR"/>
        </w:rPr>
        <w:t>'un réservoir, sauf</w:t>
      </w:r>
      <w:r>
        <w:rPr>
          <w:rFonts w:ascii="TimesNewRomanPSMT" w:hAnsi="TimesNewRomanPSMT" w:cs="TimesNewRomanPSMT"/>
          <w:lang w:val="fr-FR"/>
        </w:rPr>
        <w:t xml:space="preserve"> </w:t>
      </w:r>
      <w:r w:rsidRPr="007A3864">
        <w:rPr>
          <w:rFonts w:ascii="TimesNewRomanPSMT" w:hAnsi="TimesNewRomanPSMT" w:cs="TimesNewRomanPSMT"/>
          <w:lang w:val="fr-FR"/>
        </w:rPr>
        <w:t>en ce qui concerne les dispositions des 4.2.3.6.3 et 4.2.3.6.4, doit être tel que, si le contenu, à l'exception de l'hélium, était</w:t>
      </w:r>
      <w:r>
        <w:rPr>
          <w:rFonts w:ascii="TimesNewRomanPSMT" w:hAnsi="TimesNewRomanPSMT" w:cs="TimesNewRomanPSMT"/>
          <w:lang w:val="fr-FR"/>
        </w:rPr>
        <w:t xml:space="preserve"> </w:t>
      </w:r>
      <w:r w:rsidRPr="007A3864">
        <w:rPr>
          <w:rFonts w:ascii="TimesNewRomanPSMT" w:hAnsi="TimesNewRomanPSMT" w:cs="TimesNewRomanPSMT"/>
          <w:lang w:val="fr-FR"/>
        </w:rPr>
        <w:t>porté à une température telle que la pression de vapeur soit égale à la pression de service maximale admissible (PSMA),</w:t>
      </w:r>
      <w:r>
        <w:rPr>
          <w:rFonts w:ascii="TimesNewRomanPSMT" w:hAnsi="TimesNewRomanPSMT" w:cs="TimesNewRomanPSMT"/>
          <w:lang w:val="fr-FR"/>
        </w:rPr>
        <w:t xml:space="preserve"> </w:t>
      </w:r>
      <w:r w:rsidRPr="007A3864">
        <w:rPr>
          <w:rFonts w:ascii="TimesNewRomanPSMT" w:hAnsi="TimesNewRomanPSMT" w:cs="TimesNewRomanPSMT"/>
          <w:lang w:val="fr-FR"/>
        </w:rPr>
        <w:t>le volume occupé par le liquide ne dépasserait pas 98 %.</w:t>
      </w:r>
    </w:p>
    <w:p w14:paraId="5AA2839E" w14:textId="77777777" w:rsidR="00AD6EF5" w:rsidRPr="001475C0" w:rsidRDefault="00AD6EF5" w:rsidP="00AD6EF5">
      <w:pPr>
        <w:pStyle w:val="SingleTxtG"/>
        <w:rPr>
          <w:rFonts w:ascii="TimesNewRomanPSMT" w:hAnsi="TimesNewRomanPSMT" w:cs="TimesNewRomanPSMT"/>
        </w:rPr>
      </w:pPr>
      <w:r w:rsidRPr="001475C0">
        <w:rPr>
          <w:rFonts w:ascii="TimesNewRomanPSMT" w:hAnsi="TimesNewRomanPSMT" w:cs="TimesNewRomanPSMT"/>
          <w:color w:val="FF0000"/>
        </w:rPr>
        <w:t>31</w:t>
      </w:r>
      <w:r w:rsidR="00D0613B" w:rsidRPr="001475C0">
        <w:rPr>
          <w:rFonts w:ascii="TimesNewRomanPSMT" w:hAnsi="TimesNewRomanPSMT" w:cs="TimesNewRomanPSMT"/>
          <w:color w:val="FF0000"/>
        </w:rPr>
        <w:t>tris</w:t>
      </w:r>
      <w:r w:rsidR="00D0613B" w:rsidRPr="001475C0">
        <w:rPr>
          <w:rFonts w:ascii="TimesNewRomanPSMT" w:hAnsi="TimesNewRomanPSMT" w:cs="TimesNewRomanPSMT"/>
        </w:rPr>
        <w:t xml:space="preserve"> </w:t>
      </w:r>
      <w:proofErr w:type="gramStart"/>
      <w:r w:rsidR="001475C0">
        <w:rPr>
          <w:color w:val="FF0000"/>
          <w:lang w:val="en-US"/>
        </w:rPr>
        <w:t>A</w:t>
      </w:r>
      <w:r w:rsidR="001475C0" w:rsidRPr="000F10C6">
        <w:rPr>
          <w:color w:val="FF0000"/>
        </w:rPr>
        <w:t>s</w:t>
      </w:r>
      <w:proofErr w:type="gramEnd"/>
      <w:r w:rsidR="001475C0" w:rsidRPr="000F10C6">
        <w:rPr>
          <w:color w:val="FF0000"/>
        </w:rPr>
        <w:t xml:space="preserve"> proposed in th</w:t>
      </w:r>
      <w:r w:rsidR="001475C0">
        <w:rPr>
          <w:color w:val="FF0000"/>
        </w:rPr>
        <w:t>is</w:t>
      </w:r>
      <w:r w:rsidR="001475C0" w:rsidRPr="000F10C6">
        <w:rPr>
          <w:color w:val="FF0000"/>
        </w:rPr>
        <w:t xml:space="preserve"> informal document</w:t>
      </w:r>
      <w:r w:rsidR="001475C0">
        <w:rPr>
          <w:lang w:val="en-US"/>
        </w:rPr>
        <w:t xml:space="preserve"> a</w:t>
      </w:r>
      <w:r w:rsidRPr="001475C0">
        <w:rPr>
          <w:rFonts w:ascii="TimesNewRomanPSMT" w:hAnsi="TimesNewRomanPSMT" w:cs="TimesNewRomanPSMT"/>
        </w:rPr>
        <w:t>mend 4.2.3.6.4 as follows:</w:t>
      </w:r>
    </w:p>
    <w:p w14:paraId="27A026EE" w14:textId="77777777" w:rsidR="00AD6EF5" w:rsidRPr="009717B8" w:rsidRDefault="00AD6EF5" w:rsidP="00AD6EF5">
      <w:pPr>
        <w:pStyle w:val="SingleTxtG"/>
        <w:ind w:left="1701"/>
        <w:rPr>
          <w:rFonts w:ascii="TimesNewRomanPSMT" w:hAnsi="TimesNewRomanPSMT" w:cs="TimesNewRomanPSMT"/>
          <w:lang w:val="fr-FR"/>
        </w:rPr>
      </w:pPr>
      <w:r w:rsidRPr="001475C0">
        <w:rPr>
          <w:rFonts w:ascii="TimesNewRomanPSMT" w:hAnsi="TimesNewRomanPSMT" w:cs="TimesNewRomanPSMT"/>
        </w:rPr>
        <w:tab/>
      </w:r>
      <w:r w:rsidRPr="009717B8">
        <w:rPr>
          <w:rFonts w:ascii="TimesNewRomanPSMT" w:hAnsi="TimesNewRomanPSMT" w:cs="TimesNewRomanPSMT"/>
          <w:lang w:val="fr-FR"/>
        </w:rPr>
        <w:t>Un</w:t>
      </w:r>
      <w:r w:rsidR="001475C0">
        <w:rPr>
          <w:rFonts w:ascii="TimesNewRomanPSMT" w:hAnsi="TimesNewRomanPSMT" w:cs="TimesNewRomanPSMT"/>
          <w:lang w:val="fr-FR"/>
        </w:rPr>
        <w:t>e</w:t>
      </w:r>
      <w:r w:rsidRPr="009717B8">
        <w:rPr>
          <w:rFonts w:ascii="TimesNewRomanPSMT" w:hAnsi="TimesNewRomanPSMT" w:cs="TimesNewRomanPSMT"/>
          <w:lang w:val="fr-FR"/>
        </w:rPr>
        <w:t xml:space="preserve"> </w:t>
      </w:r>
      <w:r w:rsidRPr="00635E56">
        <w:rPr>
          <w:rFonts w:ascii="TimesNewRomanPSMT" w:hAnsi="TimesNewRomanPSMT" w:cs="TimesNewRomanPSMT"/>
          <w:b/>
          <w:bCs/>
          <w:color w:val="FF0000"/>
          <w:lang w:val="fr-FR"/>
        </w:rPr>
        <w:t>quantité</w:t>
      </w:r>
      <w:r w:rsidR="00AD4169">
        <w:rPr>
          <w:rFonts w:ascii="TimesNewRomanPSMT" w:hAnsi="TimesNewRomanPSMT" w:cs="TimesNewRomanPSMT"/>
          <w:b/>
          <w:bCs/>
          <w:color w:val="FF0000"/>
          <w:lang w:val="fr-FR"/>
        </w:rPr>
        <w:t xml:space="preserve"> initiale</w:t>
      </w:r>
      <w:r w:rsidRPr="00635E56">
        <w:rPr>
          <w:rFonts w:ascii="TimesNewRomanPSMT" w:hAnsi="TimesNewRomanPSMT" w:cs="TimesNewRomanPSMT"/>
          <w:b/>
          <w:bCs/>
          <w:color w:val="FF0000"/>
          <w:lang w:val="fr-FR"/>
        </w:rPr>
        <w:t xml:space="preserve"> de gaz </w:t>
      </w:r>
      <w:r w:rsidR="009866D5">
        <w:rPr>
          <w:rFonts w:ascii="TimesNewRomanPSMT" w:hAnsi="TimesNewRomanPSMT" w:cs="TimesNewRomanPSMT"/>
          <w:b/>
          <w:bCs/>
          <w:color w:val="FF0000"/>
          <w:lang w:val="fr-FR"/>
        </w:rPr>
        <w:t>remplie</w:t>
      </w:r>
      <w:r w:rsidRPr="00635E56">
        <w:rPr>
          <w:rFonts w:ascii="TimesNewRomanPSMT" w:hAnsi="TimesNewRomanPSMT" w:cs="TimesNewRomanPSMT"/>
          <w:b/>
          <w:bCs/>
          <w:color w:val="FF0000"/>
          <w:lang w:val="fr-FR"/>
        </w:rPr>
        <w:t xml:space="preserve"> dans le </w:t>
      </w:r>
      <w:r>
        <w:rPr>
          <w:rFonts w:ascii="TimesNewRomanPSMT" w:hAnsi="TimesNewRomanPSMT" w:cs="TimesNewRomanPSMT"/>
          <w:b/>
          <w:bCs/>
          <w:color w:val="FF0000"/>
          <w:lang w:val="fr-FR"/>
        </w:rPr>
        <w:t xml:space="preserve">réservoir </w:t>
      </w:r>
      <w:r w:rsidR="00AD4169" w:rsidRPr="00AD4169">
        <w:rPr>
          <w:rFonts w:ascii="TimesNewRomanPSMT" w:hAnsi="TimesNewRomanPSMT" w:cs="TimesNewRomanPSMT"/>
          <w:strike/>
          <w:lang w:val="fr-FR"/>
        </w:rPr>
        <w:t>taux initial de</w:t>
      </w:r>
      <w:r w:rsidR="00AD4169">
        <w:rPr>
          <w:rFonts w:ascii="TimesNewRomanPSMT" w:hAnsi="TimesNewRomanPSMT" w:cs="TimesNewRomanPSMT"/>
          <w:strike/>
          <w:lang w:val="fr-FR"/>
        </w:rPr>
        <w:t xml:space="preserve"> </w:t>
      </w:r>
      <w:r w:rsidRPr="009717B8">
        <w:rPr>
          <w:rFonts w:ascii="TimesNewRomanPSMT" w:hAnsi="TimesNewRomanPSMT" w:cs="TimesNewRomanPSMT"/>
          <w:strike/>
          <w:lang w:val="fr-FR"/>
        </w:rPr>
        <w:t xml:space="preserve">remplissage </w:t>
      </w:r>
      <w:r w:rsidRPr="009717B8">
        <w:rPr>
          <w:rFonts w:ascii="TimesNewRomanPSMT" w:hAnsi="TimesNewRomanPSMT" w:cs="TimesNewRomanPSMT"/>
          <w:lang w:val="fr-FR"/>
        </w:rPr>
        <w:t>plus élevé peut être autorisé sous réserve de l'approbation de l'autorité</w:t>
      </w:r>
      <w:r>
        <w:rPr>
          <w:rFonts w:ascii="TimesNewRomanPSMT" w:hAnsi="TimesNewRomanPSMT" w:cs="TimesNewRomanPSMT"/>
          <w:lang w:val="fr-FR"/>
        </w:rPr>
        <w:t xml:space="preserve"> </w:t>
      </w:r>
      <w:r w:rsidRPr="009717B8">
        <w:rPr>
          <w:rFonts w:ascii="TimesNewRomanPSMT" w:hAnsi="TimesNewRomanPSMT" w:cs="TimesNewRomanPSMT"/>
          <w:lang w:val="fr-FR"/>
        </w:rPr>
        <w:t>compétente lorsque la durée du transport prévue est beaucoup plus courte que le temps de retenue.</w:t>
      </w:r>
    </w:p>
    <w:p w14:paraId="46024CD5" w14:textId="77777777" w:rsidR="00AD6EF5" w:rsidRPr="001B6B18" w:rsidRDefault="00AD6EF5" w:rsidP="00AD6EF5">
      <w:pPr>
        <w:pStyle w:val="SingleTxtG"/>
      </w:pPr>
      <w:r w:rsidRPr="001B6B18">
        <w:t>3</w:t>
      </w:r>
      <w:r>
        <w:t>2</w:t>
      </w:r>
      <w:r w:rsidRPr="001B6B18">
        <w:t>.</w:t>
      </w:r>
      <w:r w:rsidRPr="001B6B18">
        <w:tab/>
      </w:r>
      <w:r w:rsidRPr="00046120">
        <w:rPr>
          <w:lang w:val="en-US"/>
        </w:rPr>
        <w:t>Amend 4.2.5.</w:t>
      </w:r>
      <w:r>
        <w:rPr>
          <w:lang w:val="en-US"/>
        </w:rPr>
        <w:t>2.</w:t>
      </w:r>
      <w:r w:rsidRPr="00046120">
        <w:rPr>
          <w:lang w:val="en-US"/>
        </w:rPr>
        <w:t>3 as follows</w:t>
      </w:r>
      <w:r>
        <w:rPr>
          <w:lang w:val="en-US"/>
        </w:rPr>
        <w:t xml:space="preserve"> (same wording as in </w:t>
      </w:r>
      <w:r w:rsidRPr="009E4262">
        <w:rPr>
          <w:lang w:val="en-US"/>
        </w:rPr>
        <w:t xml:space="preserve">portable tank instruction </w:t>
      </w:r>
      <w:r>
        <w:rPr>
          <w:lang w:val="en-US"/>
        </w:rPr>
        <w:t>T50)</w:t>
      </w:r>
      <w:r w:rsidRPr="001B6B18">
        <w:t>:</w:t>
      </w:r>
    </w:p>
    <w:p w14:paraId="614A4F15" w14:textId="77777777" w:rsidR="00AD6EF5" w:rsidRDefault="00AD6EF5" w:rsidP="00AD6EF5">
      <w:pPr>
        <w:pStyle w:val="SingleTxtG"/>
        <w:ind w:left="1701"/>
        <w:rPr>
          <w:lang w:val="fr-FR"/>
        </w:rPr>
      </w:pPr>
      <w:r>
        <w:rPr>
          <w:lang w:val="fr-FR"/>
        </w:rPr>
        <w:t>« </w:t>
      </w:r>
      <w:r w:rsidRPr="0096780D">
        <w:rPr>
          <w:lang w:val="fr-FR"/>
        </w:rPr>
        <w:t xml:space="preserve">L'instruction de transport en citernes mobiles T50 est applicable aux gaz liquéfiés non </w:t>
      </w:r>
      <w:r w:rsidRPr="003E5EB4">
        <w:rPr>
          <w:rFonts w:ascii="TimesNewRomanPSMT" w:hAnsi="TimesNewRomanPSMT" w:cs="TimesNewRomanPSMT"/>
          <w:lang w:val="fr-FR"/>
        </w:rPr>
        <w:t>réfrigérés</w:t>
      </w:r>
      <w:r w:rsidRPr="0096780D">
        <w:rPr>
          <w:lang w:val="fr-FR"/>
        </w:rPr>
        <w:t xml:space="preserve"> et</w:t>
      </w:r>
      <w:r>
        <w:rPr>
          <w:lang w:val="fr-FR"/>
        </w:rPr>
        <w:t xml:space="preserve"> </w:t>
      </w:r>
      <w:r w:rsidRPr="0096780D">
        <w:rPr>
          <w:lang w:val="fr-FR"/>
        </w:rPr>
        <w:t>indique les pressions de service maximales autorisées, les prescriptions pour les orifices au-dessous du niveau du liquide,</w:t>
      </w:r>
      <w:r>
        <w:rPr>
          <w:lang w:val="fr-FR"/>
        </w:rPr>
        <w:t xml:space="preserve"> </w:t>
      </w:r>
      <w:r w:rsidRPr="0096780D">
        <w:rPr>
          <w:lang w:val="fr-FR"/>
        </w:rPr>
        <w:t xml:space="preserve">pour les dispositifs de décompression et pour </w:t>
      </w:r>
      <w:r w:rsidRPr="0096780D">
        <w:rPr>
          <w:strike/>
          <w:lang w:val="fr-FR"/>
        </w:rPr>
        <w:t>la densité</w:t>
      </w:r>
      <w:r>
        <w:rPr>
          <w:lang w:val="fr-FR"/>
        </w:rPr>
        <w:t xml:space="preserve"> </w:t>
      </w:r>
      <w:r w:rsidRPr="0096780D">
        <w:rPr>
          <w:b/>
          <w:lang w:val="fr-FR"/>
        </w:rPr>
        <w:t xml:space="preserve">le </w:t>
      </w:r>
      <w:r>
        <w:rPr>
          <w:b/>
          <w:lang w:val="fr-FR"/>
        </w:rPr>
        <w:t>taux</w:t>
      </w:r>
      <w:r>
        <w:rPr>
          <w:lang w:val="fr-FR"/>
        </w:rPr>
        <w:t xml:space="preserve"> </w:t>
      </w:r>
      <w:r w:rsidRPr="0096780D">
        <w:rPr>
          <w:lang w:val="fr-FR"/>
        </w:rPr>
        <w:t>de remplissage maximal</w:t>
      </w:r>
      <w:r w:rsidRPr="00E06E48">
        <w:rPr>
          <w:strike/>
          <w:lang w:val="fr-FR"/>
        </w:rPr>
        <w:t>e</w:t>
      </w:r>
      <w:r w:rsidRPr="0096780D">
        <w:rPr>
          <w:lang w:val="fr-FR"/>
        </w:rPr>
        <w:t xml:space="preserve"> pour chacun des gaz liquéfiés non</w:t>
      </w:r>
      <w:r>
        <w:rPr>
          <w:lang w:val="fr-FR"/>
        </w:rPr>
        <w:t xml:space="preserve"> </w:t>
      </w:r>
      <w:r w:rsidRPr="0096780D">
        <w:rPr>
          <w:lang w:val="fr-FR"/>
        </w:rPr>
        <w:t>réfrigérés autorisé au transport en citernes mobile</w:t>
      </w:r>
      <w:r>
        <w:rPr>
          <w:lang w:val="fr-FR"/>
        </w:rPr>
        <w:t>. »</w:t>
      </w:r>
    </w:p>
    <w:p w14:paraId="7AC8D24F" w14:textId="77777777" w:rsidR="00AD6EF5" w:rsidRPr="00966CD6" w:rsidRDefault="00AD6EF5" w:rsidP="00AD6EF5">
      <w:pPr>
        <w:pStyle w:val="SingleTxtG"/>
        <w:rPr>
          <w:color w:val="000000"/>
          <w:lang w:val="en-US"/>
        </w:rPr>
      </w:pPr>
      <w:r w:rsidRPr="00966CD6">
        <w:rPr>
          <w:color w:val="000000"/>
        </w:rPr>
        <w:t>33.</w:t>
      </w:r>
      <w:r w:rsidRPr="00966CD6">
        <w:rPr>
          <w:color w:val="000000"/>
        </w:rPr>
        <w:tab/>
      </w:r>
      <w:r w:rsidRPr="00966CD6">
        <w:rPr>
          <w:color w:val="000000"/>
          <w:lang w:val="en-US"/>
        </w:rPr>
        <w:t>In 4.2.5.2.6 amend the seventh column TP23 to read as follows:</w:t>
      </w:r>
    </w:p>
    <w:p w14:paraId="0539204E" w14:textId="77777777" w:rsidR="00AD6EF5" w:rsidRPr="00966CD6" w:rsidRDefault="00AD6EF5" w:rsidP="00AD6EF5">
      <w:pPr>
        <w:pStyle w:val="SingleTxtG"/>
        <w:rPr>
          <w:color w:val="000000"/>
          <w:lang w:val="fr-FR"/>
        </w:rPr>
      </w:pPr>
      <w:r w:rsidRPr="00966CD6">
        <w:rPr>
          <w:color w:val="000000"/>
          <w:lang w:val="en-US"/>
        </w:rPr>
        <w:tab/>
      </w:r>
      <w:r w:rsidRPr="00966CD6">
        <w:rPr>
          <w:color w:val="000000"/>
          <w:lang w:val="en-US"/>
        </w:rPr>
        <w:tab/>
      </w:r>
      <w:r>
        <w:rPr>
          <w:lang w:val="fr-FR"/>
        </w:rPr>
        <w:t>« </w:t>
      </w:r>
      <w:r w:rsidRPr="00966CD6">
        <w:rPr>
          <w:strike/>
          <w:color w:val="000000"/>
          <w:lang w:val="fr-FR"/>
        </w:rPr>
        <w:t>Taux</w:t>
      </w:r>
      <w:r w:rsidRPr="00966CD6">
        <w:rPr>
          <w:color w:val="000000"/>
          <w:lang w:val="fr-FR"/>
        </w:rPr>
        <w:t xml:space="preserve"> </w:t>
      </w:r>
      <w:r w:rsidRPr="00966CD6">
        <w:rPr>
          <w:b/>
          <w:color w:val="000000"/>
          <w:lang w:val="fr-FR"/>
        </w:rPr>
        <w:t>Degré</w:t>
      </w:r>
      <w:r w:rsidRPr="00966CD6">
        <w:rPr>
          <w:color w:val="000000"/>
          <w:lang w:val="fr-FR"/>
        </w:rPr>
        <w:t xml:space="preserve"> de remplissage</w:t>
      </w:r>
      <w:r>
        <w:rPr>
          <w:rFonts w:ascii="TimesNewRomanPSMT" w:hAnsi="TimesNewRomanPSMT" w:cs="TimesNewRomanPSMT"/>
          <w:lang w:val="fr-FR"/>
        </w:rPr>
        <w:t> »</w:t>
      </w:r>
    </w:p>
    <w:p w14:paraId="7B9910B2" w14:textId="77777777" w:rsidR="00AD6EF5" w:rsidRPr="00DC73B1" w:rsidRDefault="00AD6EF5" w:rsidP="00AD6EF5">
      <w:pPr>
        <w:pStyle w:val="SingleTxtG"/>
        <w:rPr>
          <w:lang w:val="fr-FR"/>
        </w:rPr>
      </w:pPr>
      <w:r w:rsidRPr="00DC73B1">
        <w:rPr>
          <w:lang w:val="fr-FR"/>
        </w:rPr>
        <w:t>34.</w:t>
      </w:r>
      <w:r w:rsidRPr="00DC73B1">
        <w:rPr>
          <w:lang w:val="fr-FR"/>
        </w:rPr>
        <w:tab/>
      </w:r>
      <w:proofErr w:type="spellStart"/>
      <w:r w:rsidRPr="00DC73B1">
        <w:rPr>
          <w:lang w:val="fr-FR"/>
        </w:rPr>
        <w:t>Amend</w:t>
      </w:r>
      <w:proofErr w:type="spellEnd"/>
      <w:r w:rsidRPr="00DC73B1">
        <w:rPr>
          <w:lang w:val="fr-FR"/>
        </w:rPr>
        <w:t xml:space="preserve"> portable tank instruction T50 </w:t>
      </w:r>
      <w:proofErr w:type="spellStart"/>
      <w:r w:rsidRPr="00DC73B1">
        <w:rPr>
          <w:lang w:val="fr-FR"/>
        </w:rPr>
        <w:t>in</w:t>
      </w:r>
      <w:proofErr w:type="spellEnd"/>
      <w:r w:rsidRPr="00DC73B1">
        <w:rPr>
          <w:lang w:val="fr-FR"/>
        </w:rPr>
        <w:t xml:space="preserve"> 4.2.5.2.6 Note c) as </w:t>
      </w:r>
      <w:proofErr w:type="spellStart"/>
      <w:proofErr w:type="gramStart"/>
      <w:r w:rsidRPr="00DC73B1">
        <w:rPr>
          <w:lang w:val="fr-FR"/>
        </w:rPr>
        <w:t>follows</w:t>
      </w:r>
      <w:proofErr w:type="spellEnd"/>
      <w:r w:rsidRPr="00DC73B1">
        <w:rPr>
          <w:lang w:val="fr-FR"/>
        </w:rPr>
        <w:t>:</w:t>
      </w:r>
      <w:proofErr w:type="gramEnd"/>
    </w:p>
    <w:p w14:paraId="3A227DFE" w14:textId="77777777" w:rsidR="00AD6EF5" w:rsidRPr="00E87B09" w:rsidRDefault="00AD6EF5" w:rsidP="00AD6EF5">
      <w:pPr>
        <w:pStyle w:val="SingleTxtG"/>
        <w:ind w:left="1701"/>
        <w:rPr>
          <w:lang w:val="fr-FR"/>
        </w:rPr>
      </w:pPr>
      <w:r>
        <w:rPr>
          <w:lang w:val="fr-FR"/>
        </w:rPr>
        <w:t xml:space="preserve">« Pour les Nos ONU 3500, 3501, 3502, 3503, 3504 et 3505, le degré de remplissage doit être pris en compte au </w:t>
      </w:r>
      <w:r w:rsidRPr="003E5EB4">
        <w:rPr>
          <w:rFonts w:ascii="TimesNewRomanPSMT" w:hAnsi="TimesNewRomanPSMT" w:cs="TimesNewRomanPSMT"/>
          <w:lang w:val="fr-FR"/>
        </w:rPr>
        <w:t>lieu</w:t>
      </w:r>
      <w:r>
        <w:rPr>
          <w:lang w:val="fr-FR"/>
        </w:rPr>
        <w:t xml:space="preserve"> </w:t>
      </w:r>
      <w:r w:rsidRPr="008262A1">
        <w:rPr>
          <w:strike/>
          <w:lang w:val="fr-FR"/>
        </w:rPr>
        <w:t>de la densité</w:t>
      </w:r>
      <w:r>
        <w:rPr>
          <w:lang w:val="fr-FR"/>
        </w:rPr>
        <w:t xml:space="preserve"> </w:t>
      </w:r>
      <w:r w:rsidRPr="008262A1">
        <w:rPr>
          <w:b/>
          <w:lang w:val="fr-FR"/>
        </w:rPr>
        <w:t xml:space="preserve">du </w:t>
      </w:r>
      <w:r>
        <w:rPr>
          <w:b/>
          <w:lang w:val="fr-FR"/>
        </w:rPr>
        <w:t>taux</w:t>
      </w:r>
      <w:r>
        <w:rPr>
          <w:lang w:val="fr-FR"/>
        </w:rPr>
        <w:t xml:space="preserve"> de remplissage maximale. »</w:t>
      </w:r>
    </w:p>
    <w:p w14:paraId="58484087" w14:textId="77777777" w:rsidR="00AD6EF5" w:rsidRPr="006E69EE" w:rsidRDefault="00AD6EF5" w:rsidP="00AD6EF5">
      <w:pPr>
        <w:pStyle w:val="SingleTxtG"/>
      </w:pPr>
      <w:r>
        <w:t>35</w:t>
      </w:r>
      <w:r w:rsidRPr="006E69EE">
        <w:t>.</w:t>
      </w:r>
      <w:r w:rsidRPr="006E69EE">
        <w:tab/>
      </w:r>
      <w:r>
        <w:t>I</w:t>
      </w:r>
      <w:r w:rsidRPr="006E69EE">
        <w:t>n 4.2.5.</w:t>
      </w:r>
      <w:r>
        <w:t>3</w:t>
      </w:r>
      <w:r w:rsidRPr="006E69EE">
        <w:t xml:space="preserve"> </w:t>
      </w:r>
      <w:r>
        <w:t>a</w:t>
      </w:r>
      <w:r w:rsidRPr="006E69EE">
        <w:t xml:space="preserve">mend </w:t>
      </w:r>
      <w:r>
        <w:t xml:space="preserve">portable tank special provision </w:t>
      </w:r>
      <w:r w:rsidRPr="006E69EE">
        <w:t>TP1 as follows:</w:t>
      </w:r>
    </w:p>
    <w:p w14:paraId="66E07147" w14:textId="77777777" w:rsidR="00AD6EF5" w:rsidRPr="0096780D" w:rsidRDefault="00AD6EF5" w:rsidP="00AD6EF5">
      <w:pPr>
        <w:pStyle w:val="SingleTxtG"/>
        <w:ind w:left="1701"/>
        <w:rPr>
          <w:lang w:val="fr-FR"/>
        </w:rPr>
      </w:pPr>
      <w:r>
        <w:rPr>
          <w:lang w:val="fr-FR"/>
        </w:rPr>
        <w:t>« </w:t>
      </w:r>
      <w:r w:rsidRPr="0096780D">
        <w:rPr>
          <w:lang w:val="fr-FR"/>
        </w:rPr>
        <w:t xml:space="preserve">Le </w:t>
      </w:r>
      <w:r w:rsidRPr="0096780D">
        <w:rPr>
          <w:strike/>
          <w:lang w:val="fr-FR"/>
        </w:rPr>
        <w:t>taux</w:t>
      </w:r>
      <w:r>
        <w:rPr>
          <w:lang w:val="fr-FR"/>
        </w:rPr>
        <w:t xml:space="preserve"> </w:t>
      </w:r>
      <w:r w:rsidRPr="003E5EB4">
        <w:rPr>
          <w:rFonts w:ascii="TimesNewRomanPSMT" w:hAnsi="TimesNewRomanPSMT" w:cs="TimesNewRomanPSMT"/>
          <w:lang w:val="fr-FR"/>
        </w:rPr>
        <w:t>degré</w:t>
      </w:r>
      <w:r w:rsidRPr="0096780D">
        <w:rPr>
          <w:b/>
          <w:lang w:val="fr-FR"/>
        </w:rPr>
        <w:t xml:space="preserve"> </w:t>
      </w:r>
      <w:r w:rsidRPr="0096780D">
        <w:rPr>
          <w:lang w:val="fr-FR"/>
        </w:rPr>
        <w:t>de remplissage du 4.2.1.9.2 ne doit pas être dépassé, soit :</w:t>
      </w:r>
    </w:p>
    <w:p w14:paraId="4B66A2C2" w14:textId="77777777" w:rsidR="00AD6EF5" w:rsidRDefault="00AD6EF5" w:rsidP="00AD6EF5">
      <w:pPr>
        <w:pStyle w:val="SingleTxtG"/>
        <w:ind w:firstLine="567"/>
        <w:rPr>
          <w:lang w:val="fr-FR"/>
        </w:rPr>
      </w:pPr>
      <w:r w:rsidRPr="0096780D">
        <w:rPr>
          <w:strike/>
          <w:lang w:val="fr-FR"/>
        </w:rPr>
        <w:t>Taux</w:t>
      </w:r>
      <w:r>
        <w:rPr>
          <w:lang w:val="fr-FR"/>
        </w:rPr>
        <w:t xml:space="preserve"> </w:t>
      </w:r>
      <w:r w:rsidRPr="0096780D">
        <w:rPr>
          <w:b/>
          <w:lang w:val="fr-FR"/>
        </w:rPr>
        <w:t>Degré</w:t>
      </w:r>
      <w:r>
        <w:rPr>
          <w:lang w:val="fr-FR"/>
        </w:rPr>
        <w:t xml:space="preserve"> </w:t>
      </w:r>
      <w:r w:rsidRPr="0096780D">
        <w:rPr>
          <w:lang w:val="fr-FR"/>
        </w:rPr>
        <w:t>de remplissage</w:t>
      </w:r>
      <w:r>
        <w:rPr>
          <w:lang w:val="fr-FR"/>
        </w:rPr>
        <w:t>=… »</w:t>
      </w:r>
    </w:p>
    <w:p w14:paraId="3B7ED0E2" w14:textId="77777777" w:rsidR="00AD6EF5" w:rsidRPr="00DC73B1" w:rsidRDefault="00AD6EF5" w:rsidP="00AD6EF5">
      <w:pPr>
        <w:pStyle w:val="SingleTxtG"/>
        <w:rPr>
          <w:lang w:val="fr-FR"/>
        </w:rPr>
      </w:pPr>
      <w:r w:rsidRPr="00DC73B1">
        <w:rPr>
          <w:lang w:val="fr-FR"/>
        </w:rPr>
        <w:t>36.</w:t>
      </w:r>
      <w:r w:rsidRPr="00DC73B1">
        <w:rPr>
          <w:lang w:val="fr-FR"/>
        </w:rPr>
        <w:tab/>
      </w:r>
      <w:proofErr w:type="spellStart"/>
      <w:r w:rsidRPr="00DC73B1">
        <w:rPr>
          <w:lang w:val="fr-FR"/>
        </w:rPr>
        <w:t>In</w:t>
      </w:r>
      <w:proofErr w:type="spellEnd"/>
      <w:r w:rsidRPr="00DC73B1">
        <w:rPr>
          <w:lang w:val="fr-FR"/>
        </w:rPr>
        <w:t xml:space="preserve"> 4.2.5.3 </w:t>
      </w:r>
      <w:proofErr w:type="spellStart"/>
      <w:r w:rsidRPr="00DC73B1">
        <w:rPr>
          <w:lang w:val="fr-FR"/>
        </w:rPr>
        <w:t>amend</w:t>
      </w:r>
      <w:proofErr w:type="spellEnd"/>
      <w:r w:rsidRPr="00DC73B1">
        <w:rPr>
          <w:lang w:val="fr-FR"/>
        </w:rPr>
        <w:t xml:space="preserve"> TP2 as </w:t>
      </w:r>
      <w:proofErr w:type="spellStart"/>
      <w:proofErr w:type="gramStart"/>
      <w:r w:rsidRPr="00DC73B1">
        <w:rPr>
          <w:lang w:val="fr-FR"/>
        </w:rPr>
        <w:t>follows</w:t>
      </w:r>
      <w:proofErr w:type="spellEnd"/>
      <w:r w:rsidRPr="00DC73B1">
        <w:rPr>
          <w:lang w:val="fr-FR"/>
        </w:rPr>
        <w:t>:</w:t>
      </w:r>
      <w:proofErr w:type="gramEnd"/>
    </w:p>
    <w:p w14:paraId="0B2030DE" w14:textId="77777777" w:rsidR="00AD6EF5" w:rsidRPr="0096780D" w:rsidRDefault="00AD6EF5" w:rsidP="00AD6EF5">
      <w:pPr>
        <w:pStyle w:val="SingleTxtG"/>
        <w:ind w:left="1701"/>
        <w:rPr>
          <w:lang w:val="fr-FR"/>
        </w:rPr>
      </w:pPr>
      <w:r>
        <w:rPr>
          <w:lang w:val="fr-FR"/>
        </w:rPr>
        <w:t>« </w:t>
      </w:r>
      <w:r w:rsidRPr="0096780D">
        <w:rPr>
          <w:lang w:val="fr-FR"/>
        </w:rPr>
        <w:t xml:space="preserve">Le </w:t>
      </w:r>
      <w:r w:rsidRPr="0096780D">
        <w:rPr>
          <w:strike/>
          <w:lang w:val="fr-FR"/>
        </w:rPr>
        <w:t>taux</w:t>
      </w:r>
      <w:r>
        <w:rPr>
          <w:lang w:val="fr-FR"/>
        </w:rPr>
        <w:t xml:space="preserve"> </w:t>
      </w:r>
      <w:r w:rsidRPr="003E5EB4">
        <w:rPr>
          <w:rFonts w:ascii="TimesNewRomanPSMT" w:hAnsi="TimesNewRomanPSMT" w:cs="TimesNewRomanPSMT"/>
          <w:lang w:val="fr-FR"/>
        </w:rPr>
        <w:t>degré</w:t>
      </w:r>
      <w:r w:rsidRPr="0096780D">
        <w:rPr>
          <w:lang w:val="fr-FR"/>
        </w:rPr>
        <w:t xml:space="preserve"> de remplissage du 4.2.1.9.3 ne doit pas être dépassé, soit :</w:t>
      </w:r>
    </w:p>
    <w:p w14:paraId="6CFF620D" w14:textId="77777777" w:rsidR="00AD6EF5" w:rsidRDefault="00AD6EF5" w:rsidP="00AD6EF5">
      <w:pPr>
        <w:pStyle w:val="SingleTxtG"/>
        <w:ind w:firstLine="567"/>
        <w:rPr>
          <w:lang w:val="fr-FR"/>
        </w:rPr>
      </w:pPr>
      <w:r w:rsidRPr="0096780D">
        <w:rPr>
          <w:strike/>
          <w:lang w:val="fr-FR"/>
        </w:rPr>
        <w:t>Taux</w:t>
      </w:r>
      <w:r>
        <w:rPr>
          <w:lang w:val="fr-FR"/>
        </w:rPr>
        <w:t xml:space="preserve"> </w:t>
      </w:r>
      <w:r w:rsidRPr="0096780D">
        <w:rPr>
          <w:b/>
          <w:lang w:val="fr-FR"/>
        </w:rPr>
        <w:t>Degré</w:t>
      </w:r>
      <w:r>
        <w:rPr>
          <w:lang w:val="fr-FR"/>
        </w:rPr>
        <w:t xml:space="preserve"> </w:t>
      </w:r>
      <w:r w:rsidRPr="0096780D">
        <w:rPr>
          <w:lang w:val="fr-FR"/>
        </w:rPr>
        <w:t>de remplissage</w:t>
      </w:r>
      <w:r>
        <w:rPr>
          <w:lang w:val="fr-FR"/>
        </w:rPr>
        <w:t>=… »</w:t>
      </w:r>
    </w:p>
    <w:p w14:paraId="1C618FC6" w14:textId="77777777" w:rsidR="00AD6EF5" w:rsidRPr="00DC73B1" w:rsidRDefault="00AD6EF5" w:rsidP="00AD6EF5">
      <w:pPr>
        <w:pStyle w:val="SingleTxtG"/>
        <w:rPr>
          <w:lang w:val="fr-FR"/>
        </w:rPr>
      </w:pPr>
      <w:r w:rsidRPr="00DC73B1">
        <w:rPr>
          <w:lang w:val="fr-FR"/>
        </w:rPr>
        <w:t>37.</w:t>
      </w:r>
      <w:r w:rsidRPr="00DC73B1">
        <w:rPr>
          <w:lang w:val="fr-FR"/>
        </w:rPr>
        <w:tab/>
      </w:r>
      <w:proofErr w:type="spellStart"/>
      <w:r w:rsidRPr="00DC73B1">
        <w:rPr>
          <w:lang w:val="fr-FR"/>
        </w:rPr>
        <w:t>In</w:t>
      </w:r>
      <w:proofErr w:type="spellEnd"/>
      <w:r w:rsidRPr="00DC73B1">
        <w:rPr>
          <w:lang w:val="fr-FR"/>
        </w:rPr>
        <w:t xml:space="preserve"> 4.2.5.3 </w:t>
      </w:r>
      <w:proofErr w:type="spellStart"/>
      <w:r w:rsidRPr="00DC73B1">
        <w:rPr>
          <w:lang w:val="fr-FR"/>
        </w:rPr>
        <w:t>amend</w:t>
      </w:r>
      <w:proofErr w:type="spellEnd"/>
      <w:r w:rsidRPr="00DC73B1">
        <w:rPr>
          <w:lang w:val="fr-FR"/>
        </w:rPr>
        <w:t xml:space="preserve"> TP3 as </w:t>
      </w:r>
      <w:proofErr w:type="spellStart"/>
      <w:proofErr w:type="gramStart"/>
      <w:r w:rsidRPr="00DC73B1">
        <w:rPr>
          <w:lang w:val="fr-FR"/>
        </w:rPr>
        <w:t>follows</w:t>
      </w:r>
      <w:proofErr w:type="spellEnd"/>
      <w:r w:rsidRPr="00DC73B1">
        <w:rPr>
          <w:lang w:val="fr-FR"/>
        </w:rPr>
        <w:t>:</w:t>
      </w:r>
      <w:proofErr w:type="gramEnd"/>
    </w:p>
    <w:p w14:paraId="65D56CEE" w14:textId="77777777" w:rsidR="00AD6EF5" w:rsidRPr="00801641" w:rsidRDefault="00AD6EF5" w:rsidP="00AD6EF5">
      <w:pPr>
        <w:pStyle w:val="SingleTxtG"/>
        <w:ind w:left="1701"/>
        <w:rPr>
          <w:lang w:val="fr-FR"/>
        </w:rPr>
      </w:pPr>
      <w:r w:rsidRPr="00801641">
        <w:rPr>
          <w:lang w:val="fr-FR"/>
        </w:rPr>
        <w:t xml:space="preserve">« Le </w:t>
      </w:r>
      <w:r w:rsidRPr="00801641">
        <w:rPr>
          <w:strike/>
          <w:lang w:val="fr-FR"/>
        </w:rPr>
        <w:t>taux</w:t>
      </w:r>
      <w:r w:rsidRPr="00801641">
        <w:rPr>
          <w:lang w:val="fr-FR"/>
        </w:rPr>
        <w:t xml:space="preserve"> </w:t>
      </w:r>
      <w:r w:rsidRPr="00801641">
        <w:rPr>
          <w:b/>
          <w:lang w:val="fr-FR"/>
        </w:rPr>
        <w:t>degré</w:t>
      </w:r>
      <w:r w:rsidRPr="00801641">
        <w:rPr>
          <w:lang w:val="fr-FR"/>
        </w:rPr>
        <w:t xml:space="preserve"> de remplissage maximal (en %) pour les matières solides transportées à des températures supérieures à leur point de fusion et pour les liquides à température élevée doit être déterminé conformément au 4.2.1.9.5.</w:t>
      </w:r>
    </w:p>
    <w:p w14:paraId="47C0C3AC" w14:textId="77777777" w:rsidR="00AD6EF5" w:rsidRDefault="00AD6EF5" w:rsidP="00AD6EF5">
      <w:pPr>
        <w:pStyle w:val="SingleTxtG"/>
        <w:ind w:firstLine="567"/>
        <w:rPr>
          <w:lang w:val="fr-FR"/>
        </w:rPr>
      </w:pPr>
      <w:r w:rsidRPr="00801641">
        <w:rPr>
          <w:strike/>
          <w:lang w:val="fr-FR"/>
        </w:rPr>
        <w:t>Taux</w:t>
      </w:r>
      <w:r w:rsidRPr="00801641">
        <w:rPr>
          <w:lang w:val="fr-FR"/>
        </w:rPr>
        <w:t xml:space="preserve"> </w:t>
      </w:r>
      <w:r w:rsidRPr="00801641">
        <w:rPr>
          <w:b/>
          <w:lang w:val="fr-FR"/>
        </w:rPr>
        <w:t>Degré</w:t>
      </w:r>
      <w:r w:rsidRPr="00801641">
        <w:rPr>
          <w:lang w:val="fr-FR"/>
        </w:rPr>
        <w:t xml:space="preserve"> de remplissage</w:t>
      </w:r>
      <w:r>
        <w:rPr>
          <w:lang w:val="fr-FR"/>
        </w:rPr>
        <w:t>=…</w:t>
      </w:r>
      <w:r w:rsidRPr="00801641">
        <w:rPr>
          <w:lang w:val="fr-FR"/>
        </w:rPr>
        <w:t> »</w:t>
      </w:r>
    </w:p>
    <w:p w14:paraId="491F75D3" w14:textId="77777777" w:rsidR="00AD6EF5" w:rsidRPr="00DC73B1" w:rsidRDefault="00AD6EF5" w:rsidP="00AD6EF5">
      <w:pPr>
        <w:pStyle w:val="SingleTxtG"/>
        <w:rPr>
          <w:lang w:val="fr-FR"/>
        </w:rPr>
      </w:pPr>
      <w:r w:rsidRPr="00DC73B1">
        <w:rPr>
          <w:lang w:val="fr-FR"/>
        </w:rPr>
        <w:t>38.</w:t>
      </w:r>
      <w:r w:rsidRPr="00DC73B1">
        <w:rPr>
          <w:lang w:val="fr-FR"/>
        </w:rPr>
        <w:tab/>
      </w:r>
      <w:proofErr w:type="spellStart"/>
      <w:r w:rsidRPr="00DC73B1">
        <w:rPr>
          <w:lang w:val="fr-FR"/>
        </w:rPr>
        <w:t>In</w:t>
      </w:r>
      <w:proofErr w:type="spellEnd"/>
      <w:r w:rsidRPr="00DC73B1">
        <w:rPr>
          <w:lang w:val="fr-FR"/>
        </w:rPr>
        <w:t xml:space="preserve"> 4.2.5.3 </w:t>
      </w:r>
      <w:proofErr w:type="spellStart"/>
      <w:r w:rsidRPr="00DC73B1">
        <w:rPr>
          <w:lang w:val="fr-FR"/>
        </w:rPr>
        <w:t>amend</w:t>
      </w:r>
      <w:proofErr w:type="spellEnd"/>
      <w:r w:rsidRPr="00DC73B1">
        <w:rPr>
          <w:lang w:val="fr-FR"/>
        </w:rPr>
        <w:t xml:space="preserve"> TP4 as </w:t>
      </w:r>
      <w:proofErr w:type="spellStart"/>
      <w:proofErr w:type="gramStart"/>
      <w:r w:rsidRPr="00DC73B1">
        <w:rPr>
          <w:lang w:val="fr-FR"/>
        </w:rPr>
        <w:t>follows</w:t>
      </w:r>
      <w:proofErr w:type="spellEnd"/>
      <w:r w:rsidRPr="00DC73B1">
        <w:rPr>
          <w:lang w:val="fr-FR"/>
        </w:rPr>
        <w:t>:</w:t>
      </w:r>
      <w:proofErr w:type="gramEnd"/>
    </w:p>
    <w:p w14:paraId="56F7FF69" w14:textId="77777777" w:rsidR="00AD6EF5" w:rsidRDefault="00AD6EF5" w:rsidP="00AD6EF5">
      <w:pPr>
        <w:pStyle w:val="SingleTxtG"/>
        <w:ind w:left="1701"/>
        <w:rPr>
          <w:lang w:val="fr-FR"/>
        </w:rPr>
      </w:pPr>
      <w:r>
        <w:rPr>
          <w:lang w:val="fr-FR"/>
        </w:rPr>
        <w:t>« </w:t>
      </w:r>
      <w:r w:rsidRPr="00627301">
        <w:rPr>
          <w:lang w:val="fr-FR"/>
        </w:rPr>
        <w:t xml:space="preserve">Le </w:t>
      </w:r>
      <w:r w:rsidRPr="00627301">
        <w:rPr>
          <w:strike/>
          <w:lang w:val="fr-FR"/>
        </w:rPr>
        <w:t xml:space="preserve">taux </w:t>
      </w:r>
      <w:r w:rsidRPr="003E5EB4">
        <w:rPr>
          <w:rFonts w:ascii="TimesNewRomanPSMT" w:hAnsi="TimesNewRomanPSMT" w:cs="TimesNewRomanPSMT"/>
          <w:lang w:val="fr-FR"/>
        </w:rPr>
        <w:t>degré</w:t>
      </w:r>
      <w:r w:rsidRPr="00627301">
        <w:rPr>
          <w:b/>
          <w:lang w:val="fr-FR"/>
        </w:rPr>
        <w:t xml:space="preserve"> </w:t>
      </w:r>
      <w:r w:rsidRPr="00627301">
        <w:rPr>
          <w:lang w:val="fr-FR"/>
        </w:rPr>
        <w:t>de remplissage ne doit pas dépasser 90 % ou toute autre valeur approuvée par l'autorité</w:t>
      </w:r>
      <w:r>
        <w:rPr>
          <w:lang w:val="fr-FR"/>
        </w:rPr>
        <w:t xml:space="preserve"> </w:t>
      </w:r>
      <w:r w:rsidRPr="00627301">
        <w:rPr>
          <w:lang w:val="fr-FR"/>
        </w:rPr>
        <w:t>compétente (voir 4.2.1.16.2).</w:t>
      </w:r>
      <w:r>
        <w:rPr>
          <w:lang w:val="fr-FR"/>
        </w:rPr>
        <w:t> »</w:t>
      </w:r>
    </w:p>
    <w:p w14:paraId="030E3E3C" w14:textId="77777777" w:rsidR="00AD6EF5" w:rsidRDefault="00AD6EF5" w:rsidP="00AD6EF5">
      <w:pPr>
        <w:pStyle w:val="SingleTxtG"/>
      </w:pPr>
      <w:r w:rsidRPr="00155572">
        <w:t>38</w:t>
      </w:r>
      <w:r w:rsidR="00D305E2">
        <w:t>bis</w:t>
      </w:r>
      <w:r>
        <w:tab/>
        <w:t xml:space="preserve"> </w:t>
      </w:r>
      <w:proofErr w:type="gramStart"/>
      <w:r w:rsidR="00D305E2">
        <w:rPr>
          <w:color w:val="FF0000"/>
          <w:lang w:val="en-US"/>
        </w:rPr>
        <w:t>A</w:t>
      </w:r>
      <w:r w:rsidR="00D305E2" w:rsidRPr="000F10C6">
        <w:rPr>
          <w:color w:val="FF0000"/>
        </w:rPr>
        <w:t>s</w:t>
      </w:r>
      <w:proofErr w:type="gramEnd"/>
      <w:r w:rsidR="00D305E2" w:rsidRPr="000F10C6">
        <w:rPr>
          <w:color w:val="FF0000"/>
        </w:rPr>
        <w:t xml:space="preserve"> proposed in th</w:t>
      </w:r>
      <w:r w:rsidR="00D305E2">
        <w:rPr>
          <w:color w:val="FF0000"/>
        </w:rPr>
        <w:t>is</w:t>
      </w:r>
      <w:r w:rsidR="00D305E2" w:rsidRPr="000F10C6">
        <w:rPr>
          <w:color w:val="FF0000"/>
        </w:rPr>
        <w:t xml:space="preserve"> informal document</w:t>
      </w:r>
      <w:r w:rsidR="00D305E2">
        <w:rPr>
          <w:lang w:val="en-US"/>
        </w:rPr>
        <w:t xml:space="preserve"> </w:t>
      </w:r>
      <w:r>
        <w:t xml:space="preserve">amend TP5 </w:t>
      </w:r>
      <w:r w:rsidR="00D305E2">
        <w:t xml:space="preserve">in 4.2.5.3 </w:t>
      </w:r>
      <w:r>
        <w:t>as follows:</w:t>
      </w:r>
    </w:p>
    <w:p w14:paraId="5476242A" w14:textId="77777777" w:rsidR="00AD6EF5" w:rsidRPr="00155572" w:rsidRDefault="00AD6EF5" w:rsidP="00AD6EF5">
      <w:pPr>
        <w:pStyle w:val="SingleTxtG"/>
        <w:rPr>
          <w:lang w:val="fr-FR"/>
        </w:rPr>
      </w:pPr>
      <w:r>
        <w:tab/>
      </w:r>
      <w:r>
        <w:tab/>
      </w:r>
      <w:r w:rsidRPr="00155572">
        <w:rPr>
          <w:rFonts w:ascii="TimesNewRomanPSMT" w:hAnsi="TimesNewRomanPSMT" w:cs="TimesNewRomanPSMT"/>
          <w:lang w:val="fr-FR"/>
        </w:rPr>
        <w:t>Le</w:t>
      </w:r>
      <w:r w:rsidRPr="00155572">
        <w:rPr>
          <w:rFonts w:ascii="TimesNewRomanPSMT" w:hAnsi="TimesNewRomanPSMT" w:cs="TimesNewRomanPSMT"/>
          <w:b/>
          <w:bCs/>
          <w:color w:val="FF0000"/>
          <w:lang w:val="fr-FR"/>
        </w:rPr>
        <w:t>s</w:t>
      </w:r>
      <w:r w:rsidRPr="00155572">
        <w:rPr>
          <w:rFonts w:ascii="TimesNewRomanPSMT" w:hAnsi="TimesNewRomanPSMT" w:cs="TimesNewRomanPSMT"/>
          <w:lang w:val="fr-FR"/>
        </w:rPr>
        <w:t xml:space="preserve"> </w:t>
      </w:r>
      <w:r w:rsidRPr="00155572">
        <w:rPr>
          <w:rFonts w:ascii="TimesNewRomanPSMT" w:hAnsi="TimesNewRomanPSMT" w:cs="TimesNewRomanPSMT"/>
          <w:strike/>
          <w:lang w:val="fr-FR"/>
        </w:rPr>
        <w:t>taux</w:t>
      </w:r>
      <w:r>
        <w:rPr>
          <w:rFonts w:ascii="TimesNewRomanPSMT" w:hAnsi="TimesNewRomanPSMT" w:cs="TimesNewRomanPSMT"/>
          <w:lang w:val="fr-FR"/>
        </w:rPr>
        <w:t xml:space="preserve"> </w:t>
      </w:r>
      <w:r w:rsidRPr="00155572">
        <w:rPr>
          <w:rFonts w:ascii="TimesNewRomanPSMT" w:hAnsi="TimesNewRomanPSMT" w:cs="TimesNewRomanPSMT"/>
          <w:b/>
          <w:bCs/>
          <w:color w:val="FF0000"/>
          <w:lang w:val="fr-FR"/>
        </w:rPr>
        <w:t>restrictions</w:t>
      </w:r>
      <w:r>
        <w:rPr>
          <w:rFonts w:ascii="TimesNewRomanPSMT" w:hAnsi="TimesNewRomanPSMT" w:cs="TimesNewRomanPSMT"/>
          <w:lang w:val="fr-FR"/>
        </w:rPr>
        <w:t xml:space="preserve"> </w:t>
      </w:r>
      <w:r w:rsidRPr="00155572">
        <w:rPr>
          <w:rFonts w:ascii="TimesNewRomanPSMT" w:hAnsi="TimesNewRomanPSMT" w:cs="TimesNewRomanPSMT"/>
          <w:lang w:val="fr-FR"/>
        </w:rPr>
        <w:t>de remplissage du 4.2.3.6 doi</w:t>
      </w:r>
      <w:r w:rsidR="00D305E2" w:rsidRPr="00D305E2">
        <w:rPr>
          <w:rFonts w:ascii="TimesNewRomanPSMT" w:hAnsi="TimesNewRomanPSMT" w:cs="TimesNewRomanPSMT"/>
          <w:b/>
          <w:bCs/>
          <w:color w:val="FF0000"/>
          <w:lang w:val="fr-FR"/>
        </w:rPr>
        <w:t>ve</w:t>
      </w:r>
      <w:r w:rsidR="009866D5">
        <w:rPr>
          <w:rFonts w:ascii="TimesNewRomanPSMT" w:hAnsi="TimesNewRomanPSMT" w:cs="TimesNewRomanPSMT"/>
          <w:b/>
          <w:bCs/>
          <w:color w:val="FF0000"/>
          <w:lang w:val="fr-FR"/>
        </w:rPr>
        <w:t>nt</w:t>
      </w:r>
      <w:r w:rsidRPr="00155572">
        <w:rPr>
          <w:rFonts w:ascii="TimesNewRomanPSMT" w:hAnsi="TimesNewRomanPSMT" w:cs="TimesNewRomanPSMT"/>
          <w:lang w:val="fr-FR"/>
        </w:rPr>
        <w:t xml:space="preserve"> être respecté.</w:t>
      </w:r>
    </w:p>
    <w:p w14:paraId="53564B15" w14:textId="77777777" w:rsidR="00AD6EF5" w:rsidRPr="00753E1A" w:rsidRDefault="00AD6EF5" w:rsidP="00AD6EF5">
      <w:pPr>
        <w:pStyle w:val="SingleTxtG"/>
        <w:rPr>
          <w:lang w:val="fr-FR"/>
        </w:rPr>
      </w:pPr>
      <w:r w:rsidRPr="00753E1A">
        <w:rPr>
          <w:lang w:val="fr-FR"/>
        </w:rPr>
        <w:t>39.</w:t>
      </w:r>
      <w:r w:rsidRPr="00753E1A">
        <w:rPr>
          <w:lang w:val="fr-FR"/>
        </w:rPr>
        <w:tab/>
      </w:r>
      <w:proofErr w:type="spellStart"/>
      <w:r w:rsidRPr="00753E1A">
        <w:rPr>
          <w:lang w:val="fr-FR"/>
        </w:rPr>
        <w:t>Amend</w:t>
      </w:r>
      <w:proofErr w:type="spellEnd"/>
      <w:r w:rsidRPr="00753E1A">
        <w:rPr>
          <w:lang w:val="fr-FR"/>
        </w:rPr>
        <w:t xml:space="preserve"> 6.1.5.5.4 a) as </w:t>
      </w:r>
      <w:proofErr w:type="spellStart"/>
      <w:proofErr w:type="gramStart"/>
      <w:r w:rsidRPr="00753E1A">
        <w:rPr>
          <w:lang w:val="fr-FR"/>
        </w:rPr>
        <w:t>follows</w:t>
      </w:r>
      <w:proofErr w:type="spellEnd"/>
      <w:r w:rsidRPr="00753E1A">
        <w:rPr>
          <w:lang w:val="fr-FR"/>
        </w:rPr>
        <w:t>:</w:t>
      </w:r>
      <w:proofErr w:type="gramEnd"/>
    </w:p>
    <w:p w14:paraId="308B3DB8" w14:textId="77777777" w:rsidR="00AD6EF5" w:rsidRDefault="00AD6EF5" w:rsidP="00AD6EF5">
      <w:pPr>
        <w:pStyle w:val="SingleTxtG"/>
        <w:ind w:left="1701"/>
        <w:rPr>
          <w:lang w:val="fr-FR"/>
        </w:rPr>
      </w:pPr>
      <w:r>
        <w:rPr>
          <w:lang w:val="fr-FR"/>
        </w:rPr>
        <w:t>« </w:t>
      </w:r>
      <w:r w:rsidRPr="00FC2E0A">
        <w:rPr>
          <w:lang w:val="fr-FR"/>
        </w:rPr>
        <w:t>Au moins la pression manométrique totale mesurée dans l'emballage (c'est-à-dire la pression de</w:t>
      </w:r>
      <w:r>
        <w:rPr>
          <w:lang w:val="fr-FR"/>
        </w:rPr>
        <w:t xml:space="preserve"> </w:t>
      </w:r>
      <w:r w:rsidRPr="00FC2E0A">
        <w:rPr>
          <w:lang w:val="fr-FR"/>
        </w:rPr>
        <w:t>vapeur du liquide de remplissage additionnée de la pression partielle de l'air ou des autres gaz</w:t>
      </w:r>
      <w:r>
        <w:rPr>
          <w:lang w:val="fr-FR"/>
        </w:rPr>
        <w:t xml:space="preserve"> </w:t>
      </w:r>
      <w:r w:rsidRPr="00FC2E0A">
        <w:rPr>
          <w:lang w:val="fr-FR"/>
        </w:rPr>
        <w:t>inertes et diminuée de 100 kPa) à 55 °C, multipliée par un coefficient de sécurité de 1,5 ; pour</w:t>
      </w:r>
      <w:r>
        <w:rPr>
          <w:lang w:val="fr-FR"/>
        </w:rPr>
        <w:t xml:space="preserve"> </w:t>
      </w:r>
      <w:r w:rsidRPr="00FC2E0A">
        <w:rPr>
          <w:lang w:val="fr-FR"/>
        </w:rPr>
        <w:t xml:space="preserve">déterminer cette pression manométrique totale, il faut prendre pour base un </w:t>
      </w:r>
      <w:r w:rsidRPr="00FC2E0A">
        <w:rPr>
          <w:strike/>
          <w:lang w:val="fr-FR"/>
        </w:rPr>
        <w:t>taux</w:t>
      </w:r>
      <w:r>
        <w:rPr>
          <w:lang w:val="fr-FR"/>
        </w:rPr>
        <w:t xml:space="preserve"> </w:t>
      </w:r>
      <w:r w:rsidRPr="00FC2E0A">
        <w:rPr>
          <w:b/>
          <w:lang w:val="fr-FR"/>
        </w:rPr>
        <w:t>degré</w:t>
      </w:r>
      <w:r>
        <w:rPr>
          <w:lang w:val="fr-FR"/>
        </w:rPr>
        <w:t xml:space="preserve"> </w:t>
      </w:r>
      <w:r w:rsidRPr="00FC2E0A">
        <w:rPr>
          <w:lang w:val="fr-FR"/>
        </w:rPr>
        <w:t>de remplissage</w:t>
      </w:r>
      <w:r>
        <w:rPr>
          <w:lang w:val="fr-FR"/>
        </w:rPr>
        <w:t xml:space="preserve"> </w:t>
      </w:r>
      <w:r w:rsidRPr="00FC2E0A">
        <w:rPr>
          <w:lang w:val="fr-FR"/>
        </w:rPr>
        <w:t xml:space="preserve">maximal conforme à celui indiqué au 4.1.1.4 et une température de remplissage de 15 °C ; </w:t>
      </w:r>
      <w:proofErr w:type="gramStart"/>
      <w:r w:rsidRPr="00FC2E0A">
        <w:rPr>
          <w:lang w:val="fr-FR"/>
        </w:rPr>
        <w:t>ou</w:t>
      </w:r>
      <w:r>
        <w:rPr>
          <w:lang w:val="fr-FR"/>
        </w:rPr>
        <w:t> »</w:t>
      </w:r>
      <w:proofErr w:type="gramEnd"/>
    </w:p>
    <w:p w14:paraId="68CB948F" w14:textId="77777777" w:rsidR="00AD6EF5" w:rsidRPr="00DC73B1" w:rsidRDefault="00AD6EF5" w:rsidP="00AD6EF5">
      <w:pPr>
        <w:pStyle w:val="SingleTxtG"/>
        <w:rPr>
          <w:lang w:val="fr-FR"/>
        </w:rPr>
      </w:pPr>
      <w:r w:rsidRPr="00DC73B1">
        <w:rPr>
          <w:lang w:val="fr-FR"/>
        </w:rPr>
        <w:t>40.</w:t>
      </w:r>
      <w:r w:rsidRPr="00DC73B1">
        <w:rPr>
          <w:lang w:val="fr-FR"/>
        </w:rPr>
        <w:tab/>
      </w:r>
      <w:proofErr w:type="spellStart"/>
      <w:r w:rsidRPr="00DC73B1">
        <w:rPr>
          <w:lang w:val="fr-FR"/>
        </w:rPr>
        <w:t>Amend</w:t>
      </w:r>
      <w:proofErr w:type="spellEnd"/>
      <w:r w:rsidRPr="00DC73B1">
        <w:rPr>
          <w:lang w:val="fr-FR"/>
        </w:rPr>
        <w:t xml:space="preserve"> 6.5.5.1.7 as </w:t>
      </w:r>
      <w:proofErr w:type="spellStart"/>
      <w:proofErr w:type="gramStart"/>
      <w:r w:rsidRPr="00DC73B1">
        <w:rPr>
          <w:lang w:val="fr-FR"/>
        </w:rPr>
        <w:t>follows</w:t>
      </w:r>
      <w:proofErr w:type="spellEnd"/>
      <w:r w:rsidRPr="00DC73B1">
        <w:rPr>
          <w:lang w:val="fr-FR"/>
        </w:rPr>
        <w:t>:</w:t>
      </w:r>
      <w:proofErr w:type="gramEnd"/>
    </w:p>
    <w:p w14:paraId="650F0E2F" w14:textId="77777777" w:rsidR="00AD6EF5" w:rsidRDefault="00AD6EF5" w:rsidP="00AD6EF5">
      <w:pPr>
        <w:pStyle w:val="SingleTxtG"/>
        <w:ind w:left="1701"/>
        <w:rPr>
          <w:lang w:val="fr-FR"/>
        </w:rPr>
      </w:pPr>
      <w:r>
        <w:rPr>
          <w:lang w:val="fr-FR"/>
        </w:rPr>
        <w:t>« </w:t>
      </w:r>
      <w:r w:rsidRPr="00FC2E0A">
        <w:rPr>
          <w:lang w:val="fr-FR"/>
        </w:rPr>
        <w:t>Prescriptions relatives à la décompression : les GRV pour liquides doivent être conçus de manière</w:t>
      </w:r>
      <w:r>
        <w:rPr>
          <w:lang w:val="fr-FR"/>
        </w:rPr>
        <w:t xml:space="preserve"> </w:t>
      </w:r>
      <w:r w:rsidRPr="00FC2E0A">
        <w:rPr>
          <w:lang w:val="fr-FR"/>
        </w:rPr>
        <w:t xml:space="preserve">à </w:t>
      </w:r>
      <w:r w:rsidRPr="003E5EB4">
        <w:rPr>
          <w:rFonts w:ascii="TimesNewRomanPSMT" w:hAnsi="TimesNewRomanPSMT" w:cs="TimesNewRomanPSMT"/>
          <w:lang w:val="fr-FR"/>
        </w:rPr>
        <w:t>pouvoir</w:t>
      </w:r>
      <w:r w:rsidRPr="00FC2E0A">
        <w:rPr>
          <w:lang w:val="fr-FR"/>
        </w:rPr>
        <w:t xml:space="preserve"> évacuer les vapeurs dégagées en cas d'immersion dans les flammes avec un débit suffisant pour éviter une</w:t>
      </w:r>
      <w:r>
        <w:rPr>
          <w:lang w:val="fr-FR"/>
        </w:rPr>
        <w:t xml:space="preserve"> </w:t>
      </w:r>
      <w:r w:rsidRPr="00FC2E0A">
        <w:rPr>
          <w:lang w:val="fr-FR"/>
        </w:rPr>
        <w:t>rupture du corps. Ce résultat peut être obtenu au moyen de dispositifs de décompression classiques ou par d'autres</w:t>
      </w:r>
      <w:r>
        <w:rPr>
          <w:lang w:val="fr-FR"/>
        </w:rPr>
        <w:t xml:space="preserve"> </w:t>
      </w:r>
      <w:r w:rsidRPr="00FC2E0A">
        <w:rPr>
          <w:lang w:val="fr-FR"/>
        </w:rPr>
        <w:t>techniques de construction. La pression provoquant le fonctionnement de ces dispositifs ne doit pas être supérieure</w:t>
      </w:r>
      <w:r>
        <w:rPr>
          <w:lang w:val="fr-FR"/>
        </w:rPr>
        <w:t xml:space="preserve"> </w:t>
      </w:r>
      <w:r w:rsidRPr="00FC2E0A">
        <w:rPr>
          <w:lang w:val="fr-FR"/>
        </w:rPr>
        <w:t>à 65 kPa (0,65 bar) ni inférieure à la pression totale (manométrique) effective dans le GRV (pression de vapeur de la</w:t>
      </w:r>
      <w:r>
        <w:rPr>
          <w:lang w:val="fr-FR"/>
        </w:rPr>
        <w:t xml:space="preserve"> </w:t>
      </w:r>
      <w:r w:rsidRPr="00FC2E0A">
        <w:rPr>
          <w:lang w:val="fr-FR"/>
        </w:rPr>
        <w:t>matière transportée, plus pression partielle de l'air ou d'un gaz inerte, moins 100 kPa (1 bar)) à 55 °C, déterminée sur la</w:t>
      </w:r>
      <w:r>
        <w:rPr>
          <w:lang w:val="fr-FR"/>
        </w:rPr>
        <w:t xml:space="preserve"> </w:t>
      </w:r>
      <w:r w:rsidRPr="00FC2E0A">
        <w:rPr>
          <w:lang w:val="fr-FR"/>
        </w:rPr>
        <w:t xml:space="preserve">base d'un </w:t>
      </w:r>
      <w:r w:rsidRPr="00FC2E0A">
        <w:rPr>
          <w:strike/>
          <w:lang w:val="fr-FR"/>
        </w:rPr>
        <w:t>taux</w:t>
      </w:r>
      <w:r>
        <w:rPr>
          <w:lang w:val="fr-FR"/>
        </w:rPr>
        <w:t xml:space="preserve"> </w:t>
      </w:r>
      <w:r w:rsidRPr="00FC2E0A">
        <w:rPr>
          <w:b/>
          <w:lang w:val="fr-FR"/>
        </w:rPr>
        <w:t>degré</w:t>
      </w:r>
      <w:r>
        <w:rPr>
          <w:lang w:val="fr-FR"/>
        </w:rPr>
        <w:t xml:space="preserve"> </w:t>
      </w:r>
      <w:r w:rsidRPr="00FC2E0A">
        <w:rPr>
          <w:lang w:val="fr-FR"/>
        </w:rPr>
        <w:t>de remplissage maximal conforme au 4.1.1.4. Les dispositifs de décompression prescrits doivent être</w:t>
      </w:r>
      <w:r>
        <w:rPr>
          <w:lang w:val="fr-FR"/>
        </w:rPr>
        <w:t xml:space="preserve"> </w:t>
      </w:r>
      <w:r w:rsidRPr="00FC2E0A">
        <w:rPr>
          <w:lang w:val="fr-FR"/>
        </w:rPr>
        <w:t>installés dans la phase vapeur.</w:t>
      </w:r>
      <w:r>
        <w:rPr>
          <w:lang w:val="fr-FR"/>
        </w:rPr>
        <w:t> »</w:t>
      </w:r>
    </w:p>
    <w:p w14:paraId="0DA011EB" w14:textId="77777777" w:rsidR="00AD6EF5" w:rsidRPr="006E69EE" w:rsidRDefault="00AD6EF5" w:rsidP="00AD6EF5">
      <w:pPr>
        <w:pStyle w:val="SingleTxtG"/>
      </w:pPr>
      <w:r>
        <w:t>41</w:t>
      </w:r>
      <w:r w:rsidRPr="006E69EE">
        <w:t>.</w:t>
      </w:r>
      <w:r w:rsidRPr="006E69EE">
        <w:tab/>
        <w:t>Amend 6.5.6.8.4.2 (b)(</w:t>
      </w:r>
      <w:proofErr w:type="spellStart"/>
      <w:r w:rsidRPr="006E69EE">
        <w:t>i</w:t>
      </w:r>
      <w:proofErr w:type="spellEnd"/>
      <w:r w:rsidRPr="006E69EE">
        <w:t>) as follows:</w:t>
      </w:r>
    </w:p>
    <w:p w14:paraId="50DC2CFA" w14:textId="77777777" w:rsidR="00AD6EF5" w:rsidRDefault="00AD6EF5" w:rsidP="00AD6EF5">
      <w:pPr>
        <w:pStyle w:val="SingleTxtG"/>
        <w:ind w:left="1701"/>
        <w:rPr>
          <w:lang w:val="fr-FR"/>
        </w:rPr>
      </w:pPr>
      <w:r>
        <w:rPr>
          <w:lang w:val="fr-FR"/>
        </w:rPr>
        <w:t xml:space="preserve">« (i) </w:t>
      </w:r>
      <w:r w:rsidRPr="00FC2E0A">
        <w:rPr>
          <w:lang w:val="fr-FR"/>
        </w:rPr>
        <w:t>la pression manométrique totale mesurée dans le GRV (pression de vapeur de la matière</w:t>
      </w:r>
      <w:r>
        <w:rPr>
          <w:lang w:val="fr-FR"/>
        </w:rPr>
        <w:t xml:space="preserve"> </w:t>
      </w:r>
      <w:r w:rsidRPr="00FC2E0A">
        <w:rPr>
          <w:lang w:val="fr-FR"/>
        </w:rPr>
        <w:t>transportée, plus pression partielle de l'air ou d'un gaz inerte, moins 100 kPa) à 55 °C,</w:t>
      </w:r>
      <w:r>
        <w:rPr>
          <w:lang w:val="fr-FR"/>
        </w:rPr>
        <w:t xml:space="preserve"> </w:t>
      </w:r>
      <w:r w:rsidRPr="00FC2E0A">
        <w:rPr>
          <w:lang w:val="fr-FR"/>
        </w:rPr>
        <w:t>multipliée par un coefficient de sécurité de 1,5 ; pour déterminer cette pression</w:t>
      </w:r>
      <w:r>
        <w:rPr>
          <w:lang w:val="fr-FR"/>
        </w:rPr>
        <w:t xml:space="preserve"> </w:t>
      </w:r>
      <w:r w:rsidRPr="00FC2E0A">
        <w:rPr>
          <w:lang w:val="fr-FR"/>
        </w:rPr>
        <w:t xml:space="preserve">manométrique totale, on prend pour base un </w:t>
      </w:r>
      <w:r w:rsidRPr="00FC2E0A">
        <w:rPr>
          <w:strike/>
          <w:lang w:val="fr-FR"/>
        </w:rPr>
        <w:t>taux</w:t>
      </w:r>
      <w:r>
        <w:rPr>
          <w:lang w:val="fr-FR"/>
        </w:rPr>
        <w:t xml:space="preserve"> </w:t>
      </w:r>
      <w:r w:rsidRPr="00FC2E0A">
        <w:rPr>
          <w:b/>
          <w:lang w:val="fr-FR"/>
        </w:rPr>
        <w:t>degré</w:t>
      </w:r>
      <w:r>
        <w:rPr>
          <w:lang w:val="fr-FR"/>
        </w:rPr>
        <w:t xml:space="preserve"> </w:t>
      </w:r>
      <w:r w:rsidRPr="00FC2E0A">
        <w:rPr>
          <w:lang w:val="fr-FR"/>
        </w:rPr>
        <w:t>de remplissage maximal conformément</w:t>
      </w:r>
      <w:r>
        <w:rPr>
          <w:lang w:val="fr-FR"/>
        </w:rPr>
        <w:t xml:space="preserve"> </w:t>
      </w:r>
      <w:r w:rsidRPr="00FC2E0A">
        <w:rPr>
          <w:lang w:val="fr-FR"/>
        </w:rPr>
        <w:t>au 4.1.1.4 et une température de remplissage de 15 °</w:t>
      </w:r>
      <w:proofErr w:type="gramStart"/>
      <w:r w:rsidRPr="00FC2E0A">
        <w:rPr>
          <w:lang w:val="fr-FR"/>
        </w:rPr>
        <w:t>C;</w:t>
      </w:r>
      <w:proofErr w:type="gramEnd"/>
      <w:r>
        <w:rPr>
          <w:lang w:val="fr-FR"/>
        </w:rPr>
        <w:t> »</w:t>
      </w:r>
    </w:p>
    <w:p w14:paraId="29B64D09" w14:textId="77777777" w:rsidR="00AD6EF5" w:rsidRDefault="00AD6EF5" w:rsidP="00AD6EF5">
      <w:pPr>
        <w:pStyle w:val="SingleTxtG"/>
      </w:pPr>
      <w:r w:rsidRPr="007E204D">
        <w:t>42.</w:t>
      </w:r>
      <w:r w:rsidRPr="007E204D">
        <w:tab/>
      </w:r>
      <w:r w:rsidR="00D305E2">
        <w:rPr>
          <w:color w:val="FF0000"/>
          <w:lang w:val="en-US"/>
        </w:rPr>
        <w:t>A</w:t>
      </w:r>
      <w:r w:rsidR="00D305E2" w:rsidRPr="000F10C6">
        <w:rPr>
          <w:color w:val="FF0000"/>
        </w:rPr>
        <w:t>s proposed in th</w:t>
      </w:r>
      <w:r w:rsidR="00D305E2">
        <w:rPr>
          <w:color w:val="FF0000"/>
        </w:rPr>
        <w:t>is</w:t>
      </w:r>
      <w:r w:rsidR="00D305E2" w:rsidRPr="000F10C6">
        <w:rPr>
          <w:color w:val="FF0000"/>
        </w:rPr>
        <w:t xml:space="preserve"> informal document</w:t>
      </w:r>
      <w:r w:rsidR="00D305E2">
        <w:rPr>
          <w:lang w:val="en-US"/>
        </w:rPr>
        <w:t xml:space="preserve"> </w:t>
      </w:r>
      <w:r w:rsidR="003E4D37">
        <w:t xml:space="preserve">amend </w:t>
      </w:r>
      <w:r>
        <w:t>6.7.4.15.1 (</w:t>
      </w:r>
      <w:proofErr w:type="spellStart"/>
      <w:r>
        <w:t>i</w:t>
      </w:r>
      <w:proofErr w:type="spellEnd"/>
      <w:r>
        <w:t>)(iv)</w:t>
      </w:r>
      <w:r w:rsidR="00D305E2">
        <w:t xml:space="preserve"> </w:t>
      </w:r>
      <w:r>
        <w:t xml:space="preserve">as follows: </w:t>
      </w:r>
    </w:p>
    <w:p w14:paraId="51B6206B" w14:textId="77777777" w:rsidR="00AD6EF5" w:rsidRPr="00092723" w:rsidRDefault="00AD6EF5" w:rsidP="00AD6EF5">
      <w:pPr>
        <w:pStyle w:val="SingleTxtG"/>
        <w:ind w:left="1701"/>
        <w:rPr>
          <w:lang w:val="fr-FR"/>
        </w:rPr>
      </w:pPr>
      <w:r>
        <w:rPr>
          <w:lang w:val="fr-FR"/>
        </w:rPr>
        <w:t>« </w:t>
      </w:r>
      <w:r w:rsidRPr="00092723">
        <w:rPr>
          <w:lang w:val="fr-FR"/>
        </w:rPr>
        <w:t xml:space="preserve">(iv) </w:t>
      </w:r>
      <w:r w:rsidRPr="00E54EDD">
        <w:rPr>
          <w:b/>
          <w:bCs/>
          <w:color w:val="FF0000"/>
          <w:lang w:val="fr-FR"/>
        </w:rPr>
        <w:t>Masse maxim</w:t>
      </w:r>
      <w:r>
        <w:rPr>
          <w:b/>
          <w:bCs/>
          <w:color w:val="FF0000"/>
          <w:lang w:val="fr-FR"/>
        </w:rPr>
        <w:t>ale</w:t>
      </w:r>
      <w:r w:rsidRPr="00E54EDD">
        <w:rPr>
          <w:b/>
          <w:bCs/>
          <w:color w:val="FF0000"/>
          <w:lang w:val="fr-FR"/>
        </w:rPr>
        <w:t xml:space="preserve"> admissible de gaz rempli</w:t>
      </w:r>
      <w:r w:rsidR="009866D5">
        <w:rPr>
          <w:b/>
          <w:bCs/>
          <w:color w:val="FF0000"/>
          <w:lang w:val="fr-FR"/>
        </w:rPr>
        <w:t>e</w:t>
      </w:r>
      <w:r w:rsidRPr="00E54EDD">
        <w:rPr>
          <w:color w:val="FF0000"/>
          <w:lang w:val="fr-FR"/>
        </w:rPr>
        <w:t xml:space="preserve"> </w:t>
      </w:r>
      <w:r w:rsidRPr="00092723">
        <w:rPr>
          <w:lang w:val="fr-FR"/>
        </w:rPr>
        <w:t>(en kg)</w:t>
      </w:r>
      <w:proofErr w:type="gramStart"/>
      <w:r w:rsidRPr="00092723">
        <w:rPr>
          <w:vertAlign w:val="superscript"/>
          <w:lang w:val="fr-FR"/>
        </w:rPr>
        <w:t>3</w:t>
      </w:r>
      <w:r w:rsidRPr="00092723">
        <w:rPr>
          <w:lang w:val="fr-FR"/>
        </w:rPr>
        <w:t>;</w:t>
      </w:r>
      <w:proofErr w:type="gramEnd"/>
      <w:r>
        <w:rPr>
          <w:lang w:val="fr-FR"/>
        </w:rPr>
        <w:t> »</w:t>
      </w:r>
    </w:p>
    <w:p w14:paraId="53069405" w14:textId="77777777" w:rsidR="00AD6EF5" w:rsidRDefault="00AD6EF5" w:rsidP="00AD6EF5">
      <w:pPr>
        <w:pStyle w:val="SingleTxtG"/>
      </w:pPr>
      <w:r>
        <w:t>43.</w:t>
      </w:r>
      <w:r>
        <w:tab/>
      </w:r>
      <w:r w:rsidR="00D305E2">
        <w:rPr>
          <w:color w:val="FF0000"/>
          <w:lang w:val="en-US"/>
        </w:rPr>
        <w:t>A</w:t>
      </w:r>
      <w:r w:rsidR="00D305E2" w:rsidRPr="000F10C6">
        <w:rPr>
          <w:color w:val="FF0000"/>
        </w:rPr>
        <w:t>s proposed in th</w:t>
      </w:r>
      <w:r w:rsidR="00D305E2">
        <w:rPr>
          <w:color w:val="FF0000"/>
        </w:rPr>
        <w:t>is</w:t>
      </w:r>
      <w:r w:rsidR="00D305E2" w:rsidRPr="000F10C6">
        <w:rPr>
          <w:color w:val="FF0000"/>
        </w:rPr>
        <w:t xml:space="preserve"> informal document</w:t>
      </w:r>
      <w:r>
        <w:t xml:space="preserve"> Figure 6.7.4.15.1 in its last column under “TEMPS DE RETENUE” </w:t>
      </w:r>
      <w:proofErr w:type="gramStart"/>
      <w:r>
        <w:t>has to</w:t>
      </w:r>
      <w:proofErr w:type="gramEnd"/>
      <w:r>
        <w:t xml:space="preserve"> be amended as follows:</w:t>
      </w:r>
    </w:p>
    <w:p w14:paraId="3E6953EA" w14:textId="77777777" w:rsidR="00AD6EF5" w:rsidRPr="00A07CE9" w:rsidRDefault="00AD6EF5" w:rsidP="00AD6EF5">
      <w:pPr>
        <w:pStyle w:val="SingleTxtG"/>
        <w:ind w:left="1701"/>
        <w:rPr>
          <w:b/>
          <w:bCs/>
          <w:lang w:val="fr-FR"/>
        </w:rPr>
      </w:pPr>
      <w:r w:rsidRPr="00A07CE9">
        <w:rPr>
          <w:lang w:val="fr-FR"/>
        </w:rPr>
        <w:t>« </w:t>
      </w:r>
      <w:r w:rsidRPr="00E54EDD">
        <w:rPr>
          <w:b/>
          <w:bCs/>
          <w:color w:val="FF0000"/>
          <w:lang w:val="fr-FR"/>
        </w:rPr>
        <w:t>Masse maxim</w:t>
      </w:r>
      <w:r>
        <w:rPr>
          <w:b/>
          <w:bCs/>
          <w:color w:val="FF0000"/>
          <w:lang w:val="fr-FR"/>
        </w:rPr>
        <w:t>ale</w:t>
      </w:r>
      <w:r w:rsidRPr="00E54EDD">
        <w:rPr>
          <w:b/>
          <w:bCs/>
          <w:color w:val="FF0000"/>
          <w:lang w:val="fr-FR"/>
        </w:rPr>
        <w:t xml:space="preserve"> admissible de gaz rempli</w:t>
      </w:r>
      <w:r w:rsidR="009866D5">
        <w:rPr>
          <w:b/>
          <w:bCs/>
          <w:color w:val="FF0000"/>
          <w:lang w:val="fr-FR"/>
        </w:rPr>
        <w:t>e</w:t>
      </w:r>
      <w:r w:rsidRPr="00E54EDD">
        <w:rPr>
          <w:color w:val="FF0000"/>
          <w:lang w:val="fr-FR"/>
        </w:rPr>
        <w:t xml:space="preserve"> </w:t>
      </w:r>
      <w:r w:rsidRPr="00A07CE9">
        <w:rPr>
          <w:lang w:val="fr-FR"/>
        </w:rPr>
        <w:t>»</w:t>
      </w:r>
    </w:p>
    <w:p w14:paraId="69C51883" w14:textId="77777777" w:rsidR="00AD6EF5" w:rsidRPr="00DC73B1" w:rsidRDefault="00AD6EF5" w:rsidP="00AD6EF5">
      <w:pPr>
        <w:pStyle w:val="SingleTxtG"/>
        <w:ind w:left="1701"/>
      </w:pPr>
      <w:r w:rsidRPr="00DC73B1">
        <w:rPr>
          <w:b/>
          <w:bCs/>
        </w:rPr>
        <w:t>« </w:t>
      </w:r>
      <w:r w:rsidRPr="00DC73B1">
        <w:t>kg »</w:t>
      </w:r>
    </w:p>
    <w:p w14:paraId="494A57FE" w14:textId="77777777" w:rsidR="00AD6EF5" w:rsidRDefault="00AD6EF5" w:rsidP="00AD6EF5">
      <w:pPr>
        <w:pStyle w:val="HChG"/>
      </w:pPr>
      <w:r>
        <w:tab/>
      </w:r>
      <w:r>
        <w:tab/>
      </w:r>
      <w:r w:rsidRPr="006E69EE">
        <w:t xml:space="preserve">Proposals for </w:t>
      </w:r>
      <w:r>
        <w:t xml:space="preserve">amending </w:t>
      </w:r>
      <w:r w:rsidRPr="006E69EE">
        <w:t>the Spanish language version</w:t>
      </w:r>
    </w:p>
    <w:p w14:paraId="441E9586" w14:textId="77777777" w:rsidR="00AD6EF5" w:rsidRDefault="00AD6EF5" w:rsidP="00AD6EF5">
      <w:pPr>
        <w:pStyle w:val="SingleTxtG"/>
      </w:pPr>
      <w:r>
        <w:t>44</w:t>
      </w:r>
      <w:r w:rsidRPr="007F6BBF">
        <w:t>.</w:t>
      </w:r>
      <w:r w:rsidRPr="007F6BBF">
        <w:tab/>
      </w:r>
      <w:r>
        <w:t>I</w:t>
      </w:r>
      <w:r w:rsidRPr="007F6BBF">
        <w:t xml:space="preserve">n 1.2.1 </w:t>
      </w:r>
      <w:r>
        <w:t>a</w:t>
      </w:r>
      <w:r w:rsidRPr="007F6BBF">
        <w:t>mend the definition</w:t>
      </w:r>
      <w:r>
        <w:t>s</w:t>
      </w:r>
      <w:r w:rsidRPr="007F6BBF">
        <w:t xml:space="preserve"> </w:t>
      </w:r>
      <w:r>
        <w:t>for “</w:t>
      </w:r>
      <w:proofErr w:type="spellStart"/>
      <w:r>
        <w:t>razón</w:t>
      </w:r>
      <w:proofErr w:type="spellEnd"/>
      <w:r>
        <w:t xml:space="preserve"> de </w:t>
      </w:r>
      <w:proofErr w:type="spellStart"/>
      <w:r>
        <w:t>llenado</w:t>
      </w:r>
      <w:proofErr w:type="spellEnd"/>
      <w:r>
        <w:t>” and “</w:t>
      </w:r>
      <w:proofErr w:type="spellStart"/>
      <w:r>
        <w:t>tasa</w:t>
      </w:r>
      <w:proofErr w:type="spellEnd"/>
      <w:r>
        <w:t xml:space="preserve"> de </w:t>
      </w:r>
      <w:proofErr w:type="spellStart"/>
      <w:r>
        <w:t>llenado</w:t>
      </w:r>
      <w:proofErr w:type="spellEnd"/>
      <w:r>
        <w:t xml:space="preserve">” </w:t>
      </w:r>
      <w:r w:rsidRPr="007F6BBF">
        <w:t>to read as follows:</w:t>
      </w:r>
    </w:p>
    <w:p w14:paraId="645AFEE2" w14:textId="77777777" w:rsidR="00AD6EF5" w:rsidRDefault="00AD6EF5" w:rsidP="00AD6EF5">
      <w:pPr>
        <w:pStyle w:val="SingleTxtG"/>
        <w:ind w:left="1701"/>
        <w:rPr>
          <w:lang w:val="es-ES"/>
        </w:rPr>
      </w:pPr>
      <w:r w:rsidRPr="00886148">
        <w:rPr>
          <w:lang w:val="es-ES"/>
        </w:rPr>
        <w:t>“</w:t>
      </w:r>
      <w:r w:rsidRPr="004C045E">
        <w:rPr>
          <w:lang w:val="es-ES"/>
        </w:rPr>
        <w:t>Por</w:t>
      </w:r>
      <w:r w:rsidRPr="00981D3B">
        <w:rPr>
          <w:i/>
          <w:iCs/>
          <w:lang w:val="es-ES"/>
        </w:rPr>
        <w:t xml:space="preserve"> razón </w:t>
      </w:r>
      <w:r w:rsidRPr="00981D3B">
        <w:rPr>
          <w:i/>
          <w:iCs/>
          <w:strike/>
          <w:lang w:val="es-ES"/>
        </w:rPr>
        <w:t>(tasa)</w:t>
      </w:r>
      <w:r w:rsidRPr="00981D3B">
        <w:rPr>
          <w:i/>
          <w:iCs/>
          <w:lang w:val="es-ES"/>
        </w:rPr>
        <w:t xml:space="preserve"> de llenado</w:t>
      </w:r>
      <w:r w:rsidRPr="007F6BBF">
        <w:rPr>
          <w:lang w:val="es-ES"/>
        </w:rPr>
        <w:t>, la relaci</w:t>
      </w:r>
      <w:r>
        <w:rPr>
          <w:lang w:val="es-ES"/>
        </w:rPr>
        <w:t>ón entre la masa de gas y la masa de agua a 15 </w:t>
      </w:r>
      <w:proofErr w:type="spellStart"/>
      <w:r>
        <w:rPr>
          <w:lang w:val="es-ES"/>
        </w:rPr>
        <w:t>ºC</w:t>
      </w:r>
      <w:proofErr w:type="spellEnd"/>
      <w:r>
        <w:rPr>
          <w:lang w:val="es-ES"/>
        </w:rPr>
        <w:t xml:space="preserve"> que llenaría totalmente un recipiente a presión listo para su uso.</w:t>
      </w:r>
    </w:p>
    <w:p w14:paraId="11F10FB4" w14:textId="77777777" w:rsidR="00AD6EF5" w:rsidRPr="007F6BBF" w:rsidRDefault="00AD6EF5" w:rsidP="00AD6EF5">
      <w:pPr>
        <w:pStyle w:val="SingleTxtG"/>
        <w:ind w:firstLine="567"/>
        <w:rPr>
          <w:strike/>
          <w:lang w:val="es-ES"/>
        </w:rPr>
      </w:pPr>
      <w:r w:rsidRPr="007F6BBF">
        <w:rPr>
          <w:strike/>
          <w:lang w:val="es-ES"/>
        </w:rPr>
        <w:t xml:space="preserve">Por </w:t>
      </w:r>
      <w:r w:rsidRPr="00981D3B">
        <w:rPr>
          <w:i/>
          <w:iCs/>
          <w:strike/>
          <w:lang w:val="es-ES"/>
        </w:rPr>
        <w:t>tasa de llenado</w:t>
      </w:r>
      <w:r w:rsidRPr="007F6BBF">
        <w:rPr>
          <w:strike/>
          <w:lang w:val="es-ES"/>
        </w:rPr>
        <w:t>, véase “</w:t>
      </w:r>
      <w:r w:rsidRPr="00981D3B">
        <w:rPr>
          <w:i/>
          <w:iCs/>
          <w:strike/>
          <w:lang w:val="es-ES"/>
        </w:rPr>
        <w:t>Razón de llenado</w:t>
      </w:r>
      <w:r w:rsidRPr="007F6BBF">
        <w:rPr>
          <w:strike/>
          <w:lang w:val="es-ES"/>
        </w:rPr>
        <w:t>”</w:t>
      </w:r>
      <w:r>
        <w:rPr>
          <w:strike/>
          <w:lang w:val="es-ES"/>
        </w:rPr>
        <w:t>;</w:t>
      </w:r>
      <w:r w:rsidRPr="009431B6">
        <w:rPr>
          <w:lang w:val="es-ES"/>
        </w:rPr>
        <w:t>”</w:t>
      </w:r>
    </w:p>
    <w:p w14:paraId="67F41992" w14:textId="77777777" w:rsidR="00AD6EF5" w:rsidRPr="006E69EE" w:rsidRDefault="00AD6EF5" w:rsidP="00AD6EF5">
      <w:pPr>
        <w:pStyle w:val="SingleTxtG"/>
      </w:pPr>
      <w:r>
        <w:t>45</w:t>
      </w:r>
      <w:r w:rsidRPr="006E69EE">
        <w:t>.</w:t>
      </w:r>
      <w:r w:rsidRPr="006E69EE">
        <w:tab/>
        <w:t xml:space="preserve">Amend </w:t>
      </w:r>
      <w:r>
        <w:t>in 3.3.1 special provision</w:t>
      </w:r>
      <w:r w:rsidRPr="006E69EE">
        <w:t xml:space="preserve"> 392 </w:t>
      </w:r>
      <w:r>
        <w:t>(</w:t>
      </w:r>
      <w:r w:rsidRPr="006E69EE">
        <w:t>f) to</w:t>
      </w:r>
      <w:r>
        <w:t xml:space="preserve"> </w:t>
      </w:r>
      <w:r w:rsidRPr="006E69EE">
        <w:t>read as follows:</w:t>
      </w:r>
    </w:p>
    <w:p w14:paraId="1A85E430" w14:textId="77777777" w:rsidR="00AD6EF5" w:rsidRDefault="00AD6EF5" w:rsidP="00AD6EF5">
      <w:pPr>
        <w:pStyle w:val="SingleTxtG"/>
        <w:ind w:left="1701"/>
        <w:rPr>
          <w:lang w:val="es-ES"/>
        </w:rPr>
      </w:pPr>
      <w:r>
        <w:rPr>
          <w:lang w:val="es-ES"/>
        </w:rPr>
        <w:t>“</w:t>
      </w:r>
      <w:r w:rsidRPr="00322462">
        <w:rPr>
          <w:lang w:val="es-ES"/>
        </w:rPr>
        <w:t>Excepto en el caso de los sistemas de contenci</w:t>
      </w:r>
      <w:r>
        <w:rPr>
          <w:lang w:val="es-ES"/>
        </w:rPr>
        <w:t xml:space="preserve">ón de gas combustible retirados para su eliminación, reciclado, reparación, inspección o mantenimiento, dicho sistemas se llenarán con no más del 20% de </w:t>
      </w:r>
      <w:r w:rsidRPr="00322462">
        <w:rPr>
          <w:strike/>
          <w:lang w:val="es-ES"/>
        </w:rPr>
        <w:t>volumen nominal</w:t>
      </w:r>
      <w:r>
        <w:rPr>
          <w:lang w:val="es-ES"/>
        </w:rPr>
        <w:t xml:space="preserve"> </w:t>
      </w:r>
      <w:r>
        <w:rPr>
          <w:b/>
          <w:lang w:val="es-ES"/>
        </w:rPr>
        <w:t>la razón</w:t>
      </w:r>
      <w:r>
        <w:rPr>
          <w:lang w:val="es-ES"/>
        </w:rPr>
        <w:t xml:space="preserve"> de llenado o presión nominal de servicio, según proceda;”</w:t>
      </w:r>
    </w:p>
    <w:p w14:paraId="1D8FB95E" w14:textId="77777777" w:rsidR="00AD6EF5" w:rsidRPr="006E69EE" w:rsidRDefault="00AD6EF5" w:rsidP="00AD6EF5">
      <w:pPr>
        <w:pStyle w:val="SingleTxtG"/>
      </w:pPr>
      <w:r>
        <w:t>46</w:t>
      </w:r>
      <w:r w:rsidRPr="006E69EE">
        <w:t>.</w:t>
      </w:r>
      <w:r w:rsidRPr="006E69EE">
        <w:tab/>
        <w:t xml:space="preserve">Amend 4.1.1.10 </w:t>
      </w:r>
      <w:r>
        <w:t>(</w:t>
      </w:r>
      <w:r w:rsidRPr="006E69EE">
        <w:t>a) to</w:t>
      </w:r>
      <w:r>
        <w:t xml:space="preserve"> </w:t>
      </w:r>
      <w:r w:rsidRPr="006E69EE">
        <w:t>read as follows:</w:t>
      </w:r>
    </w:p>
    <w:p w14:paraId="2DC6F9E8" w14:textId="77777777" w:rsidR="00AD6EF5" w:rsidRDefault="00AD6EF5" w:rsidP="00AD6EF5">
      <w:pPr>
        <w:pStyle w:val="SingleTxtG"/>
        <w:ind w:left="1701"/>
        <w:rPr>
          <w:lang w:val="es-ES"/>
        </w:rPr>
      </w:pPr>
      <w:r>
        <w:rPr>
          <w:lang w:val="es-ES"/>
        </w:rPr>
        <w:t xml:space="preserve">“La presión manométrica total dentro del embalaje/envase o del RIG (es decir, la suma de la presión de vapor de </w:t>
      </w:r>
      <w:r w:rsidRPr="00DC73B1">
        <w:rPr>
          <w:rFonts w:ascii="TimesNewRomanPSMT" w:hAnsi="TimesNewRomanPSMT" w:cs="TimesNewRomanPSMT"/>
          <w:lang w:val="es-ES"/>
        </w:rPr>
        <w:t>la</w:t>
      </w:r>
      <w:r>
        <w:rPr>
          <w:lang w:val="es-ES"/>
        </w:rPr>
        <w:t xml:space="preserve"> sustancia contenida y de la presión parcial del aire o de otros gases inertes, menos 100 kPa) a 55º C, determinada con arreglo </w:t>
      </w:r>
      <w:proofErr w:type="spellStart"/>
      <w:proofErr w:type="gramStart"/>
      <w:r>
        <w:rPr>
          <w:lang w:val="es-ES"/>
        </w:rPr>
        <w:t>a</w:t>
      </w:r>
      <w:r w:rsidRPr="00EE5197">
        <w:rPr>
          <w:b/>
          <w:lang w:val="es-ES"/>
        </w:rPr>
        <w:t>l</w:t>
      </w:r>
      <w:proofErr w:type="spellEnd"/>
      <w:r>
        <w:rPr>
          <w:lang w:val="es-ES"/>
        </w:rPr>
        <w:t xml:space="preserve"> </w:t>
      </w:r>
      <w:r w:rsidRPr="003E7A0D">
        <w:rPr>
          <w:strike/>
          <w:lang w:val="es-ES"/>
        </w:rPr>
        <w:t>la razón</w:t>
      </w:r>
      <w:proofErr w:type="gramEnd"/>
      <w:r>
        <w:rPr>
          <w:lang w:val="es-ES"/>
        </w:rPr>
        <w:t xml:space="preserve"> </w:t>
      </w:r>
      <w:r w:rsidRPr="003E7A0D">
        <w:rPr>
          <w:b/>
          <w:lang w:val="es-ES"/>
        </w:rPr>
        <w:t>grado</w:t>
      </w:r>
      <w:r>
        <w:rPr>
          <w:lang w:val="es-ES"/>
        </w:rPr>
        <w:t xml:space="preserve"> </w:t>
      </w:r>
      <w:proofErr w:type="spellStart"/>
      <w:r>
        <w:rPr>
          <w:lang w:val="es-ES"/>
        </w:rPr>
        <w:t>máxim</w:t>
      </w:r>
      <w:r w:rsidRPr="003E7A0D">
        <w:rPr>
          <w:strike/>
          <w:lang w:val="es-ES"/>
        </w:rPr>
        <w:t>a</w:t>
      </w:r>
      <w:r w:rsidRPr="003E7A0D">
        <w:rPr>
          <w:b/>
          <w:lang w:val="es-ES"/>
        </w:rPr>
        <w:t>o</w:t>
      </w:r>
      <w:proofErr w:type="spellEnd"/>
      <w:r>
        <w:rPr>
          <w:lang w:val="es-ES"/>
        </w:rPr>
        <w:t xml:space="preserve"> de llenado conforme al 4.1.1.4, a una temperatura de llenado de 15º C, no exceda de dos tercios de la presión de ensayo marcada; o”</w:t>
      </w:r>
    </w:p>
    <w:p w14:paraId="456DF9F2" w14:textId="77777777" w:rsidR="00AD6EF5" w:rsidRPr="00971BC3" w:rsidRDefault="00AD6EF5" w:rsidP="00AD6EF5">
      <w:pPr>
        <w:pStyle w:val="SingleTxtG"/>
      </w:pPr>
      <w:r w:rsidRPr="00D305E2">
        <w:rPr>
          <w:color w:val="FF0000"/>
        </w:rPr>
        <w:t>46.bis</w:t>
      </w:r>
      <w:r w:rsidRPr="00971BC3">
        <w:rPr>
          <w:color w:val="FF0000"/>
        </w:rPr>
        <w:t xml:space="preserve"> </w:t>
      </w:r>
      <w:r w:rsidR="00D305E2">
        <w:rPr>
          <w:color w:val="FF0000"/>
          <w:lang w:val="en-US"/>
        </w:rPr>
        <w:t>A</w:t>
      </w:r>
      <w:r w:rsidR="00D305E2" w:rsidRPr="000F10C6">
        <w:rPr>
          <w:color w:val="FF0000"/>
        </w:rPr>
        <w:t>s proposed in th</w:t>
      </w:r>
      <w:r w:rsidR="00D305E2">
        <w:rPr>
          <w:color w:val="FF0000"/>
        </w:rPr>
        <w:t>is</w:t>
      </w:r>
      <w:r w:rsidR="00D305E2" w:rsidRPr="000F10C6">
        <w:rPr>
          <w:color w:val="FF0000"/>
        </w:rPr>
        <w:t xml:space="preserve"> informal document</w:t>
      </w:r>
      <w:r w:rsidR="00D305E2">
        <w:rPr>
          <w:lang w:val="en-US"/>
        </w:rPr>
        <w:t xml:space="preserve"> </w:t>
      </w:r>
      <w:r w:rsidR="00D305E2">
        <w:t>a</w:t>
      </w:r>
      <w:r w:rsidRPr="00971BC3">
        <w:t>mend P203 (5) to read a</w:t>
      </w:r>
      <w:r>
        <w:t>s follows:</w:t>
      </w:r>
    </w:p>
    <w:p w14:paraId="271A8964" w14:textId="77777777" w:rsidR="00AD6EF5" w:rsidRPr="00C37549" w:rsidRDefault="00AD6EF5" w:rsidP="00AD6EF5">
      <w:pPr>
        <w:pStyle w:val="SingleTxtG"/>
        <w:ind w:left="1701"/>
        <w:rPr>
          <w:b/>
          <w:bCs/>
          <w:color w:val="FF0000"/>
          <w:lang w:val="es-ES"/>
        </w:rPr>
      </w:pPr>
      <w:r w:rsidRPr="00C37549">
        <w:rPr>
          <w:strike/>
          <w:lang w:val="es-ES"/>
        </w:rPr>
        <w:t>Razón de</w:t>
      </w:r>
      <w:r>
        <w:rPr>
          <w:lang w:val="es-ES"/>
        </w:rPr>
        <w:t xml:space="preserve"> </w:t>
      </w:r>
      <w:r w:rsidRPr="00C37549">
        <w:rPr>
          <w:b/>
          <w:bCs/>
          <w:color w:val="FF0000"/>
          <w:lang w:val="es-ES"/>
        </w:rPr>
        <w:t>Llenado</w:t>
      </w:r>
    </w:p>
    <w:p w14:paraId="401577F4" w14:textId="77777777" w:rsidR="00AD6EF5" w:rsidRDefault="00AD6EF5" w:rsidP="00AD6EF5">
      <w:pPr>
        <w:pStyle w:val="SingleTxtG"/>
        <w:ind w:left="1701"/>
        <w:rPr>
          <w:lang w:val="es-ES"/>
        </w:rPr>
      </w:pPr>
      <w:r>
        <w:rPr>
          <w:lang w:val="es-ES"/>
        </w:rPr>
        <w:t>En el caso de los gases licuados refrigerados no inflamables y no tóxicos, el volumen de la fase líquida a la temperatura de llenado y a una presión de 100 kPa (1 bar) no deberá superar el 98% de la capacidad (en agua) del recipiente a presión.</w:t>
      </w:r>
    </w:p>
    <w:p w14:paraId="12A78F14" w14:textId="77777777" w:rsidR="00AD6EF5" w:rsidRDefault="00AD6EF5" w:rsidP="00AD6EF5">
      <w:pPr>
        <w:pStyle w:val="SingleTxtG"/>
        <w:ind w:left="1701"/>
        <w:rPr>
          <w:lang w:val="es-ES"/>
        </w:rPr>
      </w:pPr>
      <w:r>
        <w:rPr>
          <w:lang w:val="es-ES"/>
        </w:rPr>
        <w:t xml:space="preserve">En el caso de los gases licuados refrigerados inflamables, </w:t>
      </w:r>
      <w:r w:rsidRPr="00C37549">
        <w:rPr>
          <w:strike/>
          <w:lang w:val="es-ES"/>
        </w:rPr>
        <w:t>la razón de llenado</w:t>
      </w:r>
      <w:r>
        <w:rPr>
          <w:lang w:val="es-ES"/>
        </w:rPr>
        <w:t xml:space="preserve"> </w:t>
      </w:r>
      <w:r w:rsidRPr="00C37549">
        <w:rPr>
          <w:b/>
          <w:bCs/>
          <w:color w:val="FF0000"/>
          <w:lang w:val="es-ES"/>
        </w:rPr>
        <w:t xml:space="preserve">el gas </w:t>
      </w:r>
      <w:r w:rsidR="00D305E2">
        <w:rPr>
          <w:b/>
          <w:bCs/>
          <w:color w:val="FF0000"/>
          <w:lang w:val="es-ES"/>
        </w:rPr>
        <w:t>llenado</w:t>
      </w:r>
      <w:r w:rsidRPr="00C37549">
        <w:rPr>
          <w:b/>
          <w:bCs/>
          <w:color w:val="FF0000"/>
          <w:lang w:val="es-ES"/>
        </w:rPr>
        <w:t xml:space="preserve"> en el recipiente</w:t>
      </w:r>
      <w:r w:rsidRPr="00C37549">
        <w:rPr>
          <w:color w:val="FF0000"/>
          <w:lang w:val="es-ES"/>
        </w:rPr>
        <w:t xml:space="preserve"> </w:t>
      </w:r>
      <w:r>
        <w:rPr>
          <w:lang w:val="es-ES"/>
        </w:rPr>
        <w:t xml:space="preserve">se mantendrá por debajo del nivel en el que, cuando el contenido se somete a la temperatura a la cual la tensión de vapor iguala a la presión de apertura de las válvulas de descomprensión, el volumen alcance el 98% de la capacidad (en agua) a esa temperatura. </w:t>
      </w:r>
    </w:p>
    <w:p w14:paraId="4128B806" w14:textId="77777777" w:rsidR="00AD6EF5" w:rsidRPr="00C6499F" w:rsidRDefault="00AD6EF5" w:rsidP="00AD6EF5">
      <w:pPr>
        <w:pStyle w:val="SingleTxtG"/>
      </w:pPr>
      <w:r w:rsidRPr="00C6499F">
        <w:t>47.</w:t>
      </w:r>
      <w:r w:rsidRPr="00C6499F">
        <w:tab/>
        <w:t xml:space="preserve">Amend 4.1.7.0.1 </w:t>
      </w:r>
      <w:r w:rsidRPr="006E69EE">
        <w:t>to</w:t>
      </w:r>
      <w:r>
        <w:t xml:space="preserve"> </w:t>
      </w:r>
      <w:r w:rsidRPr="006E69EE">
        <w:t xml:space="preserve">read </w:t>
      </w:r>
      <w:r w:rsidRPr="00C6499F">
        <w:t>as follows:</w:t>
      </w:r>
    </w:p>
    <w:p w14:paraId="52289C24" w14:textId="77777777" w:rsidR="00AD6EF5" w:rsidRDefault="00AD6EF5" w:rsidP="00AD6EF5">
      <w:pPr>
        <w:pStyle w:val="SingleTxtG"/>
        <w:ind w:left="1701"/>
        <w:rPr>
          <w:lang w:val="es-ES"/>
        </w:rPr>
      </w:pPr>
      <w:r>
        <w:rPr>
          <w:lang w:val="es-ES"/>
        </w:rPr>
        <w:t xml:space="preserve">“Todos los recipientes destinados a los peróxidos orgánicos deberán ser cerrados “de forma efectiva”. Cuando a causa de la evolución del gas puedan originarse presiones internas significativas en el bulto, se podrá instalar un dispositivo de purga siempre que el gas emitido no cause ningún peligro, pues en ese caso se habrá de limitar </w:t>
      </w:r>
      <w:r w:rsidRPr="00B52831">
        <w:rPr>
          <w:strike/>
          <w:lang w:val="es-ES"/>
        </w:rPr>
        <w:t>la razón</w:t>
      </w:r>
      <w:r>
        <w:rPr>
          <w:lang w:val="es-ES"/>
        </w:rPr>
        <w:t xml:space="preserve"> </w:t>
      </w:r>
      <w:r w:rsidRPr="00B52831">
        <w:rPr>
          <w:b/>
          <w:lang w:val="es-ES"/>
        </w:rPr>
        <w:t>el</w:t>
      </w:r>
      <w:r>
        <w:rPr>
          <w:lang w:val="es-ES"/>
        </w:rPr>
        <w:t xml:space="preserve"> </w:t>
      </w:r>
      <w:r w:rsidRPr="00B52831">
        <w:rPr>
          <w:b/>
          <w:lang w:val="es-ES"/>
        </w:rPr>
        <w:t>grado</w:t>
      </w:r>
      <w:r>
        <w:rPr>
          <w:lang w:val="es-ES"/>
        </w:rPr>
        <w:t xml:space="preserve"> de llenado. El dispositivo de purga </w:t>
      </w:r>
      <w:r w:rsidRPr="00DC73B1">
        <w:rPr>
          <w:rFonts w:ascii="TimesNewRomanPSMT" w:hAnsi="TimesNewRomanPSMT" w:cs="TimesNewRomanPSMT"/>
          <w:lang w:val="es-ES"/>
        </w:rPr>
        <w:t>deberá</w:t>
      </w:r>
      <w:r>
        <w:rPr>
          <w:lang w:val="es-ES"/>
        </w:rPr>
        <w:t xml:space="preserve"> estar construido de forma que el líquido no pueda salir del bulto cuando éste se encuentre en posición vertical y habrá de poder evitar la entrada de impurezas. El embalaje/envase exterior, si existe, deberá estar diseñado de forma que no interfiera en el funcionamiento del dispositivo de purga.” </w:t>
      </w:r>
    </w:p>
    <w:p w14:paraId="7AFAE25F" w14:textId="77777777" w:rsidR="00AD6EF5" w:rsidRPr="0066029D" w:rsidRDefault="00AD6EF5" w:rsidP="00AD6EF5">
      <w:pPr>
        <w:pStyle w:val="SingleTxtG"/>
      </w:pPr>
      <w:r w:rsidRPr="0066029D">
        <w:t>48.</w:t>
      </w:r>
      <w:r w:rsidRPr="0066029D">
        <w:tab/>
      </w:r>
      <w:r w:rsidR="00D305E2">
        <w:rPr>
          <w:color w:val="FF0000"/>
          <w:lang w:val="en-US"/>
        </w:rPr>
        <w:t>A</w:t>
      </w:r>
      <w:r w:rsidR="00D305E2" w:rsidRPr="000F10C6">
        <w:rPr>
          <w:color w:val="FF0000"/>
        </w:rPr>
        <w:t>s proposed in th</w:t>
      </w:r>
      <w:r w:rsidR="00D305E2">
        <w:rPr>
          <w:color w:val="FF0000"/>
        </w:rPr>
        <w:t>is</w:t>
      </w:r>
      <w:r w:rsidR="00D305E2" w:rsidRPr="000F10C6">
        <w:rPr>
          <w:color w:val="FF0000"/>
        </w:rPr>
        <w:t xml:space="preserve"> informal document</w:t>
      </w:r>
      <w:r w:rsidR="00D305E2">
        <w:t xml:space="preserve"> a</w:t>
      </w:r>
      <w:r w:rsidRPr="0066029D">
        <w:t>mend 4.2.3.6.2 to read as follows:</w:t>
      </w:r>
    </w:p>
    <w:p w14:paraId="05CB59CA" w14:textId="77777777" w:rsidR="00AD6EF5" w:rsidRDefault="00AD6EF5" w:rsidP="00AD6EF5">
      <w:pPr>
        <w:pStyle w:val="SingleTxtG"/>
        <w:ind w:left="1701"/>
        <w:rPr>
          <w:lang w:val="es-ES"/>
        </w:rPr>
      </w:pPr>
      <w:r>
        <w:rPr>
          <w:lang w:val="es-ES"/>
        </w:rPr>
        <w:t xml:space="preserve">“Al determinar </w:t>
      </w:r>
      <w:r w:rsidRPr="002A5F1B">
        <w:rPr>
          <w:strike/>
          <w:lang w:val="es-ES"/>
        </w:rPr>
        <w:t>el grado</w:t>
      </w:r>
      <w:r>
        <w:rPr>
          <w:lang w:val="es-ES"/>
        </w:rPr>
        <w:t xml:space="preserve"> </w:t>
      </w:r>
      <w:r w:rsidRPr="00101459">
        <w:rPr>
          <w:b/>
          <w:color w:val="FF0000"/>
          <w:lang w:val="es-ES"/>
        </w:rPr>
        <w:t>la cantidad</w:t>
      </w:r>
      <w:r w:rsidRPr="00101459">
        <w:rPr>
          <w:color w:val="FF0000"/>
          <w:lang w:val="es-ES"/>
        </w:rPr>
        <w:t xml:space="preserve"> </w:t>
      </w:r>
      <w:r>
        <w:rPr>
          <w:lang w:val="es-ES"/>
        </w:rPr>
        <w:t xml:space="preserve">inicial de </w:t>
      </w:r>
      <w:r w:rsidRPr="00101459">
        <w:rPr>
          <w:b/>
          <w:bCs/>
          <w:color w:val="FF0000"/>
          <w:lang w:val="es-ES"/>
        </w:rPr>
        <w:t>gas</w:t>
      </w:r>
      <w:r>
        <w:rPr>
          <w:lang w:val="es-ES"/>
        </w:rPr>
        <w:t xml:space="preserve"> </w:t>
      </w:r>
      <w:r w:rsidR="003E4D37">
        <w:rPr>
          <w:b/>
          <w:bCs/>
          <w:color w:val="FF0000"/>
          <w:lang w:val="es-ES"/>
        </w:rPr>
        <w:t>llenad</w:t>
      </w:r>
      <w:r w:rsidR="00AE405A">
        <w:rPr>
          <w:b/>
          <w:bCs/>
          <w:color w:val="FF0000"/>
          <w:lang w:val="es-ES"/>
        </w:rPr>
        <w:t>o</w:t>
      </w:r>
      <w:r>
        <w:rPr>
          <w:lang w:val="es-ES"/>
        </w:rPr>
        <w:t xml:space="preserve"> </w:t>
      </w:r>
      <w:r w:rsidRPr="003903D4">
        <w:rPr>
          <w:b/>
          <w:bCs/>
          <w:color w:val="FF0000"/>
          <w:lang w:val="es-ES"/>
        </w:rPr>
        <w:t xml:space="preserve">en el </w:t>
      </w:r>
      <w:r w:rsidR="007C269D" w:rsidRPr="003903D4">
        <w:rPr>
          <w:b/>
          <w:bCs/>
          <w:color w:val="FF0000"/>
          <w:lang w:val="es-ES"/>
        </w:rPr>
        <w:t>depósito</w:t>
      </w:r>
      <w:r w:rsidR="007C269D" w:rsidRPr="003903D4">
        <w:rPr>
          <w:color w:val="FF0000"/>
          <w:lang w:val="es-ES"/>
        </w:rPr>
        <w:t xml:space="preserve"> debe</w:t>
      </w:r>
      <w:r>
        <w:rPr>
          <w:lang w:val="es-ES"/>
        </w:rPr>
        <w:t xml:space="preserve"> tenerse en cuenta el tiempo de retención necesario para el viaje previsto, así como todos los retrasos que podrían producirse. Con la excepción de lo previsto en 4.2.3.6.3 y 4.2.3.6.4, </w:t>
      </w:r>
      <w:r w:rsidRPr="002A5F1B">
        <w:rPr>
          <w:strike/>
          <w:lang w:val="es-ES"/>
        </w:rPr>
        <w:t>el grado</w:t>
      </w:r>
      <w:r>
        <w:rPr>
          <w:lang w:val="es-ES"/>
        </w:rPr>
        <w:t xml:space="preserve"> </w:t>
      </w:r>
      <w:r w:rsidRPr="003903D4">
        <w:rPr>
          <w:b/>
          <w:color w:val="FF0000"/>
          <w:lang w:val="es-ES"/>
        </w:rPr>
        <w:t>la cantidad</w:t>
      </w:r>
      <w:r>
        <w:rPr>
          <w:lang w:val="es-ES"/>
        </w:rPr>
        <w:t xml:space="preserve"> inicial de </w:t>
      </w:r>
      <w:r w:rsidRPr="003903D4">
        <w:rPr>
          <w:b/>
          <w:bCs/>
          <w:color w:val="FF0000"/>
          <w:lang w:val="es-ES"/>
        </w:rPr>
        <w:t>gas</w:t>
      </w:r>
      <w:r>
        <w:rPr>
          <w:lang w:val="es-ES"/>
        </w:rPr>
        <w:t xml:space="preserve"> </w:t>
      </w:r>
      <w:r w:rsidR="003E4D37">
        <w:rPr>
          <w:b/>
          <w:bCs/>
          <w:color w:val="FF0000"/>
          <w:lang w:val="es-ES"/>
        </w:rPr>
        <w:t>llenad</w:t>
      </w:r>
      <w:r w:rsidR="00AE405A">
        <w:rPr>
          <w:b/>
          <w:bCs/>
          <w:color w:val="FF0000"/>
          <w:lang w:val="es-ES"/>
        </w:rPr>
        <w:t>o</w:t>
      </w:r>
      <w:r w:rsidRPr="003903D4">
        <w:rPr>
          <w:b/>
          <w:bCs/>
          <w:color w:val="FF0000"/>
          <w:lang w:val="es-ES"/>
        </w:rPr>
        <w:t xml:space="preserve"> en el</w:t>
      </w:r>
      <w:r w:rsidRPr="003903D4">
        <w:rPr>
          <w:color w:val="FF0000"/>
          <w:lang w:val="es-ES"/>
        </w:rPr>
        <w:t xml:space="preserve"> </w:t>
      </w:r>
      <w:r w:rsidRPr="003903D4">
        <w:rPr>
          <w:strike/>
          <w:lang w:val="es-ES"/>
        </w:rPr>
        <w:t>del</w:t>
      </w:r>
      <w:r>
        <w:rPr>
          <w:lang w:val="es-ES"/>
        </w:rPr>
        <w:t xml:space="preserve"> depósito debe ser tal que, excepto en el caso del helio, si se eleva la temperatura del contenido a un grado en que la presión de vapor sea igual a la presión de servicio máxima autorizada (PSMA), el volumen ocupado por el líquido no exceda del 98%.”</w:t>
      </w:r>
    </w:p>
    <w:p w14:paraId="654056D9" w14:textId="77777777" w:rsidR="00AD6EF5" w:rsidRPr="00C6499F" w:rsidRDefault="00AD6EF5" w:rsidP="00AD6EF5">
      <w:pPr>
        <w:pStyle w:val="SingleTxtG"/>
      </w:pPr>
      <w:r w:rsidRPr="00C6499F">
        <w:t>49.</w:t>
      </w:r>
      <w:r w:rsidRPr="00C6499F">
        <w:tab/>
      </w:r>
      <w:r w:rsidR="003E4D37">
        <w:rPr>
          <w:color w:val="FF0000"/>
          <w:lang w:val="en-US"/>
        </w:rPr>
        <w:t>A</w:t>
      </w:r>
      <w:r w:rsidR="003E4D37" w:rsidRPr="000F10C6">
        <w:rPr>
          <w:color w:val="FF0000"/>
        </w:rPr>
        <w:t>s proposed in th</w:t>
      </w:r>
      <w:r w:rsidR="003E4D37">
        <w:rPr>
          <w:color w:val="FF0000"/>
        </w:rPr>
        <w:t>is</w:t>
      </w:r>
      <w:r w:rsidR="003E4D37" w:rsidRPr="000F10C6">
        <w:rPr>
          <w:color w:val="FF0000"/>
        </w:rPr>
        <w:t xml:space="preserve"> informal document</w:t>
      </w:r>
      <w:r w:rsidR="003E4D37">
        <w:t xml:space="preserve"> a</w:t>
      </w:r>
      <w:r w:rsidRPr="00C6499F">
        <w:t xml:space="preserve">mend 4.2.3.6.4 </w:t>
      </w:r>
      <w:r w:rsidRPr="006E69EE">
        <w:t>to</w:t>
      </w:r>
      <w:r>
        <w:t xml:space="preserve"> </w:t>
      </w:r>
      <w:r w:rsidRPr="006E69EE">
        <w:t xml:space="preserve">read </w:t>
      </w:r>
      <w:r w:rsidRPr="00C6499F">
        <w:t>as follows:</w:t>
      </w:r>
    </w:p>
    <w:p w14:paraId="7050B312" w14:textId="77777777" w:rsidR="00AD6EF5" w:rsidRDefault="00AD6EF5" w:rsidP="00AD6EF5">
      <w:pPr>
        <w:pStyle w:val="SingleTxtG"/>
        <w:ind w:left="1701"/>
        <w:rPr>
          <w:lang w:val="es-ES"/>
        </w:rPr>
      </w:pPr>
      <w:r>
        <w:rPr>
          <w:lang w:val="es-ES"/>
        </w:rPr>
        <w:t xml:space="preserve">“Si las autoridades competentes lo autorizan, se podrá permitir </w:t>
      </w:r>
      <w:r w:rsidRPr="00BF0C89">
        <w:rPr>
          <w:lang w:val="es-ES"/>
        </w:rPr>
        <w:t>un</w:t>
      </w:r>
      <w:r w:rsidRPr="00BF0C89">
        <w:rPr>
          <w:b/>
          <w:color w:val="FF0000"/>
          <w:lang w:val="es-ES"/>
        </w:rPr>
        <w:t>a</w:t>
      </w:r>
      <w:r w:rsidRPr="00BF0C89">
        <w:rPr>
          <w:lang w:val="es-ES"/>
        </w:rPr>
        <w:t xml:space="preserve"> </w:t>
      </w:r>
      <w:r w:rsidRPr="00BF0C89">
        <w:rPr>
          <w:b/>
          <w:bCs/>
          <w:color w:val="FF0000"/>
          <w:lang w:val="es-ES"/>
        </w:rPr>
        <w:t>cantidad</w:t>
      </w:r>
      <w:r>
        <w:rPr>
          <w:b/>
          <w:bCs/>
          <w:color w:val="FF0000"/>
          <w:lang w:val="es-ES"/>
        </w:rPr>
        <w:t xml:space="preserve"> inicial</w:t>
      </w:r>
      <w:r>
        <w:rPr>
          <w:lang w:val="es-ES"/>
        </w:rPr>
        <w:t xml:space="preserve"> </w:t>
      </w:r>
      <w:r w:rsidRPr="00E618B6">
        <w:rPr>
          <w:b/>
          <w:bCs/>
          <w:color w:val="FF0000"/>
          <w:lang w:val="es-ES"/>
        </w:rPr>
        <w:t>de gas</w:t>
      </w:r>
      <w:r w:rsidRPr="00E618B6">
        <w:rPr>
          <w:color w:val="FF0000"/>
          <w:lang w:val="es-ES"/>
        </w:rPr>
        <w:t xml:space="preserve"> </w:t>
      </w:r>
      <w:r w:rsidR="003E4D37">
        <w:rPr>
          <w:b/>
          <w:bCs/>
          <w:color w:val="FF0000"/>
          <w:lang w:val="es-ES"/>
        </w:rPr>
        <w:t>llenad</w:t>
      </w:r>
      <w:r w:rsidR="00AE405A">
        <w:rPr>
          <w:b/>
          <w:bCs/>
          <w:color w:val="FF0000"/>
          <w:lang w:val="es-ES"/>
        </w:rPr>
        <w:t>o</w:t>
      </w:r>
      <w:r>
        <w:rPr>
          <w:b/>
          <w:bCs/>
          <w:color w:val="FF0000"/>
          <w:lang w:val="es-ES"/>
        </w:rPr>
        <w:t xml:space="preserve"> en el recipiente</w:t>
      </w:r>
      <w:r>
        <w:rPr>
          <w:color w:val="FF0000"/>
          <w:lang w:val="es-ES"/>
        </w:rPr>
        <w:t xml:space="preserve"> </w:t>
      </w:r>
      <w:r w:rsidRPr="00E618B6">
        <w:rPr>
          <w:b/>
          <w:bCs/>
          <w:color w:val="FF0000"/>
          <w:lang w:val="es-ES"/>
        </w:rPr>
        <w:t>más elevada</w:t>
      </w:r>
      <w:r>
        <w:rPr>
          <w:b/>
          <w:bCs/>
          <w:color w:val="FF0000"/>
          <w:lang w:val="es-ES"/>
        </w:rPr>
        <w:t xml:space="preserve"> </w:t>
      </w:r>
      <w:r w:rsidRPr="00E618B6">
        <w:rPr>
          <w:strike/>
          <w:lang w:val="es-ES"/>
        </w:rPr>
        <w:t xml:space="preserve">grado </w:t>
      </w:r>
      <w:r w:rsidRPr="00E618B6">
        <w:rPr>
          <w:b/>
          <w:strike/>
          <w:lang w:val="es-ES"/>
        </w:rPr>
        <w:t>razón</w:t>
      </w:r>
      <w:r w:rsidRPr="00E618B6">
        <w:rPr>
          <w:strike/>
          <w:lang w:val="es-ES"/>
        </w:rPr>
        <w:t xml:space="preserve"> inicial de llenado más elevado</w:t>
      </w:r>
      <w:r>
        <w:rPr>
          <w:lang w:val="es-ES"/>
        </w:rPr>
        <w:t xml:space="preserve"> </w:t>
      </w:r>
      <w:r w:rsidRPr="00DC73B1">
        <w:rPr>
          <w:rFonts w:ascii="TimesNewRomanPSMT" w:hAnsi="TimesNewRomanPSMT" w:cs="TimesNewRomanPSMT"/>
          <w:lang w:val="es-ES"/>
        </w:rPr>
        <w:t>cuando</w:t>
      </w:r>
      <w:r>
        <w:rPr>
          <w:lang w:val="es-ES"/>
        </w:rPr>
        <w:t xml:space="preserve"> la duración prevista del transporte sea considerablemente más corta que el tiempo de retención.”</w:t>
      </w:r>
    </w:p>
    <w:p w14:paraId="62F2BD7C" w14:textId="77777777" w:rsidR="00AD6EF5" w:rsidRPr="00C6499F" w:rsidRDefault="00AD6EF5" w:rsidP="00AD6EF5">
      <w:pPr>
        <w:pStyle w:val="SingleTxtG"/>
      </w:pPr>
      <w:r w:rsidRPr="00C6499F">
        <w:t>50.</w:t>
      </w:r>
      <w:r w:rsidRPr="00C6499F">
        <w:tab/>
        <w:t xml:space="preserve">Amend 4.2.5.2.3 </w:t>
      </w:r>
      <w:r w:rsidRPr="006E69EE">
        <w:t>to</w:t>
      </w:r>
      <w:r>
        <w:t xml:space="preserve"> </w:t>
      </w:r>
      <w:r w:rsidRPr="006E69EE">
        <w:t xml:space="preserve">read </w:t>
      </w:r>
      <w:r w:rsidRPr="00C6499F">
        <w:t>as follows:</w:t>
      </w:r>
    </w:p>
    <w:p w14:paraId="155C394F" w14:textId="77777777" w:rsidR="00AD6EF5" w:rsidRDefault="00AD6EF5" w:rsidP="00AD6EF5">
      <w:pPr>
        <w:pStyle w:val="SingleTxtG"/>
        <w:ind w:left="1701"/>
        <w:rPr>
          <w:lang w:val="es-ES"/>
        </w:rPr>
      </w:pPr>
      <w:r>
        <w:rPr>
          <w:lang w:val="es-ES"/>
        </w:rPr>
        <w:t>“</w:t>
      </w:r>
      <w:r w:rsidRPr="00552CAB">
        <w:rPr>
          <w:lang w:val="es-ES"/>
        </w:rPr>
        <w:t>Los g</w:t>
      </w:r>
      <w:r w:rsidRPr="00046120">
        <w:rPr>
          <w:lang w:val="es-ES"/>
        </w:rPr>
        <w:t>ases licuados no r</w:t>
      </w:r>
      <w:r>
        <w:rPr>
          <w:lang w:val="es-ES"/>
        </w:rPr>
        <w:t xml:space="preserve">efrigerados se asignan a la instrucción de transporte en cisternas T50. En ésta se prevén las presiones de servicio máximas autorizadas y los requisitos en materia de orificios en la parte baja, de dispositivos de descomprensión y de </w:t>
      </w:r>
      <w:r w:rsidRPr="00996E60">
        <w:rPr>
          <w:strike/>
          <w:lang w:val="es-ES"/>
        </w:rPr>
        <w:t>grado</w:t>
      </w:r>
      <w:r>
        <w:rPr>
          <w:lang w:val="es-ES"/>
        </w:rPr>
        <w:t xml:space="preserve"> </w:t>
      </w:r>
      <w:r w:rsidRPr="001B6B18">
        <w:rPr>
          <w:b/>
          <w:bCs/>
          <w:lang w:val="es-ES"/>
        </w:rPr>
        <w:t>razón</w:t>
      </w:r>
      <w:r>
        <w:rPr>
          <w:lang w:val="es-ES"/>
        </w:rPr>
        <w:t xml:space="preserve"> de llenado en el caso de los gases licuados no refrigerados cuyo transporte en cisternas portátiles está permitido.”</w:t>
      </w:r>
    </w:p>
    <w:p w14:paraId="0E0F3776" w14:textId="77777777" w:rsidR="00AD6EF5" w:rsidRPr="00D16361" w:rsidRDefault="00AD6EF5" w:rsidP="00AD6EF5">
      <w:pPr>
        <w:pStyle w:val="SingleTxtG"/>
      </w:pPr>
      <w:r w:rsidRPr="00D16361">
        <w:t>51.</w:t>
      </w:r>
      <w:r>
        <w:tab/>
      </w:r>
      <w:r w:rsidR="003E4D37">
        <w:rPr>
          <w:color w:val="FF0000"/>
          <w:lang w:val="en-US"/>
        </w:rPr>
        <w:t>A</w:t>
      </w:r>
      <w:r w:rsidR="003E4D37" w:rsidRPr="000F10C6">
        <w:rPr>
          <w:color w:val="FF0000"/>
        </w:rPr>
        <w:t>s proposed in th</w:t>
      </w:r>
      <w:r w:rsidR="003E4D37">
        <w:rPr>
          <w:color w:val="FF0000"/>
        </w:rPr>
        <w:t>is</w:t>
      </w:r>
      <w:r w:rsidR="003E4D37" w:rsidRPr="000F10C6">
        <w:rPr>
          <w:color w:val="FF0000"/>
        </w:rPr>
        <w:t xml:space="preserve"> informal document</w:t>
      </w:r>
      <w:r w:rsidR="003E4D37">
        <w:rPr>
          <w:lang w:val="en-US"/>
        </w:rPr>
        <w:t xml:space="preserve"> </w:t>
      </w:r>
      <w:r w:rsidR="003E4D37">
        <w:t>a</w:t>
      </w:r>
      <w:r w:rsidRPr="00D16361">
        <w:t>mend</w:t>
      </w:r>
      <w:r w:rsidRPr="00893101">
        <w:t xml:space="preserve"> </w:t>
      </w:r>
      <w:r>
        <w:t>portable tank special provision</w:t>
      </w:r>
      <w:r w:rsidRPr="00D16361">
        <w:t xml:space="preserve"> TP5 in 4.2.5.2.3 to read as follows:</w:t>
      </w:r>
    </w:p>
    <w:p w14:paraId="78CF6056" w14:textId="77777777" w:rsidR="00AD6EF5" w:rsidRPr="00E9742A" w:rsidRDefault="00AD6EF5" w:rsidP="00AD6EF5">
      <w:pPr>
        <w:pStyle w:val="SingleTxtG"/>
        <w:ind w:left="1701"/>
        <w:rPr>
          <w:lang w:val="es-ES"/>
        </w:rPr>
      </w:pPr>
      <w:r>
        <w:rPr>
          <w:lang w:val="es-ES"/>
        </w:rPr>
        <w:t>“</w:t>
      </w:r>
      <w:r w:rsidRPr="00046120">
        <w:rPr>
          <w:lang w:val="es-ES"/>
        </w:rPr>
        <w:t>Se respetará</w:t>
      </w:r>
      <w:r w:rsidR="003E4D37">
        <w:rPr>
          <w:lang w:val="es-ES"/>
        </w:rPr>
        <w:t>n</w:t>
      </w:r>
      <w:r w:rsidRPr="00046120">
        <w:rPr>
          <w:lang w:val="es-ES"/>
        </w:rPr>
        <w:t xml:space="preserve"> </w:t>
      </w:r>
      <w:r w:rsidRPr="00046120">
        <w:rPr>
          <w:strike/>
          <w:lang w:val="es-ES"/>
        </w:rPr>
        <w:t>el grado</w:t>
      </w:r>
      <w:r w:rsidRPr="00046120">
        <w:rPr>
          <w:lang w:val="es-ES"/>
        </w:rPr>
        <w:t xml:space="preserve"> </w:t>
      </w:r>
      <w:r w:rsidRPr="009C63AF">
        <w:rPr>
          <w:b/>
          <w:bCs/>
          <w:color w:val="FF0000"/>
          <w:lang w:val="es-ES"/>
        </w:rPr>
        <w:t>la</w:t>
      </w:r>
      <w:r w:rsidR="003E4D37">
        <w:rPr>
          <w:b/>
          <w:bCs/>
          <w:color w:val="FF0000"/>
          <w:lang w:val="es-ES"/>
        </w:rPr>
        <w:t>s</w:t>
      </w:r>
      <w:r w:rsidRPr="009C63AF">
        <w:rPr>
          <w:b/>
          <w:bCs/>
          <w:color w:val="FF0000"/>
          <w:lang w:val="es-ES"/>
        </w:rPr>
        <w:t xml:space="preserve"> </w:t>
      </w:r>
      <w:r w:rsidR="003E4D37">
        <w:rPr>
          <w:b/>
          <w:bCs/>
          <w:color w:val="FF0000"/>
          <w:lang w:val="es-ES"/>
        </w:rPr>
        <w:t>restricciones al</w:t>
      </w:r>
      <w:r w:rsidRPr="009C63AF">
        <w:rPr>
          <w:b/>
          <w:bCs/>
          <w:color w:val="FF0000"/>
          <w:lang w:val="es-ES"/>
        </w:rPr>
        <w:t xml:space="preserve"> </w:t>
      </w:r>
      <w:r w:rsidRPr="003E4D37">
        <w:rPr>
          <w:strike/>
          <w:lang w:val="es-ES"/>
        </w:rPr>
        <w:t>de</w:t>
      </w:r>
      <w:r>
        <w:rPr>
          <w:lang w:val="es-ES"/>
        </w:rPr>
        <w:t xml:space="preserve"> llenado </w:t>
      </w:r>
      <w:proofErr w:type="spellStart"/>
      <w:r w:rsidRPr="007E204D">
        <w:rPr>
          <w:lang w:val="es-ES"/>
        </w:rPr>
        <w:t>prescrit</w:t>
      </w:r>
      <w:r w:rsidRPr="007F286F">
        <w:rPr>
          <w:strike/>
          <w:lang w:val="es-ES"/>
        </w:rPr>
        <w:t>o</w:t>
      </w:r>
      <w:r w:rsidRPr="007E204D">
        <w:rPr>
          <w:b/>
          <w:lang w:val="es-ES"/>
        </w:rPr>
        <w:t>a</w:t>
      </w:r>
      <w:r w:rsidR="003E4D37" w:rsidRPr="003E4D37">
        <w:rPr>
          <w:bCs/>
          <w:lang w:val="es-ES"/>
        </w:rPr>
        <w:t>s</w:t>
      </w:r>
      <w:proofErr w:type="spellEnd"/>
      <w:r>
        <w:rPr>
          <w:lang w:val="es-ES"/>
        </w:rPr>
        <w:t xml:space="preserve"> en 4.2.3.6.”</w:t>
      </w:r>
    </w:p>
    <w:p w14:paraId="46AFC578" w14:textId="77777777" w:rsidR="00AD6EF5" w:rsidRDefault="00AD6EF5" w:rsidP="00AD6EF5">
      <w:pPr>
        <w:pStyle w:val="SingleTxtG"/>
      </w:pPr>
      <w:r>
        <w:t>52</w:t>
      </w:r>
      <w:r w:rsidRPr="00046120">
        <w:t>.</w:t>
      </w:r>
      <w:r>
        <w:tab/>
      </w:r>
      <w:r w:rsidR="003E4D37">
        <w:rPr>
          <w:color w:val="FF0000"/>
          <w:lang w:val="en-US"/>
        </w:rPr>
        <w:t>A</w:t>
      </w:r>
      <w:r w:rsidR="003E4D37" w:rsidRPr="000F10C6">
        <w:rPr>
          <w:color w:val="FF0000"/>
        </w:rPr>
        <w:t>s proposed in th</w:t>
      </w:r>
      <w:r w:rsidR="003E4D37">
        <w:rPr>
          <w:color w:val="FF0000"/>
        </w:rPr>
        <w:t>is</w:t>
      </w:r>
      <w:r w:rsidR="003E4D37" w:rsidRPr="000F10C6">
        <w:rPr>
          <w:color w:val="FF0000"/>
        </w:rPr>
        <w:t xml:space="preserve"> informal document</w:t>
      </w:r>
      <w:r w:rsidR="003E4D37">
        <w:rPr>
          <w:lang w:val="en-US"/>
        </w:rPr>
        <w:t xml:space="preserve"> </w:t>
      </w:r>
      <w:r w:rsidR="003E4D37">
        <w:t>a</w:t>
      </w:r>
      <w:r w:rsidR="003E4D37" w:rsidRPr="00D16361">
        <w:t>mend</w:t>
      </w:r>
      <w:r w:rsidR="003E4D37" w:rsidRPr="00893101">
        <w:t xml:space="preserve"> </w:t>
      </w:r>
      <w:r>
        <w:t>6.7.4.15.1 (</w:t>
      </w:r>
      <w:proofErr w:type="spellStart"/>
      <w:r>
        <w:t>i</w:t>
      </w:r>
      <w:proofErr w:type="spellEnd"/>
      <w:r>
        <w:t>)(iv</w:t>
      </w:r>
      <w:r w:rsidR="003E4D37">
        <w:t>)</w:t>
      </w:r>
      <w:r>
        <w:t xml:space="preserve"> as follows</w:t>
      </w:r>
      <w:r w:rsidRPr="00046120">
        <w:t>:</w:t>
      </w:r>
    </w:p>
    <w:p w14:paraId="60375ABE" w14:textId="77777777" w:rsidR="00AD6EF5" w:rsidRPr="009B0041" w:rsidRDefault="00AD6EF5" w:rsidP="00AD6EF5">
      <w:pPr>
        <w:pStyle w:val="SingleTxtG"/>
        <w:ind w:left="1701"/>
        <w:rPr>
          <w:lang w:val="es-ES"/>
        </w:rPr>
      </w:pPr>
      <w:r>
        <w:rPr>
          <w:lang w:val="es-ES"/>
        </w:rPr>
        <w:t>“(</w:t>
      </w:r>
      <w:proofErr w:type="spellStart"/>
      <w:r w:rsidRPr="00046120">
        <w:rPr>
          <w:lang w:val="es-ES"/>
        </w:rPr>
        <w:t>iv</w:t>
      </w:r>
      <w:proofErr w:type="spellEnd"/>
      <w:r w:rsidRPr="00046120">
        <w:rPr>
          <w:lang w:val="es-ES"/>
        </w:rPr>
        <w:t xml:space="preserve">) </w:t>
      </w:r>
      <w:bookmarkStart w:id="3" w:name="_Hlk104562733"/>
      <w:r w:rsidRPr="00966CD6">
        <w:rPr>
          <w:b/>
          <w:bCs/>
          <w:color w:val="FF0000"/>
          <w:sz w:val="18"/>
          <w:szCs w:val="18"/>
          <w:lang w:val="es-ES"/>
        </w:rPr>
        <w:t xml:space="preserve">Masa máxima admisible de gas </w:t>
      </w:r>
      <w:r w:rsidR="003E4D37">
        <w:rPr>
          <w:b/>
          <w:bCs/>
          <w:color w:val="FF0000"/>
          <w:sz w:val="18"/>
          <w:szCs w:val="18"/>
          <w:lang w:val="es-ES"/>
        </w:rPr>
        <w:t>llenado</w:t>
      </w:r>
      <w:r w:rsidRPr="00966CD6">
        <w:rPr>
          <w:b/>
          <w:bCs/>
          <w:color w:val="FF0000"/>
          <w:sz w:val="18"/>
          <w:szCs w:val="18"/>
          <w:lang w:val="es-ES"/>
        </w:rPr>
        <w:t xml:space="preserve"> </w:t>
      </w:r>
      <w:bookmarkEnd w:id="3"/>
      <w:r>
        <w:rPr>
          <w:lang w:val="es-ES"/>
        </w:rPr>
        <w:t>(en kg)</w:t>
      </w:r>
      <w:r>
        <w:rPr>
          <w:vertAlign w:val="superscript"/>
          <w:lang w:val="es-ES"/>
        </w:rPr>
        <w:t>3</w:t>
      </w:r>
    </w:p>
    <w:p w14:paraId="46A1162C" w14:textId="77777777" w:rsidR="00AD6EF5" w:rsidRPr="00046120" w:rsidRDefault="00AD6EF5" w:rsidP="00AD6EF5">
      <w:pPr>
        <w:pStyle w:val="SingleTxtG"/>
      </w:pPr>
      <w:r>
        <w:t>53</w:t>
      </w:r>
      <w:r w:rsidRPr="00046120">
        <w:t>.</w:t>
      </w:r>
      <w:r>
        <w:tab/>
      </w:r>
      <w:r w:rsidR="003E4D37">
        <w:rPr>
          <w:color w:val="FF0000"/>
          <w:lang w:val="en-US"/>
        </w:rPr>
        <w:t>A</w:t>
      </w:r>
      <w:r w:rsidR="003E4D37" w:rsidRPr="000F10C6">
        <w:rPr>
          <w:color w:val="FF0000"/>
        </w:rPr>
        <w:t>s proposed in th</w:t>
      </w:r>
      <w:r w:rsidR="003E4D37">
        <w:rPr>
          <w:color w:val="FF0000"/>
        </w:rPr>
        <w:t>is</w:t>
      </w:r>
      <w:r w:rsidR="003E4D37" w:rsidRPr="000F10C6">
        <w:rPr>
          <w:color w:val="FF0000"/>
        </w:rPr>
        <w:t xml:space="preserve"> informal document</w:t>
      </w:r>
      <w:r w:rsidR="003E4D37">
        <w:rPr>
          <w:color w:val="FF0000"/>
        </w:rPr>
        <w:t xml:space="preserve"> </w:t>
      </w:r>
      <w:r w:rsidR="003E4D37" w:rsidRPr="003E4D37">
        <w:t>amend</w:t>
      </w:r>
      <w:r>
        <w:t xml:space="preserve"> Figure 6.7.4.15.1 in its last column under </w:t>
      </w:r>
      <w:r w:rsidRPr="00046120">
        <w:t>“</w:t>
      </w:r>
      <w:proofErr w:type="spellStart"/>
      <w:r w:rsidRPr="00046120">
        <w:t>Tiempos</w:t>
      </w:r>
      <w:proofErr w:type="spellEnd"/>
      <w:r w:rsidRPr="00046120">
        <w:t xml:space="preserve"> de </w:t>
      </w:r>
      <w:proofErr w:type="spellStart"/>
      <w:r w:rsidRPr="00046120">
        <w:t>retención</w:t>
      </w:r>
      <w:proofErr w:type="spellEnd"/>
      <w:r w:rsidRPr="00046120">
        <w:t xml:space="preserve">” </w:t>
      </w:r>
      <w:r>
        <w:t>as follows</w:t>
      </w:r>
      <w:r w:rsidRPr="00046120">
        <w:t>:</w:t>
      </w:r>
    </w:p>
    <w:p w14:paraId="2CDC6616" w14:textId="77777777" w:rsidR="00AD6EF5" w:rsidRPr="00092723" w:rsidRDefault="00AD6EF5" w:rsidP="00AD6EF5">
      <w:pPr>
        <w:pStyle w:val="SingleTxtG"/>
        <w:ind w:left="1701"/>
        <w:rPr>
          <w:lang w:val="es-ES"/>
        </w:rPr>
      </w:pPr>
      <w:r w:rsidRPr="00092723">
        <w:rPr>
          <w:strike/>
          <w:lang w:val="es-ES"/>
        </w:rPr>
        <w:t>“</w:t>
      </w:r>
      <w:r w:rsidRPr="00966CD6">
        <w:rPr>
          <w:b/>
          <w:bCs/>
          <w:color w:val="FF0000"/>
          <w:sz w:val="18"/>
          <w:szCs w:val="18"/>
          <w:lang w:val="es-ES"/>
        </w:rPr>
        <w:t xml:space="preserve">Masa máxima admisible de gas </w:t>
      </w:r>
      <w:r w:rsidR="003E4D37">
        <w:rPr>
          <w:b/>
          <w:bCs/>
          <w:color w:val="FF0000"/>
          <w:sz w:val="18"/>
          <w:szCs w:val="18"/>
          <w:lang w:val="es-ES"/>
        </w:rPr>
        <w:t>llenado</w:t>
      </w:r>
      <w:r w:rsidRPr="00092723">
        <w:rPr>
          <w:lang w:val="es-ES"/>
        </w:rPr>
        <w:t>”</w:t>
      </w:r>
    </w:p>
    <w:p w14:paraId="1E451424" w14:textId="77777777" w:rsidR="00AD6EF5" w:rsidRPr="00753E1A" w:rsidRDefault="00AD6EF5" w:rsidP="00AD6EF5">
      <w:pPr>
        <w:pStyle w:val="SingleTxtG"/>
        <w:ind w:left="1701"/>
      </w:pPr>
      <w:r w:rsidRPr="00753E1A">
        <w:t>“kg”</w:t>
      </w:r>
    </w:p>
    <w:p w14:paraId="5B225AC1" w14:textId="77777777" w:rsidR="00AD6EF5" w:rsidRPr="006E69EE" w:rsidRDefault="00AD6EF5" w:rsidP="00AD6EF5">
      <w:pPr>
        <w:pStyle w:val="HChG"/>
      </w:pPr>
      <w:r w:rsidRPr="00753E1A">
        <w:tab/>
      </w:r>
      <w:r w:rsidRPr="00753E1A">
        <w:tab/>
      </w:r>
      <w:r w:rsidRPr="000D609A">
        <w:t xml:space="preserve">Proposals for </w:t>
      </w:r>
      <w:r>
        <w:t>adding a definition for degree of filling</w:t>
      </w:r>
    </w:p>
    <w:p w14:paraId="5000885C" w14:textId="77777777" w:rsidR="00AD6EF5" w:rsidRDefault="00AD6EF5" w:rsidP="00AD6EF5">
      <w:pPr>
        <w:pStyle w:val="SingleTxtG"/>
        <w:spacing w:before="240"/>
        <w:rPr>
          <w:lang w:val="en-US"/>
        </w:rPr>
      </w:pPr>
      <w:r>
        <w:t>54</w:t>
      </w:r>
      <w:r w:rsidRPr="00A9456E">
        <w:t>.</w:t>
      </w:r>
      <w:r w:rsidRPr="00A9456E">
        <w:tab/>
      </w:r>
      <w:r>
        <w:rPr>
          <w:lang w:val="en-US"/>
        </w:rPr>
        <w:t>It is proposed</w:t>
      </w:r>
      <w:r w:rsidRPr="00A9456E">
        <w:rPr>
          <w:lang w:val="en-US"/>
        </w:rPr>
        <w:t xml:space="preserve"> to add </w:t>
      </w:r>
      <w:r>
        <w:rPr>
          <w:lang w:val="en-US"/>
        </w:rPr>
        <w:t>in</w:t>
      </w:r>
      <w:r w:rsidRPr="00A9456E">
        <w:rPr>
          <w:lang w:val="en-US"/>
        </w:rPr>
        <w:t xml:space="preserve"> 1.2</w:t>
      </w:r>
      <w:r>
        <w:rPr>
          <w:lang w:val="en-US"/>
        </w:rPr>
        <w:t>.1 a</w:t>
      </w:r>
      <w:r w:rsidRPr="00A9456E">
        <w:rPr>
          <w:lang w:val="en-US"/>
        </w:rPr>
        <w:t xml:space="preserve"> definition of “degree of filling” to </w:t>
      </w:r>
      <w:r>
        <w:rPr>
          <w:lang w:val="en-US"/>
        </w:rPr>
        <w:t xml:space="preserve">as </w:t>
      </w:r>
      <w:r w:rsidRPr="00586C0C">
        <w:t>follows</w:t>
      </w:r>
      <w:r w:rsidR="003E4D37">
        <w:t xml:space="preserve">, </w:t>
      </w:r>
      <w:r w:rsidR="003E4D37" w:rsidRPr="003E4D37">
        <w:rPr>
          <w:color w:val="FF0000"/>
        </w:rPr>
        <w:t>corrected as proposed in this informal document</w:t>
      </w:r>
      <w:r w:rsidRPr="00A9456E">
        <w:rPr>
          <w:lang w:val="en-US"/>
        </w:rPr>
        <w:t xml:space="preserve">: </w:t>
      </w:r>
    </w:p>
    <w:p w14:paraId="3F7C20FE" w14:textId="77777777" w:rsidR="00AD6EF5" w:rsidRPr="00586C0C" w:rsidRDefault="00AD6EF5" w:rsidP="00AD6EF5">
      <w:pPr>
        <w:pStyle w:val="SingleTxtG"/>
        <w:spacing w:before="240" w:after="360"/>
        <w:ind w:left="1701"/>
        <w:rPr>
          <w:b/>
          <w:bCs/>
        </w:rPr>
      </w:pPr>
      <w:r w:rsidRPr="00586C0C">
        <w:rPr>
          <w:b/>
          <w:bCs/>
          <w:lang w:val="en-US"/>
        </w:rPr>
        <w:tab/>
        <w:t>“</w:t>
      </w:r>
      <w:r w:rsidRPr="00CD6641">
        <w:rPr>
          <w:b/>
          <w:bCs/>
          <w:i/>
          <w:iCs/>
          <w:lang w:val="en-US"/>
        </w:rPr>
        <w:t>Degree of filling</w:t>
      </w:r>
      <w:r w:rsidRPr="00CD6641">
        <w:rPr>
          <w:b/>
          <w:bCs/>
          <w:lang w:val="en-US"/>
        </w:rPr>
        <w:t xml:space="preserve"> means the ratio, expressed in %, of the </w:t>
      </w:r>
      <w:r w:rsidRPr="00CD6641">
        <w:rPr>
          <w:b/>
          <w:bCs/>
        </w:rPr>
        <w:t>volume</w:t>
      </w:r>
      <w:r w:rsidRPr="00CD6641">
        <w:rPr>
          <w:b/>
          <w:bCs/>
          <w:lang w:val="en-US"/>
        </w:rPr>
        <w:t xml:space="preserve"> of liquid or solid introduced at 15 ºC into the</w:t>
      </w:r>
      <w:r w:rsidR="00D0613B">
        <w:rPr>
          <w:b/>
          <w:bCs/>
          <w:lang w:val="en-US"/>
        </w:rPr>
        <w:t xml:space="preserve"> </w:t>
      </w:r>
      <w:r w:rsidR="00D0613B" w:rsidRPr="00D0613B">
        <w:rPr>
          <w:b/>
          <w:bCs/>
          <w:strike/>
          <w:lang w:val="en-US"/>
        </w:rPr>
        <w:t>receptacle</w:t>
      </w:r>
      <w:r w:rsidRPr="00CD6641">
        <w:rPr>
          <w:b/>
          <w:bCs/>
          <w:lang w:val="en-US"/>
        </w:rPr>
        <w:t xml:space="preserve"> </w:t>
      </w:r>
      <w:r w:rsidRPr="00D0613B">
        <w:rPr>
          <w:b/>
          <w:bCs/>
          <w:color w:val="FF0000"/>
          <w:lang w:val="en-US"/>
        </w:rPr>
        <w:t xml:space="preserve">means of containment </w:t>
      </w:r>
      <w:r w:rsidRPr="00CD6641">
        <w:rPr>
          <w:b/>
          <w:bCs/>
          <w:lang w:val="en-US"/>
        </w:rPr>
        <w:t xml:space="preserve">and the volume of </w:t>
      </w:r>
      <w:r w:rsidRPr="00D0613B">
        <w:rPr>
          <w:b/>
          <w:bCs/>
          <w:lang w:val="en-US"/>
        </w:rPr>
        <w:t>the</w:t>
      </w:r>
      <w:r w:rsidRPr="00D0613B">
        <w:rPr>
          <w:b/>
          <w:bCs/>
          <w:color w:val="FF0000"/>
          <w:lang w:val="en-US"/>
        </w:rPr>
        <w:t xml:space="preserve"> </w:t>
      </w:r>
      <w:r w:rsidR="00D0613B" w:rsidRPr="00D0613B">
        <w:rPr>
          <w:b/>
          <w:bCs/>
          <w:strike/>
          <w:color w:val="FF0000"/>
          <w:lang w:val="en-US"/>
        </w:rPr>
        <w:t>receptacle</w:t>
      </w:r>
      <w:r w:rsidR="00D0613B">
        <w:rPr>
          <w:b/>
          <w:bCs/>
          <w:color w:val="FF0000"/>
          <w:lang w:val="en-US"/>
        </w:rPr>
        <w:t xml:space="preserve"> </w:t>
      </w:r>
      <w:r w:rsidRPr="00D0613B">
        <w:rPr>
          <w:b/>
          <w:bCs/>
          <w:color w:val="FF0000"/>
          <w:lang w:val="en-US"/>
        </w:rPr>
        <w:t>means of containment</w:t>
      </w:r>
      <w:r w:rsidRPr="00CD6641">
        <w:rPr>
          <w:b/>
          <w:bCs/>
          <w:lang w:val="en-US"/>
        </w:rPr>
        <w:t xml:space="preserve"> ready for use</w:t>
      </w:r>
      <w:r w:rsidRPr="00586C0C">
        <w:rPr>
          <w:b/>
          <w:bCs/>
          <w:lang w:val="en-US"/>
        </w:rPr>
        <w:t>.”</w:t>
      </w:r>
    </w:p>
    <w:p w14:paraId="180A7583" w14:textId="77777777" w:rsidR="00AD6EF5" w:rsidRDefault="00AD6EF5" w:rsidP="00AD6EF5">
      <w:pPr>
        <w:suppressAutoHyphens w:val="0"/>
        <w:spacing w:after="200" w:line="276" w:lineRule="auto"/>
      </w:pPr>
      <w:r>
        <w:br w:type="page"/>
      </w:r>
    </w:p>
    <w:p w14:paraId="644ACFC5" w14:textId="52DEB5EF" w:rsidR="00AD6EF5" w:rsidRDefault="00AD6EF5" w:rsidP="00AD6EF5">
      <w:pPr>
        <w:pStyle w:val="HChG"/>
      </w:pPr>
      <w:r w:rsidRPr="006E69EE">
        <w:t>A</w:t>
      </w:r>
      <w:r>
        <w:t>nnex</w:t>
      </w:r>
      <w:r w:rsidRPr="006E69EE">
        <w:t xml:space="preserve"> </w:t>
      </w:r>
      <w:r w:rsidR="001B2C77">
        <w:t>II</w:t>
      </w:r>
    </w:p>
    <w:p w14:paraId="2511A6B7" w14:textId="77777777" w:rsidR="00AD6EF5" w:rsidRDefault="00AD6EF5" w:rsidP="00AD6EF5">
      <w:pPr>
        <w:pStyle w:val="HChG"/>
      </w:pPr>
      <w:r>
        <w:tab/>
      </w:r>
      <w:r>
        <w:tab/>
        <w:t xml:space="preserve">Use of the terms “filling ratio/degree of filling” in English, </w:t>
      </w:r>
      <w:proofErr w:type="gramStart"/>
      <w:r>
        <w:t>French</w:t>
      </w:r>
      <w:proofErr w:type="gramEnd"/>
      <w:r>
        <w:t xml:space="preserve"> and Spanish language versions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0"/>
        <w:gridCol w:w="1218"/>
        <w:gridCol w:w="1557"/>
        <w:gridCol w:w="1172"/>
        <w:gridCol w:w="1171"/>
        <w:gridCol w:w="1566"/>
        <w:gridCol w:w="1552"/>
      </w:tblGrid>
      <w:tr w:rsidR="00AD6EF5" w:rsidRPr="009E3E90" w14:paraId="5A1EDB0A" w14:textId="77777777" w:rsidTr="00966CD6">
        <w:trPr>
          <w:tblHeader/>
        </w:trPr>
        <w:tc>
          <w:tcPr>
            <w:tcW w:w="1540" w:type="dxa"/>
            <w:shd w:val="clear" w:color="auto" w:fill="auto"/>
          </w:tcPr>
          <w:p w14:paraId="31356E68" w14:textId="77777777" w:rsidR="00AD6EF5" w:rsidRPr="00966CD6" w:rsidRDefault="00AD6EF5" w:rsidP="0016793D">
            <w:pPr>
              <w:rPr>
                <w:b/>
                <w:sz w:val="18"/>
                <w:szCs w:val="18"/>
              </w:rPr>
            </w:pPr>
            <w:r w:rsidRPr="00966CD6">
              <w:rPr>
                <w:b/>
                <w:sz w:val="18"/>
                <w:szCs w:val="18"/>
              </w:rPr>
              <w:t>REFERENCE</w:t>
            </w:r>
          </w:p>
        </w:tc>
        <w:tc>
          <w:tcPr>
            <w:tcW w:w="1218" w:type="dxa"/>
            <w:shd w:val="clear" w:color="auto" w:fill="auto"/>
          </w:tcPr>
          <w:p w14:paraId="69D960E6" w14:textId="77777777" w:rsidR="00AD6EF5" w:rsidRPr="00966CD6" w:rsidRDefault="00AD6EF5" w:rsidP="0016793D">
            <w:pPr>
              <w:rPr>
                <w:b/>
                <w:sz w:val="18"/>
                <w:szCs w:val="18"/>
              </w:rPr>
            </w:pPr>
            <w:r w:rsidRPr="00966CD6">
              <w:rPr>
                <w:b/>
                <w:sz w:val="18"/>
                <w:szCs w:val="18"/>
              </w:rPr>
              <w:t>ENGLISH</w:t>
            </w:r>
          </w:p>
        </w:tc>
        <w:tc>
          <w:tcPr>
            <w:tcW w:w="1557" w:type="dxa"/>
            <w:shd w:val="clear" w:color="auto" w:fill="auto"/>
          </w:tcPr>
          <w:p w14:paraId="53673E95" w14:textId="77777777" w:rsidR="00AD6EF5" w:rsidRPr="00966CD6" w:rsidRDefault="00AD6EF5" w:rsidP="0016793D">
            <w:pPr>
              <w:rPr>
                <w:b/>
                <w:sz w:val="18"/>
                <w:szCs w:val="18"/>
              </w:rPr>
            </w:pPr>
            <w:r w:rsidRPr="00966CD6">
              <w:rPr>
                <w:b/>
                <w:sz w:val="18"/>
                <w:szCs w:val="18"/>
              </w:rPr>
              <w:t xml:space="preserve">FRENCH </w:t>
            </w:r>
          </w:p>
        </w:tc>
        <w:tc>
          <w:tcPr>
            <w:tcW w:w="1172" w:type="dxa"/>
            <w:shd w:val="clear" w:color="auto" w:fill="auto"/>
          </w:tcPr>
          <w:p w14:paraId="3AD8AA9A" w14:textId="77777777" w:rsidR="00AD6EF5" w:rsidRPr="00966CD6" w:rsidRDefault="00AD6EF5" w:rsidP="0016793D">
            <w:pPr>
              <w:rPr>
                <w:b/>
                <w:sz w:val="18"/>
                <w:szCs w:val="18"/>
              </w:rPr>
            </w:pPr>
            <w:r w:rsidRPr="00966CD6">
              <w:rPr>
                <w:b/>
                <w:sz w:val="18"/>
                <w:szCs w:val="18"/>
              </w:rPr>
              <w:t>SPANISH</w:t>
            </w:r>
          </w:p>
        </w:tc>
        <w:tc>
          <w:tcPr>
            <w:tcW w:w="1171" w:type="dxa"/>
            <w:shd w:val="clear" w:color="auto" w:fill="auto"/>
          </w:tcPr>
          <w:p w14:paraId="2515B2EF" w14:textId="77777777" w:rsidR="00AD6EF5" w:rsidRPr="00966CD6" w:rsidRDefault="00AD6EF5" w:rsidP="0016793D">
            <w:pPr>
              <w:rPr>
                <w:b/>
                <w:sz w:val="18"/>
                <w:szCs w:val="18"/>
              </w:rPr>
            </w:pPr>
            <w:r w:rsidRPr="00966CD6">
              <w:rPr>
                <w:b/>
                <w:sz w:val="18"/>
                <w:szCs w:val="18"/>
              </w:rPr>
              <w:t>Required changes for English</w:t>
            </w:r>
          </w:p>
        </w:tc>
        <w:tc>
          <w:tcPr>
            <w:tcW w:w="1566" w:type="dxa"/>
            <w:shd w:val="clear" w:color="auto" w:fill="auto"/>
          </w:tcPr>
          <w:p w14:paraId="4C7E3E42" w14:textId="77777777" w:rsidR="00AD6EF5" w:rsidRPr="00966CD6" w:rsidRDefault="00AD6EF5" w:rsidP="0016793D">
            <w:pPr>
              <w:rPr>
                <w:b/>
                <w:sz w:val="18"/>
                <w:szCs w:val="18"/>
              </w:rPr>
            </w:pPr>
            <w:r w:rsidRPr="00966CD6">
              <w:rPr>
                <w:b/>
                <w:sz w:val="18"/>
                <w:szCs w:val="18"/>
              </w:rPr>
              <w:t>Required changes for French</w:t>
            </w:r>
          </w:p>
        </w:tc>
        <w:tc>
          <w:tcPr>
            <w:tcW w:w="1552" w:type="dxa"/>
            <w:shd w:val="clear" w:color="auto" w:fill="auto"/>
          </w:tcPr>
          <w:p w14:paraId="2227561A" w14:textId="77777777" w:rsidR="00AD6EF5" w:rsidRPr="00966CD6" w:rsidRDefault="00AD6EF5" w:rsidP="0016793D">
            <w:pPr>
              <w:rPr>
                <w:b/>
                <w:sz w:val="18"/>
                <w:szCs w:val="18"/>
              </w:rPr>
            </w:pPr>
            <w:r w:rsidRPr="00966CD6">
              <w:rPr>
                <w:b/>
                <w:sz w:val="18"/>
                <w:szCs w:val="18"/>
              </w:rPr>
              <w:t>Required changes for Spanish</w:t>
            </w:r>
          </w:p>
        </w:tc>
      </w:tr>
      <w:tr w:rsidR="00AD6EF5" w:rsidRPr="009E3E90" w14:paraId="10E3D75A" w14:textId="77777777" w:rsidTr="00966CD6">
        <w:tc>
          <w:tcPr>
            <w:tcW w:w="1540" w:type="dxa"/>
            <w:shd w:val="clear" w:color="auto" w:fill="auto"/>
          </w:tcPr>
          <w:p w14:paraId="6CC6064A" w14:textId="77777777" w:rsidR="00AD6EF5" w:rsidRPr="00966CD6" w:rsidRDefault="00AD6EF5" w:rsidP="0016793D">
            <w:pPr>
              <w:rPr>
                <w:sz w:val="18"/>
                <w:szCs w:val="18"/>
              </w:rPr>
            </w:pPr>
            <w:r w:rsidRPr="00966CD6">
              <w:rPr>
                <w:sz w:val="18"/>
                <w:szCs w:val="18"/>
              </w:rPr>
              <w:t>Data sheet</w:t>
            </w:r>
          </w:p>
          <w:p w14:paraId="03EC4829" w14:textId="77777777" w:rsidR="00AD6EF5" w:rsidRPr="00966CD6" w:rsidRDefault="00AD6EF5" w:rsidP="0016793D">
            <w:pPr>
              <w:rPr>
                <w:sz w:val="18"/>
                <w:szCs w:val="18"/>
              </w:rPr>
            </w:pPr>
            <w:r w:rsidRPr="00966CD6">
              <w:rPr>
                <w:sz w:val="18"/>
                <w:szCs w:val="18"/>
              </w:rPr>
              <w:t>Section 9.6</w:t>
            </w:r>
          </w:p>
        </w:tc>
        <w:tc>
          <w:tcPr>
            <w:tcW w:w="1218" w:type="dxa"/>
            <w:shd w:val="clear" w:color="auto" w:fill="auto"/>
          </w:tcPr>
          <w:p w14:paraId="1A99095D"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7C08FEA9"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001E9D59" w14:textId="77777777" w:rsidR="00AD6EF5" w:rsidRPr="00966CD6" w:rsidRDefault="00AD6EF5" w:rsidP="0016793D">
            <w:pPr>
              <w:rPr>
                <w:sz w:val="18"/>
                <w:szCs w:val="18"/>
              </w:rPr>
            </w:pPr>
            <w:r w:rsidRPr="00966CD6">
              <w:rPr>
                <w:sz w:val="18"/>
                <w:szCs w:val="18"/>
              </w:rPr>
              <w:t>Tasa/</w:t>
            </w: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31870DDD" w14:textId="77777777" w:rsidR="00AD6EF5" w:rsidRPr="00966CD6" w:rsidRDefault="00AD6EF5" w:rsidP="0016793D">
            <w:pPr>
              <w:rPr>
                <w:sz w:val="18"/>
                <w:szCs w:val="18"/>
              </w:rPr>
            </w:pPr>
            <w:r w:rsidRPr="00966CD6">
              <w:rPr>
                <w:sz w:val="18"/>
                <w:szCs w:val="18"/>
              </w:rPr>
              <w:t>Filling ratio</w:t>
            </w:r>
          </w:p>
          <w:p w14:paraId="252BA969" w14:textId="77777777" w:rsidR="00AD6EF5" w:rsidRPr="00966CD6" w:rsidRDefault="00AD6EF5" w:rsidP="0016793D">
            <w:pPr>
              <w:rPr>
                <w:b/>
                <w:bCs/>
                <w:sz w:val="18"/>
                <w:szCs w:val="18"/>
              </w:rPr>
            </w:pPr>
            <w:r w:rsidRPr="00966CD6">
              <w:rPr>
                <w:b/>
                <w:bCs/>
                <w:sz w:val="18"/>
                <w:szCs w:val="18"/>
              </w:rPr>
              <w:t>Para. 13</w:t>
            </w:r>
          </w:p>
        </w:tc>
        <w:tc>
          <w:tcPr>
            <w:tcW w:w="1566" w:type="dxa"/>
            <w:shd w:val="clear" w:color="auto" w:fill="auto"/>
          </w:tcPr>
          <w:p w14:paraId="170EE602"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319A8B6E" w14:textId="77777777" w:rsidR="00AD6EF5" w:rsidRPr="00966CD6" w:rsidRDefault="00AD6EF5" w:rsidP="0016793D">
            <w:pPr>
              <w:rPr>
                <w:sz w:val="18"/>
                <w:szCs w:val="18"/>
              </w:rPr>
            </w:pPr>
            <w:r w:rsidRPr="00966CD6">
              <w:rPr>
                <w:sz w:val="18"/>
                <w:szCs w:val="18"/>
              </w:rPr>
              <w:t>NO</w:t>
            </w:r>
          </w:p>
        </w:tc>
      </w:tr>
      <w:tr w:rsidR="00AD6EF5" w:rsidRPr="009E3E90" w14:paraId="5A771CF0" w14:textId="77777777" w:rsidTr="00966CD6">
        <w:tc>
          <w:tcPr>
            <w:tcW w:w="1540" w:type="dxa"/>
            <w:shd w:val="clear" w:color="auto" w:fill="auto"/>
          </w:tcPr>
          <w:p w14:paraId="0FC949C0" w14:textId="77777777" w:rsidR="00AD6EF5" w:rsidRPr="00966CD6" w:rsidRDefault="00AD6EF5" w:rsidP="0016793D">
            <w:pPr>
              <w:rPr>
                <w:sz w:val="18"/>
                <w:szCs w:val="18"/>
              </w:rPr>
            </w:pPr>
            <w:r w:rsidRPr="00966CD6">
              <w:rPr>
                <w:sz w:val="18"/>
                <w:szCs w:val="18"/>
              </w:rPr>
              <w:t>SP 392 (f)</w:t>
            </w:r>
          </w:p>
        </w:tc>
        <w:tc>
          <w:tcPr>
            <w:tcW w:w="1218" w:type="dxa"/>
            <w:shd w:val="clear" w:color="auto" w:fill="auto"/>
          </w:tcPr>
          <w:p w14:paraId="381F0B1D" w14:textId="77777777" w:rsidR="00AD6EF5" w:rsidRPr="00966CD6" w:rsidRDefault="00AD6EF5" w:rsidP="0016793D">
            <w:pPr>
              <w:rPr>
                <w:sz w:val="18"/>
                <w:szCs w:val="18"/>
              </w:rPr>
            </w:pPr>
            <w:r w:rsidRPr="00966CD6">
              <w:rPr>
                <w:sz w:val="18"/>
                <w:szCs w:val="18"/>
              </w:rPr>
              <w:t>Filling ratio</w:t>
            </w:r>
          </w:p>
        </w:tc>
        <w:tc>
          <w:tcPr>
            <w:tcW w:w="1557" w:type="dxa"/>
            <w:shd w:val="clear" w:color="auto" w:fill="auto"/>
          </w:tcPr>
          <w:p w14:paraId="19FA3280"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2E701F9C" w14:textId="77777777" w:rsidR="00AD6EF5" w:rsidRPr="00966CD6" w:rsidRDefault="00AD6EF5" w:rsidP="0016793D">
            <w:pPr>
              <w:rPr>
                <w:sz w:val="18"/>
                <w:szCs w:val="18"/>
              </w:rPr>
            </w:pPr>
            <w:proofErr w:type="spellStart"/>
            <w:r w:rsidRPr="00966CD6">
              <w:rPr>
                <w:sz w:val="18"/>
                <w:szCs w:val="18"/>
              </w:rPr>
              <w:t>Volumen</w:t>
            </w:r>
            <w:proofErr w:type="spellEnd"/>
            <w:r w:rsidRPr="00966CD6">
              <w:rPr>
                <w:sz w:val="18"/>
                <w:szCs w:val="18"/>
              </w:rPr>
              <w:t xml:space="preserve"> nominal de </w:t>
            </w:r>
            <w:proofErr w:type="spellStart"/>
            <w:r w:rsidRPr="00966CD6">
              <w:rPr>
                <w:sz w:val="18"/>
                <w:szCs w:val="18"/>
              </w:rPr>
              <w:t>llenado</w:t>
            </w:r>
            <w:proofErr w:type="spellEnd"/>
          </w:p>
        </w:tc>
        <w:tc>
          <w:tcPr>
            <w:tcW w:w="1171" w:type="dxa"/>
            <w:shd w:val="clear" w:color="auto" w:fill="auto"/>
          </w:tcPr>
          <w:p w14:paraId="1E79659C"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323BE585"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3EE0DC9C"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p w14:paraId="537C167A" w14:textId="77777777" w:rsidR="00AD6EF5" w:rsidRPr="00966CD6" w:rsidRDefault="00AD6EF5" w:rsidP="0016793D">
            <w:pPr>
              <w:rPr>
                <w:b/>
                <w:bCs/>
                <w:sz w:val="18"/>
                <w:szCs w:val="18"/>
              </w:rPr>
            </w:pPr>
            <w:r w:rsidRPr="00966CD6">
              <w:rPr>
                <w:b/>
                <w:bCs/>
                <w:sz w:val="18"/>
                <w:szCs w:val="18"/>
              </w:rPr>
              <w:t>Para. 45</w:t>
            </w:r>
          </w:p>
        </w:tc>
      </w:tr>
      <w:tr w:rsidR="00AD6EF5" w:rsidRPr="00966CD6" w14:paraId="5EE5A29C" w14:textId="77777777" w:rsidTr="00966CD6">
        <w:tc>
          <w:tcPr>
            <w:tcW w:w="1540" w:type="dxa"/>
            <w:shd w:val="clear" w:color="auto" w:fill="auto"/>
          </w:tcPr>
          <w:p w14:paraId="269DFC21" w14:textId="77777777" w:rsidR="00AD6EF5" w:rsidRPr="00966CD6" w:rsidRDefault="00AD6EF5" w:rsidP="0016793D">
            <w:pPr>
              <w:rPr>
                <w:sz w:val="18"/>
                <w:szCs w:val="18"/>
              </w:rPr>
            </w:pPr>
            <w:r w:rsidRPr="00966CD6">
              <w:rPr>
                <w:sz w:val="18"/>
                <w:szCs w:val="18"/>
              </w:rPr>
              <w:t>4.1.1.10 a)</w:t>
            </w:r>
          </w:p>
        </w:tc>
        <w:tc>
          <w:tcPr>
            <w:tcW w:w="1218" w:type="dxa"/>
            <w:shd w:val="clear" w:color="auto" w:fill="auto"/>
          </w:tcPr>
          <w:p w14:paraId="15DE48C5"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0B9A6BAF"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w:t>
            </w:r>
            <w:proofErr w:type="spellStart"/>
            <w:r w:rsidRPr="00966CD6">
              <w:rPr>
                <w:sz w:val="18"/>
                <w:szCs w:val="18"/>
              </w:rPr>
              <w:t>maximale</w:t>
            </w:r>
            <w:proofErr w:type="spellEnd"/>
          </w:p>
        </w:tc>
        <w:tc>
          <w:tcPr>
            <w:tcW w:w="1172" w:type="dxa"/>
            <w:shd w:val="clear" w:color="auto" w:fill="auto"/>
          </w:tcPr>
          <w:p w14:paraId="3E21E24E"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w:t>
            </w:r>
            <w:proofErr w:type="spellStart"/>
            <w:r w:rsidRPr="00966CD6">
              <w:rPr>
                <w:sz w:val="18"/>
                <w:szCs w:val="18"/>
              </w:rPr>
              <w:t>máxima</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34F399FC"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0067359D" w14:textId="77777777" w:rsidR="00AD6EF5" w:rsidRPr="00966CD6" w:rsidRDefault="00AD6EF5" w:rsidP="0016793D">
            <w:pPr>
              <w:rPr>
                <w:sz w:val="18"/>
                <w:szCs w:val="18"/>
                <w:lang w:val="fr-FR"/>
              </w:rPr>
            </w:pPr>
            <w:r w:rsidRPr="00966CD6">
              <w:rPr>
                <w:sz w:val="18"/>
                <w:szCs w:val="18"/>
                <w:lang w:val="fr-FR"/>
              </w:rPr>
              <w:t>Degré maximal de remplissage</w:t>
            </w:r>
          </w:p>
          <w:p w14:paraId="12806C14" w14:textId="77777777" w:rsidR="00AD6EF5" w:rsidRPr="00966CD6" w:rsidRDefault="00AD6EF5" w:rsidP="0016793D">
            <w:pPr>
              <w:rPr>
                <w:b/>
                <w:bCs/>
                <w:sz w:val="18"/>
                <w:szCs w:val="18"/>
                <w:lang w:val="fr-FR"/>
              </w:rPr>
            </w:pPr>
            <w:r w:rsidRPr="00966CD6">
              <w:rPr>
                <w:b/>
                <w:bCs/>
                <w:sz w:val="18"/>
                <w:szCs w:val="18"/>
                <w:lang w:val="fr-FR"/>
              </w:rPr>
              <w:t xml:space="preserve">Para. </w:t>
            </w:r>
            <w:r w:rsidRPr="00966CD6">
              <w:rPr>
                <w:b/>
                <w:bCs/>
                <w:color w:val="000000"/>
                <w:sz w:val="18"/>
                <w:szCs w:val="18"/>
                <w:lang w:val="fr-FR"/>
              </w:rPr>
              <w:t>21</w:t>
            </w:r>
          </w:p>
        </w:tc>
        <w:tc>
          <w:tcPr>
            <w:tcW w:w="1552" w:type="dxa"/>
            <w:shd w:val="clear" w:color="auto" w:fill="auto"/>
          </w:tcPr>
          <w:p w14:paraId="63BEFCE7" w14:textId="77777777" w:rsidR="00AD6EF5" w:rsidRPr="00966CD6" w:rsidRDefault="00AD6EF5" w:rsidP="0016793D">
            <w:pPr>
              <w:rPr>
                <w:sz w:val="18"/>
                <w:szCs w:val="18"/>
                <w:lang w:val="es-ES"/>
              </w:rPr>
            </w:pPr>
            <w:r w:rsidRPr="00966CD6">
              <w:rPr>
                <w:sz w:val="18"/>
                <w:szCs w:val="18"/>
                <w:lang w:val="es-ES"/>
              </w:rPr>
              <w:t>Grado máximo de llenado</w:t>
            </w:r>
          </w:p>
          <w:p w14:paraId="30F9169F" w14:textId="77777777" w:rsidR="00AD6EF5" w:rsidRPr="00966CD6" w:rsidRDefault="00AD6EF5" w:rsidP="0016793D">
            <w:pPr>
              <w:rPr>
                <w:b/>
                <w:bCs/>
                <w:sz w:val="18"/>
                <w:szCs w:val="18"/>
                <w:lang w:val="es-ES"/>
              </w:rPr>
            </w:pPr>
            <w:r w:rsidRPr="00966CD6">
              <w:rPr>
                <w:b/>
                <w:bCs/>
                <w:sz w:val="18"/>
                <w:szCs w:val="18"/>
                <w:lang w:val="es-ES"/>
              </w:rPr>
              <w:t>Para. 46</w:t>
            </w:r>
          </w:p>
        </w:tc>
      </w:tr>
      <w:tr w:rsidR="00AD6EF5" w:rsidRPr="009E3E90" w14:paraId="703CB5D2" w14:textId="77777777" w:rsidTr="00966CD6">
        <w:trPr>
          <w:trHeight w:val="87"/>
        </w:trPr>
        <w:tc>
          <w:tcPr>
            <w:tcW w:w="1540" w:type="dxa"/>
            <w:shd w:val="clear" w:color="auto" w:fill="auto"/>
          </w:tcPr>
          <w:p w14:paraId="2A9C1423" w14:textId="77777777" w:rsidR="00AD6EF5" w:rsidRPr="00966CD6" w:rsidRDefault="00AD6EF5" w:rsidP="0016793D">
            <w:pPr>
              <w:rPr>
                <w:sz w:val="18"/>
                <w:szCs w:val="18"/>
              </w:rPr>
            </w:pPr>
            <w:r w:rsidRPr="00966CD6">
              <w:rPr>
                <w:sz w:val="18"/>
                <w:szCs w:val="18"/>
              </w:rPr>
              <w:t>P200 Heading</w:t>
            </w:r>
          </w:p>
          <w:p w14:paraId="40BD57E9" w14:textId="77777777" w:rsidR="00AD6EF5" w:rsidRPr="00966CD6" w:rsidRDefault="00AD6EF5" w:rsidP="0016793D">
            <w:pPr>
              <w:rPr>
                <w:sz w:val="18"/>
                <w:szCs w:val="18"/>
              </w:rPr>
            </w:pPr>
            <w:r w:rsidRPr="00966CD6">
              <w:rPr>
                <w:sz w:val="18"/>
                <w:szCs w:val="18"/>
              </w:rPr>
              <w:t>Column 13</w:t>
            </w:r>
          </w:p>
        </w:tc>
        <w:tc>
          <w:tcPr>
            <w:tcW w:w="1218" w:type="dxa"/>
            <w:shd w:val="clear" w:color="auto" w:fill="auto"/>
          </w:tcPr>
          <w:p w14:paraId="3AE24D47" w14:textId="77777777" w:rsidR="00AD6EF5" w:rsidRPr="00966CD6" w:rsidRDefault="00AD6EF5" w:rsidP="0016793D">
            <w:pPr>
              <w:rPr>
                <w:sz w:val="18"/>
                <w:szCs w:val="18"/>
              </w:rPr>
            </w:pPr>
            <w:r w:rsidRPr="00966CD6">
              <w:rPr>
                <w:sz w:val="18"/>
                <w:szCs w:val="18"/>
              </w:rPr>
              <w:t>Filling ratio</w:t>
            </w:r>
          </w:p>
        </w:tc>
        <w:tc>
          <w:tcPr>
            <w:tcW w:w="1557" w:type="dxa"/>
            <w:shd w:val="clear" w:color="auto" w:fill="auto"/>
          </w:tcPr>
          <w:p w14:paraId="16BB6926" w14:textId="77777777" w:rsidR="00AD6EF5" w:rsidRPr="00966CD6" w:rsidRDefault="00AD6EF5" w:rsidP="0016793D">
            <w:pPr>
              <w:rPr>
                <w:sz w:val="18"/>
                <w:szCs w:val="18"/>
                <w:lang w:val="fr-FR"/>
              </w:rPr>
            </w:pPr>
            <w:r w:rsidRPr="00966CD6">
              <w:rPr>
                <w:sz w:val="18"/>
                <w:szCs w:val="18"/>
                <w:lang w:val="fr-FR"/>
              </w:rPr>
              <w:t>Taux de remplissage</w:t>
            </w:r>
          </w:p>
        </w:tc>
        <w:tc>
          <w:tcPr>
            <w:tcW w:w="1172" w:type="dxa"/>
            <w:shd w:val="clear" w:color="auto" w:fill="auto"/>
          </w:tcPr>
          <w:p w14:paraId="2EBD8DCE"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38F5D7C0"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4A62B844"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4843E889" w14:textId="77777777" w:rsidR="00AD6EF5" w:rsidRPr="00966CD6" w:rsidRDefault="00AD6EF5" w:rsidP="0016793D">
            <w:pPr>
              <w:rPr>
                <w:sz w:val="18"/>
                <w:szCs w:val="18"/>
              </w:rPr>
            </w:pPr>
            <w:r w:rsidRPr="00966CD6">
              <w:rPr>
                <w:sz w:val="18"/>
                <w:szCs w:val="18"/>
              </w:rPr>
              <w:t>NO</w:t>
            </w:r>
          </w:p>
        </w:tc>
      </w:tr>
      <w:tr w:rsidR="00AD6EF5" w:rsidRPr="009E3E90" w14:paraId="6950F483" w14:textId="77777777" w:rsidTr="00966CD6">
        <w:trPr>
          <w:trHeight w:val="87"/>
        </w:trPr>
        <w:tc>
          <w:tcPr>
            <w:tcW w:w="1540" w:type="dxa"/>
            <w:shd w:val="clear" w:color="auto" w:fill="auto"/>
          </w:tcPr>
          <w:p w14:paraId="64182243" w14:textId="77777777" w:rsidR="00AD6EF5" w:rsidRPr="00966CD6" w:rsidRDefault="00AD6EF5" w:rsidP="0016793D">
            <w:pPr>
              <w:rPr>
                <w:sz w:val="18"/>
                <w:szCs w:val="18"/>
              </w:rPr>
            </w:pPr>
            <w:r w:rsidRPr="00966CD6">
              <w:rPr>
                <w:sz w:val="18"/>
                <w:szCs w:val="18"/>
              </w:rPr>
              <w:t>PI P200 (2) f</w:t>
            </w:r>
          </w:p>
        </w:tc>
        <w:tc>
          <w:tcPr>
            <w:tcW w:w="1218" w:type="dxa"/>
            <w:shd w:val="clear" w:color="auto" w:fill="auto"/>
          </w:tcPr>
          <w:p w14:paraId="0CE7509D" w14:textId="77777777" w:rsidR="00AD6EF5" w:rsidRPr="00966CD6" w:rsidRDefault="00AD6EF5" w:rsidP="0016793D">
            <w:pPr>
              <w:rPr>
                <w:sz w:val="18"/>
                <w:szCs w:val="18"/>
              </w:rPr>
            </w:pPr>
            <w:r w:rsidRPr="00966CD6">
              <w:rPr>
                <w:sz w:val="18"/>
                <w:szCs w:val="18"/>
              </w:rPr>
              <w:t>Filling ratio</w:t>
            </w:r>
          </w:p>
        </w:tc>
        <w:tc>
          <w:tcPr>
            <w:tcW w:w="1557" w:type="dxa"/>
            <w:shd w:val="clear" w:color="auto" w:fill="auto"/>
          </w:tcPr>
          <w:p w14:paraId="210C5C92" w14:textId="77777777" w:rsidR="00AD6EF5" w:rsidRPr="00966CD6" w:rsidRDefault="00AD6EF5" w:rsidP="0016793D">
            <w:pPr>
              <w:rPr>
                <w:sz w:val="18"/>
                <w:szCs w:val="18"/>
                <w:lang w:val="fr-FR"/>
              </w:rPr>
            </w:pPr>
            <w:r w:rsidRPr="00966CD6">
              <w:rPr>
                <w:sz w:val="18"/>
                <w:szCs w:val="18"/>
                <w:lang w:val="fr-FR"/>
              </w:rPr>
              <w:t>Taux maximum(s) de remplissage</w:t>
            </w:r>
          </w:p>
        </w:tc>
        <w:tc>
          <w:tcPr>
            <w:tcW w:w="1172" w:type="dxa"/>
            <w:shd w:val="clear" w:color="auto" w:fill="auto"/>
          </w:tcPr>
          <w:p w14:paraId="72481617" w14:textId="77777777" w:rsidR="00AD6EF5" w:rsidRPr="00966CD6" w:rsidRDefault="00AD6EF5" w:rsidP="0016793D">
            <w:pPr>
              <w:rPr>
                <w:sz w:val="18"/>
                <w:szCs w:val="18"/>
                <w:lang w:val="es-ES"/>
              </w:rPr>
            </w:pPr>
            <w:r w:rsidRPr="00966CD6">
              <w:rPr>
                <w:sz w:val="18"/>
                <w:szCs w:val="18"/>
                <w:lang w:val="es-ES"/>
              </w:rPr>
              <w:t>Razón (razones) máxima(s) de llenado</w:t>
            </w:r>
          </w:p>
        </w:tc>
        <w:tc>
          <w:tcPr>
            <w:tcW w:w="1171" w:type="dxa"/>
            <w:shd w:val="clear" w:color="auto" w:fill="auto"/>
          </w:tcPr>
          <w:p w14:paraId="52847461"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3E71892D"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24A85851" w14:textId="77777777" w:rsidR="00AD6EF5" w:rsidRPr="00966CD6" w:rsidRDefault="00AD6EF5" w:rsidP="0016793D">
            <w:pPr>
              <w:rPr>
                <w:sz w:val="18"/>
                <w:szCs w:val="18"/>
              </w:rPr>
            </w:pPr>
            <w:r w:rsidRPr="00966CD6">
              <w:rPr>
                <w:sz w:val="18"/>
                <w:szCs w:val="18"/>
              </w:rPr>
              <w:t>NO</w:t>
            </w:r>
          </w:p>
        </w:tc>
      </w:tr>
      <w:tr w:rsidR="00AD6EF5" w:rsidRPr="009E3E90" w14:paraId="54E2E404" w14:textId="77777777" w:rsidTr="00966CD6">
        <w:tc>
          <w:tcPr>
            <w:tcW w:w="1540" w:type="dxa"/>
            <w:shd w:val="clear" w:color="auto" w:fill="auto"/>
          </w:tcPr>
          <w:p w14:paraId="61C144AB" w14:textId="77777777" w:rsidR="00AD6EF5" w:rsidRPr="00966CD6" w:rsidRDefault="00AD6EF5" w:rsidP="0016793D">
            <w:pPr>
              <w:rPr>
                <w:sz w:val="18"/>
                <w:szCs w:val="18"/>
              </w:rPr>
            </w:pPr>
            <w:r w:rsidRPr="00966CD6">
              <w:rPr>
                <w:sz w:val="18"/>
                <w:szCs w:val="18"/>
              </w:rPr>
              <w:t>PI P200 (3) b</w:t>
            </w:r>
          </w:p>
        </w:tc>
        <w:tc>
          <w:tcPr>
            <w:tcW w:w="1218" w:type="dxa"/>
            <w:shd w:val="clear" w:color="auto" w:fill="auto"/>
          </w:tcPr>
          <w:p w14:paraId="4E74305B" w14:textId="77777777" w:rsidR="00AD6EF5" w:rsidRPr="00966CD6" w:rsidRDefault="00AD6EF5" w:rsidP="0016793D">
            <w:pPr>
              <w:rPr>
                <w:sz w:val="18"/>
                <w:szCs w:val="18"/>
              </w:rPr>
            </w:pPr>
            <w:r w:rsidRPr="00966CD6">
              <w:rPr>
                <w:sz w:val="18"/>
                <w:szCs w:val="18"/>
              </w:rPr>
              <w:t>Filling ratio (6)</w:t>
            </w:r>
          </w:p>
        </w:tc>
        <w:tc>
          <w:tcPr>
            <w:tcW w:w="1557" w:type="dxa"/>
            <w:shd w:val="clear" w:color="auto" w:fill="auto"/>
          </w:tcPr>
          <w:p w14:paraId="5A7003E6" w14:textId="77777777" w:rsidR="00AD6EF5" w:rsidRPr="00966CD6" w:rsidRDefault="00AD6EF5" w:rsidP="0016793D">
            <w:pPr>
              <w:rPr>
                <w:sz w:val="18"/>
                <w:szCs w:val="18"/>
                <w:lang w:val="fr-FR"/>
              </w:rPr>
            </w:pPr>
            <w:r w:rsidRPr="00966CD6">
              <w:rPr>
                <w:sz w:val="18"/>
                <w:szCs w:val="18"/>
                <w:lang w:val="fr-FR"/>
              </w:rPr>
              <w:t xml:space="preserve">Taux </w:t>
            </w:r>
            <w:proofErr w:type="gramStart"/>
            <w:r w:rsidRPr="00966CD6">
              <w:rPr>
                <w:sz w:val="18"/>
                <w:szCs w:val="18"/>
                <w:lang w:val="fr-FR"/>
              </w:rPr>
              <w:t>remplissage  (</w:t>
            </w:r>
            <w:proofErr w:type="gramEnd"/>
            <w:r w:rsidRPr="00966CD6">
              <w:rPr>
                <w:sz w:val="18"/>
                <w:szCs w:val="18"/>
                <w:lang w:val="fr-FR"/>
              </w:rPr>
              <w:t>6)</w:t>
            </w:r>
          </w:p>
          <w:p w14:paraId="16527D87" w14:textId="77777777" w:rsidR="00AD6EF5" w:rsidRPr="00966CD6" w:rsidRDefault="00AD6EF5" w:rsidP="0016793D">
            <w:pPr>
              <w:rPr>
                <w:sz w:val="18"/>
                <w:szCs w:val="18"/>
                <w:lang w:val="fr-FR"/>
              </w:rPr>
            </w:pPr>
          </w:p>
        </w:tc>
        <w:tc>
          <w:tcPr>
            <w:tcW w:w="1172" w:type="dxa"/>
            <w:shd w:val="clear" w:color="auto" w:fill="auto"/>
          </w:tcPr>
          <w:p w14:paraId="75A657E4"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r w:rsidRPr="00966CD6">
              <w:rPr>
                <w:sz w:val="18"/>
                <w:szCs w:val="18"/>
              </w:rPr>
              <w:t xml:space="preserve"> (6)</w:t>
            </w:r>
          </w:p>
        </w:tc>
        <w:tc>
          <w:tcPr>
            <w:tcW w:w="1171" w:type="dxa"/>
            <w:shd w:val="clear" w:color="auto" w:fill="auto"/>
          </w:tcPr>
          <w:p w14:paraId="0986BA58"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10A786D5"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05EC4A16" w14:textId="77777777" w:rsidR="00AD6EF5" w:rsidRPr="00966CD6" w:rsidRDefault="00AD6EF5" w:rsidP="0016793D">
            <w:pPr>
              <w:rPr>
                <w:sz w:val="18"/>
                <w:szCs w:val="18"/>
              </w:rPr>
            </w:pPr>
            <w:r w:rsidRPr="00966CD6">
              <w:rPr>
                <w:sz w:val="18"/>
                <w:szCs w:val="18"/>
              </w:rPr>
              <w:t>NO</w:t>
            </w:r>
          </w:p>
        </w:tc>
      </w:tr>
      <w:tr w:rsidR="00AD6EF5" w:rsidRPr="009E3E90" w14:paraId="66065604" w14:textId="77777777" w:rsidTr="00966CD6">
        <w:tc>
          <w:tcPr>
            <w:tcW w:w="1540" w:type="dxa"/>
            <w:shd w:val="clear" w:color="auto" w:fill="auto"/>
          </w:tcPr>
          <w:p w14:paraId="1F5245DF" w14:textId="77777777" w:rsidR="00AD6EF5" w:rsidRPr="00966CD6" w:rsidRDefault="00AD6EF5" w:rsidP="0016793D">
            <w:pPr>
              <w:rPr>
                <w:sz w:val="18"/>
                <w:szCs w:val="18"/>
              </w:rPr>
            </w:pPr>
            <w:r w:rsidRPr="00966CD6">
              <w:rPr>
                <w:sz w:val="18"/>
                <w:szCs w:val="18"/>
              </w:rPr>
              <w:t>PI P200 (3) c</w:t>
            </w:r>
          </w:p>
        </w:tc>
        <w:tc>
          <w:tcPr>
            <w:tcW w:w="1218" w:type="dxa"/>
            <w:shd w:val="clear" w:color="auto" w:fill="auto"/>
          </w:tcPr>
          <w:p w14:paraId="324F3C60" w14:textId="77777777" w:rsidR="00AD6EF5" w:rsidRPr="00966CD6" w:rsidRDefault="00AD6EF5" w:rsidP="0016793D">
            <w:pPr>
              <w:rPr>
                <w:sz w:val="18"/>
                <w:szCs w:val="18"/>
              </w:rPr>
            </w:pPr>
            <w:r w:rsidRPr="00966CD6">
              <w:rPr>
                <w:sz w:val="18"/>
                <w:szCs w:val="18"/>
              </w:rPr>
              <w:t>Filling ratio (2)</w:t>
            </w:r>
          </w:p>
        </w:tc>
        <w:tc>
          <w:tcPr>
            <w:tcW w:w="1557" w:type="dxa"/>
            <w:shd w:val="clear" w:color="auto" w:fill="auto"/>
          </w:tcPr>
          <w:p w14:paraId="24CC09D7"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w:t>
            </w:r>
            <w:proofErr w:type="spellStart"/>
            <w:r w:rsidRPr="00966CD6">
              <w:rPr>
                <w:sz w:val="18"/>
                <w:szCs w:val="18"/>
              </w:rPr>
              <w:t>remplissage</w:t>
            </w:r>
            <w:proofErr w:type="spellEnd"/>
            <w:r w:rsidRPr="00966CD6">
              <w:rPr>
                <w:sz w:val="18"/>
                <w:szCs w:val="18"/>
              </w:rPr>
              <w:t xml:space="preserve"> maximal (2)</w:t>
            </w:r>
          </w:p>
        </w:tc>
        <w:tc>
          <w:tcPr>
            <w:tcW w:w="1172" w:type="dxa"/>
            <w:shd w:val="clear" w:color="auto" w:fill="auto"/>
          </w:tcPr>
          <w:p w14:paraId="42A24436"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w:t>
            </w:r>
            <w:proofErr w:type="spellStart"/>
            <w:r w:rsidRPr="00966CD6">
              <w:rPr>
                <w:sz w:val="18"/>
                <w:szCs w:val="18"/>
              </w:rPr>
              <w:t>máxima</w:t>
            </w:r>
            <w:proofErr w:type="spellEnd"/>
            <w:r w:rsidRPr="00966CD6">
              <w:rPr>
                <w:sz w:val="18"/>
                <w:szCs w:val="18"/>
              </w:rPr>
              <w:t xml:space="preserve"> de </w:t>
            </w:r>
            <w:proofErr w:type="spellStart"/>
            <w:r w:rsidRPr="00966CD6">
              <w:rPr>
                <w:sz w:val="18"/>
                <w:szCs w:val="18"/>
              </w:rPr>
              <w:t>llenado</w:t>
            </w:r>
            <w:proofErr w:type="spellEnd"/>
            <w:r w:rsidRPr="00966CD6">
              <w:rPr>
                <w:sz w:val="18"/>
                <w:szCs w:val="18"/>
              </w:rPr>
              <w:t xml:space="preserve"> (2)</w:t>
            </w:r>
          </w:p>
        </w:tc>
        <w:tc>
          <w:tcPr>
            <w:tcW w:w="1171" w:type="dxa"/>
            <w:shd w:val="clear" w:color="auto" w:fill="auto"/>
          </w:tcPr>
          <w:p w14:paraId="661FB3EA"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69461237"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4035ABA3" w14:textId="77777777" w:rsidR="00AD6EF5" w:rsidRPr="00966CD6" w:rsidRDefault="00AD6EF5" w:rsidP="0016793D">
            <w:pPr>
              <w:rPr>
                <w:sz w:val="18"/>
                <w:szCs w:val="18"/>
              </w:rPr>
            </w:pPr>
            <w:r w:rsidRPr="00966CD6">
              <w:rPr>
                <w:sz w:val="18"/>
                <w:szCs w:val="18"/>
              </w:rPr>
              <w:t>NO</w:t>
            </w:r>
          </w:p>
        </w:tc>
      </w:tr>
      <w:tr w:rsidR="00AD6EF5" w:rsidRPr="009E3E90" w14:paraId="4D62AA7E" w14:textId="77777777" w:rsidTr="00966CD6">
        <w:tc>
          <w:tcPr>
            <w:tcW w:w="1540" w:type="dxa"/>
            <w:shd w:val="clear" w:color="auto" w:fill="auto"/>
          </w:tcPr>
          <w:p w14:paraId="1C1ED470" w14:textId="77777777" w:rsidR="00AD6EF5" w:rsidRPr="00966CD6" w:rsidRDefault="00AD6EF5" w:rsidP="0016793D">
            <w:pPr>
              <w:rPr>
                <w:sz w:val="18"/>
                <w:szCs w:val="18"/>
              </w:rPr>
            </w:pPr>
            <w:r w:rsidRPr="00966CD6">
              <w:rPr>
                <w:sz w:val="18"/>
                <w:szCs w:val="18"/>
              </w:rPr>
              <w:t>PI P200 GAS SP o</w:t>
            </w:r>
          </w:p>
        </w:tc>
        <w:tc>
          <w:tcPr>
            <w:tcW w:w="1218" w:type="dxa"/>
            <w:shd w:val="clear" w:color="auto" w:fill="auto"/>
          </w:tcPr>
          <w:p w14:paraId="65C87F43" w14:textId="77777777" w:rsidR="00AD6EF5" w:rsidRPr="00966CD6" w:rsidRDefault="00AD6EF5" w:rsidP="0016793D">
            <w:pPr>
              <w:rPr>
                <w:sz w:val="18"/>
                <w:szCs w:val="18"/>
              </w:rPr>
            </w:pPr>
            <w:r w:rsidRPr="00966CD6">
              <w:rPr>
                <w:sz w:val="18"/>
                <w:szCs w:val="18"/>
              </w:rPr>
              <w:t>Filling ratio</w:t>
            </w:r>
          </w:p>
        </w:tc>
        <w:tc>
          <w:tcPr>
            <w:tcW w:w="1557" w:type="dxa"/>
            <w:shd w:val="clear" w:color="auto" w:fill="auto"/>
          </w:tcPr>
          <w:p w14:paraId="57C71E7B"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w:t>
            </w:r>
            <w:proofErr w:type="spellStart"/>
            <w:r w:rsidRPr="00966CD6">
              <w:rPr>
                <w:sz w:val="18"/>
                <w:szCs w:val="18"/>
              </w:rPr>
              <w:t>remplissage</w:t>
            </w:r>
            <w:proofErr w:type="spellEnd"/>
          </w:p>
        </w:tc>
        <w:tc>
          <w:tcPr>
            <w:tcW w:w="1172" w:type="dxa"/>
            <w:shd w:val="clear" w:color="auto" w:fill="auto"/>
          </w:tcPr>
          <w:p w14:paraId="0CE9392A"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6A42C9FC"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1F4BBE90"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37DA5103" w14:textId="77777777" w:rsidR="00AD6EF5" w:rsidRPr="00966CD6" w:rsidRDefault="00AD6EF5" w:rsidP="0016793D">
            <w:pPr>
              <w:rPr>
                <w:sz w:val="18"/>
                <w:szCs w:val="18"/>
              </w:rPr>
            </w:pPr>
            <w:r w:rsidRPr="00966CD6">
              <w:rPr>
                <w:sz w:val="18"/>
                <w:szCs w:val="18"/>
              </w:rPr>
              <w:t>NO</w:t>
            </w:r>
          </w:p>
        </w:tc>
      </w:tr>
      <w:tr w:rsidR="00AD6EF5" w:rsidRPr="009E3E90" w14:paraId="40FF98C0" w14:textId="77777777" w:rsidTr="00966CD6">
        <w:tc>
          <w:tcPr>
            <w:tcW w:w="1540" w:type="dxa"/>
            <w:shd w:val="clear" w:color="auto" w:fill="auto"/>
          </w:tcPr>
          <w:p w14:paraId="5D338BC6" w14:textId="77777777" w:rsidR="00AD6EF5" w:rsidRPr="00966CD6" w:rsidRDefault="00AD6EF5" w:rsidP="0016793D">
            <w:pPr>
              <w:rPr>
                <w:sz w:val="18"/>
                <w:szCs w:val="18"/>
              </w:rPr>
            </w:pPr>
            <w:r w:rsidRPr="00966CD6">
              <w:rPr>
                <w:sz w:val="18"/>
                <w:szCs w:val="18"/>
              </w:rPr>
              <w:t>PI P200 GAS SP r</w:t>
            </w:r>
          </w:p>
        </w:tc>
        <w:tc>
          <w:tcPr>
            <w:tcW w:w="1218" w:type="dxa"/>
            <w:shd w:val="clear" w:color="auto" w:fill="auto"/>
          </w:tcPr>
          <w:p w14:paraId="1D860944" w14:textId="77777777" w:rsidR="00AD6EF5" w:rsidRPr="00966CD6" w:rsidRDefault="00AD6EF5" w:rsidP="0016793D">
            <w:pPr>
              <w:rPr>
                <w:sz w:val="18"/>
                <w:szCs w:val="18"/>
              </w:rPr>
            </w:pPr>
            <w:r w:rsidRPr="00966CD6">
              <w:rPr>
                <w:sz w:val="18"/>
                <w:szCs w:val="18"/>
              </w:rPr>
              <w:t>Filling ratio</w:t>
            </w:r>
          </w:p>
        </w:tc>
        <w:tc>
          <w:tcPr>
            <w:tcW w:w="1557" w:type="dxa"/>
            <w:shd w:val="clear" w:color="auto" w:fill="auto"/>
          </w:tcPr>
          <w:p w14:paraId="3A1E437B"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w:t>
            </w:r>
            <w:proofErr w:type="spellStart"/>
            <w:r w:rsidRPr="00966CD6">
              <w:rPr>
                <w:sz w:val="18"/>
                <w:szCs w:val="18"/>
              </w:rPr>
              <w:t>remplissage</w:t>
            </w:r>
            <w:proofErr w:type="spellEnd"/>
          </w:p>
        </w:tc>
        <w:tc>
          <w:tcPr>
            <w:tcW w:w="1172" w:type="dxa"/>
            <w:shd w:val="clear" w:color="auto" w:fill="auto"/>
          </w:tcPr>
          <w:p w14:paraId="360F8DFE"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0DC7079E"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277BF0AC"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58CCB9C5" w14:textId="77777777" w:rsidR="00AD6EF5" w:rsidRPr="00966CD6" w:rsidRDefault="00AD6EF5" w:rsidP="0016793D">
            <w:pPr>
              <w:rPr>
                <w:sz w:val="18"/>
                <w:szCs w:val="18"/>
              </w:rPr>
            </w:pPr>
            <w:r w:rsidRPr="00966CD6">
              <w:rPr>
                <w:sz w:val="18"/>
                <w:szCs w:val="18"/>
              </w:rPr>
              <w:t>NO</w:t>
            </w:r>
          </w:p>
        </w:tc>
      </w:tr>
      <w:tr w:rsidR="00AD6EF5" w:rsidRPr="009E3E90" w14:paraId="2932EA1B" w14:textId="77777777" w:rsidTr="00966CD6">
        <w:tc>
          <w:tcPr>
            <w:tcW w:w="1540" w:type="dxa"/>
            <w:shd w:val="clear" w:color="auto" w:fill="auto"/>
          </w:tcPr>
          <w:p w14:paraId="2893E3F4" w14:textId="77777777" w:rsidR="00AD6EF5" w:rsidRPr="00966CD6" w:rsidRDefault="00AD6EF5" w:rsidP="0016793D">
            <w:pPr>
              <w:rPr>
                <w:sz w:val="18"/>
                <w:szCs w:val="18"/>
              </w:rPr>
            </w:pPr>
            <w:r w:rsidRPr="00966CD6">
              <w:rPr>
                <w:sz w:val="18"/>
                <w:szCs w:val="18"/>
              </w:rPr>
              <w:t>PI P200 GAS SP z</w:t>
            </w:r>
          </w:p>
        </w:tc>
        <w:tc>
          <w:tcPr>
            <w:tcW w:w="1218" w:type="dxa"/>
            <w:shd w:val="clear" w:color="auto" w:fill="auto"/>
          </w:tcPr>
          <w:p w14:paraId="4C9CD830" w14:textId="77777777" w:rsidR="00AD6EF5" w:rsidRPr="00966CD6" w:rsidRDefault="00AD6EF5" w:rsidP="0016793D">
            <w:pPr>
              <w:rPr>
                <w:sz w:val="18"/>
                <w:szCs w:val="18"/>
              </w:rPr>
            </w:pPr>
            <w:r w:rsidRPr="00966CD6">
              <w:rPr>
                <w:sz w:val="18"/>
                <w:szCs w:val="18"/>
              </w:rPr>
              <w:t>Filling ratio</w:t>
            </w:r>
          </w:p>
        </w:tc>
        <w:tc>
          <w:tcPr>
            <w:tcW w:w="1557" w:type="dxa"/>
            <w:shd w:val="clear" w:color="auto" w:fill="auto"/>
          </w:tcPr>
          <w:p w14:paraId="381E8D65"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w:t>
            </w:r>
            <w:proofErr w:type="spellStart"/>
            <w:r w:rsidRPr="00966CD6">
              <w:rPr>
                <w:sz w:val="18"/>
                <w:szCs w:val="18"/>
              </w:rPr>
              <w:t>remplissage</w:t>
            </w:r>
            <w:proofErr w:type="spellEnd"/>
          </w:p>
        </w:tc>
        <w:tc>
          <w:tcPr>
            <w:tcW w:w="1172" w:type="dxa"/>
            <w:shd w:val="clear" w:color="auto" w:fill="auto"/>
          </w:tcPr>
          <w:p w14:paraId="07231B02"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68CFE1DB"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0A188F5D"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6B409F7A" w14:textId="77777777" w:rsidR="00AD6EF5" w:rsidRPr="00966CD6" w:rsidRDefault="00AD6EF5" w:rsidP="0016793D">
            <w:pPr>
              <w:rPr>
                <w:sz w:val="18"/>
                <w:szCs w:val="18"/>
              </w:rPr>
            </w:pPr>
            <w:r w:rsidRPr="00966CD6">
              <w:rPr>
                <w:sz w:val="18"/>
                <w:szCs w:val="18"/>
              </w:rPr>
              <w:t>NO</w:t>
            </w:r>
          </w:p>
        </w:tc>
      </w:tr>
      <w:tr w:rsidR="00AD6EF5" w:rsidRPr="007A2BD7" w14:paraId="0EB80B04" w14:textId="77777777" w:rsidTr="00966CD6">
        <w:tc>
          <w:tcPr>
            <w:tcW w:w="1540" w:type="dxa"/>
            <w:shd w:val="clear" w:color="auto" w:fill="auto"/>
          </w:tcPr>
          <w:p w14:paraId="214BDF1C" w14:textId="77777777" w:rsidR="00AD6EF5" w:rsidRPr="00966CD6" w:rsidRDefault="00AD6EF5" w:rsidP="0016793D">
            <w:pPr>
              <w:rPr>
                <w:sz w:val="18"/>
                <w:szCs w:val="18"/>
              </w:rPr>
            </w:pPr>
            <w:r w:rsidRPr="00966CD6">
              <w:rPr>
                <w:sz w:val="18"/>
                <w:szCs w:val="18"/>
              </w:rPr>
              <w:t>PI P203 (5</w:t>
            </w:r>
            <w:proofErr w:type="gramStart"/>
            <w:r w:rsidRPr="00966CD6">
              <w:rPr>
                <w:sz w:val="18"/>
                <w:szCs w:val="18"/>
              </w:rPr>
              <w:t>)  (</w:t>
            </w:r>
            <w:proofErr w:type="gramEnd"/>
            <w:r w:rsidRPr="00966CD6">
              <w:rPr>
                <w:sz w:val="18"/>
                <w:szCs w:val="18"/>
              </w:rPr>
              <w:t xml:space="preserve">2) Heading and </w:t>
            </w:r>
          </w:p>
          <w:p w14:paraId="76BAEBB7" w14:textId="77777777" w:rsidR="00AD6EF5" w:rsidRPr="00966CD6" w:rsidRDefault="00AD6EF5" w:rsidP="0016793D">
            <w:pPr>
              <w:rPr>
                <w:sz w:val="18"/>
                <w:szCs w:val="18"/>
              </w:rPr>
            </w:pPr>
            <w:r w:rsidRPr="00966CD6">
              <w:rPr>
                <w:sz w:val="18"/>
                <w:szCs w:val="18"/>
              </w:rPr>
              <w:t xml:space="preserve">2 </w:t>
            </w:r>
            <w:proofErr w:type="spellStart"/>
            <w:r w:rsidRPr="00966CD6">
              <w:rPr>
                <w:sz w:val="18"/>
                <w:szCs w:val="18"/>
              </w:rPr>
              <w:t>paragh</w:t>
            </w:r>
            <w:proofErr w:type="spellEnd"/>
          </w:p>
          <w:p w14:paraId="7BF1D4AC" w14:textId="77777777" w:rsidR="00AD6EF5" w:rsidRPr="00966CD6" w:rsidRDefault="00AD6EF5" w:rsidP="0016793D">
            <w:pPr>
              <w:rPr>
                <w:sz w:val="18"/>
                <w:szCs w:val="18"/>
              </w:rPr>
            </w:pPr>
          </w:p>
        </w:tc>
        <w:tc>
          <w:tcPr>
            <w:tcW w:w="1218" w:type="dxa"/>
            <w:shd w:val="clear" w:color="auto" w:fill="auto"/>
          </w:tcPr>
          <w:p w14:paraId="0778BACE" w14:textId="77777777" w:rsidR="00AD6EF5" w:rsidRPr="00966CD6" w:rsidRDefault="00AD6EF5" w:rsidP="0016793D">
            <w:pPr>
              <w:rPr>
                <w:sz w:val="18"/>
                <w:szCs w:val="18"/>
              </w:rPr>
            </w:pPr>
            <w:r w:rsidRPr="00966CD6">
              <w:rPr>
                <w:sz w:val="18"/>
                <w:szCs w:val="18"/>
              </w:rPr>
              <w:t>Degree of filling</w:t>
            </w:r>
          </w:p>
          <w:p w14:paraId="3DA32F1A" w14:textId="77777777" w:rsidR="00AD6EF5" w:rsidRPr="00966CD6" w:rsidRDefault="00AD6EF5" w:rsidP="0016793D">
            <w:pPr>
              <w:rPr>
                <w:sz w:val="18"/>
                <w:szCs w:val="18"/>
              </w:rPr>
            </w:pPr>
          </w:p>
          <w:p w14:paraId="3852D01D" w14:textId="77777777" w:rsidR="00AD6EF5" w:rsidRPr="00966CD6" w:rsidRDefault="00AD6EF5" w:rsidP="0016793D">
            <w:pPr>
              <w:rPr>
                <w:sz w:val="18"/>
                <w:szCs w:val="18"/>
              </w:rPr>
            </w:pPr>
            <w:r w:rsidRPr="00966CD6">
              <w:rPr>
                <w:sz w:val="18"/>
                <w:szCs w:val="18"/>
              </w:rPr>
              <w:t>The degree of filling</w:t>
            </w:r>
          </w:p>
        </w:tc>
        <w:tc>
          <w:tcPr>
            <w:tcW w:w="1557" w:type="dxa"/>
            <w:shd w:val="clear" w:color="auto" w:fill="auto"/>
          </w:tcPr>
          <w:p w14:paraId="5C06AFF1" w14:textId="77777777" w:rsidR="00AD6EF5" w:rsidRPr="00966CD6" w:rsidRDefault="00AD6EF5" w:rsidP="0016793D">
            <w:pPr>
              <w:rPr>
                <w:sz w:val="18"/>
                <w:szCs w:val="18"/>
                <w:lang w:val="fr-FR"/>
              </w:rPr>
            </w:pPr>
            <w:r w:rsidRPr="00966CD6">
              <w:rPr>
                <w:sz w:val="18"/>
                <w:szCs w:val="18"/>
                <w:lang w:val="fr-FR"/>
              </w:rPr>
              <w:t>Degré de remplissage</w:t>
            </w:r>
          </w:p>
          <w:p w14:paraId="07988E5D" w14:textId="77777777" w:rsidR="00AD6EF5" w:rsidRPr="00966CD6" w:rsidRDefault="00AD6EF5" w:rsidP="0016793D">
            <w:pPr>
              <w:rPr>
                <w:sz w:val="18"/>
                <w:szCs w:val="18"/>
                <w:lang w:val="fr-FR"/>
              </w:rPr>
            </w:pPr>
            <w:r w:rsidRPr="00966CD6">
              <w:rPr>
                <w:sz w:val="18"/>
                <w:szCs w:val="18"/>
                <w:lang w:val="fr-FR"/>
              </w:rPr>
              <w:t>Le degré de remplissage</w:t>
            </w:r>
          </w:p>
        </w:tc>
        <w:tc>
          <w:tcPr>
            <w:tcW w:w="1172" w:type="dxa"/>
            <w:shd w:val="clear" w:color="auto" w:fill="auto"/>
          </w:tcPr>
          <w:p w14:paraId="029A4926" w14:textId="77777777" w:rsidR="00AD6EF5" w:rsidRPr="00966CD6" w:rsidRDefault="00AD6EF5" w:rsidP="0016793D">
            <w:pPr>
              <w:rPr>
                <w:sz w:val="18"/>
                <w:szCs w:val="18"/>
                <w:lang w:val="es-ES"/>
              </w:rPr>
            </w:pPr>
            <w:r w:rsidRPr="00966CD6">
              <w:rPr>
                <w:sz w:val="18"/>
                <w:szCs w:val="18"/>
                <w:lang w:val="es-ES"/>
              </w:rPr>
              <w:t>Razón de llenado</w:t>
            </w:r>
          </w:p>
          <w:p w14:paraId="73F4F597" w14:textId="77777777" w:rsidR="00AD6EF5" w:rsidRPr="00966CD6" w:rsidRDefault="00AD6EF5" w:rsidP="0016793D">
            <w:pPr>
              <w:rPr>
                <w:sz w:val="18"/>
                <w:szCs w:val="18"/>
                <w:lang w:val="es-ES"/>
              </w:rPr>
            </w:pPr>
            <w:r w:rsidRPr="00966CD6">
              <w:rPr>
                <w:sz w:val="18"/>
                <w:szCs w:val="18"/>
                <w:lang w:val="es-ES"/>
              </w:rPr>
              <w:t>La razón de llenado</w:t>
            </w:r>
          </w:p>
        </w:tc>
        <w:tc>
          <w:tcPr>
            <w:tcW w:w="1171" w:type="dxa"/>
            <w:shd w:val="clear" w:color="auto" w:fill="auto"/>
          </w:tcPr>
          <w:p w14:paraId="177EAA4E" w14:textId="77777777" w:rsidR="00AD6EF5" w:rsidRPr="00966CD6" w:rsidRDefault="00AD6EF5" w:rsidP="0016793D">
            <w:pPr>
              <w:rPr>
                <w:color w:val="FF0000"/>
                <w:sz w:val="18"/>
                <w:szCs w:val="18"/>
              </w:rPr>
            </w:pPr>
            <w:r w:rsidRPr="00966CD6">
              <w:rPr>
                <w:sz w:val="18"/>
                <w:szCs w:val="18"/>
              </w:rPr>
              <w:t>F</w:t>
            </w:r>
            <w:r w:rsidRPr="00966CD6">
              <w:rPr>
                <w:color w:val="FF0000"/>
                <w:sz w:val="18"/>
                <w:szCs w:val="18"/>
              </w:rPr>
              <w:t xml:space="preserve">illing </w:t>
            </w:r>
          </w:p>
          <w:p w14:paraId="715833E5" w14:textId="77777777" w:rsidR="00AD6EF5" w:rsidRPr="00966CD6" w:rsidRDefault="00AD6EF5" w:rsidP="0016793D">
            <w:pPr>
              <w:rPr>
                <w:color w:val="FF0000"/>
                <w:sz w:val="18"/>
                <w:szCs w:val="18"/>
              </w:rPr>
            </w:pPr>
            <w:r w:rsidRPr="00966CD6">
              <w:rPr>
                <w:color w:val="FF0000"/>
                <w:sz w:val="18"/>
                <w:szCs w:val="18"/>
              </w:rPr>
              <w:t>Gas filled into the receptacle</w:t>
            </w:r>
          </w:p>
          <w:p w14:paraId="5FCBD5EB" w14:textId="77777777" w:rsidR="00AD6EF5" w:rsidRPr="00966CD6" w:rsidRDefault="00AD6EF5" w:rsidP="0016793D">
            <w:pPr>
              <w:rPr>
                <w:b/>
                <w:bCs/>
                <w:sz w:val="18"/>
                <w:szCs w:val="18"/>
              </w:rPr>
            </w:pPr>
          </w:p>
          <w:p w14:paraId="29DA90C8" w14:textId="77777777" w:rsidR="00AD6EF5" w:rsidRPr="00966CD6" w:rsidRDefault="00AD6EF5" w:rsidP="0016793D">
            <w:pPr>
              <w:rPr>
                <w:b/>
                <w:bCs/>
                <w:sz w:val="18"/>
                <w:szCs w:val="18"/>
              </w:rPr>
            </w:pPr>
            <w:r w:rsidRPr="00966CD6">
              <w:rPr>
                <w:b/>
                <w:bCs/>
                <w:sz w:val="18"/>
                <w:szCs w:val="18"/>
              </w:rPr>
              <w:t>Para. 14</w:t>
            </w:r>
          </w:p>
        </w:tc>
        <w:tc>
          <w:tcPr>
            <w:tcW w:w="1566" w:type="dxa"/>
            <w:shd w:val="clear" w:color="auto" w:fill="auto"/>
          </w:tcPr>
          <w:p w14:paraId="40F11E86" w14:textId="77777777" w:rsidR="00AD6EF5" w:rsidRPr="00966CD6" w:rsidRDefault="00AD6EF5" w:rsidP="0016793D">
            <w:pPr>
              <w:rPr>
                <w:color w:val="FF0000"/>
                <w:sz w:val="18"/>
                <w:szCs w:val="18"/>
                <w:lang w:val="fr-FR"/>
              </w:rPr>
            </w:pPr>
            <w:r w:rsidRPr="00966CD6">
              <w:rPr>
                <w:color w:val="FF0000"/>
                <w:sz w:val="18"/>
                <w:szCs w:val="18"/>
                <w:lang w:val="fr-FR"/>
              </w:rPr>
              <w:t>Remplissage</w:t>
            </w:r>
          </w:p>
          <w:p w14:paraId="7D2CDAA9" w14:textId="77777777" w:rsidR="00AD6EF5" w:rsidRPr="00966CD6" w:rsidRDefault="00AD6EF5" w:rsidP="0016793D">
            <w:pPr>
              <w:rPr>
                <w:color w:val="FF0000"/>
                <w:sz w:val="18"/>
                <w:szCs w:val="18"/>
                <w:lang w:val="fr-FR"/>
              </w:rPr>
            </w:pPr>
            <w:r w:rsidRPr="00966CD6">
              <w:rPr>
                <w:color w:val="FF0000"/>
                <w:sz w:val="18"/>
                <w:szCs w:val="18"/>
                <w:lang w:val="fr-FR"/>
              </w:rPr>
              <w:t xml:space="preserve">Gaz rempli dans le récipient </w:t>
            </w:r>
          </w:p>
          <w:p w14:paraId="3CCD7962" w14:textId="77777777" w:rsidR="00AD6EF5" w:rsidRPr="00966CD6" w:rsidRDefault="00AD6EF5" w:rsidP="0016793D">
            <w:pPr>
              <w:rPr>
                <w:b/>
                <w:bCs/>
                <w:sz w:val="18"/>
                <w:szCs w:val="18"/>
                <w:lang w:val="fr-FR"/>
              </w:rPr>
            </w:pPr>
          </w:p>
          <w:p w14:paraId="31B68556" w14:textId="77777777" w:rsidR="00AD6EF5" w:rsidRPr="00966CD6" w:rsidRDefault="00AD6EF5" w:rsidP="0016793D">
            <w:pPr>
              <w:rPr>
                <w:b/>
                <w:bCs/>
                <w:sz w:val="18"/>
                <w:szCs w:val="18"/>
                <w:lang w:val="fr-FR"/>
              </w:rPr>
            </w:pPr>
            <w:r w:rsidRPr="00966CD6">
              <w:rPr>
                <w:b/>
                <w:bCs/>
                <w:sz w:val="18"/>
                <w:szCs w:val="18"/>
                <w:lang w:val="fr-FR"/>
              </w:rPr>
              <w:t xml:space="preserve">Para. </w:t>
            </w:r>
            <w:r w:rsidRPr="00966CD6">
              <w:rPr>
                <w:b/>
                <w:bCs/>
                <w:color w:val="000000"/>
                <w:sz w:val="18"/>
                <w:szCs w:val="18"/>
                <w:lang w:val="fr-FR"/>
              </w:rPr>
              <w:t>22</w:t>
            </w:r>
          </w:p>
        </w:tc>
        <w:tc>
          <w:tcPr>
            <w:tcW w:w="1552" w:type="dxa"/>
            <w:shd w:val="clear" w:color="auto" w:fill="auto"/>
          </w:tcPr>
          <w:p w14:paraId="4225FAD3" w14:textId="77777777" w:rsidR="00AD6EF5" w:rsidRPr="00966CD6" w:rsidRDefault="00AD6EF5" w:rsidP="0016793D">
            <w:pPr>
              <w:rPr>
                <w:color w:val="FF0000"/>
                <w:sz w:val="18"/>
                <w:szCs w:val="18"/>
                <w:lang w:val="es-ES"/>
              </w:rPr>
            </w:pPr>
            <w:r w:rsidRPr="00966CD6">
              <w:rPr>
                <w:color w:val="FF0000"/>
                <w:sz w:val="18"/>
                <w:szCs w:val="18"/>
                <w:lang w:val="es-ES"/>
              </w:rPr>
              <w:t>Llenado</w:t>
            </w:r>
          </w:p>
          <w:p w14:paraId="46144E8A" w14:textId="77777777" w:rsidR="00AD6EF5" w:rsidRPr="00966CD6" w:rsidRDefault="00AD6EF5" w:rsidP="0016793D">
            <w:pPr>
              <w:rPr>
                <w:sz w:val="18"/>
                <w:szCs w:val="18"/>
                <w:lang w:val="es-ES"/>
              </w:rPr>
            </w:pPr>
            <w:r w:rsidRPr="00966CD6">
              <w:rPr>
                <w:color w:val="FF0000"/>
                <w:sz w:val="18"/>
                <w:szCs w:val="18"/>
                <w:lang w:val="es-ES"/>
              </w:rPr>
              <w:t xml:space="preserve">El gas </w:t>
            </w:r>
            <w:r w:rsidR="00EC1E1B">
              <w:rPr>
                <w:color w:val="FF0000"/>
                <w:sz w:val="18"/>
                <w:szCs w:val="18"/>
                <w:lang w:val="es-ES"/>
              </w:rPr>
              <w:t>llenado</w:t>
            </w:r>
            <w:r w:rsidRPr="00966CD6">
              <w:rPr>
                <w:color w:val="FF0000"/>
                <w:sz w:val="18"/>
                <w:szCs w:val="18"/>
                <w:lang w:val="es-ES"/>
              </w:rPr>
              <w:t xml:space="preserve"> en el recipiente</w:t>
            </w:r>
            <w:r w:rsidRPr="00966CD6">
              <w:rPr>
                <w:sz w:val="18"/>
                <w:szCs w:val="18"/>
                <w:lang w:val="es-ES"/>
              </w:rPr>
              <w:t xml:space="preserve"> </w:t>
            </w:r>
          </w:p>
          <w:p w14:paraId="1415CE77" w14:textId="77777777" w:rsidR="00AD6EF5" w:rsidRPr="00966CD6" w:rsidRDefault="00AD6EF5" w:rsidP="0016793D">
            <w:pPr>
              <w:rPr>
                <w:sz w:val="18"/>
                <w:szCs w:val="18"/>
                <w:lang w:val="es-ES"/>
              </w:rPr>
            </w:pPr>
          </w:p>
          <w:p w14:paraId="239E65E7" w14:textId="77777777" w:rsidR="00AD6EF5" w:rsidRPr="00966CD6" w:rsidRDefault="00AD6EF5" w:rsidP="0016793D">
            <w:pPr>
              <w:rPr>
                <w:b/>
                <w:bCs/>
                <w:sz w:val="18"/>
                <w:szCs w:val="18"/>
                <w:lang w:val="es-ES"/>
              </w:rPr>
            </w:pPr>
            <w:r w:rsidRPr="00966CD6">
              <w:rPr>
                <w:b/>
                <w:bCs/>
                <w:sz w:val="18"/>
                <w:szCs w:val="18"/>
                <w:lang w:val="es-ES"/>
              </w:rPr>
              <w:t>Para.</w:t>
            </w:r>
            <w:r w:rsidRPr="00EC1E1B">
              <w:rPr>
                <w:b/>
                <w:bCs/>
                <w:color w:val="FF0000"/>
                <w:sz w:val="18"/>
                <w:szCs w:val="18"/>
                <w:lang w:val="es-ES"/>
              </w:rPr>
              <w:t>46 Bis</w:t>
            </w:r>
          </w:p>
        </w:tc>
      </w:tr>
      <w:tr w:rsidR="00AD6EF5" w:rsidRPr="009E3E90" w14:paraId="73A1B8B1" w14:textId="77777777" w:rsidTr="00966CD6">
        <w:tc>
          <w:tcPr>
            <w:tcW w:w="1540" w:type="dxa"/>
            <w:shd w:val="clear" w:color="auto" w:fill="auto"/>
          </w:tcPr>
          <w:p w14:paraId="458B3F7E" w14:textId="77777777" w:rsidR="00AD6EF5" w:rsidRPr="00966CD6" w:rsidRDefault="00AD6EF5" w:rsidP="0016793D">
            <w:pPr>
              <w:rPr>
                <w:sz w:val="18"/>
                <w:szCs w:val="18"/>
              </w:rPr>
            </w:pPr>
            <w:r w:rsidRPr="00966CD6">
              <w:rPr>
                <w:sz w:val="18"/>
                <w:szCs w:val="18"/>
              </w:rPr>
              <w:t>PI P907</w:t>
            </w:r>
          </w:p>
        </w:tc>
        <w:tc>
          <w:tcPr>
            <w:tcW w:w="1218" w:type="dxa"/>
            <w:shd w:val="clear" w:color="auto" w:fill="auto"/>
          </w:tcPr>
          <w:p w14:paraId="0A0F909B" w14:textId="77777777" w:rsidR="00AD6EF5" w:rsidRPr="00966CD6" w:rsidRDefault="00AD6EF5" w:rsidP="0016793D">
            <w:pPr>
              <w:rPr>
                <w:sz w:val="18"/>
                <w:szCs w:val="18"/>
              </w:rPr>
            </w:pPr>
            <w:r w:rsidRPr="00966CD6">
              <w:rPr>
                <w:sz w:val="18"/>
                <w:szCs w:val="18"/>
              </w:rPr>
              <w:t>Filling ratio</w:t>
            </w:r>
          </w:p>
        </w:tc>
        <w:tc>
          <w:tcPr>
            <w:tcW w:w="1557" w:type="dxa"/>
            <w:shd w:val="clear" w:color="auto" w:fill="auto"/>
          </w:tcPr>
          <w:p w14:paraId="122B36E5"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1EE5A597"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6B0E66BF"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2288A5E0"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6F5038D8" w14:textId="77777777" w:rsidR="00AD6EF5" w:rsidRPr="00966CD6" w:rsidRDefault="00AD6EF5" w:rsidP="0016793D">
            <w:pPr>
              <w:rPr>
                <w:sz w:val="18"/>
                <w:szCs w:val="18"/>
              </w:rPr>
            </w:pPr>
            <w:r w:rsidRPr="00966CD6">
              <w:rPr>
                <w:sz w:val="18"/>
                <w:szCs w:val="18"/>
              </w:rPr>
              <w:t>NO</w:t>
            </w:r>
          </w:p>
        </w:tc>
      </w:tr>
      <w:tr w:rsidR="00AD6EF5" w:rsidRPr="009E3E90" w14:paraId="11AC1D24" w14:textId="77777777" w:rsidTr="00966CD6">
        <w:trPr>
          <w:trHeight w:val="193"/>
        </w:trPr>
        <w:tc>
          <w:tcPr>
            <w:tcW w:w="1540" w:type="dxa"/>
            <w:shd w:val="clear" w:color="auto" w:fill="auto"/>
          </w:tcPr>
          <w:p w14:paraId="1E3752D1" w14:textId="77777777" w:rsidR="00AD6EF5" w:rsidRPr="00966CD6" w:rsidRDefault="00AD6EF5" w:rsidP="0016793D">
            <w:pPr>
              <w:rPr>
                <w:sz w:val="18"/>
                <w:szCs w:val="18"/>
              </w:rPr>
            </w:pPr>
            <w:r w:rsidRPr="00966CD6">
              <w:rPr>
                <w:sz w:val="18"/>
                <w:szCs w:val="18"/>
              </w:rPr>
              <w:t>4.1.6.1.6</w:t>
            </w:r>
          </w:p>
        </w:tc>
        <w:tc>
          <w:tcPr>
            <w:tcW w:w="1218" w:type="dxa"/>
            <w:shd w:val="clear" w:color="auto" w:fill="auto"/>
          </w:tcPr>
          <w:p w14:paraId="4B70E0C9" w14:textId="77777777" w:rsidR="00AD6EF5" w:rsidRPr="00966CD6" w:rsidRDefault="00AD6EF5" w:rsidP="0016793D">
            <w:pPr>
              <w:rPr>
                <w:sz w:val="18"/>
                <w:szCs w:val="18"/>
              </w:rPr>
            </w:pPr>
            <w:r w:rsidRPr="00966CD6">
              <w:rPr>
                <w:sz w:val="18"/>
                <w:szCs w:val="18"/>
              </w:rPr>
              <w:t>Filling ratios</w:t>
            </w:r>
          </w:p>
        </w:tc>
        <w:tc>
          <w:tcPr>
            <w:tcW w:w="1557" w:type="dxa"/>
            <w:shd w:val="clear" w:color="auto" w:fill="auto"/>
          </w:tcPr>
          <w:p w14:paraId="446C5616"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0B2F6662" w14:textId="77777777" w:rsidR="00AD6EF5" w:rsidRPr="00966CD6" w:rsidRDefault="00AD6EF5" w:rsidP="0016793D">
            <w:pPr>
              <w:rPr>
                <w:sz w:val="18"/>
                <w:szCs w:val="18"/>
              </w:rPr>
            </w:pPr>
            <w:proofErr w:type="spellStart"/>
            <w:r w:rsidRPr="00966CD6">
              <w:rPr>
                <w:sz w:val="18"/>
                <w:szCs w:val="18"/>
              </w:rPr>
              <w:t>Razones</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34776FA8"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65034065"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48CA3DA7" w14:textId="77777777" w:rsidR="00AD6EF5" w:rsidRPr="00966CD6" w:rsidRDefault="00AD6EF5" w:rsidP="0016793D">
            <w:pPr>
              <w:rPr>
                <w:sz w:val="18"/>
                <w:szCs w:val="18"/>
              </w:rPr>
            </w:pPr>
            <w:r w:rsidRPr="00966CD6">
              <w:rPr>
                <w:sz w:val="18"/>
                <w:szCs w:val="18"/>
              </w:rPr>
              <w:t>NO</w:t>
            </w:r>
          </w:p>
        </w:tc>
      </w:tr>
      <w:tr w:rsidR="00AD6EF5" w:rsidRPr="009E3E90" w14:paraId="1AF6AEC5" w14:textId="77777777" w:rsidTr="00966CD6">
        <w:tc>
          <w:tcPr>
            <w:tcW w:w="1540" w:type="dxa"/>
            <w:shd w:val="clear" w:color="auto" w:fill="auto"/>
          </w:tcPr>
          <w:p w14:paraId="12E6B005" w14:textId="77777777" w:rsidR="00AD6EF5" w:rsidRPr="00966CD6" w:rsidRDefault="00AD6EF5" w:rsidP="0016793D">
            <w:pPr>
              <w:rPr>
                <w:sz w:val="18"/>
                <w:szCs w:val="18"/>
              </w:rPr>
            </w:pPr>
            <w:r w:rsidRPr="00966CD6">
              <w:rPr>
                <w:sz w:val="18"/>
                <w:szCs w:val="18"/>
              </w:rPr>
              <w:t>4.1.7.0.1</w:t>
            </w:r>
          </w:p>
        </w:tc>
        <w:tc>
          <w:tcPr>
            <w:tcW w:w="1218" w:type="dxa"/>
            <w:shd w:val="clear" w:color="auto" w:fill="auto"/>
          </w:tcPr>
          <w:p w14:paraId="36FB5D4C"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64371043"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2F77CA82"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21A0B3D9"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2D203E69"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49070CEC"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23</w:t>
            </w:r>
          </w:p>
        </w:tc>
        <w:tc>
          <w:tcPr>
            <w:tcW w:w="1552" w:type="dxa"/>
            <w:shd w:val="clear" w:color="auto" w:fill="auto"/>
          </w:tcPr>
          <w:p w14:paraId="2E879E37"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p w14:paraId="23CD6DB6" w14:textId="77777777" w:rsidR="00AD6EF5" w:rsidRPr="00966CD6" w:rsidRDefault="00AD6EF5" w:rsidP="0016793D">
            <w:pPr>
              <w:rPr>
                <w:b/>
                <w:bCs/>
                <w:sz w:val="18"/>
                <w:szCs w:val="18"/>
              </w:rPr>
            </w:pPr>
            <w:r w:rsidRPr="00966CD6">
              <w:rPr>
                <w:b/>
                <w:bCs/>
                <w:sz w:val="18"/>
                <w:szCs w:val="18"/>
              </w:rPr>
              <w:t>Para. 47</w:t>
            </w:r>
          </w:p>
        </w:tc>
      </w:tr>
      <w:tr w:rsidR="00AD6EF5" w:rsidRPr="009E3E90" w14:paraId="75C985F1" w14:textId="77777777" w:rsidTr="00966CD6">
        <w:tc>
          <w:tcPr>
            <w:tcW w:w="1540" w:type="dxa"/>
            <w:shd w:val="clear" w:color="auto" w:fill="auto"/>
          </w:tcPr>
          <w:p w14:paraId="049B7245" w14:textId="77777777" w:rsidR="00AD6EF5" w:rsidRPr="00966CD6" w:rsidRDefault="00AD6EF5" w:rsidP="0016793D">
            <w:pPr>
              <w:rPr>
                <w:sz w:val="18"/>
                <w:szCs w:val="18"/>
              </w:rPr>
            </w:pPr>
            <w:r w:rsidRPr="00966CD6">
              <w:rPr>
                <w:sz w:val="18"/>
                <w:szCs w:val="18"/>
              </w:rPr>
              <w:t>4.2.1.9.2</w:t>
            </w:r>
          </w:p>
        </w:tc>
        <w:tc>
          <w:tcPr>
            <w:tcW w:w="1218" w:type="dxa"/>
            <w:shd w:val="clear" w:color="auto" w:fill="auto"/>
          </w:tcPr>
          <w:p w14:paraId="5A7B651B" w14:textId="77777777" w:rsidR="00AD6EF5" w:rsidRPr="00966CD6" w:rsidRDefault="00AD6EF5" w:rsidP="0016793D">
            <w:pPr>
              <w:rPr>
                <w:sz w:val="18"/>
                <w:szCs w:val="18"/>
              </w:rPr>
            </w:pPr>
            <w:r w:rsidRPr="00966CD6">
              <w:rPr>
                <w:sz w:val="18"/>
                <w:szCs w:val="18"/>
              </w:rPr>
              <w:t>Degree of filling (2)</w:t>
            </w:r>
          </w:p>
        </w:tc>
        <w:tc>
          <w:tcPr>
            <w:tcW w:w="1557" w:type="dxa"/>
            <w:shd w:val="clear" w:color="auto" w:fill="auto"/>
          </w:tcPr>
          <w:p w14:paraId="4AE2A4CF"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(2)</w:t>
            </w:r>
          </w:p>
        </w:tc>
        <w:tc>
          <w:tcPr>
            <w:tcW w:w="1172" w:type="dxa"/>
            <w:shd w:val="clear" w:color="auto" w:fill="auto"/>
          </w:tcPr>
          <w:p w14:paraId="73D97788" w14:textId="77777777" w:rsidR="00AD6EF5" w:rsidRPr="00966CD6" w:rsidRDefault="00AD6EF5" w:rsidP="0016793D">
            <w:pPr>
              <w:rPr>
                <w:sz w:val="18"/>
                <w:szCs w:val="18"/>
              </w:rPr>
            </w:pPr>
            <w:r w:rsidRPr="00966CD6">
              <w:rPr>
                <w:sz w:val="18"/>
                <w:szCs w:val="18"/>
              </w:rPr>
              <w:t xml:space="preserve">Grado </w:t>
            </w:r>
            <w:proofErr w:type="spellStart"/>
            <w:r w:rsidRPr="00966CD6">
              <w:rPr>
                <w:sz w:val="18"/>
                <w:szCs w:val="18"/>
              </w:rPr>
              <w:t>máximo</w:t>
            </w:r>
            <w:proofErr w:type="spellEnd"/>
            <w:r w:rsidRPr="00966CD6">
              <w:rPr>
                <w:sz w:val="18"/>
                <w:szCs w:val="18"/>
              </w:rPr>
              <w:t xml:space="preserve"> de </w:t>
            </w:r>
            <w:proofErr w:type="spellStart"/>
            <w:proofErr w:type="gramStart"/>
            <w:r w:rsidRPr="00966CD6">
              <w:rPr>
                <w:sz w:val="18"/>
                <w:szCs w:val="18"/>
              </w:rPr>
              <w:t>llenado</w:t>
            </w:r>
            <w:proofErr w:type="spellEnd"/>
            <w:r w:rsidRPr="00966CD6">
              <w:rPr>
                <w:sz w:val="18"/>
                <w:szCs w:val="18"/>
              </w:rPr>
              <w:t>(</w:t>
            </w:r>
            <w:proofErr w:type="gramEnd"/>
            <w:r w:rsidRPr="00966CD6">
              <w:rPr>
                <w:sz w:val="18"/>
                <w:szCs w:val="18"/>
              </w:rPr>
              <w:t>2)</w:t>
            </w:r>
          </w:p>
        </w:tc>
        <w:tc>
          <w:tcPr>
            <w:tcW w:w="1171" w:type="dxa"/>
            <w:shd w:val="clear" w:color="auto" w:fill="auto"/>
          </w:tcPr>
          <w:p w14:paraId="78CB908B"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34751351"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0A72D6C8"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24</w:t>
            </w:r>
          </w:p>
        </w:tc>
        <w:tc>
          <w:tcPr>
            <w:tcW w:w="1552" w:type="dxa"/>
            <w:shd w:val="clear" w:color="auto" w:fill="auto"/>
          </w:tcPr>
          <w:p w14:paraId="72A66DA7" w14:textId="77777777" w:rsidR="00AD6EF5" w:rsidRPr="00966CD6" w:rsidRDefault="00AD6EF5" w:rsidP="0016793D">
            <w:pPr>
              <w:rPr>
                <w:sz w:val="18"/>
                <w:szCs w:val="18"/>
              </w:rPr>
            </w:pPr>
            <w:r w:rsidRPr="00966CD6">
              <w:rPr>
                <w:sz w:val="18"/>
                <w:szCs w:val="18"/>
              </w:rPr>
              <w:t>NO</w:t>
            </w:r>
          </w:p>
        </w:tc>
      </w:tr>
      <w:tr w:rsidR="00AD6EF5" w:rsidRPr="009E3E90" w14:paraId="2FF36CAF" w14:textId="77777777" w:rsidTr="00966CD6">
        <w:tc>
          <w:tcPr>
            <w:tcW w:w="1540" w:type="dxa"/>
            <w:shd w:val="clear" w:color="auto" w:fill="auto"/>
          </w:tcPr>
          <w:p w14:paraId="4F246C81" w14:textId="77777777" w:rsidR="00AD6EF5" w:rsidRPr="00966CD6" w:rsidRDefault="00AD6EF5" w:rsidP="0016793D">
            <w:pPr>
              <w:rPr>
                <w:sz w:val="18"/>
                <w:szCs w:val="18"/>
              </w:rPr>
            </w:pPr>
            <w:r w:rsidRPr="00966CD6">
              <w:rPr>
                <w:sz w:val="18"/>
                <w:szCs w:val="18"/>
              </w:rPr>
              <w:t>4.2.1.9.3</w:t>
            </w:r>
          </w:p>
        </w:tc>
        <w:tc>
          <w:tcPr>
            <w:tcW w:w="1218" w:type="dxa"/>
            <w:shd w:val="clear" w:color="auto" w:fill="auto"/>
          </w:tcPr>
          <w:p w14:paraId="436377BD" w14:textId="77777777" w:rsidR="00AD6EF5" w:rsidRPr="00966CD6" w:rsidRDefault="00AD6EF5" w:rsidP="0016793D">
            <w:pPr>
              <w:rPr>
                <w:sz w:val="18"/>
                <w:szCs w:val="18"/>
              </w:rPr>
            </w:pPr>
            <w:r w:rsidRPr="00966CD6">
              <w:rPr>
                <w:sz w:val="18"/>
                <w:szCs w:val="18"/>
              </w:rPr>
              <w:t>Degree of filling (2)</w:t>
            </w:r>
          </w:p>
        </w:tc>
        <w:tc>
          <w:tcPr>
            <w:tcW w:w="1557" w:type="dxa"/>
            <w:shd w:val="clear" w:color="auto" w:fill="auto"/>
          </w:tcPr>
          <w:p w14:paraId="59F5768F"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(2)</w:t>
            </w:r>
          </w:p>
        </w:tc>
        <w:tc>
          <w:tcPr>
            <w:tcW w:w="1172" w:type="dxa"/>
            <w:shd w:val="clear" w:color="auto" w:fill="auto"/>
          </w:tcPr>
          <w:p w14:paraId="38D2312E" w14:textId="77777777" w:rsidR="00AD6EF5" w:rsidRPr="00966CD6" w:rsidRDefault="00AD6EF5" w:rsidP="0016793D">
            <w:pPr>
              <w:rPr>
                <w:sz w:val="18"/>
                <w:szCs w:val="18"/>
              </w:rPr>
            </w:pPr>
            <w:r w:rsidRPr="00966CD6">
              <w:rPr>
                <w:sz w:val="18"/>
                <w:szCs w:val="18"/>
              </w:rPr>
              <w:t xml:space="preserve">Grado </w:t>
            </w:r>
            <w:proofErr w:type="spellStart"/>
            <w:r w:rsidRPr="00966CD6">
              <w:rPr>
                <w:sz w:val="18"/>
                <w:szCs w:val="18"/>
              </w:rPr>
              <w:t>máximo</w:t>
            </w:r>
            <w:proofErr w:type="spellEnd"/>
            <w:r w:rsidRPr="00966CD6">
              <w:rPr>
                <w:sz w:val="18"/>
                <w:szCs w:val="18"/>
              </w:rPr>
              <w:t xml:space="preserve"> de </w:t>
            </w:r>
            <w:proofErr w:type="spellStart"/>
            <w:proofErr w:type="gramStart"/>
            <w:r w:rsidRPr="00966CD6">
              <w:rPr>
                <w:sz w:val="18"/>
                <w:szCs w:val="18"/>
              </w:rPr>
              <w:t>llenado</w:t>
            </w:r>
            <w:proofErr w:type="spellEnd"/>
            <w:r w:rsidRPr="00966CD6">
              <w:rPr>
                <w:sz w:val="18"/>
                <w:szCs w:val="18"/>
              </w:rPr>
              <w:t>(</w:t>
            </w:r>
            <w:proofErr w:type="gramEnd"/>
            <w:r w:rsidRPr="00966CD6">
              <w:rPr>
                <w:sz w:val="18"/>
                <w:szCs w:val="18"/>
              </w:rPr>
              <w:t>2)</w:t>
            </w:r>
          </w:p>
        </w:tc>
        <w:tc>
          <w:tcPr>
            <w:tcW w:w="1171" w:type="dxa"/>
            <w:shd w:val="clear" w:color="auto" w:fill="auto"/>
          </w:tcPr>
          <w:p w14:paraId="72B57465"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363F39DB"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329B6771"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25</w:t>
            </w:r>
          </w:p>
        </w:tc>
        <w:tc>
          <w:tcPr>
            <w:tcW w:w="1552" w:type="dxa"/>
            <w:shd w:val="clear" w:color="auto" w:fill="auto"/>
          </w:tcPr>
          <w:p w14:paraId="0EDC2E93" w14:textId="77777777" w:rsidR="00AD6EF5" w:rsidRPr="00966CD6" w:rsidRDefault="00AD6EF5" w:rsidP="0016793D">
            <w:pPr>
              <w:rPr>
                <w:sz w:val="18"/>
                <w:szCs w:val="18"/>
              </w:rPr>
            </w:pPr>
            <w:r w:rsidRPr="00966CD6">
              <w:rPr>
                <w:sz w:val="18"/>
                <w:szCs w:val="18"/>
              </w:rPr>
              <w:t>NO</w:t>
            </w:r>
          </w:p>
        </w:tc>
      </w:tr>
      <w:tr w:rsidR="00AD6EF5" w:rsidRPr="009E3E90" w14:paraId="66584FFD" w14:textId="77777777" w:rsidTr="00966CD6">
        <w:tc>
          <w:tcPr>
            <w:tcW w:w="1540" w:type="dxa"/>
            <w:shd w:val="clear" w:color="auto" w:fill="auto"/>
          </w:tcPr>
          <w:p w14:paraId="289D40A7" w14:textId="77777777" w:rsidR="00AD6EF5" w:rsidRPr="00966CD6" w:rsidRDefault="00AD6EF5" w:rsidP="0016793D">
            <w:pPr>
              <w:rPr>
                <w:sz w:val="18"/>
                <w:szCs w:val="18"/>
              </w:rPr>
            </w:pPr>
            <w:r w:rsidRPr="00966CD6">
              <w:rPr>
                <w:sz w:val="18"/>
                <w:szCs w:val="18"/>
              </w:rPr>
              <w:t>4.2.1.9.5</w:t>
            </w:r>
          </w:p>
        </w:tc>
        <w:tc>
          <w:tcPr>
            <w:tcW w:w="1218" w:type="dxa"/>
            <w:shd w:val="clear" w:color="auto" w:fill="auto"/>
          </w:tcPr>
          <w:p w14:paraId="33C620A8"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52DFACA4" w14:textId="77777777" w:rsidR="00AD6EF5" w:rsidRPr="00966CD6" w:rsidRDefault="00AD6EF5" w:rsidP="0016793D">
            <w:pPr>
              <w:rPr>
                <w:sz w:val="18"/>
                <w:szCs w:val="18"/>
                <w:lang w:val="fr-FR"/>
              </w:rPr>
            </w:pPr>
            <w:r w:rsidRPr="00966CD6">
              <w:rPr>
                <w:sz w:val="18"/>
                <w:szCs w:val="18"/>
                <w:lang w:val="fr-FR"/>
              </w:rPr>
              <w:t>Que la citerne ne soit jamais pleine</w:t>
            </w:r>
          </w:p>
        </w:tc>
        <w:tc>
          <w:tcPr>
            <w:tcW w:w="1172" w:type="dxa"/>
            <w:shd w:val="clear" w:color="auto" w:fill="auto"/>
          </w:tcPr>
          <w:p w14:paraId="69EEE0B9" w14:textId="77777777" w:rsidR="00AD6EF5" w:rsidRPr="00966CD6" w:rsidRDefault="00AD6EF5" w:rsidP="0016793D">
            <w:pPr>
              <w:rPr>
                <w:sz w:val="18"/>
                <w:szCs w:val="18"/>
              </w:rPr>
            </w:pPr>
            <w:r w:rsidRPr="00966CD6">
              <w:rPr>
                <w:sz w:val="18"/>
                <w:szCs w:val="18"/>
              </w:rPr>
              <w:t xml:space="preserve">Grado </w:t>
            </w:r>
            <w:proofErr w:type="spellStart"/>
            <w:r w:rsidRPr="00966CD6">
              <w:rPr>
                <w:sz w:val="18"/>
                <w:szCs w:val="18"/>
              </w:rPr>
              <w:t>máximo</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0C300E8C"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2AAAD592" w14:textId="77777777" w:rsidR="00AD6EF5" w:rsidRPr="00966CD6" w:rsidRDefault="00AD6EF5" w:rsidP="0016793D">
            <w:pPr>
              <w:rPr>
                <w:sz w:val="18"/>
                <w:szCs w:val="18"/>
              </w:rPr>
            </w:pPr>
            <w:r w:rsidRPr="00966CD6">
              <w:rPr>
                <w:sz w:val="18"/>
                <w:szCs w:val="18"/>
              </w:rPr>
              <w:t>Optional change, see</w:t>
            </w:r>
          </w:p>
          <w:p w14:paraId="76D00B2B" w14:textId="77777777" w:rsidR="00AD6EF5" w:rsidRPr="00966CD6" w:rsidRDefault="00AD6EF5" w:rsidP="0016793D">
            <w:pPr>
              <w:rPr>
                <w:sz w:val="18"/>
                <w:szCs w:val="18"/>
              </w:rPr>
            </w:pPr>
            <w:r w:rsidRPr="00966CD6">
              <w:rPr>
                <w:b/>
                <w:bCs/>
                <w:sz w:val="18"/>
                <w:szCs w:val="18"/>
              </w:rPr>
              <w:t xml:space="preserve">Para. </w:t>
            </w:r>
            <w:r w:rsidRPr="00966CD6">
              <w:rPr>
                <w:b/>
                <w:bCs/>
                <w:color w:val="000000"/>
                <w:sz w:val="18"/>
                <w:szCs w:val="18"/>
              </w:rPr>
              <w:t>26</w:t>
            </w:r>
          </w:p>
        </w:tc>
        <w:tc>
          <w:tcPr>
            <w:tcW w:w="1552" w:type="dxa"/>
            <w:shd w:val="clear" w:color="auto" w:fill="auto"/>
          </w:tcPr>
          <w:p w14:paraId="26495540" w14:textId="77777777" w:rsidR="00AD6EF5" w:rsidRPr="00966CD6" w:rsidRDefault="00AD6EF5" w:rsidP="0016793D">
            <w:pPr>
              <w:rPr>
                <w:sz w:val="18"/>
                <w:szCs w:val="18"/>
              </w:rPr>
            </w:pPr>
            <w:r w:rsidRPr="00966CD6">
              <w:rPr>
                <w:sz w:val="18"/>
                <w:szCs w:val="18"/>
              </w:rPr>
              <w:t>NO</w:t>
            </w:r>
          </w:p>
        </w:tc>
      </w:tr>
      <w:tr w:rsidR="00AD6EF5" w:rsidRPr="009E3E90" w14:paraId="69CD14BD" w14:textId="77777777" w:rsidTr="00966CD6">
        <w:tc>
          <w:tcPr>
            <w:tcW w:w="1540" w:type="dxa"/>
            <w:shd w:val="clear" w:color="auto" w:fill="auto"/>
          </w:tcPr>
          <w:p w14:paraId="650191A6" w14:textId="77777777" w:rsidR="00AD6EF5" w:rsidRPr="00966CD6" w:rsidRDefault="00AD6EF5" w:rsidP="0016793D">
            <w:pPr>
              <w:rPr>
                <w:sz w:val="18"/>
                <w:szCs w:val="18"/>
              </w:rPr>
            </w:pPr>
            <w:r w:rsidRPr="00966CD6">
              <w:rPr>
                <w:sz w:val="18"/>
                <w:szCs w:val="18"/>
              </w:rPr>
              <w:t>4.2.1.9.5.1</w:t>
            </w:r>
          </w:p>
        </w:tc>
        <w:tc>
          <w:tcPr>
            <w:tcW w:w="1218" w:type="dxa"/>
            <w:shd w:val="clear" w:color="auto" w:fill="auto"/>
          </w:tcPr>
          <w:p w14:paraId="083D66FF" w14:textId="77777777" w:rsidR="00AD6EF5" w:rsidRPr="00966CD6" w:rsidRDefault="00AD6EF5" w:rsidP="0016793D">
            <w:pPr>
              <w:rPr>
                <w:sz w:val="18"/>
                <w:szCs w:val="18"/>
              </w:rPr>
            </w:pPr>
            <w:r w:rsidRPr="00966CD6">
              <w:rPr>
                <w:sz w:val="18"/>
                <w:szCs w:val="18"/>
              </w:rPr>
              <w:t>Degree of filling (2)</w:t>
            </w:r>
          </w:p>
        </w:tc>
        <w:tc>
          <w:tcPr>
            <w:tcW w:w="1557" w:type="dxa"/>
            <w:shd w:val="clear" w:color="auto" w:fill="auto"/>
          </w:tcPr>
          <w:p w14:paraId="36A5085F" w14:textId="77777777" w:rsidR="00AD6EF5" w:rsidRPr="00966CD6" w:rsidRDefault="00AD6EF5" w:rsidP="0016793D">
            <w:pPr>
              <w:rPr>
                <w:sz w:val="18"/>
                <w:szCs w:val="18"/>
                <w:lang w:val="fr-FR"/>
              </w:rPr>
            </w:pPr>
            <w:proofErr w:type="gramStart"/>
            <w:r w:rsidRPr="00966CD6">
              <w:rPr>
                <w:sz w:val="18"/>
                <w:szCs w:val="18"/>
                <w:lang w:val="fr-FR"/>
              </w:rPr>
              <w:t>Taux  de</w:t>
            </w:r>
            <w:proofErr w:type="gramEnd"/>
            <w:r w:rsidRPr="00966CD6">
              <w:rPr>
                <w:sz w:val="18"/>
                <w:szCs w:val="18"/>
                <w:lang w:val="fr-FR"/>
              </w:rPr>
              <w:t xml:space="preserve"> remplissage (2)</w:t>
            </w:r>
          </w:p>
        </w:tc>
        <w:tc>
          <w:tcPr>
            <w:tcW w:w="1172" w:type="dxa"/>
            <w:shd w:val="clear" w:color="auto" w:fill="auto"/>
          </w:tcPr>
          <w:p w14:paraId="743F0624" w14:textId="77777777" w:rsidR="00AD6EF5" w:rsidRPr="00966CD6" w:rsidRDefault="00AD6EF5" w:rsidP="0016793D">
            <w:pPr>
              <w:rPr>
                <w:sz w:val="18"/>
                <w:szCs w:val="18"/>
                <w:lang w:val="es-ES"/>
              </w:rPr>
            </w:pPr>
            <w:r w:rsidRPr="00966CD6">
              <w:rPr>
                <w:sz w:val="18"/>
                <w:szCs w:val="18"/>
                <w:lang w:val="es-ES"/>
              </w:rPr>
              <w:t>Grado máximo de llenado/ Grado de llenado</w:t>
            </w:r>
          </w:p>
        </w:tc>
        <w:tc>
          <w:tcPr>
            <w:tcW w:w="1171" w:type="dxa"/>
            <w:shd w:val="clear" w:color="auto" w:fill="auto"/>
          </w:tcPr>
          <w:p w14:paraId="30DB86EB"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70D3B850"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0552D831"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27</w:t>
            </w:r>
          </w:p>
        </w:tc>
        <w:tc>
          <w:tcPr>
            <w:tcW w:w="1552" w:type="dxa"/>
            <w:shd w:val="clear" w:color="auto" w:fill="auto"/>
          </w:tcPr>
          <w:p w14:paraId="563C7E7B" w14:textId="77777777" w:rsidR="00AD6EF5" w:rsidRPr="00966CD6" w:rsidRDefault="00AD6EF5" w:rsidP="0016793D">
            <w:pPr>
              <w:rPr>
                <w:sz w:val="18"/>
                <w:szCs w:val="18"/>
              </w:rPr>
            </w:pPr>
            <w:r w:rsidRPr="00966CD6">
              <w:rPr>
                <w:sz w:val="18"/>
                <w:szCs w:val="18"/>
              </w:rPr>
              <w:t>NO</w:t>
            </w:r>
          </w:p>
        </w:tc>
      </w:tr>
      <w:tr w:rsidR="00AD6EF5" w:rsidRPr="009E3E90" w14:paraId="0B04CE6A" w14:textId="77777777" w:rsidTr="00966CD6">
        <w:tc>
          <w:tcPr>
            <w:tcW w:w="1540" w:type="dxa"/>
            <w:shd w:val="clear" w:color="auto" w:fill="auto"/>
          </w:tcPr>
          <w:p w14:paraId="7BA1919D" w14:textId="77777777" w:rsidR="00AD6EF5" w:rsidRPr="00966CD6" w:rsidRDefault="00AD6EF5" w:rsidP="0016793D">
            <w:pPr>
              <w:rPr>
                <w:sz w:val="18"/>
                <w:szCs w:val="18"/>
              </w:rPr>
            </w:pPr>
            <w:r w:rsidRPr="00966CD6">
              <w:rPr>
                <w:sz w:val="18"/>
                <w:szCs w:val="18"/>
              </w:rPr>
              <w:t>4.2.1.9.6 a)</w:t>
            </w:r>
          </w:p>
        </w:tc>
        <w:tc>
          <w:tcPr>
            <w:tcW w:w="1218" w:type="dxa"/>
            <w:shd w:val="clear" w:color="auto" w:fill="auto"/>
          </w:tcPr>
          <w:p w14:paraId="005C3704" w14:textId="77777777" w:rsidR="00AD6EF5" w:rsidRPr="00966CD6" w:rsidRDefault="00AD6EF5" w:rsidP="0016793D">
            <w:pPr>
              <w:rPr>
                <w:sz w:val="18"/>
                <w:szCs w:val="18"/>
              </w:rPr>
            </w:pPr>
            <w:r w:rsidRPr="00966CD6">
              <w:rPr>
                <w:sz w:val="18"/>
                <w:szCs w:val="18"/>
              </w:rPr>
              <w:t xml:space="preserve">Degree of filling </w:t>
            </w:r>
          </w:p>
        </w:tc>
        <w:tc>
          <w:tcPr>
            <w:tcW w:w="1557" w:type="dxa"/>
            <w:shd w:val="clear" w:color="auto" w:fill="auto"/>
          </w:tcPr>
          <w:p w14:paraId="6CB7350B"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w:t>
            </w:r>
          </w:p>
        </w:tc>
        <w:tc>
          <w:tcPr>
            <w:tcW w:w="1172" w:type="dxa"/>
            <w:shd w:val="clear" w:color="auto" w:fill="auto"/>
          </w:tcPr>
          <w:p w14:paraId="4B7AE7B9"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tc>
        <w:tc>
          <w:tcPr>
            <w:tcW w:w="1171" w:type="dxa"/>
            <w:shd w:val="clear" w:color="auto" w:fill="auto"/>
          </w:tcPr>
          <w:p w14:paraId="45188EAE"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5A268752"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13223407"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28</w:t>
            </w:r>
          </w:p>
        </w:tc>
        <w:tc>
          <w:tcPr>
            <w:tcW w:w="1552" w:type="dxa"/>
            <w:shd w:val="clear" w:color="auto" w:fill="auto"/>
          </w:tcPr>
          <w:p w14:paraId="22329EDA" w14:textId="77777777" w:rsidR="00AD6EF5" w:rsidRPr="00966CD6" w:rsidRDefault="00AD6EF5" w:rsidP="0016793D">
            <w:pPr>
              <w:rPr>
                <w:sz w:val="18"/>
                <w:szCs w:val="18"/>
              </w:rPr>
            </w:pPr>
            <w:r w:rsidRPr="00966CD6">
              <w:rPr>
                <w:sz w:val="18"/>
                <w:szCs w:val="18"/>
              </w:rPr>
              <w:t>NO</w:t>
            </w:r>
          </w:p>
        </w:tc>
      </w:tr>
      <w:tr w:rsidR="00AD6EF5" w:rsidRPr="009E3E90" w14:paraId="5A3A5276" w14:textId="77777777" w:rsidTr="00966CD6">
        <w:tc>
          <w:tcPr>
            <w:tcW w:w="1540" w:type="dxa"/>
            <w:shd w:val="clear" w:color="auto" w:fill="auto"/>
          </w:tcPr>
          <w:p w14:paraId="526F7B58" w14:textId="77777777" w:rsidR="00AD6EF5" w:rsidRPr="00966CD6" w:rsidRDefault="00AD6EF5" w:rsidP="0016793D">
            <w:pPr>
              <w:rPr>
                <w:sz w:val="18"/>
                <w:szCs w:val="18"/>
              </w:rPr>
            </w:pPr>
            <w:r w:rsidRPr="00966CD6">
              <w:rPr>
                <w:sz w:val="18"/>
                <w:szCs w:val="18"/>
              </w:rPr>
              <w:t>4.2.1.13.13</w:t>
            </w:r>
          </w:p>
        </w:tc>
        <w:tc>
          <w:tcPr>
            <w:tcW w:w="1218" w:type="dxa"/>
            <w:shd w:val="clear" w:color="auto" w:fill="auto"/>
          </w:tcPr>
          <w:p w14:paraId="19DBB9B6"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1D702D52"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73877116"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tc>
        <w:tc>
          <w:tcPr>
            <w:tcW w:w="1171" w:type="dxa"/>
            <w:shd w:val="clear" w:color="auto" w:fill="auto"/>
          </w:tcPr>
          <w:p w14:paraId="2E0A5214"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5CFB911F"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39FB3385"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29</w:t>
            </w:r>
          </w:p>
        </w:tc>
        <w:tc>
          <w:tcPr>
            <w:tcW w:w="1552" w:type="dxa"/>
            <w:shd w:val="clear" w:color="auto" w:fill="auto"/>
          </w:tcPr>
          <w:p w14:paraId="74F44650" w14:textId="77777777" w:rsidR="00AD6EF5" w:rsidRPr="00966CD6" w:rsidRDefault="00AD6EF5" w:rsidP="0016793D">
            <w:pPr>
              <w:rPr>
                <w:sz w:val="18"/>
                <w:szCs w:val="18"/>
              </w:rPr>
            </w:pPr>
            <w:r w:rsidRPr="00966CD6">
              <w:rPr>
                <w:sz w:val="18"/>
                <w:szCs w:val="18"/>
              </w:rPr>
              <w:t>NO</w:t>
            </w:r>
          </w:p>
        </w:tc>
      </w:tr>
      <w:tr w:rsidR="00AD6EF5" w:rsidRPr="009E3E90" w14:paraId="420FB385" w14:textId="77777777" w:rsidTr="00966CD6">
        <w:tc>
          <w:tcPr>
            <w:tcW w:w="1540" w:type="dxa"/>
            <w:shd w:val="clear" w:color="auto" w:fill="auto"/>
          </w:tcPr>
          <w:p w14:paraId="0A7A6C2F" w14:textId="77777777" w:rsidR="00AD6EF5" w:rsidRPr="00966CD6" w:rsidRDefault="00AD6EF5" w:rsidP="0016793D">
            <w:pPr>
              <w:rPr>
                <w:sz w:val="18"/>
                <w:szCs w:val="18"/>
              </w:rPr>
            </w:pPr>
            <w:r w:rsidRPr="00966CD6">
              <w:rPr>
                <w:sz w:val="18"/>
                <w:szCs w:val="18"/>
              </w:rPr>
              <w:t>4.2.1.16.2</w:t>
            </w:r>
          </w:p>
        </w:tc>
        <w:tc>
          <w:tcPr>
            <w:tcW w:w="1218" w:type="dxa"/>
            <w:shd w:val="clear" w:color="auto" w:fill="auto"/>
          </w:tcPr>
          <w:p w14:paraId="15950F75"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127EC0D1"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23B7C614"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tc>
        <w:tc>
          <w:tcPr>
            <w:tcW w:w="1171" w:type="dxa"/>
            <w:shd w:val="clear" w:color="auto" w:fill="auto"/>
          </w:tcPr>
          <w:p w14:paraId="5C36B0ED"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392E4EC3"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40906070" w14:textId="77777777" w:rsidR="00AD6EF5" w:rsidRPr="00966CD6" w:rsidRDefault="00AD6EF5" w:rsidP="0016793D">
            <w:pPr>
              <w:rPr>
                <w:b/>
                <w:bCs/>
                <w:sz w:val="18"/>
                <w:szCs w:val="18"/>
              </w:rPr>
            </w:pPr>
            <w:r w:rsidRPr="00966CD6">
              <w:rPr>
                <w:b/>
                <w:bCs/>
                <w:sz w:val="18"/>
                <w:szCs w:val="18"/>
              </w:rPr>
              <w:t>Para</w:t>
            </w:r>
            <w:r w:rsidRPr="00966CD6">
              <w:rPr>
                <w:b/>
                <w:bCs/>
                <w:color w:val="000000"/>
                <w:sz w:val="18"/>
                <w:szCs w:val="18"/>
              </w:rPr>
              <w:t>. 30</w:t>
            </w:r>
          </w:p>
        </w:tc>
        <w:tc>
          <w:tcPr>
            <w:tcW w:w="1552" w:type="dxa"/>
            <w:shd w:val="clear" w:color="auto" w:fill="auto"/>
          </w:tcPr>
          <w:p w14:paraId="7DD07B1B" w14:textId="77777777" w:rsidR="00AD6EF5" w:rsidRPr="00966CD6" w:rsidRDefault="00AD6EF5" w:rsidP="0016793D">
            <w:pPr>
              <w:rPr>
                <w:sz w:val="18"/>
                <w:szCs w:val="18"/>
              </w:rPr>
            </w:pPr>
            <w:r w:rsidRPr="00966CD6">
              <w:rPr>
                <w:sz w:val="18"/>
                <w:szCs w:val="18"/>
              </w:rPr>
              <w:t>NO</w:t>
            </w:r>
          </w:p>
        </w:tc>
      </w:tr>
      <w:tr w:rsidR="00AD6EF5" w:rsidRPr="009E3E90" w14:paraId="4D2E43E9" w14:textId="77777777" w:rsidTr="00966CD6">
        <w:tc>
          <w:tcPr>
            <w:tcW w:w="1540" w:type="dxa"/>
            <w:shd w:val="clear" w:color="auto" w:fill="auto"/>
          </w:tcPr>
          <w:p w14:paraId="6F66C0C4" w14:textId="77777777" w:rsidR="00AD6EF5" w:rsidRPr="00966CD6" w:rsidRDefault="00AD6EF5" w:rsidP="0016793D">
            <w:pPr>
              <w:rPr>
                <w:sz w:val="18"/>
                <w:szCs w:val="18"/>
              </w:rPr>
            </w:pPr>
            <w:r w:rsidRPr="00966CD6">
              <w:rPr>
                <w:sz w:val="18"/>
                <w:szCs w:val="18"/>
              </w:rPr>
              <w:t>4.2.1.19.2</w:t>
            </w:r>
          </w:p>
        </w:tc>
        <w:tc>
          <w:tcPr>
            <w:tcW w:w="1218" w:type="dxa"/>
            <w:shd w:val="clear" w:color="auto" w:fill="auto"/>
          </w:tcPr>
          <w:p w14:paraId="53FE1C08"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5686506C"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w:t>
            </w:r>
          </w:p>
        </w:tc>
        <w:tc>
          <w:tcPr>
            <w:tcW w:w="1172" w:type="dxa"/>
            <w:shd w:val="clear" w:color="auto" w:fill="auto"/>
          </w:tcPr>
          <w:p w14:paraId="79C82030" w14:textId="77777777" w:rsidR="00AD6EF5" w:rsidRPr="00966CD6" w:rsidRDefault="00AD6EF5" w:rsidP="0016793D">
            <w:pPr>
              <w:rPr>
                <w:sz w:val="18"/>
                <w:szCs w:val="18"/>
              </w:rPr>
            </w:pPr>
            <w:proofErr w:type="gramStart"/>
            <w:r w:rsidRPr="00966CD6">
              <w:rPr>
                <w:sz w:val="18"/>
                <w:szCs w:val="18"/>
              </w:rPr>
              <w:t xml:space="preserve">Grado  </w:t>
            </w:r>
            <w:proofErr w:type="spellStart"/>
            <w:r w:rsidRPr="00966CD6">
              <w:rPr>
                <w:sz w:val="18"/>
                <w:szCs w:val="18"/>
              </w:rPr>
              <w:t>máximo</w:t>
            </w:r>
            <w:proofErr w:type="spellEnd"/>
            <w:proofErr w:type="gram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0D87D34B"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2EC18F7B"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52AA341B"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31</w:t>
            </w:r>
          </w:p>
        </w:tc>
        <w:tc>
          <w:tcPr>
            <w:tcW w:w="1552" w:type="dxa"/>
            <w:shd w:val="clear" w:color="auto" w:fill="auto"/>
          </w:tcPr>
          <w:p w14:paraId="669DC227" w14:textId="77777777" w:rsidR="00AD6EF5" w:rsidRPr="00966CD6" w:rsidRDefault="00AD6EF5" w:rsidP="0016793D">
            <w:pPr>
              <w:rPr>
                <w:sz w:val="18"/>
                <w:szCs w:val="18"/>
              </w:rPr>
            </w:pPr>
            <w:r w:rsidRPr="00966CD6">
              <w:rPr>
                <w:sz w:val="18"/>
                <w:szCs w:val="18"/>
              </w:rPr>
              <w:t>NO</w:t>
            </w:r>
          </w:p>
        </w:tc>
      </w:tr>
      <w:tr w:rsidR="00AD6EF5" w:rsidRPr="00020C8C" w14:paraId="56C468FD" w14:textId="77777777" w:rsidTr="00966CD6">
        <w:tc>
          <w:tcPr>
            <w:tcW w:w="1540" w:type="dxa"/>
            <w:shd w:val="clear" w:color="auto" w:fill="auto"/>
          </w:tcPr>
          <w:p w14:paraId="02F01126" w14:textId="77777777" w:rsidR="00AD6EF5" w:rsidRPr="00966CD6" w:rsidRDefault="00AD6EF5" w:rsidP="0016793D">
            <w:pPr>
              <w:rPr>
                <w:sz w:val="18"/>
                <w:szCs w:val="18"/>
              </w:rPr>
            </w:pPr>
            <w:r w:rsidRPr="00966CD6">
              <w:rPr>
                <w:sz w:val="18"/>
                <w:szCs w:val="18"/>
              </w:rPr>
              <w:t>4.2.3.6.2 First sentence</w:t>
            </w:r>
          </w:p>
          <w:p w14:paraId="4ECE8791" w14:textId="77777777" w:rsidR="00AD6EF5" w:rsidRPr="00966CD6" w:rsidRDefault="00AD6EF5" w:rsidP="0016793D">
            <w:pPr>
              <w:rPr>
                <w:sz w:val="18"/>
                <w:szCs w:val="18"/>
              </w:rPr>
            </w:pPr>
            <w:r w:rsidRPr="00966CD6">
              <w:rPr>
                <w:sz w:val="18"/>
                <w:szCs w:val="18"/>
              </w:rPr>
              <w:t>Second sentence</w:t>
            </w:r>
          </w:p>
        </w:tc>
        <w:tc>
          <w:tcPr>
            <w:tcW w:w="1218" w:type="dxa"/>
            <w:shd w:val="clear" w:color="auto" w:fill="auto"/>
          </w:tcPr>
          <w:p w14:paraId="64339852" w14:textId="77777777" w:rsidR="00AD6EF5" w:rsidRPr="00966CD6" w:rsidRDefault="00AD6EF5" w:rsidP="0016793D">
            <w:pPr>
              <w:rPr>
                <w:sz w:val="18"/>
                <w:szCs w:val="18"/>
              </w:rPr>
            </w:pPr>
            <w:r w:rsidRPr="00966CD6">
              <w:rPr>
                <w:sz w:val="18"/>
                <w:szCs w:val="18"/>
              </w:rPr>
              <w:t xml:space="preserve">Degree of filling </w:t>
            </w:r>
          </w:p>
          <w:p w14:paraId="2A67800B" w14:textId="77777777" w:rsidR="00AD6EF5" w:rsidRPr="00966CD6" w:rsidRDefault="00AD6EF5" w:rsidP="0016793D">
            <w:pPr>
              <w:rPr>
                <w:sz w:val="18"/>
                <w:szCs w:val="18"/>
              </w:rPr>
            </w:pPr>
          </w:p>
          <w:p w14:paraId="5FA8024E" w14:textId="77777777" w:rsidR="00AD6EF5" w:rsidRPr="00966CD6" w:rsidRDefault="00AD6EF5" w:rsidP="0016793D">
            <w:pPr>
              <w:rPr>
                <w:sz w:val="18"/>
                <w:szCs w:val="18"/>
              </w:rPr>
            </w:pPr>
          </w:p>
          <w:p w14:paraId="4B6D6225"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3E5B104A" w14:textId="77777777" w:rsidR="00AD6EF5" w:rsidRPr="00966CD6" w:rsidRDefault="00AD6EF5" w:rsidP="0016793D">
            <w:pPr>
              <w:rPr>
                <w:sz w:val="18"/>
                <w:szCs w:val="18"/>
              </w:rPr>
            </w:pPr>
            <w:proofErr w:type="spellStart"/>
            <w:proofErr w:type="gramStart"/>
            <w:r w:rsidRPr="00966CD6">
              <w:rPr>
                <w:sz w:val="18"/>
                <w:szCs w:val="18"/>
              </w:rPr>
              <w:t>Taux</w:t>
            </w:r>
            <w:proofErr w:type="spellEnd"/>
            <w:r w:rsidRPr="00966CD6">
              <w:rPr>
                <w:sz w:val="18"/>
                <w:szCs w:val="18"/>
              </w:rPr>
              <w:t xml:space="preserve">  initial</w:t>
            </w:r>
            <w:proofErr w:type="gram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(2)</w:t>
            </w:r>
          </w:p>
        </w:tc>
        <w:tc>
          <w:tcPr>
            <w:tcW w:w="1172" w:type="dxa"/>
            <w:shd w:val="clear" w:color="auto" w:fill="auto"/>
          </w:tcPr>
          <w:p w14:paraId="468CC179" w14:textId="77777777" w:rsidR="00AD6EF5" w:rsidRPr="00966CD6" w:rsidRDefault="00AD6EF5" w:rsidP="0016793D">
            <w:pPr>
              <w:rPr>
                <w:sz w:val="18"/>
                <w:szCs w:val="18"/>
              </w:rPr>
            </w:pPr>
            <w:proofErr w:type="gramStart"/>
            <w:r w:rsidRPr="00966CD6">
              <w:rPr>
                <w:sz w:val="18"/>
                <w:szCs w:val="18"/>
              </w:rPr>
              <w:t xml:space="preserve">Grado  </w:t>
            </w:r>
            <w:proofErr w:type="spellStart"/>
            <w:r w:rsidRPr="00966CD6">
              <w:rPr>
                <w:sz w:val="18"/>
                <w:szCs w:val="18"/>
              </w:rPr>
              <w:t>inicial</w:t>
            </w:r>
            <w:proofErr w:type="spellEnd"/>
            <w:proofErr w:type="gramEnd"/>
            <w:r w:rsidRPr="00966CD6">
              <w:rPr>
                <w:sz w:val="18"/>
                <w:szCs w:val="18"/>
              </w:rPr>
              <w:t xml:space="preserve"> de </w:t>
            </w:r>
            <w:proofErr w:type="spellStart"/>
            <w:r w:rsidRPr="00966CD6">
              <w:rPr>
                <w:sz w:val="18"/>
                <w:szCs w:val="18"/>
              </w:rPr>
              <w:t>llenado</w:t>
            </w:r>
            <w:proofErr w:type="spellEnd"/>
            <w:r w:rsidRPr="00966CD6">
              <w:rPr>
                <w:sz w:val="18"/>
                <w:szCs w:val="18"/>
              </w:rPr>
              <w:t xml:space="preserve"> (2)</w:t>
            </w:r>
          </w:p>
        </w:tc>
        <w:tc>
          <w:tcPr>
            <w:tcW w:w="1171" w:type="dxa"/>
            <w:shd w:val="clear" w:color="auto" w:fill="auto"/>
          </w:tcPr>
          <w:p w14:paraId="20E70996" w14:textId="77777777" w:rsidR="00AD6EF5" w:rsidRPr="00AB6280" w:rsidRDefault="00AD6EF5" w:rsidP="0016793D">
            <w:pPr>
              <w:rPr>
                <w:color w:val="FF0000"/>
                <w:sz w:val="18"/>
                <w:szCs w:val="18"/>
              </w:rPr>
            </w:pPr>
            <w:r w:rsidRPr="00AB6280">
              <w:rPr>
                <w:color w:val="FF0000"/>
                <w:sz w:val="18"/>
                <w:szCs w:val="18"/>
              </w:rPr>
              <w:t>Quantity of gas filled into the shell</w:t>
            </w:r>
          </w:p>
          <w:p w14:paraId="5A679608" w14:textId="77777777" w:rsidR="00AD6EF5" w:rsidRPr="00AB6280" w:rsidRDefault="00AD6EF5" w:rsidP="0016793D">
            <w:pPr>
              <w:rPr>
                <w:color w:val="FF0000"/>
                <w:sz w:val="18"/>
                <w:szCs w:val="18"/>
              </w:rPr>
            </w:pPr>
            <w:r w:rsidRPr="00AB6280">
              <w:rPr>
                <w:color w:val="FF0000"/>
                <w:sz w:val="18"/>
                <w:szCs w:val="18"/>
              </w:rPr>
              <w:t>Quantity of gas filled into the</w:t>
            </w:r>
          </w:p>
          <w:p w14:paraId="52F3A93E" w14:textId="77777777" w:rsidR="00AD6EF5" w:rsidRPr="00AB6280" w:rsidRDefault="00AD6EF5" w:rsidP="0016793D">
            <w:pPr>
              <w:rPr>
                <w:b/>
                <w:bCs/>
                <w:sz w:val="18"/>
                <w:szCs w:val="18"/>
              </w:rPr>
            </w:pPr>
          </w:p>
          <w:p w14:paraId="68B07E6C" w14:textId="77777777" w:rsidR="00AD6EF5" w:rsidRPr="00AB6280" w:rsidRDefault="00AD6EF5" w:rsidP="0016793D">
            <w:pPr>
              <w:rPr>
                <w:b/>
                <w:bCs/>
                <w:sz w:val="18"/>
                <w:szCs w:val="18"/>
              </w:rPr>
            </w:pPr>
            <w:r w:rsidRPr="00AB6280">
              <w:rPr>
                <w:b/>
                <w:bCs/>
                <w:sz w:val="18"/>
                <w:szCs w:val="18"/>
              </w:rPr>
              <w:t>Para. 15</w:t>
            </w:r>
          </w:p>
        </w:tc>
        <w:tc>
          <w:tcPr>
            <w:tcW w:w="1566" w:type="dxa"/>
            <w:shd w:val="clear" w:color="auto" w:fill="auto"/>
          </w:tcPr>
          <w:p w14:paraId="55EED956" w14:textId="77777777" w:rsidR="00AD6EF5" w:rsidRPr="00AB6280" w:rsidRDefault="00AD6EF5" w:rsidP="0016793D">
            <w:pPr>
              <w:rPr>
                <w:rFonts w:ascii="TimesNewRomanPSMT" w:hAnsi="TimesNewRomanPSMT" w:cs="TimesNewRomanPSMT"/>
                <w:color w:val="FF0000"/>
                <w:sz w:val="18"/>
                <w:szCs w:val="18"/>
                <w:lang w:val="fr-FR"/>
              </w:rPr>
            </w:pPr>
            <w:proofErr w:type="gramStart"/>
            <w:r w:rsidRPr="00AB6280">
              <w:rPr>
                <w:rFonts w:ascii="TimesNewRomanPSMT" w:hAnsi="TimesNewRomanPSMT" w:cs="TimesNewRomanPSMT"/>
                <w:color w:val="FF0000"/>
                <w:sz w:val="18"/>
                <w:szCs w:val="18"/>
                <w:lang w:val="fr-FR"/>
              </w:rPr>
              <w:t>de</w:t>
            </w:r>
            <w:proofErr w:type="gramEnd"/>
            <w:r w:rsidRPr="00AB6280">
              <w:rPr>
                <w:rFonts w:ascii="TimesNewRomanPSMT" w:hAnsi="TimesNewRomanPSMT" w:cs="TimesNewRomanPSMT"/>
                <w:color w:val="FF0000"/>
                <w:sz w:val="18"/>
                <w:szCs w:val="18"/>
                <w:lang w:val="fr-FR"/>
              </w:rPr>
              <w:t xml:space="preserve"> la quantité de gaz </w:t>
            </w:r>
            <w:r w:rsidR="00EC1E1B" w:rsidRPr="00AB6280">
              <w:rPr>
                <w:rFonts w:ascii="TimesNewRomanPSMT" w:hAnsi="TimesNewRomanPSMT" w:cs="TimesNewRomanPSMT"/>
                <w:color w:val="FF0000"/>
                <w:sz w:val="18"/>
                <w:szCs w:val="18"/>
                <w:lang w:val="fr-FR"/>
              </w:rPr>
              <w:t>rempli</w:t>
            </w:r>
            <w:r w:rsidR="009866D5">
              <w:rPr>
                <w:rFonts w:ascii="TimesNewRomanPSMT" w:hAnsi="TimesNewRomanPSMT" w:cs="TimesNewRomanPSMT"/>
                <w:color w:val="FF0000"/>
                <w:sz w:val="18"/>
                <w:szCs w:val="18"/>
                <w:lang w:val="fr-FR"/>
              </w:rPr>
              <w:t>e</w:t>
            </w:r>
            <w:r w:rsidRPr="00AB6280">
              <w:rPr>
                <w:rFonts w:ascii="TimesNewRomanPSMT" w:hAnsi="TimesNewRomanPSMT" w:cs="TimesNewRomanPSMT"/>
                <w:color w:val="FF0000"/>
                <w:sz w:val="18"/>
                <w:szCs w:val="18"/>
                <w:lang w:val="fr-FR"/>
              </w:rPr>
              <w:t xml:space="preserve"> dans le réservoir</w:t>
            </w:r>
          </w:p>
          <w:p w14:paraId="4714ABDB" w14:textId="77777777" w:rsidR="00AD6EF5" w:rsidRPr="00AB6280" w:rsidRDefault="00AD6EF5" w:rsidP="0016793D">
            <w:pPr>
              <w:rPr>
                <w:rFonts w:ascii="TimesNewRomanPSMT" w:hAnsi="TimesNewRomanPSMT" w:cs="TimesNewRomanPSMT"/>
                <w:color w:val="FF0000"/>
                <w:sz w:val="18"/>
                <w:szCs w:val="18"/>
                <w:lang w:val="fr-FR"/>
              </w:rPr>
            </w:pPr>
            <w:r w:rsidRPr="00AB6280">
              <w:rPr>
                <w:rFonts w:ascii="TimesNewRomanPSMT" w:hAnsi="TimesNewRomanPSMT" w:cs="TimesNewRomanPSMT"/>
                <w:color w:val="FF0000"/>
                <w:sz w:val="18"/>
                <w:szCs w:val="18"/>
                <w:lang w:val="fr-FR"/>
              </w:rPr>
              <w:t xml:space="preserve">La quantité initiale de gaz </w:t>
            </w:r>
            <w:r w:rsidR="00EC1E1B" w:rsidRPr="00AB6280">
              <w:rPr>
                <w:rFonts w:ascii="TimesNewRomanPSMT" w:hAnsi="TimesNewRomanPSMT" w:cs="TimesNewRomanPSMT"/>
                <w:color w:val="FF0000"/>
                <w:sz w:val="18"/>
                <w:szCs w:val="18"/>
                <w:lang w:val="fr-FR"/>
              </w:rPr>
              <w:t>rempli</w:t>
            </w:r>
            <w:r w:rsidR="009866D5">
              <w:rPr>
                <w:rFonts w:ascii="TimesNewRomanPSMT" w:hAnsi="TimesNewRomanPSMT" w:cs="TimesNewRomanPSMT"/>
                <w:color w:val="FF0000"/>
                <w:sz w:val="18"/>
                <w:szCs w:val="18"/>
                <w:lang w:val="fr-FR"/>
              </w:rPr>
              <w:t>e</w:t>
            </w:r>
            <w:r w:rsidRPr="00AB6280">
              <w:rPr>
                <w:rFonts w:ascii="TimesNewRomanPSMT" w:hAnsi="TimesNewRomanPSMT" w:cs="TimesNewRomanPSMT"/>
                <w:color w:val="FF0000"/>
                <w:sz w:val="18"/>
                <w:szCs w:val="18"/>
                <w:lang w:val="fr-FR"/>
              </w:rPr>
              <w:t xml:space="preserve"> dans</w:t>
            </w:r>
          </w:p>
          <w:p w14:paraId="7F11D4CF" w14:textId="77777777" w:rsidR="00AD6EF5" w:rsidRPr="00AB6280" w:rsidRDefault="00AD6EF5" w:rsidP="0016793D">
            <w:pPr>
              <w:rPr>
                <w:b/>
                <w:bCs/>
                <w:color w:val="FF0000"/>
                <w:sz w:val="18"/>
                <w:szCs w:val="18"/>
                <w:lang w:val="fr-FR"/>
              </w:rPr>
            </w:pPr>
          </w:p>
          <w:p w14:paraId="6A1E0ABF" w14:textId="77777777" w:rsidR="00AD6EF5" w:rsidRPr="00AB6280" w:rsidRDefault="00AD6EF5" w:rsidP="0016793D">
            <w:pPr>
              <w:rPr>
                <w:b/>
                <w:bCs/>
                <w:color w:val="FF0000"/>
                <w:sz w:val="18"/>
                <w:szCs w:val="18"/>
                <w:lang w:val="fr-FR"/>
              </w:rPr>
            </w:pPr>
          </w:p>
          <w:p w14:paraId="1D8F43D7" w14:textId="77777777" w:rsidR="00AD6EF5" w:rsidRPr="00AB6280" w:rsidRDefault="00AD6EF5" w:rsidP="0016793D">
            <w:pPr>
              <w:rPr>
                <w:sz w:val="18"/>
                <w:szCs w:val="18"/>
                <w:lang w:val="fr-FR"/>
              </w:rPr>
            </w:pPr>
            <w:r w:rsidRPr="00AB6280">
              <w:rPr>
                <w:b/>
                <w:bCs/>
                <w:color w:val="FF0000"/>
                <w:sz w:val="18"/>
                <w:szCs w:val="18"/>
                <w:lang w:val="fr-FR"/>
              </w:rPr>
              <w:t xml:space="preserve">Para.31 </w:t>
            </w:r>
            <w:r w:rsidR="00AB6280" w:rsidRPr="00AB6280">
              <w:rPr>
                <w:b/>
                <w:bCs/>
                <w:color w:val="FF0000"/>
                <w:sz w:val="18"/>
                <w:szCs w:val="18"/>
                <w:lang w:val="fr-FR"/>
              </w:rPr>
              <w:t>bis</w:t>
            </w:r>
          </w:p>
        </w:tc>
        <w:tc>
          <w:tcPr>
            <w:tcW w:w="1552" w:type="dxa"/>
            <w:shd w:val="clear" w:color="auto" w:fill="auto"/>
          </w:tcPr>
          <w:p w14:paraId="1C2A4BA6" w14:textId="77777777" w:rsidR="00AD6EF5" w:rsidRPr="00AB6280" w:rsidRDefault="00AD6EF5" w:rsidP="0016793D">
            <w:pPr>
              <w:rPr>
                <w:bCs/>
                <w:color w:val="FF0000"/>
                <w:lang w:val="es-ES"/>
              </w:rPr>
            </w:pPr>
            <w:r w:rsidRPr="00AB6280">
              <w:rPr>
                <w:bCs/>
                <w:color w:val="FF0000"/>
                <w:lang w:val="es-ES"/>
              </w:rPr>
              <w:t xml:space="preserve">la cantidad </w:t>
            </w:r>
            <w:r w:rsidRPr="00AB6280">
              <w:rPr>
                <w:bCs/>
                <w:lang w:val="es-ES"/>
              </w:rPr>
              <w:t xml:space="preserve">inicial de </w:t>
            </w:r>
            <w:r w:rsidRPr="00AB6280">
              <w:rPr>
                <w:bCs/>
                <w:color w:val="FF0000"/>
                <w:lang w:val="es-ES"/>
              </w:rPr>
              <w:t>gas</w:t>
            </w:r>
            <w:r w:rsidRPr="00AB6280">
              <w:rPr>
                <w:bCs/>
                <w:lang w:val="es-ES"/>
              </w:rPr>
              <w:t xml:space="preserve"> </w:t>
            </w:r>
            <w:r w:rsidR="00EC1E1B" w:rsidRPr="00AB6280">
              <w:rPr>
                <w:bCs/>
                <w:color w:val="FF0000"/>
                <w:lang w:val="es-ES"/>
              </w:rPr>
              <w:t>llenad</w:t>
            </w:r>
            <w:r w:rsidR="00AE405A">
              <w:rPr>
                <w:bCs/>
                <w:color w:val="FF0000"/>
                <w:lang w:val="es-ES"/>
              </w:rPr>
              <w:t>o</w:t>
            </w:r>
            <w:r w:rsidRPr="00AB6280">
              <w:rPr>
                <w:bCs/>
                <w:lang w:val="es-ES"/>
              </w:rPr>
              <w:t xml:space="preserve"> </w:t>
            </w:r>
            <w:r w:rsidRPr="00AB6280">
              <w:rPr>
                <w:bCs/>
                <w:color w:val="FF0000"/>
                <w:lang w:val="es-ES"/>
              </w:rPr>
              <w:t xml:space="preserve">en el depósito </w:t>
            </w:r>
          </w:p>
          <w:p w14:paraId="1DA4F028" w14:textId="77777777" w:rsidR="00AD6EF5" w:rsidRPr="00AB6280" w:rsidRDefault="00AD6EF5" w:rsidP="0016793D">
            <w:pPr>
              <w:rPr>
                <w:bCs/>
                <w:color w:val="FF0000"/>
                <w:lang w:val="es-ES"/>
              </w:rPr>
            </w:pPr>
          </w:p>
          <w:p w14:paraId="5B9DE1A2" w14:textId="77777777" w:rsidR="00AD6EF5" w:rsidRPr="00AB6280" w:rsidRDefault="00AD6EF5" w:rsidP="0016793D">
            <w:pPr>
              <w:rPr>
                <w:bCs/>
                <w:sz w:val="18"/>
                <w:szCs w:val="18"/>
                <w:lang w:val="es-ES"/>
              </w:rPr>
            </w:pPr>
            <w:r w:rsidRPr="00AB6280">
              <w:rPr>
                <w:bCs/>
                <w:color w:val="FF0000"/>
                <w:lang w:val="es-ES"/>
              </w:rPr>
              <w:t xml:space="preserve"> la cantidad</w:t>
            </w:r>
            <w:r w:rsidRPr="00AB6280">
              <w:rPr>
                <w:bCs/>
                <w:lang w:val="es-ES"/>
              </w:rPr>
              <w:t xml:space="preserve"> inicial de </w:t>
            </w:r>
            <w:r w:rsidRPr="00AB6280">
              <w:rPr>
                <w:bCs/>
                <w:color w:val="FF0000"/>
                <w:lang w:val="es-ES"/>
              </w:rPr>
              <w:t>gas</w:t>
            </w:r>
            <w:r w:rsidRPr="00AB6280">
              <w:rPr>
                <w:bCs/>
                <w:lang w:val="es-ES"/>
              </w:rPr>
              <w:t xml:space="preserve"> </w:t>
            </w:r>
            <w:r w:rsidR="00EC1E1B" w:rsidRPr="00AB6280">
              <w:rPr>
                <w:bCs/>
                <w:color w:val="FF0000"/>
                <w:lang w:val="es-ES"/>
              </w:rPr>
              <w:t>llenad</w:t>
            </w:r>
            <w:r w:rsidR="00AE405A">
              <w:rPr>
                <w:bCs/>
                <w:color w:val="FF0000"/>
                <w:lang w:val="es-ES"/>
              </w:rPr>
              <w:t>o</w:t>
            </w:r>
            <w:r w:rsidRPr="00AB6280">
              <w:rPr>
                <w:bCs/>
                <w:color w:val="FF0000"/>
                <w:lang w:val="es-ES"/>
              </w:rPr>
              <w:t xml:space="preserve"> en el  </w:t>
            </w:r>
          </w:p>
          <w:p w14:paraId="52E5D90B" w14:textId="77777777" w:rsidR="00AD6EF5" w:rsidRPr="00966CD6" w:rsidRDefault="00AD6EF5" w:rsidP="0016793D">
            <w:pPr>
              <w:rPr>
                <w:b/>
                <w:bCs/>
                <w:sz w:val="18"/>
                <w:szCs w:val="18"/>
                <w:lang w:val="es-ES"/>
              </w:rPr>
            </w:pPr>
            <w:r w:rsidRPr="00966CD6">
              <w:rPr>
                <w:b/>
                <w:bCs/>
                <w:sz w:val="18"/>
                <w:szCs w:val="18"/>
                <w:lang w:val="es-ES"/>
              </w:rPr>
              <w:t>Para. 48</w:t>
            </w:r>
          </w:p>
        </w:tc>
      </w:tr>
      <w:tr w:rsidR="00AD6EF5" w:rsidRPr="00DC73B1" w14:paraId="04FAFB08" w14:textId="77777777" w:rsidTr="00966CD6">
        <w:tc>
          <w:tcPr>
            <w:tcW w:w="1540" w:type="dxa"/>
            <w:shd w:val="clear" w:color="auto" w:fill="auto"/>
          </w:tcPr>
          <w:p w14:paraId="47FCA4A0" w14:textId="77777777" w:rsidR="00AD6EF5" w:rsidRPr="00966CD6" w:rsidRDefault="00AD6EF5" w:rsidP="0016793D">
            <w:pPr>
              <w:rPr>
                <w:sz w:val="18"/>
                <w:szCs w:val="18"/>
              </w:rPr>
            </w:pPr>
            <w:r w:rsidRPr="00966CD6">
              <w:rPr>
                <w:sz w:val="18"/>
                <w:szCs w:val="18"/>
              </w:rPr>
              <w:t>4.2.3.6.4</w:t>
            </w:r>
          </w:p>
        </w:tc>
        <w:tc>
          <w:tcPr>
            <w:tcW w:w="1218" w:type="dxa"/>
            <w:shd w:val="clear" w:color="auto" w:fill="auto"/>
          </w:tcPr>
          <w:p w14:paraId="42446B7C" w14:textId="77777777" w:rsidR="00AD6EF5" w:rsidRPr="00966CD6" w:rsidRDefault="00AD6EF5" w:rsidP="0016793D">
            <w:pPr>
              <w:rPr>
                <w:sz w:val="18"/>
                <w:szCs w:val="18"/>
              </w:rPr>
            </w:pPr>
            <w:r w:rsidRPr="00966CD6">
              <w:rPr>
                <w:sz w:val="18"/>
                <w:szCs w:val="18"/>
              </w:rPr>
              <w:t xml:space="preserve">Degree of filling </w:t>
            </w:r>
          </w:p>
        </w:tc>
        <w:tc>
          <w:tcPr>
            <w:tcW w:w="1557" w:type="dxa"/>
            <w:shd w:val="clear" w:color="auto" w:fill="auto"/>
          </w:tcPr>
          <w:p w14:paraId="55DC5A53"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initial de </w:t>
            </w:r>
            <w:proofErr w:type="spellStart"/>
            <w:r w:rsidRPr="00966CD6">
              <w:rPr>
                <w:sz w:val="18"/>
                <w:szCs w:val="18"/>
              </w:rPr>
              <w:t>remplissage</w:t>
            </w:r>
            <w:proofErr w:type="spellEnd"/>
          </w:p>
        </w:tc>
        <w:tc>
          <w:tcPr>
            <w:tcW w:w="1172" w:type="dxa"/>
            <w:shd w:val="clear" w:color="auto" w:fill="auto"/>
          </w:tcPr>
          <w:p w14:paraId="0181F9AC" w14:textId="77777777" w:rsidR="00AD6EF5" w:rsidRPr="00966CD6" w:rsidRDefault="00AD6EF5" w:rsidP="0016793D">
            <w:pPr>
              <w:rPr>
                <w:sz w:val="18"/>
                <w:szCs w:val="18"/>
              </w:rPr>
            </w:pPr>
            <w:r w:rsidRPr="00966CD6">
              <w:rPr>
                <w:sz w:val="18"/>
                <w:szCs w:val="18"/>
              </w:rPr>
              <w:t xml:space="preserve">Grado </w:t>
            </w:r>
            <w:proofErr w:type="spellStart"/>
            <w:r w:rsidRPr="00966CD6">
              <w:rPr>
                <w:sz w:val="18"/>
                <w:szCs w:val="18"/>
              </w:rPr>
              <w:t>inicial</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7253F4F4" w14:textId="77777777" w:rsidR="00AD6EF5" w:rsidRPr="00AB6280" w:rsidRDefault="00AB6280" w:rsidP="0016793D">
            <w:pPr>
              <w:rPr>
                <w:color w:val="FF0000"/>
                <w:sz w:val="18"/>
                <w:szCs w:val="18"/>
              </w:rPr>
            </w:pPr>
            <w:r w:rsidRPr="00AB6280">
              <w:rPr>
                <w:color w:val="FF0000"/>
                <w:sz w:val="18"/>
                <w:szCs w:val="18"/>
              </w:rPr>
              <w:t>Quantity of gas filled into the shell</w:t>
            </w:r>
          </w:p>
          <w:p w14:paraId="19E91AB2" w14:textId="77777777" w:rsidR="00AD6EF5" w:rsidRPr="00AB6280" w:rsidRDefault="00AD6EF5" w:rsidP="0016793D">
            <w:pPr>
              <w:rPr>
                <w:b/>
                <w:bCs/>
                <w:sz w:val="18"/>
                <w:szCs w:val="18"/>
              </w:rPr>
            </w:pPr>
            <w:r w:rsidRPr="00AB6280">
              <w:rPr>
                <w:b/>
                <w:bCs/>
                <w:sz w:val="18"/>
                <w:szCs w:val="18"/>
              </w:rPr>
              <w:t>Para. 16</w:t>
            </w:r>
          </w:p>
        </w:tc>
        <w:tc>
          <w:tcPr>
            <w:tcW w:w="1566" w:type="dxa"/>
            <w:shd w:val="clear" w:color="auto" w:fill="auto"/>
          </w:tcPr>
          <w:p w14:paraId="1EB1ECD1" w14:textId="77777777" w:rsidR="00AD6EF5" w:rsidRPr="00AB6280" w:rsidRDefault="00AD6EF5" w:rsidP="0016793D">
            <w:pPr>
              <w:rPr>
                <w:rFonts w:ascii="TimesNewRomanPSMT" w:hAnsi="TimesNewRomanPSMT" w:cs="TimesNewRomanPSMT"/>
                <w:color w:val="FF0000"/>
                <w:sz w:val="18"/>
                <w:szCs w:val="18"/>
                <w:lang w:val="fr-FR"/>
              </w:rPr>
            </w:pPr>
            <w:proofErr w:type="gramStart"/>
            <w:r w:rsidRPr="00AB6280">
              <w:rPr>
                <w:rFonts w:ascii="TimesNewRomanPSMT" w:hAnsi="TimesNewRomanPSMT" w:cs="TimesNewRomanPSMT"/>
                <w:color w:val="FF0000"/>
                <w:sz w:val="18"/>
                <w:szCs w:val="18"/>
                <w:lang w:val="fr-FR"/>
              </w:rPr>
              <w:t>de</w:t>
            </w:r>
            <w:proofErr w:type="gramEnd"/>
            <w:r w:rsidRPr="00AB6280">
              <w:rPr>
                <w:rFonts w:ascii="TimesNewRomanPSMT" w:hAnsi="TimesNewRomanPSMT" w:cs="TimesNewRomanPSMT"/>
                <w:color w:val="FF0000"/>
                <w:sz w:val="18"/>
                <w:szCs w:val="18"/>
                <w:lang w:val="fr-FR"/>
              </w:rPr>
              <w:t xml:space="preserve"> la quantité  de gaz </w:t>
            </w:r>
            <w:r w:rsidR="009866D5">
              <w:rPr>
                <w:rFonts w:ascii="TimesNewRomanPSMT" w:hAnsi="TimesNewRomanPSMT" w:cs="TimesNewRomanPSMT"/>
                <w:color w:val="FF0000"/>
                <w:sz w:val="18"/>
                <w:szCs w:val="18"/>
                <w:lang w:val="fr-FR"/>
              </w:rPr>
              <w:t>remplie</w:t>
            </w:r>
            <w:r w:rsidRPr="00AB6280">
              <w:rPr>
                <w:rFonts w:ascii="TimesNewRomanPSMT" w:hAnsi="TimesNewRomanPSMT" w:cs="TimesNewRomanPSMT"/>
                <w:color w:val="FF0000"/>
                <w:sz w:val="18"/>
                <w:szCs w:val="18"/>
                <w:lang w:val="fr-FR"/>
              </w:rPr>
              <w:t xml:space="preserve"> dans le réservoir  </w:t>
            </w:r>
          </w:p>
          <w:p w14:paraId="2AD6D2B6" w14:textId="77777777" w:rsidR="00AD6EF5" w:rsidRPr="00AB6280" w:rsidRDefault="00AD6EF5" w:rsidP="0016793D">
            <w:pPr>
              <w:rPr>
                <w:color w:val="FF0000"/>
                <w:sz w:val="18"/>
                <w:szCs w:val="18"/>
                <w:lang w:val="fr-FR"/>
              </w:rPr>
            </w:pPr>
          </w:p>
          <w:p w14:paraId="0E5E6038" w14:textId="77777777" w:rsidR="00AD6EF5" w:rsidRPr="00AB6280" w:rsidRDefault="00AD6EF5" w:rsidP="0016793D">
            <w:pPr>
              <w:rPr>
                <w:b/>
                <w:bCs/>
                <w:sz w:val="18"/>
                <w:szCs w:val="18"/>
                <w:lang w:val="fr-FR"/>
              </w:rPr>
            </w:pPr>
            <w:r w:rsidRPr="00AB6280">
              <w:rPr>
                <w:b/>
                <w:bCs/>
                <w:color w:val="FF0000"/>
                <w:sz w:val="18"/>
                <w:szCs w:val="18"/>
                <w:lang w:val="fr-FR"/>
              </w:rPr>
              <w:t>Para. 3</w:t>
            </w:r>
            <w:r w:rsidR="00AB6280" w:rsidRPr="00AB6280">
              <w:rPr>
                <w:b/>
                <w:bCs/>
                <w:color w:val="FF0000"/>
                <w:sz w:val="18"/>
                <w:szCs w:val="18"/>
                <w:lang w:val="fr-FR"/>
              </w:rPr>
              <w:t>1tris</w:t>
            </w:r>
          </w:p>
        </w:tc>
        <w:tc>
          <w:tcPr>
            <w:tcW w:w="1552" w:type="dxa"/>
            <w:shd w:val="clear" w:color="auto" w:fill="auto"/>
          </w:tcPr>
          <w:p w14:paraId="559DFE7D" w14:textId="77777777" w:rsidR="00AD6EF5" w:rsidRPr="00AB6280" w:rsidRDefault="00AB6280" w:rsidP="0016793D">
            <w:pPr>
              <w:rPr>
                <w:color w:val="FF0000"/>
                <w:sz w:val="18"/>
                <w:szCs w:val="18"/>
                <w:lang w:val="es-ES"/>
              </w:rPr>
            </w:pPr>
            <w:r w:rsidRPr="00AB6280">
              <w:rPr>
                <w:color w:val="FF0000"/>
                <w:sz w:val="18"/>
                <w:szCs w:val="18"/>
                <w:lang w:val="es-ES"/>
              </w:rPr>
              <w:t>u</w:t>
            </w:r>
            <w:r w:rsidR="00AD6EF5" w:rsidRPr="00AB6280">
              <w:rPr>
                <w:color w:val="FF0000"/>
                <w:sz w:val="18"/>
                <w:szCs w:val="18"/>
                <w:lang w:val="es-ES"/>
              </w:rPr>
              <w:t>na cantidad</w:t>
            </w:r>
            <w:r w:rsidRPr="00AB6280">
              <w:rPr>
                <w:color w:val="FF0000"/>
                <w:sz w:val="18"/>
                <w:szCs w:val="18"/>
                <w:lang w:val="es-ES"/>
              </w:rPr>
              <w:t xml:space="preserve"> inicial</w:t>
            </w:r>
            <w:r w:rsidR="00AD6EF5" w:rsidRPr="00AB6280">
              <w:rPr>
                <w:color w:val="FF0000"/>
                <w:sz w:val="18"/>
                <w:szCs w:val="18"/>
                <w:lang w:val="es-ES"/>
              </w:rPr>
              <w:t xml:space="preserve"> de gas </w:t>
            </w:r>
            <w:r w:rsidR="00EC1E1B" w:rsidRPr="00AB6280">
              <w:rPr>
                <w:color w:val="FF0000"/>
                <w:sz w:val="18"/>
                <w:szCs w:val="18"/>
                <w:lang w:val="es-ES"/>
              </w:rPr>
              <w:t>llenad</w:t>
            </w:r>
            <w:r w:rsidR="00AE405A">
              <w:rPr>
                <w:color w:val="FF0000"/>
                <w:sz w:val="18"/>
                <w:szCs w:val="18"/>
                <w:lang w:val="es-ES"/>
              </w:rPr>
              <w:t>o</w:t>
            </w:r>
            <w:r w:rsidR="00AD6EF5" w:rsidRPr="00AB6280">
              <w:rPr>
                <w:color w:val="FF0000"/>
                <w:sz w:val="18"/>
                <w:szCs w:val="18"/>
                <w:lang w:val="es-ES"/>
              </w:rPr>
              <w:t xml:space="preserve"> en el recipiente más elevada</w:t>
            </w:r>
          </w:p>
          <w:p w14:paraId="2938D974" w14:textId="77777777" w:rsidR="00AD6EF5" w:rsidRPr="00AB6280" w:rsidRDefault="00AD6EF5" w:rsidP="0016793D">
            <w:pPr>
              <w:rPr>
                <w:b/>
                <w:bCs/>
                <w:sz w:val="18"/>
                <w:szCs w:val="18"/>
                <w:lang w:val="es-ES"/>
              </w:rPr>
            </w:pPr>
            <w:r w:rsidRPr="00AB6280">
              <w:rPr>
                <w:b/>
                <w:bCs/>
                <w:sz w:val="18"/>
                <w:szCs w:val="18"/>
                <w:lang w:val="es-ES"/>
              </w:rPr>
              <w:t>Para. 49</w:t>
            </w:r>
          </w:p>
        </w:tc>
      </w:tr>
      <w:tr w:rsidR="00AD6EF5" w:rsidRPr="009E3E90" w14:paraId="56D50EE2" w14:textId="77777777" w:rsidTr="00966CD6">
        <w:tc>
          <w:tcPr>
            <w:tcW w:w="1540" w:type="dxa"/>
            <w:shd w:val="clear" w:color="auto" w:fill="auto"/>
          </w:tcPr>
          <w:p w14:paraId="2B7D04C0" w14:textId="77777777" w:rsidR="00AD6EF5" w:rsidRPr="00966CD6" w:rsidRDefault="00AD6EF5" w:rsidP="0016793D">
            <w:pPr>
              <w:rPr>
                <w:sz w:val="18"/>
                <w:szCs w:val="18"/>
              </w:rPr>
            </w:pPr>
            <w:r w:rsidRPr="00966CD6">
              <w:rPr>
                <w:sz w:val="18"/>
                <w:szCs w:val="18"/>
              </w:rPr>
              <w:t>4.2.4.5.2</w:t>
            </w:r>
          </w:p>
        </w:tc>
        <w:tc>
          <w:tcPr>
            <w:tcW w:w="1218" w:type="dxa"/>
            <w:shd w:val="clear" w:color="auto" w:fill="auto"/>
          </w:tcPr>
          <w:p w14:paraId="762BFEFB" w14:textId="77777777" w:rsidR="00AD6EF5" w:rsidRPr="00966CD6" w:rsidRDefault="00AD6EF5" w:rsidP="0016793D">
            <w:pPr>
              <w:rPr>
                <w:sz w:val="18"/>
                <w:szCs w:val="18"/>
              </w:rPr>
            </w:pPr>
            <w:r w:rsidRPr="00966CD6">
              <w:rPr>
                <w:sz w:val="18"/>
                <w:szCs w:val="18"/>
              </w:rPr>
              <w:t>Filling ratios</w:t>
            </w:r>
          </w:p>
        </w:tc>
        <w:tc>
          <w:tcPr>
            <w:tcW w:w="1557" w:type="dxa"/>
            <w:shd w:val="clear" w:color="auto" w:fill="auto"/>
          </w:tcPr>
          <w:p w14:paraId="10E1DD18"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43EBA993" w14:textId="77777777" w:rsidR="00AD6EF5" w:rsidRPr="00966CD6" w:rsidRDefault="00AD6EF5" w:rsidP="0016793D">
            <w:pPr>
              <w:rPr>
                <w:sz w:val="18"/>
                <w:szCs w:val="18"/>
              </w:rPr>
            </w:pPr>
            <w:proofErr w:type="spellStart"/>
            <w:r w:rsidRPr="00966CD6">
              <w:rPr>
                <w:sz w:val="18"/>
                <w:szCs w:val="18"/>
              </w:rPr>
              <w:t>Razones</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42D54DA9"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0C111D65" w14:textId="77777777" w:rsidR="00AD6EF5" w:rsidRPr="00966CD6" w:rsidRDefault="00AD6EF5" w:rsidP="0016793D">
            <w:pPr>
              <w:rPr>
                <w:sz w:val="18"/>
                <w:szCs w:val="18"/>
              </w:rPr>
            </w:pPr>
            <w:r w:rsidRPr="00966CD6">
              <w:rPr>
                <w:sz w:val="18"/>
                <w:szCs w:val="18"/>
              </w:rPr>
              <w:t>NO</w:t>
            </w:r>
          </w:p>
        </w:tc>
        <w:tc>
          <w:tcPr>
            <w:tcW w:w="1552" w:type="dxa"/>
            <w:shd w:val="clear" w:color="auto" w:fill="auto"/>
          </w:tcPr>
          <w:p w14:paraId="07A16CBC" w14:textId="77777777" w:rsidR="00AD6EF5" w:rsidRPr="00966CD6" w:rsidRDefault="00AD6EF5" w:rsidP="0016793D">
            <w:pPr>
              <w:rPr>
                <w:sz w:val="18"/>
                <w:szCs w:val="18"/>
              </w:rPr>
            </w:pPr>
            <w:r w:rsidRPr="00966CD6">
              <w:rPr>
                <w:sz w:val="18"/>
                <w:szCs w:val="18"/>
              </w:rPr>
              <w:t>NO</w:t>
            </w:r>
          </w:p>
        </w:tc>
      </w:tr>
      <w:tr w:rsidR="00AD6EF5" w:rsidRPr="009E3E90" w14:paraId="557E468D" w14:textId="77777777" w:rsidTr="00966CD6">
        <w:tc>
          <w:tcPr>
            <w:tcW w:w="1540" w:type="dxa"/>
            <w:shd w:val="clear" w:color="auto" w:fill="auto"/>
          </w:tcPr>
          <w:p w14:paraId="46A8E2D8" w14:textId="77777777" w:rsidR="00AD6EF5" w:rsidRPr="00966CD6" w:rsidRDefault="00AD6EF5" w:rsidP="0016793D">
            <w:pPr>
              <w:rPr>
                <w:sz w:val="18"/>
                <w:szCs w:val="18"/>
              </w:rPr>
            </w:pPr>
            <w:r w:rsidRPr="00966CD6">
              <w:rPr>
                <w:sz w:val="18"/>
                <w:szCs w:val="18"/>
              </w:rPr>
              <w:t>4.2.5.2.3</w:t>
            </w:r>
          </w:p>
        </w:tc>
        <w:tc>
          <w:tcPr>
            <w:tcW w:w="1218" w:type="dxa"/>
            <w:shd w:val="clear" w:color="auto" w:fill="auto"/>
          </w:tcPr>
          <w:p w14:paraId="58136424"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7AF59397" w14:textId="77777777" w:rsidR="00AD6EF5" w:rsidRPr="00966CD6" w:rsidRDefault="00AD6EF5" w:rsidP="0016793D">
            <w:pPr>
              <w:rPr>
                <w:sz w:val="18"/>
                <w:szCs w:val="18"/>
              </w:rPr>
            </w:pPr>
            <w:proofErr w:type="spellStart"/>
            <w:r w:rsidRPr="00966CD6">
              <w:rPr>
                <w:sz w:val="18"/>
                <w:szCs w:val="18"/>
              </w:rPr>
              <w:t>Densité</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w:t>
            </w:r>
            <w:proofErr w:type="spellStart"/>
            <w:r w:rsidRPr="00966CD6">
              <w:rPr>
                <w:sz w:val="18"/>
                <w:szCs w:val="18"/>
              </w:rPr>
              <w:t>maximale</w:t>
            </w:r>
            <w:proofErr w:type="spellEnd"/>
          </w:p>
        </w:tc>
        <w:tc>
          <w:tcPr>
            <w:tcW w:w="1172" w:type="dxa"/>
            <w:shd w:val="clear" w:color="auto" w:fill="auto"/>
          </w:tcPr>
          <w:p w14:paraId="3A2BF1E1"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tc>
        <w:tc>
          <w:tcPr>
            <w:tcW w:w="1171" w:type="dxa"/>
            <w:shd w:val="clear" w:color="auto" w:fill="auto"/>
          </w:tcPr>
          <w:p w14:paraId="42EB1F7A" w14:textId="77777777" w:rsidR="00AD6EF5" w:rsidRPr="00966CD6" w:rsidRDefault="00AD6EF5" w:rsidP="0016793D">
            <w:pPr>
              <w:rPr>
                <w:sz w:val="18"/>
                <w:szCs w:val="18"/>
              </w:rPr>
            </w:pPr>
            <w:r w:rsidRPr="00966CD6">
              <w:rPr>
                <w:sz w:val="18"/>
                <w:szCs w:val="18"/>
              </w:rPr>
              <w:t>Filling ratio</w:t>
            </w:r>
          </w:p>
          <w:p w14:paraId="512363E3" w14:textId="77777777" w:rsidR="00AD6EF5" w:rsidRPr="00966CD6" w:rsidRDefault="00AD6EF5" w:rsidP="0016793D">
            <w:pPr>
              <w:rPr>
                <w:b/>
                <w:bCs/>
                <w:sz w:val="18"/>
                <w:szCs w:val="18"/>
              </w:rPr>
            </w:pPr>
            <w:r w:rsidRPr="00966CD6">
              <w:rPr>
                <w:b/>
                <w:bCs/>
                <w:sz w:val="18"/>
                <w:szCs w:val="18"/>
              </w:rPr>
              <w:t>Para. 17</w:t>
            </w:r>
          </w:p>
        </w:tc>
        <w:tc>
          <w:tcPr>
            <w:tcW w:w="1566" w:type="dxa"/>
            <w:shd w:val="clear" w:color="auto" w:fill="auto"/>
          </w:tcPr>
          <w:p w14:paraId="55BBC9C4" w14:textId="77777777" w:rsidR="00AD6EF5" w:rsidRPr="00966CD6" w:rsidRDefault="00AD6EF5" w:rsidP="0016793D">
            <w:pPr>
              <w:rPr>
                <w:sz w:val="18"/>
                <w:szCs w:val="18"/>
                <w:lang w:val="fr-FR"/>
              </w:rPr>
            </w:pPr>
            <w:r w:rsidRPr="00966CD6">
              <w:rPr>
                <w:sz w:val="18"/>
                <w:szCs w:val="18"/>
                <w:lang w:val="fr-FR"/>
              </w:rPr>
              <w:t xml:space="preserve">Taux de </w:t>
            </w:r>
            <w:proofErr w:type="gramStart"/>
            <w:r w:rsidRPr="00966CD6">
              <w:rPr>
                <w:sz w:val="18"/>
                <w:szCs w:val="18"/>
                <w:lang w:val="fr-FR"/>
              </w:rPr>
              <w:t>remplissage maximale</w:t>
            </w:r>
            <w:proofErr w:type="gramEnd"/>
          </w:p>
          <w:p w14:paraId="203836ED" w14:textId="77777777" w:rsidR="00AD6EF5" w:rsidRPr="00966CD6" w:rsidRDefault="00AD6EF5" w:rsidP="0016793D">
            <w:pPr>
              <w:rPr>
                <w:b/>
                <w:bCs/>
                <w:sz w:val="18"/>
                <w:szCs w:val="18"/>
                <w:lang w:val="fr-FR"/>
              </w:rPr>
            </w:pPr>
            <w:r w:rsidRPr="00966CD6">
              <w:rPr>
                <w:b/>
                <w:bCs/>
                <w:sz w:val="18"/>
                <w:szCs w:val="18"/>
                <w:lang w:val="fr-FR"/>
              </w:rPr>
              <w:t xml:space="preserve">Para. </w:t>
            </w:r>
            <w:r w:rsidRPr="00966CD6">
              <w:rPr>
                <w:b/>
                <w:bCs/>
                <w:color w:val="000000"/>
                <w:sz w:val="18"/>
                <w:szCs w:val="18"/>
                <w:lang w:val="fr-FR"/>
              </w:rPr>
              <w:t>32</w:t>
            </w:r>
          </w:p>
        </w:tc>
        <w:tc>
          <w:tcPr>
            <w:tcW w:w="1552" w:type="dxa"/>
            <w:shd w:val="clear" w:color="auto" w:fill="auto"/>
          </w:tcPr>
          <w:p w14:paraId="279FE9F5" w14:textId="77777777" w:rsidR="00AD6EF5" w:rsidRPr="00966CD6" w:rsidRDefault="00AD6EF5" w:rsidP="0016793D">
            <w:pPr>
              <w:rPr>
                <w:sz w:val="18"/>
                <w:szCs w:val="18"/>
              </w:rPr>
            </w:pPr>
            <w:proofErr w:type="spellStart"/>
            <w:r w:rsidRPr="00966CD6">
              <w:rPr>
                <w:sz w:val="18"/>
                <w:szCs w:val="18"/>
              </w:rPr>
              <w:t>Razón</w:t>
            </w:r>
            <w:proofErr w:type="spellEnd"/>
            <w:r w:rsidRPr="00966CD6">
              <w:rPr>
                <w:sz w:val="18"/>
                <w:szCs w:val="18"/>
              </w:rPr>
              <w:t xml:space="preserve"> de </w:t>
            </w:r>
            <w:proofErr w:type="spellStart"/>
            <w:r w:rsidRPr="00966CD6">
              <w:rPr>
                <w:sz w:val="18"/>
                <w:szCs w:val="18"/>
              </w:rPr>
              <w:t>llenado</w:t>
            </w:r>
            <w:proofErr w:type="spellEnd"/>
          </w:p>
          <w:p w14:paraId="3CDF16E6" w14:textId="77777777" w:rsidR="00AD6EF5" w:rsidRPr="00966CD6" w:rsidRDefault="00AD6EF5" w:rsidP="0016793D">
            <w:pPr>
              <w:rPr>
                <w:b/>
                <w:bCs/>
                <w:sz w:val="18"/>
                <w:szCs w:val="18"/>
              </w:rPr>
            </w:pPr>
            <w:r w:rsidRPr="00966CD6">
              <w:rPr>
                <w:b/>
                <w:bCs/>
                <w:sz w:val="18"/>
                <w:szCs w:val="18"/>
              </w:rPr>
              <w:t>Para. 50</w:t>
            </w:r>
          </w:p>
        </w:tc>
      </w:tr>
      <w:tr w:rsidR="00AD6EF5" w:rsidRPr="009E3E90" w14:paraId="6E47AEC2" w14:textId="77777777" w:rsidTr="00966CD6">
        <w:tc>
          <w:tcPr>
            <w:tcW w:w="1540" w:type="dxa"/>
            <w:shd w:val="clear" w:color="auto" w:fill="auto"/>
          </w:tcPr>
          <w:p w14:paraId="6865769F" w14:textId="77777777" w:rsidR="00AD6EF5" w:rsidRPr="00966CD6" w:rsidRDefault="00AD6EF5" w:rsidP="0016793D">
            <w:pPr>
              <w:rPr>
                <w:sz w:val="18"/>
                <w:szCs w:val="18"/>
              </w:rPr>
            </w:pPr>
            <w:r w:rsidRPr="00966CD6">
              <w:rPr>
                <w:sz w:val="18"/>
                <w:szCs w:val="18"/>
              </w:rPr>
              <w:t>4.2.5.2.6</w:t>
            </w:r>
          </w:p>
          <w:p w14:paraId="1784A514" w14:textId="77777777" w:rsidR="00AD6EF5" w:rsidRPr="00966CD6" w:rsidRDefault="00AD6EF5" w:rsidP="0016793D">
            <w:pPr>
              <w:rPr>
                <w:sz w:val="18"/>
                <w:szCs w:val="18"/>
              </w:rPr>
            </w:pPr>
            <w:r w:rsidRPr="00966CD6">
              <w:rPr>
                <w:sz w:val="18"/>
                <w:szCs w:val="18"/>
              </w:rPr>
              <w:t xml:space="preserve"> T23 Portable</w:t>
            </w:r>
          </w:p>
          <w:p w14:paraId="56BDB8A5" w14:textId="77777777" w:rsidR="00AD6EF5" w:rsidRPr="00966CD6" w:rsidRDefault="00AD6EF5" w:rsidP="0016793D">
            <w:pPr>
              <w:rPr>
                <w:sz w:val="18"/>
                <w:szCs w:val="18"/>
              </w:rPr>
            </w:pPr>
            <w:r w:rsidRPr="00966CD6">
              <w:rPr>
                <w:sz w:val="18"/>
                <w:szCs w:val="18"/>
              </w:rPr>
              <w:t>Tank instruction</w:t>
            </w:r>
          </w:p>
        </w:tc>
        <w:tc>
          <w:tcPr>
            <w:tcW w:w="1218" w:type="dxa"/>
            <w:shd w:val="clear" w:color="auto" w:fill="auto"/>
          </w:tcPr>
          <w:p w14:paraId="47617D9D"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021CCA8D" w14:textId="77777777" w:rsidR="00AD6EF5" w:rsidRPr="00966CD6" w:rsidRDefault="00AD6EF5" w:rsidP="0016793D">
            <w:pPr>
              <w:rPr>
                <w:sz w:val="18"/>
                <w:szCs w:val="18"/>
                <w:lang w:val="fr-FR"/>
              </w:rPr>
            </w:pPr>
            <w:r w:rsidRPr="00966CD6">
              <w:rPr>
                <w:sz w:val="18"/>
                <w:szCs w:val="18"/>
                <w:lang w:val="fr-FR"/>
              </w:rPr>
              <w:t>Taux de remplissage</w:t>
            </w:r>
          </w:p>
        </w:tc>
        <w:tc>
          <w:tcPr>
            <w:tcW w:w="1172" w:type="dxa"/>
            <w:shd w:val="clear" w:color="auto" w:fill="auto"/>
          </w:tcPr>
          <w:p w14:paraId="259346E3"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tc>
        <w:tc>
          <w:tcPr>
            <w:tcW w:w="1171" w:type="dxa"/>
            <w:shd w:val="clear" w:color="auto" w:fill="auto"/>
          </w:tcPr>
          <w:p w14:paraId="1E1326C5" w14:textId="77777777" w:rsidR="00AD6EF5" w:rsidRPr="00966CD6" w:rsidRDefault="00AD6EF5" w:rsidP="0016793D">
            <w:pPr>
              <w:rPr>
                <w:b/>
                <w:bCs/>
                <w:sz w:val="18"/>
                <w:szCs w:val="18"/>
              </w:rPr>
            </w:pPr>
            <w:r w:rsidRPr="00966CD6">
              <w:rPr>
                <w:color w:val="000000"/>
                <w:sz w:val="18"/>
                <w:szCs w:val="18"/>
              </w:rPr>
              <w:t>NO</w:t>
            </w:r>
          </w:p>
        </w:tc>
        <w:tc>
          <w:tcPr>
            <w:tcW w:w="1566" w:type="dxa"/>
            <w:shd w:val="clear" w:color="auto" w:fill="auto"/>
          </w:tcPr>
          <w:p w14:paraId="5FC315CD" w14:textId="77777777" w:rsidR="00AD6EF5" w:rsidRPr="00966CD6" w:rsidRDefault="00AD6EF5" w:rsidP="0016793D">
            <w:pPr>
              <w:rPr>
                <w:bCs/>
                <w:color w:val="000000"/>
                <w:sz w:val="18"/>
                <w:szCs w:val="18"/>
              </w:rPr>
            </w:pPr>
            <w:proofErr w:type="spellStart"/>
            <w:r w:rsidRPr="00966CD6">
              <w:rPr>
                <w:bCs/>
                <w:color w:val="000000"/>
                <w:sz w:val="18"/>
                <w:szCs w:val="18"/>
              </w:rPr>
              <w:t>Degré</w:t>
            </w:r>
            <w:proofErr w:type="spellEnd"/>
            <w:r w:rsidRPr="00966CD6">
              <w:rPr>
                <w:bCs/>
                <w:color w:val="000000"/>
                <w:sz w:val="18"/>
                <w:szCs w:val="18"/>
              </w:rPr>
              <w:t xml:space="preserve"> de </w:t>
            </w:r>
            <w:proofErr w:type="spellStart"/>
            <w:r w:rsidRPr="00966CD6">
              <w:rPr>
                <w:bCs/>
                <w:color w:val="000000"/>
                <w:sz w:val="18"/>
                <w:szCs w:val="18"/>
              </w:rPr>
              <w:t>remplissage</w:t>
            </w:r>
            <w:proofErr w:type="spellEnd"/>
          </w:p>
          <w:p w14:paraId="5A284931" w14:textId="77777777" w:rsidR="00AD6EF5" w:rsidRPr="00966CD6" w:rsidRDefault="00AD6EF5" w:rsidP="0016793D">
            <w:pPr>
              <w:rPr>
                <w:b/>
                <w:bCs/>
                <w:sz w:val="18"/>
                <w:szCs w:val="18"/>
              </w:rPr>
            </w:pPr>
            <w:r w:rsidRPr="00966CD6">
              <w:rPr>
                <w:b/>
                <w:bCs/>
                <w:color w:val="000000"/>
                <w:sz w:val="18"/>
                <w:szCs w:val="18"/>
              </w:rPr>
              <w:t>Para. 33</w:t>
            </w:r>
          </w:p>
        </w:tc>
        <w:tc>
          <w:tcPr>
            <w:tcW w:w="1552" w:type="dxa"/>
            <w:shd w:val="clear" w:color="auto" w:fill="auto"/>
          </w:tcPr>
          <w:p w14:paraId="568CAFF8" w14:textId="77777777" w:rsidR="00AD6EF5" w:rsidRPr="00966CD6" w:rsidRDefault="00AD6EF5" w:rsidP="0016793D">
            <w:pPr>
              <w:rPr>
                <w:b/>
                <w:bCs/>
                <w:sz w:val="18"/>
                <w:szCs w:val="18"/>
              </w:rPr>
            </w:pPr>
            <w:r w:rsidRPr="00966CD6">
              <w:rPr>
                <w:color w:val="000000"/>
                <w:sz w:val="18"/>
                <w:szCs w:val="18"/>
              </w:rPr>
              <w:t>NO</w:t>
            </w:r>
          </w:p>
        </w:tc>
      </w:tr>
      <w:tr w:rsidR="00AD6EF5" w:rsidRPr="009E3E90" w14:paraId="34F87FB0" w14:textId="77777777" w:rsidTr="00966CD6">
        <w:tc>
          <w:tcPr>
            <w:tcW w:w="1540" w:type="dxa"/>
            <w:shd w:val="clear" w:color="auto" w:fill="auto"/>
          </w:tcPr>
          <w:p w14:paraId="4F08375F" w14:textId="77777777" w:rsidR="00AD6EF5" w:rsidRPr="00966CD6" w:rsidRDefault="00AD6EF5" w:rsidP="0016793D">
            <w:pPr>
              <w:rPr>
                <w:sz w:val="18"/>
                <w:szCs w:val="18"/>
              </w:rPr>
            </w:pPr>
            <w:r w:rsidRPr="00966CD6">
              <w:rPr>
                <w:sz w:val="18"/>
                <w:szCs w:val="18"/>
              </w:rPr>
              <w:t>4.2.5.2.6 T50 Note c</w:t>
            </w:r>
          </w:p>
        </w:tc>
        <w:tc>
          <w:tcPr>
            <w:tcW w:w="1218" w:type="dxa"/>
            <w:shd w:val="clear" w:color="auto" w:fill="auto"/>
          </w:tcPr>
          <w:p w14:paraId="09410AC3" w14:textId="77777777" w:rsidR="00AD6EF5" w:rsidRPr="00966CD6" w:rsidRDefault="00AD6EF5" w:rsidP="0016793D">
            <w:pPr>
              <w:rPr>
                <w:sz w:val="18"/>
                <w:szCs w:val="18"/>
              </w:rPr>
            </w:pPr>
            <w:r w:rsidRPr="00966CD6">
              <w:rPr>
                <w:sz w:val="18"/>
                <w:szCs w:val="18"/>
              </w:rPr>
              <w:t>Degree of filling</w:t>
            </w:r>
          </w:p>
          <w:p w14:paraId="1F4686C0" w14:textId="77777777" w:rsidR="00AD6EF5" w:rsidRPr="00966CD6" w:rsidRDefault="00AD6EF5" w:rsidP="0016793D">
            <w:pPr>
              <w:rPr>
                <w:sz w:val="18"/>
                <w:szCs w:val="18"/>
              </w:rPr>
            </w:pPr>
            <w:r w:rsidRPr="00966CD6">
              <w:rPr>
                <w:sz w:val="18"/>
                <w:szCs w:val="18"/>
              </w:rPr>
              <w:t>Instead of filling ratio</w:t>
            </w:r>
          </w:p>
        </w:tc>
        <w:tc>
          <w:tcPr>
            <w:tcW w:w="1557" w:type="dxa"/>
            <w:shd w:val="clear" w:color="auto" w:fill="auto"/>
          </w:tcPr>
          <w:p w14:paraId="6FAC3828" w14:textId="77777777" w:rsidR="00AD6EF5" w:rsidRPr="00966CD6" w:rsidRDefault="00AD6EF5" w:rsidP="0016793D">
            <w:pPr>
              <w:rPr>
                <w:sz w:val="18"/>
                <w:szCs w:val="18"/>
                <w:lang w:val="fr-FR"/>
              </w:rPr>
            </w:pPr>
            <w:r w:rsidRPr="00966CD6">
              <w:rPr>
                <w:sz w:val="18"/>
                <w:szCs w:val="18"/>
                <w:lang w:val="fr-FR"/>
              </w:rPr>
              <w:t>Degré de remplissage au lieu de la densité de remplissage maximale</w:t>
            </w:r>
          </w:p>
        </w:tc>
        <w:tc>
          <w:tcPr>
            <w:tcW w:w="1172" w:type="dxa"/>
            <w:shd w:val="clear" w:color="auto" w:fill="auto"/>
          </w:tcPr>
          <w:p w14:paraId="3CF35084" w14:textId="77777777" w:rsidR="00AD6EF5" w:rsidRPr="00966CD6" w:rsidRDefault="00AD6EF5" w:rsidP="0016793D">
            <w:pPr>
              <w:rPr>
                <w:sz w:val="18"/>
                <w:szCs w:val="18"/>
                <w:lang w:val="es-ES"/>
              </w:rPr>
            </w:pPr>
            <w:r w:rsidRPr="00966CD6">
              <w:rPr>
                <w:sz w:val="18"/>
                <w:szCs w:val="18"/>
                <w:lang w:val="es-ES"/>
              </w:rPr>
              <w:t>Grado de llenado en lugar de la razón máxima de llenado</w:t>
            </w:r>
          </w:p>
        </w:tc>
        <w:tc>
          <w:tcPr>
            <w:tcW w:w="1171" w:type="dxa"/>
            <w:shd w:val="clear" w:color="auto" w:fill="auto"/>
          </w:tcPr>
          <w:p w14:paraId="5D64A6B4"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795C1D8E" w14:textId="77777777" w:rsidR="00AD6EF5" w:rsidRPr="00966CD6" w:rsidRDefault="00AD6EF5" w:rsidP="0016793D">
            <w:pPr>
              <w:rPr>
                <w:sz w:val="18"/>
                <w:szCs w:val="18"/>
                <w:lang w:val="fr-FR"/>
              </w:rPr>
            </w:pPr>
            <w:r w:rsidRPr="00966CD6">
              <w:rPr>
                <w:sz w:val="18"/>
                <w:szCs w:val="18"/>
                <w:lang w:val="fr-FR"/>
              </w:rPr>
              <w:t>Le degré de remplissage au lieu du taux de remplissage maximale</w:t>
            </w:r>
          </w:p>
          <w:p w14:paraId="5DE6CC71" w14:textId="77777777" w:rsidR="00AD6EF5" w:rsidRPr="00966CD6" w:rsidRDefault="00AD6EF5" w:rsidP="0016793D">
            <w:pPr>
              <w:rPr>
                <w:b/>
                <w:bCs/>
                <w:sz w:val="18"/>
                <w:szCs w:val="18"/>
                <w:lang w:val="fr-FR"/>
              </w:rPr>
            </w:pPr>
            <w:r w:rsidRPr="00966CD6">
              <w:rPr>
                <w:b/>
                <w:bCs/>
                <w:sz w:val="18"/>
                <w:szCs w:val="18"/>
                <w:lang w:val="fr-FR"/>
              </w:rPr>
              <w:t>Para. 34</w:t>
            </w:r>
          </w:p>
        </w:tc>
        <w:tc>
          <w:tcPr>
            <w:tcW w:w="1552" w:type="dxa"/>
            <w:shd w:val="clear" w:color="auto" w:fill="auto"/>
          </w:tcPr>
          <w:p w14:paraId="7A3DEEA1" w14:textId="77777777" w:rsidR="00AD6EF5" w:rsidRPr="00966CD6" w:rsidRDefault="00AD6EF5" w:rsidP="0016793D">
            <w:pPr>
              <w:rPr>
                <w:sz w:val="18"/>
                <w:szCs w:val="18"/>
                <w:lang w:val="fr-FR"/>
              </w:rPr>
            </w:pPr>
            <w:r w:rsidRPr="00966CD6">
              <w:rPr>
                <w:sz w:val="18"/>
                <w:szCs w:val="18"/>
                <w:lang w:val="fr-FR"/>
              </w:rPr>
              <w:t>NO</w:t>
            </w:r>
          </w:p>
        </w:tc>
      </w:tr>
      <w:tr w:rsidR="00AD6EF5" w:rsidRPr="009E3E90" w14:paraId="0D77074D" w14:textId="77777777" w:rsidTr="00966CD6">
        <w:tc>
          <w:tcPr>
            <w:tcW w:w="1540" w:type="dxa"/>
            <w:shd w:val="clear" w:color="auto" w:fill="auto"/>
          </w:tcPr>
          <w:p w14:paraId="3C475DAD" w14:textId="77777777" w:rsidR="00AD6EF5" w:rsidRPr="00966CD6" w:rsidRDefault="00AD6EF5" w:rsidP="0016793D">
            <w:pPr>
              <w:rPr>
                <w:sz w:val="18"/>
                <w:szCs w:val="18"/>
              </w:rPr>
            </w:pPr>
            <w:r w:rsidRPr="00966CD6">
              <w:rPr>
                <w:sz w:val="18"/>
                <w:szCs w:val="18"/>
              </w:rPr>
              <w:t>4.2.5.3 TP1</w:t>
            </w:r>
          </w:p>
        </w:tc>
        <w:tc>
          <w:tcPr>
            <w:tcW w:w="1218" w:type="dxa"/>
            <w:shd w:val="clear" w:color="auto" w:fill="auto"/>
          </w:tcPr>
          <w:p w14:paraId="18E18E6A" w14:textId="77777777" w:rsidR="00AD6EF5" w:rsidRPr="00966CD6" w:rsidRDefault="00AD6EF5" w:rsidP="0016793D">
            <w:pPr>
              <w:rPr>
                <w:sz w:val="18"/>
                <w:szCs w:val="18"/>
              </w:rPr>
            </w:pPr>
            <w:r w:rsidRPr="00966CD6">
              <w:rPr>
                <w:sz w:val="18"/>
                <w:szCs w:val="18"/>
              </w:rPr>
              <w:t>Degree of filling (2)</w:t>
            </w:r>
          </w:p>
        </w:tc>
        <w:tc>
          <w:tcPr>
            <w:tcW w:w="1557" w:type="dxa"/>
            <w:shd w:val="clear" w:color="auto" w:fill="auto"/>
          </w:tcPr>
          <w:p w14:paraId="202146CF"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(2)</w:t>
            </w:r>
          </w:p>
        </w:tc>
        <w:tc>
          <w:tcPr>
            <w:tcW w:w="1172" w:type="dxa"/>
            <w:shd w:val="clear" w:color="auto" w:fill="auto"/>
          </w:tcPr>
          <w:p w14:paraId="37A645EC"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r w:rsidRPr="00966CD6">
              <w:rPr>
                <w:sz w:val="18"/>
                <w:szCs w:val="18"/>
              </w:rPr>
              <w:t xml:space="preserve"> (2)</w:t>
            </w:r>
          </w:p>
        </w:tc>
        <w:tc>
          <w:tcPr>
            <w:tcW w:w="1171" w:type="dxa"/>
            <w:shd w:val="clear" w:color="auto" w:fill="auto"/>
          </w:tcPr>
          <w:p w14:paraId="00D53698"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0E9C201E"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1688C989" w14:textId="77777777" w:rsidR="00AD6EF5" w:rsidRPr="00966CD6" w:rsidRDefault="00AD6EF5" w:rsidP="0016793D">
            <w:pPr>
              <w:rPr>
                <w:b/>
                <w:bCs/>
                <w:sz w:val="18"/>
                <w:szCs w:val="18"/>
              </w:rPr>
            </w:pPr>
            <w:r w:rsidRPr="00966CD6">
              <w:rPr>
                <w:b/>
                <w:bCs/>
                <w:sz w:val="18"/>
                <w:szCs w:val="18"/>
              </w:rPr>
              <w:t>Para. 35</w:t>
            </w:r>
          </w:p>
        </w:tc>
        <w:tc>
          <w:tcPr>
            <w:tcW w:w="1552" w:type="dxa"/>
            <w:shd w:val="clear" w:color="auto" w:fill="auto"/>
          </w:tcPr>
          <w:p w14:paraId="18A85950" w14:textId="77777777" w:rsidR="00AD6EF5" w:rsidRPr="00966CD6" w:rsidRDefault="00AD6EF5" w:rsidP="0016793D">
            <w:pPr>
              <w:rPr>
                <w:sz w:val="18"/>
                <w:szCs w:val="18"/>
              </w:rPr>
            </w:pPr>
            <w:r w:rsidRPr="00966CD6">
              <w:rPr>
                <w:sz w:val="18"/>
                <w:szCs w:val="18"/>
              </w:rPr>
              <w:t>NO</w:t>
            </w:r>
          </w:p>
        </w:tc>
      </w:tr>
      <w:tr w:rsidR="00AD6EF5" w:rsidRPr="009E3E90" w14:paraId="716E1CED" w14:textId="77777777" w:rsidTr="00966CD6">
        <w:tc>
          <w:tcPr>
            <w:tcW w:w="1540" w:type="dxa"/>
            <w:shd w:val="clear" w:color="auto" w:fill="auto"/>
          </w:tcPr>
          <w:p w14:paraId="2A5FDDC4" w14:textId="77777777" w:rsidR="00AD6EF5" w:rsidRPr="00966CD6" w:rsidRDefault="00AD6EF5" w:rsidP="0016793D">
            <w:pPr>
              <w:rPr>
                <w:sz w:val="18"/>
                <w:szCs w:val="18"/>
              </w:rPr>
            </w:pPr>
            <w:r w:rsidRPr="00966CD6">
              <w:rPr>
                <w:sz w:val="18"/>
                <w:szCs w:val="18"/>
              </w:rPr>
              <w:t>4.2.5.3 TP2</w:t>
            </w:r>
          </w:p>
        </w:tc>
        <w:tc>
          <w:tcPr>
            <w:tcW w:w="1218" w:type="dxa"/>
            <w:shd w:val="clear" w:color="auto" w:fill="auto"/>
          </w:tcPr>
          <w:p w14:paraId="3ACB80A8" w14:textId="77777777" w:rsidR="00AD6EF5" w:rsidRPr="00966CD6" w:rsidRDefault="00AD6EF5" w:rsidP="0016793D">
            <w:pPr>
              <w:rPr>
                <w:sz w:val="18"/>
                <w:szCs w:val="18"/>
              </w:rPr>
            </w:pPr>
            <w:r w:rsidRPr="00966CD6">
              <w:rPr>
                <w:sz w:val="18"/>
                <w:szCs w:val="18"/>
              </w:rPr>
              <w:t>Degree of filling (2)</w:t>
            </w:r>
          </w:p>
        </w:tc>
        <w:tc>
          <w:tcPr>
            <w:tcW w:w="1557" w:type="dxa"/>
            <w:shd w:val="clear" w:color="auto" w:fill="auto"/>
          </w:tcPr>
          <w:p w14:paraId="2C138410"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(2)</w:t>
            </w:r>
          </w:p>
        </w:tc>
        <w:tc>
          <w:tcPr>
            <w:tcW w:w="1172" w:type="dxa"/>
            <w:shd w:val="clear" w:color="auto" w:fill="auto"/>
          </w:tcPr>
          <w:p w14:paraId="03BE1F80"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r w:rsidRPr="00966CD6">
              <w:rPr>
                <w:sz w:val="18"/>
                <w:szCs w:val="18"/>
              </w:rPr>
              <w:t xml:space="preserve"> (2)</w:t>
            </w:r>
          </w:p>
        </w:tc>
        <w:tc>
          <w:tcPr>
            <w:tcW w:w="1171" w:type="dxa"/>
            <w:shd w:val="clear" w:color="auto" w:fill="auto"/>
          </w:tcPr>
          <w:p w14:paraId="2FCB2221"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1EE92169"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70B36F51" w14:textId="77777777" w:rsidR="00AD6EF5" w:rsidRPr="00966CD6" w:rsidRDefault="00AD6EF5" w:rsidP="0016793D">
            <w:pPr>
              <w:rPr>
                <w:b/>
                <w:bCs/>
                <w:sz w:val="18"/>
                <w:szCs w:val="18"/>
              </w:rPr>
            </w:pPr>
            <w:r w:rsidRPr="00966CD6">
              <w:rPr>
                <w:b/>
                <w:bCs/>
                <w:sz w:val="18"/>
                <w:szCs w:val="18"/>
              </w:rPr>
              <w:t>Para. 36</w:t>
            </w:r>
          </w:p>
        </w:tc>
        <w:tc>
          <w:tcPr>
            <w:tcW w:w="1552" w:type="dxa"/>
            <w:shd w:val="clear" w:color="auto" w:fill="auto"/>
          </w:tcPr>
          <w:p w14:paraId="2EC25CC7" w14:textId="77777777" w:rsidR="00AD6EF5" w:rsidRPr="00966CD6" w:rsidRDefault="00AD6EF5" w:rsidP="0016793D">
            <w:pPr>
              <w:rPr>
                <w:sz w:val="18"/>
                <w:szCs w:val="18"/>
              </w:rPr>
            </w:pPr>
            <w:r w:rsidRPr="00966CD6">
              <w:rPr>
                <w:sz w:val="18"/>
                <w:szCs w:val="18"/>
              </w:rPr>
              <w:t>NO</w:t>
            </w:r>
          </w:p>
        </w:tc>
      </w:tr>
      <w:tr w:rsidR="00AD6EF5" w:rsidRPr="009E3E90" w14:paraId="313CC5A0" w14:textId="77777777" w:rsidTr="00966CD6">
        <w:tc>
          <w:tcPr>
            <w:tcW w:w="1540" w:type="dxa"/>
            <w:shd w:val="clear" w:color="auto" w:fill="auto"/>
          </w:tcPr>
          <w:p w14:paraId="285899C0" w14:textId="77777777" w:rsidR="00AD6EF5" w:rsidRPr="00966CD6" w:rsidRDefault="00AD6EF5" w:rsidP="0016793D">
            <w:pPr>
              <w:rPr>
                <w:sz w:val="18"/>
                <w:szCs w:val="18"/>
              </w:rPr>
            </w:pPr>
            <w:r w:rsidRPr="00966CD6">
              <w:rPr>
                <w:sz w:val="18"/>
                <w:szCs w:val="18"/>
              </w:rPr>
              <w:t>4.2.5.3 TP3</w:t>
            </w:r>
          </w:p>
        </w:tc>
        <w:tc>
          <w:tcPr>
            <w:tcW w:w="1218" w:type="dxa"/>
            <w:shd w:val="clear" w:color="auto" w:fill="auto"/>
          </w:tcPr>
          <w:p w14:paraId="6A0F12B8" w14:textId="77777777" w:rsidR="00AD6EF5" w:rsidRPr="00966CD6" w:rsidRDefault="00AD6EF5" w:rsidP="0016793D">
            <w:pPr>
              <w:rPr>
                <w:sz w:val="18"/>
                <w:szCs w:val="18"/>
              </w:rPr>
            </w:pPr>
            <w:r w:rsidRPr="00966CD6">
              <w:rPr>
                <w:sz w:val="18"/>
                <w:szCs w:val="18"/>
              </w:rPr>
              <w:t>Degree of filling (2)</w:t>
            </w:r>
          </w:p>
        </w:tc>
        <w:tc>
          <w:tcPr>
            <w:tcW w:w="1557" w:type="dxa"/>
            <w:shd w:val="clear" w:color="auto" w:fill="auto"/>
          </w:tcPr>
          <w:p w14:paraId="5F4E10FB"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(2)</w:t>
            </w:r>
          </w:p>
        </w:tc>
        <w:tc>
          <w:tcPr>
            <w:tcW w:w="1172" w:type="dxa"/>
            <w:shd w:val="clear" w:color="auto" w:fill="auto"/>
          </w:tcPr>
          <w:p w14:paraId="50EE5BDA"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r w:rsidRPr="00966CD6">
              <w:rPr>
                <w:sz w:val="18"/>
                <w:szCs w:val="18"/>
              </w:rPr>
              <w:t xml:space="preserve"> (2)</w:t>
            </w:r>
          </w:p>
        </w:tc>
        <w:tc>
          <w:tcPr>
            <w:tcW w:w="1171" w:type="dxa"/>
            <w:shd w:val="clear" w:color="auto" w:fill="auto"/>
          </w:tcPr>
          <w:p w14:paraId="63469EE6"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274ABC31"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79226715" w14:textId="77777777" w:rsidR="00AD6EF5" w:rsidRPr="00966CD6" w:rsidRDefault="00AD6EF5" w:rsidP="0016793D">
            <w:pPr>
              <w:rPr>
                <w:b/>
                <w:bCs/>
                <w:sz w:val="18"/>
                <w:szCs w:val="18"/>
              </w:rPr>
            </w:pPr>
            <w:r w:rsidRPr="00966CD6">
              <w:rPr>
                <w:b/>
                <w:bCs/>
                <w:sz w:val="18"/>
                <w:szCs w:val="18"/>
              </w:rPr>
              <w:t>Para. 37</w:t>
            </w:r>
          </w:p>
        </w:tc>
        <w:tc>
          <w:tcPr>
            <w:tcW w:w="1552" w:type="dxa"/>
            <w:shd w:val="clear" w:color="auto" w:fill="auto"/>
          </w:tcPr>
          <w:p w14:paraId="37D9952E" w14:textId="77777777" w:rsidR="00AD6EF5" w:rsidRPr="00966CD6" w:rsidRDefault="00AD6EF5" w:rsidP="0016793D">
            <w:pPr>
              <w:rPr>
                <w:sz w:val="18"/>
                <w:szCs w:val="18"/>
              </w:rPr>
            </w:pPr>
            <w:r w:rsidRPr="00966CD6">
              <w:rPr>
                <w:sz w:val="18"/>
                <w:szCs w:val="18"/>
              </w:rPr>
              <w:t>NO</w:t>
            </w:r>
          </w:p>
        </w:tc>
      </w:tr>
      <w:tr w:rsidR="00AD6EF5" w:rsidRPr="009E3E90" w14:paraId="211C5DD9" w14:textId="77777777" w:rsidTr="00966CD6">
        <w:tc>
          <w:tcPr>
            <w:tcW w:w="1540" w:type="dxa"/>
            <w:shd w:val="clear" w:color="auto" w:fill="auto"/>
          </w:tcPr>
          <w:p w14:paraId="037662A5" w14:textId="77777777" w:rsidR="00AD6EF5" w:rsidRPr="00966CD6" w:rsidRDefault="00AD6EF5" w:rsidP="0016793D">
            <w:pPr>
              <w:rPr>
                <w:sz w:val="18"/>
                <w:szCs w:val="18"/>
              </w:rPr>
            </w:pPr>
            <w:r w:rsidRPr="00966CD6">
              <w:rPr>
                <w:sz w:val="18"/>
                <w:szCs w:val="18"/>
              </w:rPr>
              <w:t>4.2.5.3 TP4</w:t>
            </w:r>
          </w:p>
        </w:tc>
        <w:tc>
          <w:tcPr>
            <w:tcW w:w="1218" w:type="dxa"/>
            <w:shd w:val="clear" w:color="auto" w:fill="auto"/>
          </w:tcPr>
          <w:p w14:paraId="6FB30D69"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43165B32"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4BB5764A"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tc>
        <w:tc>
          <w:tcPr>
            <w:tcW w:w="1171" w:type="dxa"/>
            <w:shd w:val="clear" w:color="auto" w:fill="auto"/>
          </w:tcPr>
          <w:p w14:paraId="0B87C8A8"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73298B5A"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1BD3EFFD" w14:textId="77777777" w:rsidR="00AD6EF5" w:rsidRPr="00966CD6" w:rsidRDefault="00AD6EF5" w:rsidP="0016793D">
            <w:pPr>
              <w:rPr>
                <w:b/>
                <w:bCs/>
                <w:sz w:val="18"/>
                <w:szCs w:val="18"/>
              </w:rPr>
            </w:pPr>
            <w:r w:rsidRPr="00966CD6">
              <w:rPr>
                <w:b/>
                <w:bCs/>
                <w:sz w:val="18"/>
                <w:szCs w:val="18"/>
              </w:rPr>
              <w:t>Para. 38</w:t>
            </w:r>
          </w:p>
        </w:tc>
        <w:tc>
          <w:tcPr>
            <w:tcW w:w="1552" w:type="dxa"/>
            <w:shd w:val="clear" w:color="auto" w:fill="auto"/>
          </w:tcPr>
          <w:p w14:paraId="2CAA6CCA" w14:textId="77777777" w:rsidR="00AD6EF5" w:rsidRPr="00966CD6" w:rsidRDefault="00AD6EF5" w:rsidP="0016793D">
            <w:pPr>
              <w:rPr>
                <w:sz w:val="18"/>
                <w:szCs w:val="18"/>
              </w:rPr>
            </w:pPr>
            <w:r w:rsidRPr="00966CD6">
              <w:rPr>
                <w:sz w:val="18"/>
                <w:szCs w:val="18"/>
              </w:rPr>
              <w:t>NO</w:t>
            </w:r>
          </w:p>
        </w:tc>
      </w:tr>
      <w:tr w:rsidR="00AD6EF5" w:rsidRPr="009E3E90" w14:paraId="6E254C17" w14:textId="77777777" w:rsidTr="00966CD6">
        <w:tc>
          <w:tcPr>
            <w:tcW w:w="1540" w:type="dxa"/>
            <w:shd w:val="clear" w:color="auto" w:fill="auto"/>
          </w:tcPr>
          <w:p w14:paraId="584906DA" w14:textId="77777777" w:rsidR="00AD6EF5" w:rsidRPr="00966CD6" w:rsidRDefault="00AD6EF5" w:rsidP="0016793D">
            <w:pPr>
              <w:rPr>
                <w:sz w:val="18"/>
                <w:szCs w:val="18"/>
                <w:highlight w:val="yellow"/>
              </w:rPr>
            </w:pPr>
            <w:r w:rsidRPr="00966CD6">
              <w:rPr>
                <w:sz w:val="18"/>
                <w:szCs w:val="18"/>
              </w:rPr>
              <w:t>4.2.5.3 TP5</w:t>
            </w:r>
          </w:p>
        </w:tc>
        <w:tc>
          <w:tcPr>
            <w:tcW w:w="1218" w:type="dxa"/>
            <w:shd w:val="clear" w:color="auto" w:fill="auto"/>
          </w:tcPr>
          <w:p w14:paraId="0498BBCE"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726982CF"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tc>
        <w:tc>
          <w:tcPr>
            <w:tcW w:w="1172" w:type="dxa"/>
            <w:shd w:val="clear" w:color="auto" w:fill="auto"/>
          </w:tcPr>
          <w:p w14:paraId="54CC2926"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tc>
        <w:tc>
          <w:tcPr>
            <w:tcW w:w="1171" w:type="dxa"/>
            <w:shd w:val="clear" w:color="auto" w:fill="auto"/>
          </w:tcPr>
          <w:p w14:paraId="37536AA6" w14:textId="77777777" w:rsidR="00AD6EF5" w:rsidRPr="00AB6280" w:rsidRDefault="00AD6EF5" w:rsidP="0016793D">
            <w:pPr>
              <w:rPr>
                <w:color w:val="FF0000"/>
                <w:sz w:val="18"/>
                <w:szCs w:val="18"/>
              </w:rPr>
            </w:pPr>
            <w:r w:rsidRPr="00AB6280">
              <w:rPr>
                <w:color w:val="FF0000"/>
                <w:sz w:val="18"/>
                <w:szCs w:val="18"/>
              </w:rPr>
              <w:t>Restrictions on</w:t>
            </w:r>
            <w:r w:rsidR="00AB6280" w:rsidRPr="00AB6280">
              <w:rPr>
                <w:color w:val="FF0000"/>
                <w:sz w:val="18"/>
                <w:szCs w:val="18"/>
              </w:rPr>
              <w:t xml:space="preserve"> filling</w:t>
            </w:r>
          </w:p>
          <w:p w14:paraId="162F45F6" w14:textId="77777777" w:rsidR="00AD6EF5" w:rsidRPr="00966CD6" w:rsidRDefault="00AD6EF5" w:rsidP="0016793D">
            <w:pPr>
              <w:rPr>
                <w:b/>
                <w:bCs/>
                <w:sz w:val="18"/>
                <w:szCs w:val="18"/>
              </w:rPr>
            </w:pPr>
            <w:r w:rsidRPr="00966CD6">
              <w:rPr>
                <w:b/>
                <w:bCs/>
                <w:sz w:val="18"/>
                <w:szCs w:val="18"/>
              </w:rPr>
              <w:t>Para. 1</w:t>
            </w:r>
            <w:r w:rsidRPr="00966CD6">
              <w:rPr>
                <w:b/>
                <w:bCs/>
                <w:color w:val="000000"/>
                <w:sz w:val="18"/>
                <w:szCs w:val="18"/>
              </w:rPr>
              <w:t>8</w:t>
            </w:r>
          </w:p>
        </w:tc>
        <w:tc>
          <w:tcPr>
            <w:tcW w:w="1566" w:type="dxa"/>
            <w:shd w:val="clear" w:color="auto" w:fill="auto"/>
          </w:tcPr>
          <w:p w14:paraId="2E9BB82C" w14:textId="77777777" w:rsidR="00AD6EF5" w:rsidRPr="00AB6280" w:rsidRDefault="00AD6EF5" w:rsidP="0016793D">
            <w:pPr>
              <w:rPr>
                <w:color w:val="FF0000"/>
                <w:sz w:val="18"/>
                <w:szCs w:val="18"/>
                <w:lang w:val="fr-FR"/>
              </w:rPr>
            </w:pPr>
            <w:r w:rsidRPr="00AB6280">
              <w:rPr>
                <w:color w:val="FF0000"/>
                <w:sz w:val="18"/>
                <w:szCs w:val="18"/>
                <w:lang w:val="fr-FR"/>
              </w:rPr>
              <w:t xml:space="preserve">Les restrictions </w:t>
            </w:r>
            <w:r w:rsidR="00AB6280" w:rsidRPr="00AB6280">
              <w:rPr>
                <w:color w:val="FF0000"/>
                <w:sz w:val="18"/>
                <w:szCs w:val="18"/>
                <w:lang w:val="fr-FR"/>
              </w:rPr>
              <w:t>de remplissage</w:t>
            </w:r>
          </w:p>
          <w:p w14:paraId="26F5469A" w14:textId="77777777" w:rsidR="00AD6EF5" w:rsidRPr="00AB6280" w:rsidRDefault="00AD6EF5" w:rsidP="0016793D">
            <w:pPr>
              <w:rPr>
                <w:b/>
                <w:bCs/>
                <w:color w:val="FF0000"/>
                <w:sz w:val="18"/>
                <w:szCs w:val="18"/>
                <w:lang w:val="fr-FR"/>
              </w:rPr>
            </w:pPr>
          </w:p>
          <w:p w14:paraId="2AA25AE3" w14:textId="77777777" w:rsidR="00AD6EF5" w:rsidRPr="00AB6280" w:rsidRDefault="00AD6EF5" w:rsidP="0016793D">
            <w:pPr>
              <w:rPr>
                <w:b/>
                <w:bCs/>
                <w:sz w:val="18"/>
                <w:szCs w:val="18"/>
                <w:lang w:val="fr-FR"/>
              </w:rPr>
            </w:pPr>
            <w:r w:rsidRPr="00AB6280">
              <w:rPr>
                <w:b/>
                <w:bCs/>
                <w:color w:val="FF0000"/>
                <w:sz w:val="18"/>
                <w:szCs w:val="18"/>
                <w:lang w:val="fr-FR"/>
              </w:rPr>
              <w:t xml:space="preserve">Par.38 </w:t>
            </w:r>
            <w:r w:rsidR="00AB6280">
              <w:rPr>
                <w:b/>
                <w:bCs/>
                <w:color w:val="FF0000"/>
                <w:sz w:val="18"/>
                <w:szCs w:val="18"/>
                <w:lang w:val="fr-FR"/>
              </w:rPr>
              <w:t>bis</w:t>
            </w:r>
          </w:p>
        </w:tc>
        <w:tc>
          <w:tcPr>
            <w:tcW w:w="1552" w:type="dxa"/>
            <w:shd w:val="clear" w:color="auto" w:fill="auto"/>
          </w:tcPr>
          <w:p w14:paraId="3185813F" w14:textId="77777777" w:rsidR="00AD6EF5" w:rsidRPr="00191F25" w:rsidRDefault="00AD6EF5" w:rsidP="0016793D">
            <w:pPr>
              <w:rPr>
                <w:sz w:val="18"/>
                <w:szCs w:val="18"/>
              </w:rPr>
            </w:pPr>
            <w:proofErr w:type="spellStart"/>
            <w:r w:rsidRPr="00191F25">
              <w:rPr>
                <w:color w:val="FF0000"/>
                <w:sz w:val="18"/>
                <w:szCs w:val="18"/>
              </w:rPr>
              <w:t>Restricciones</w:t>
            </w:r>
            <w:proofErr w:type="spellEnd"/>
            <w:r w:rsidRPr="00191F25">
              <w:rPr>
                <w:color w:val="FF0000"/>
                <w:sz w:val="18"/>
                <w:szCs w:val="18"/>
              </w:rPr>
              <w:t xml:space="preserve"> </w:t>
            </w:r>
            <w:r w:rsidR="00AB6280" w:rsidRPr="00191F25">
              <w:rPr>
                <w:color w:val="FF0000"/>
                <w:sz w:val="18"/>
                <w:szCs w:val="18"/>
              </w:rPr>
              <w:t>al</w:t>
            </w:r>
            <w:r w:rsidRPr="00191F25">
              <w:rPr>
                <w:sz w:val="18"/>
                <w:szCs w:val="18"/>
              </w:rPr>
              <w:t xml:space="preserve"> </w:t>
            </w:r>
            <w:proofErr w:type="spellStart"/>
            <w:r w:rsidRPr="00191F25">
              <w:rPr>
                <w:sz w:val="18"/>
                <w:szCs w:val="18"/>
              </w:rPr>
              <w:t>llenado</w:t>
            </w:r>
            <w:proofErr w:type="spellEnd"/>
          </w:p>
          <w:p w14:paraId="69BC0C00"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51</w:t>
            </w:r>
          </w:p>
        </w:tc>
      </w:tr>
      <w:tr w:rsidR="00AD6EF5" w:rsidRPr="009E3E90" w14:paraId="54E48421" w14:textId="77777777" w:rsidTr="00966CD6">
        <w:tc>
          <w:tcPr>
            <w:tcW w:w="1540" w:type="dxa"/>
            <w:shd w:val="clear" w:color="auto" w:fill="auto"/>
          </w:tcPr>
          <w:p w14:paraId="27E5045F" w14:textId="77777777" w:rsidR="00AD6EF5" w:rsidRPr="00966CD6" w:rsidRDefault="00AD6EF5" w:rsidP="0016793D">
            <w:pPr>
              <w:rPr>
                <w:sz w:val="18"/>
                <w:szCs w:val="18"/>
              </w:rPr>
            </w:pPr>
            <w:r w:rsidRPr="00966CD6">
              <w:rPr>
                <w:sz w:val="18"/>
                <w:szCs w:val="18"/>
              </w:rPr>
              <w:t>6.1.5.5.4 (a)</w:t>
            </w:r>
          </w:p>
        </w:tc>
        <w:tc>
          <w:tcPr>
            <w:tcW w:w="1218" w:type="dxa"/>
            <w:shd w:val="clear" w:color="auto" w:fill="auto"/>
          </w:tcPr>
          <w:p w14:paraId="17E56749"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56B82CE4"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p w14:paraId="729F0AB4" w14:textId="77777777" w:rsidR="00AD6EF5" w:rsidRPr="00966CD6" w:rsidRDefault="00AD6EF5" w:rsidP="0016793D">
            <w:pPr>
              <w:rPr>
                <w:sz w:val="18"/>
                <w:szCs w:val="18"/>
              </w:rPr>
            </w:pPr>
          </w:p>
        </w:tc>
        <w:tc>
          <w:tcPr>
            <w:tcW w:w="1172" w:type="dxa"/>
            <w:shd w:val="clear" w:color="auto" w:fill="auto"/>
          </w:tcPr>
          <w:p w14:paraId="5A6AA076" w14:textId="77777777" w:rsidR="00AD6EF5" w:rsidRPr="00966CD6" w:rsidRDefault="00AD6EF5" w:rsidP="0016793D">
            <w:pPr>
              <w:rPr>
                <w:sz w:val="18"/>
                <w:szCs w:val="18"/>
              </w:rPr>
            </w:pPr>
            <w:r w:rsidRPr="00966CD6">
              <w:rPr>
                <w:sz w:val="18"/>
                <w:szCs w:val="18"/>
              </w:rPr>
              <w:t xml:space="preserve">Grado </w:t>
            </w:r>
            <w:proofErr w:type="spellStart"/>
            <w:r w:rsidRPr="00966CD6">
              <w:rPr>
                <w:sz w:val="18"/>
                <w:szCs w:val="18"/>
              </w:rPr>
              <w:t>máximo</w:t>
            </w:r>
            <w:proofErr w:type="spell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479ABF7C"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16B0D21D"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187962C0" w14:textId="77777777" w:rsidR="00AD6EF5" w:rsidRPr="00966CD6" w:rsidRDefault="00AD6EF5" w:rsidP="0016793D">
            <w:pPr>
              <w:rPr>
                <w:b/>
                <w:bCs/>
                <w:sz w:val="18"/>
                <w:szCs w:val="18"/>
              </w:rPr>
            </w:pPr>
            <w:r w:rsidRPr="00966CD6">
              <w:rPr>
                <w:b/>
                <w:bCs/>
                <w:sz w:val="18"/>
                <w:szCs w:val="18"/>
              </w:rPr>
              <w:t>Para. 39</w:t>
            </w:r>
          </w:p>
          <w:p w14:paraId="03CE2CC8" w14:textId="77777777" w:rsidR="00AD6EF5" w:rsidRPr="00966CD6" w:rsidRDefault="00AD6EF5" w:rsidP="0016793D">
            <w:pPr>
              <w:rPr>
                <w:b/>
                <w:bCs/>
                <w:sz w:val="18"/>
                <w:szCs w:val="18"/>
              </w:rPr>
            </w:pPr>
          </w:p>
        </w:tc>
        <w:tc>
          <w:tcPr>
            <w:tcW w:w="1552" w:type="dxa"/>
            <w:shd w:val="clear" w:color="auto" w:fill="auto"/>
          </w:tcPr>
          <w:p w14:paraId="17989DA5" w14:textId="77777777" w:rsidR="00AD6EF5" w:rsidRPr="00966CD6" w:rsidRDefault="00AD6EF5" w:rsidP="0016793D">
            <w:pPr>
              <w:rPr>
                <w:sz w:val="18"/>
                <w:szCs w:val="18"/>
              </w:rPr>
            </w:pPr>
            <w:r w:rsidRPr="00966CD6">
              <w:rPr>
                <w:sz w:val="18"/>
                <w:szCs w:val="18"/>
              </w:rPr>
              <w:t>NO</w:t>
            </w:r>
          </w:p>
        </w:tc>
      </w:tr>
      <w:tr w:rsidR="00AD6EF5" w:rsidRPr="009E3E90" w14:paraId="207710E9" w14:textId="77777777" w:rsidTr="00966CD6">
        <w:tc>
          <w:tcPr>
            <w:tcW w:w="1540" w:type="dxa"/>
            <w:shd w:val="clear" w:color="auto" w:fill="auto"/>
          </w:tcPr>
          <w:p w14:paraId="5DADC0E0" w14:textId="77777777" w:rsidR="00AD6EF5" w:rsidRPr="00966CD6" w:rsidRDefault="00AD6EF5" w:rsidP="0016793D">
            <w:pPr>
              <w:rPr>
                <w:sz w:val="18"/>
                <w:szCs w:val="18"/>
              </w:rPr>
            </w:pPr>
            <w:r w:rsidRPr="00966CD6">
              <w:rPr>
                <w:sz w:val="18"/>
                <w:szCs w:val="18"/>
              </w:rPr>
              <w:t>6.5.5.1.7</w:t>
            </w:r>
          </w:p>
        </w:tc>
        <w:tc>
          <w:tcPr>
            <w:tcW w:w="1218" w:type="dxa"/>
            <w:shd w:val="clear" w:color="auto" w:fill="auto"/>
          </w:tcPr>
          <w:p w14:paraId="6DCD37E0"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74E578CB"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r w:rsidRPr="00966CD6">
              <w:rPr>
                <w:sz w:val="18"/>
                <w:szCs w:val="18"/>
              </w:rPr>
              <w:t xml:space="preserve"> </w:t>
            </w:r>
          </w:p>
          <w:p w14:paraId="2257FDA8" w14:textId="77777777" w:rsidR="00AD6EF5" w:rsidRPr="00966CD6" w:rsidRDefault="00AD6EF5" w:rsidP="0016793D">
            <w:pPr>
              <w:rPr>
                <w:sz w:val="18"/>
                <w:szCs w:val="18"/>
              </w:rPr>
            </w:pPr>
            <w:r w:rsidRPr="00966CD6">
              <w:rPr>
                <w:sz w:val="18"/>
                <w:szCs w:val="18"/>
              </w:rPr>
              <w:t>maximal</w:t>
            </w:r>
          </w:p>
        </w:tc>
        <w:tc>
          <w:tcPr>
            <w:tcW w:w="1172" w:type="dxa"/>
            <w:shd w:val="clear" w:color="auto" w:fill="auto"/>
          </w:tcPr>
          <w:p w14:paraId="24AADDE4" w14:textId="77777777" w:rsidR="00AD6EF5" w:rsidRPr="00966CD6" w:rsidRDefault="00AD6EF5" w:rsidP="0016793D">
            <w:pPr>
              <w:rPr>
                <w:sz w:val="18"/>
                <w:szCs w:val="18"/>
              </w:rPr>
            </w:pPr>
            <w:proofErr w:type="gramStart"/>
            <w:r w:rsidRPr="00966CD6">
              <w:rPr>
                <w:sz w:val="18"/>
                <w:szCs w:val="18"/>
              </w:rPr>
              <w:t xml:space="preserve">Grado  </w:t>
            </w:r>
            <w:proofErr w:type="spellStart"/>
            <w:r w:rsidRPr="00966CD6">
              <w:rPr>
                <w:sz w:val="18"/>
                <w:szCs w:val="18"/>
              </w:rPr>
              <w:t>máximo</w:t>
            </w:r>
            <w:proofErr w:type="spellEnd"/>
            <w:proofErr w:type="gram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4A0F2EB9"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43804034"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2A2BF24B" w14:textId="77777777" w:rsidR="00AD6EF5" w:rsidRPr="00966CD6" w:rsidRDefault="00AD6EF5" w:rsidP="0016793D">
            <w:pPr>
              <w:rPr>
                <w:b/>
                <w:bCs/>
                <w:sz w:val="18"/>
                <w:szCs w:val="18"/>
              </w:rPr>
            </w:pPr>
            <w:r w:rsidRPr="00966CD6">
              <w:rPr>
                <w:b/>
                <w:bCs/>
                <w:sz w:val="18"/>
                <w:szCs w:val="18"/>
              </w:rPr>
              <w:t>Para. 40</w:t>
            </w:r>
          </w:p>
        </w:tc>
        <w:tc>
          <w:tcPr>
            <w:tcW w:w="1552" w:type="dxa"/>
            <w:shd w:val="clear" w:color="auto" w:fill="auto"/>
          </w:tcPr>
          <w:p w14:paraId="72FAF432" w14:textId="77777777" w:rsidR="00AD6EF5" w:rsidRPr="00966CD6" w:rsidRDefault="00AD6EF5" w:rsidP="0016793D">
            <w:pPr>
              <w:rPr>
                <w:sz w:val="18"/>
                <w:szCs w:val="18"/>
              </w:rPr>
            </w:pPr>
            <w:r w:rsidRPr="00966CD6">
              <w:rPr>
                <w:sz w:val="18"/>
                <w:szCs w:val="18"/>
              </w:rPr>
              <w:t>NO</w:t>
            </w:r>
          </w:p>
        </w:tc>
      </w:tr>
      <w:tr w:rsidR="00AD6EF5" w:rsidRPr="009E3E90" w14:paraId="65319DCD" w14:textId="77777777" w:rsidTr="00966CD6">
        <w:tc>
          <w:tcPr>
            <w:tcW w:w="1540" w:type="dxa"/>
            <w:shd w:val="clear" w:color="auto" w:fill="auto"/>
          </w:tcPr>
          <w:p w14:paraId="12D0801B" w14:textId="77777777" w:rsidR="00AD6EF5" w:rsidRPr="00966CD6" w:rsidRDefault="00AD6EF5" w:rsidP="0016793D">
            <w:pPr>
              <w:rPr>
                <w:sz w:val="18"/>
                <w:szCs w:val="18"/>
              </w:rPr>
            </w:pPr>
            <w:r w:rsidRPr="00966CD6">
              <w:rPr>
                <w:sz w:val="18"/>
                <w:szCs w:val="18"/>
              </w:rPr>
              <w:t>6.5.6.8.4.2 (b) (</w:t>
            </w:r>
            <w:proofErr w:type="spellStart"/>
            <w:r w:rsidRPr="00966CD6">
              <w:rPr>
                <w:sz w:val="18"/>
                <w:szCs w:val="18"/>
              </w:rPr>
              <w:t>i</w:t>
            </w:r>
            <w:proofErr w:type="spellEnd"/>
            <w:r w:rsidRPr="00966CD6">
              <w:rPr>
                <w:sz w:val="18"/>
                <w:szCs w:val="18"/>
              </w:rPr>
              <w:t>)</w:t>
            </w:r>
          </w:p>
        </w:tc>
        <w:tc>
          <w:tcPr>
            <w:tcW w:w="1218" w:type="dxa"/>
            <w:shd w:val="clear" w:color="auto" w:fill="auto"/>
          </w:tcPr>
          <w:p w14:paraId="63CF4DE5" w14:textId="77777777" w:rsidR="00AD6EF5" w:rsidRPr="00966CD6" w:rsidRDefault="00AD6EF5" w:rsidP="0016793D">
            <w:pPr>
              <w:rPr>
                <w:sz w:val="18"/>
                <w:szCs w:val="18"/>
              </w:rPr>
            </w:pPr>
            <w:r w:rsidRPr="00966CD6">
              <w:rPr>
                <w:sz w:val="18"/>
                <w:szCs w:val="18"/>
              </w:rPr>
              <w:t>Degree of filling</w:t>
            </w:r>
          </w:p>
        </w:tc>
        <w:tc>
          <w:tcPr>
            <w:tcW w:w="1557" w:type="dxa"/>
            <w:shd w:val="clear" w:color="auto" w:fill="auto"/>
          </w:tcPr>
          <w:p w14:paraId="22EC2BFA"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p w14:paraId="595FCADE" w14:textId="77777777" w:rsidR="00AD6EF5" w:rsidRPr="00966CD6" w:rsidRDefault="00AD6EF5" w:rsidP="0016793D">
            <w:pPr>
              <w:rPr>
                <w:sz w:val="18"/>
                <w:szCs w:val="18"/>
              </w:rPr>
            </w:pPr>
          </w:p>
        </w:tc>
        <w:tc>
          <w:tcPr>
            <w:tcW w:w="1172" w:type="dxa"/>
            <w:shd w:val="clear" w:color="auto" w:fill="auto"/>
          </w:tcPr>
          <w:p w14:paraId="4AF69791" w14:textId="77777777" w:rsidR="00AD6EF5" w:rsidRPr="00966CD6" w:rsidRDefault="00AD6EF5" w:rsidP="0016793D">
            <w:pPr>
              <w:rPr>
                <w:sz w:val="18"/>
                <w:szCs w:val="18"/>
              </w:rPr>
            </w:pPr>
            <w:proofErr w:type="gramStart"/>
            <w:r w:rsidRPr="00966CD6">
              <w:rPr>
                <w:sz w:val="18"/>
                <w:szCs w:val="18"/>
              </w:rPr>
              <w:t xml:space="preserve">Grado  </w:t>
            </w:r>
            <w:proofErr w:type="spellStart"/>
            <w:r w:rsidRPr="00966CD6">
              <w:rPr>
                <w:sz w:val="18"/>
                <w:szCs w:val="18"/>
              </w:rPr>
              <w:t>máximo</w:t>
            </w:r>
            <w:proofErr w:type="spellEnd"/>
            <w:proofErr w:type="gramEnd"/>
            <w:r w:rsidRPr="00966CD6">
              <w:rPr>
                <w:sz w:val="18"/>
                <w:szCs w:val="18"/>
              </w:rPr>
              <w:t xml:space="preserve"> de </w:t>
            </w:r>
            <w:proofErr w:type="spellStart"/>
            <w:r w:rsidRPr="00966CD6">
              <w:rPr>
                <w:sz w:val="18"/>
                <w:szCs w:val="18"/>
              </w:rPr>
              <w:t>llenado</w:t>
            </w:r>
            <w:proofErr w:type="spellEnd"/>
          </w:p>
        </w:tc>
        <w:tc>
          <w:tcPr>
            <w:tcW w:w="1171" w:type="dxa"/>
            <w:shd w:val="clear" w:color="auto" w:fill="auto"/>
          </w:tcPr>
          <w:p w14:paraId="7121653F" w14:textId="77777777" w:rsidR="00AD6EF5" w:rsidRPr="00966CD6" w:rsidRDefault="00AD6EF5" w:rsidP="0016793D">
            <w:pPr>
              <w:rPr>
                <w:sz w:val="18"/>
                <w:szCs w:val="18"/>
              </w:rPr>
            </w:pPr>
            <w:r w:rsidRPr="00966CD6">
              <w:rPr>
                <w:sz w:val="18"/>
                <w:szCs w:val="18"/>
              </w:rPr>
              <w:t>NO</w:t>
            </w:r>
          </w:p>
        </w:tc>
        <w:tc>
          <w:tcPr>
            <w:tcW w:w="1566" w:type="dxa"/>
            <w:shd w:val="clear" w:color="auto" w:fill="auto"/>
          </w:tcPr>
          <w:p w14:paraId="29361E58" w14:textId="77777777" w:rsidR="00AD6EF5" w:rsidRPr="00966CD6" w:rsidRDefault="00AD6EF5" w:rsidP="0016793D">
            <w:pPr>
              <w:rPr>
                <w:sz w:val="18"/>
                <w:szCs w:val="18"/>
              </w:rPr>
            </w:pPr>
            <w:proofErr w:type="spellStart"/>
            <w:r w:rsidRPr="00966CD6">
              <w:rPr>
                <w:sz w:val="18"/>
                <w:szCs w:val="18"/>
              </w:rPr>
              <w:t>Degré</w:t>
            </w:r>
            <w:proofErr w:type="spellEnd"/>
            <w:r w:rsidRPr="00966CD6">
              <w:rPr>
                <w:sz w:val="18"/>
                <w:szCs w:val="18"/>
              </w:rPr>
              <w:t xml:space="preserve"> de </w:t>
            </w:r>
            <w:proofErr w:type="spellStart"/>
            <w:r w:rsidRPr="00966CD6">
              <w:rPr>
                <w:sz w:val="18"/>
                <w:szCs w:val="18"/>
              </w:rPr>
              <w:t>remplissage</w:t>
            </w:r>
            <w:proofErr w:type="spellEnd"/>
          </w:p>
          <w:p w14:paraId="1C36E492" w14:textId="77777777" w:rsidR="00AD6EF5" w:rsidRPr="00966CD6" w:rsidRDefault="00AD6EF5" w:rsidP="0016793D">
            <w:pPr>
              <w:rPr>
                <w:b/>
                <w:bCs/>
                <w:sz w:val="18"/>
                <w:szCs w:val="18"/>
              </w:rPr>
            </w:pPr>
            <w:r w:rsidRPr="00966CD6">
              <w:rPr>
                <w:b/>
                <w:bCs/>
                <w:sz w:val="18"/>
                <w:szCs w:val="18"/>
              </w:rPr>
              <w:t>Para. 41</w:t>
            </w:r>
          </w:p>
        </w:tc>
        <w:tc>
          <w:tcPr>
            <w:tcW w:w="1552" w:type="dxa"/>
            <w:shd w:val="clear" w:color="auto" w:fill="auto"/>
          </w:tcPr>
          <w:p w14:paraId="00EB7D46" w14:textId="77777777" w:rsidR="00AD6EF5" w:rsidRPr="00966CD6" w:rsidRDefault="00AD6EF5" w:rsidP="0016793D">
            <w:pPr>
              <w:rPr>
                <w:sz w:val="18"/>
                <w:szCs w:val="18"/>
              </w:rPr>
            </w:pPr>
            <w:r w:rsidRPr="00966CD6">
              <w:rPr>
                <w:sz w:val="18"/>
                <w:szCs w:val="18"/>
              </w:rPr>
              <w:t>NO</w:t>
            </w:r>
          </w:p>
        </w:tc>
      </w:tr>
      <w:tr w:rsidR="00AD6EF5" w:rsidRPr="009E3E90" w14:paraId="0E0CF49C" w14:textId="77777777" w:rsidTr="00966CD6">
        <w:trPr>
          <w:trHeight w:val="800"/>
        </w:trPr>
        <w:tc>
          <w:tcPr>
            <w:tcW w:w="1540" w:type="dxa"/>
            <w:shd w:val="clear" w:color="auto" w:fill="auto"/>
          </w:tcPr>
          <w:p w14:paraId="3B7FA43B" w14:textId="77777777" w:rsidR="00AD6EF5" w:rsidRPr="00966CD6" w:rsidRDefault="00AD6EF5" w:rsidP="0016793D">
            <w:pPr>
              <w:rPr>
                <w:sz w:val="18"/>
                <w:szCs w:val="18"/>
              </w:rPr>
            </w:pPr>
            <w:r w:rsidRPr="00966CD6">
              <w:rPr>
                <w:sz w:val="18"/>
                <w:szCs w:val="18"/>
              </w:rPr>
              <w:t>6.7.4.15.1 (</w:t>
            </w:r>
            <w:proofErr w:type="spellStart"/>
            <w:r w:rsidRPr="00966CD6">
              <w:rPr>
                <w:sz w:val="18"/>
                <w:szCs w:val="18"/>
              </w:rPr>
              <w:t>i</w:t>
            </w:r>
            <w:proofErr w:type="spellEnd"/>
            <w:r w:rsidRPr="00966CD6">
              <w:rPr>
                <w:sz w:val="18"/>
                <w:szCs w:val="18"/>
              </w:rPr>
              <w:t>) (iv)</w:t>
            </w:r>
          </w:p>
        </w:tc>
        <w:tc>
          <w:tcPr>
            <w:tcW w:w="1218" w:type="dxa"/>
            <w:shd w:val="clear" w:color="auto" w:fill="auto"/>
          </w:tcPr>
          <w:p w14:paraId="2ACC39CF" w14:textId="77777777" w:rsidR="00AD6EF5" w:rsidRPr="00966CD6" w:rsidRDefault="00AD6EF5" w:rsidP="0016793D">
            <w:pPr>
              <w:rPr>
                <w:sz w:val="18"/>
                <w:szCs w:val="18"/>
                <w:vertAlign w:val="superscript"/>
              </w:rPr>
            </w:pPr>
            <w:r w:rsidRPr="00966CD6">
              <w:rPr>
                <w:sz w:val="18"/>
                <w:szCs w:val="18"/>
              </w:rPr>
              <w:t>Degree of filling (in kg)</w:t>
            </w:r>
            <w:r w:rsidRPr="00966CD6">
              <w:rPr>
                <w:sz w:val="18"/>
                <w:szCs w:val="18"/>
                <w:vertAlign w:val="superscript"/>
              </w:rPr>
              <w:t>3</w:t>
            </w:r>
          </w:p>
        </w:tc>
        <w:tc>
          <w:tcPr>
            <w:tcW w:w="1557" w:type="dxa"/>
            <w:shd w:val="clear" w:color="auto" w:fill="auto"/>
          </w:tcPr>
          <w:p w14:paraId="77D293E3" w14:textId="77777777" w:rsidR="00AD6EF5" w:rsidRPr="00966CD6" w:rsidRDefault="00AD6EF5" w:rsidP="0016793D">
            <w:pPr>
              <w:rPr>
                <w:sz w:val="18"/>
                <w:szCs w:val="18"/>
                <w:lang w:val="fr-FR"/>
              </w:rPr>
            </w:pPr>
            <w:r w:rsidRPr="00966CD6">
              <w:rPr>
                <w:sz w:val="18"/>
                <w:szCs w:val="18"/>
                <w:lang w:val="fr-FR"/>
              </w:rPr>
              <w:t xml:space="preserve">Taux de remplissage </w:t>
            </w:r>
          </w:p>
          <w:p w14:paraId="64805590" w14:textId="77777777" w:rsidR="00AD6EF5" w:rsidRPr="00966CD6" w:rsidRDefault="00AD6EF5" w:rsidP="0016793D">
            <w:pPr>
              <w:rPr>
                <w:sz w:val="18"/>
                <w:szCs w:val="18"/>
                <w:vertAlign w:val="superscript"/>
                <w:lang w:val="fr-FR"/>
              </w:rPr>
            </w:pPr>
            <w:r w:rsidRPr="00966CD6">
              <w:rPr>
                <w:sz w:val="18"/>
                <w:szCs w:val="18"/>
                <w:lang w:val="fr-FR"/>
              </w:rPr>
              <w:t>(</w:t>
            </w:r>
            <w:proofErr w:type="gramStart"/>
            <w:r w:rsidRPr="00966CD6">
              <w:rPr>
                <w:sz w:val="18"/>
                <w:szCs w:val="18"/>
                <w:lang w:val="fr-FR"/>
              </w:rPr>
              <w:t>en</w:t>
            </w:r>
            <w:proofErr w:type="gramEnd"/>
            <w:r w:rsidRPr="00966CD6">
              <w:rPr>
                <w:sz w:val="18"/>
                <w:szCs w:val="18"/>
                <w:lang w:val="fr-FR"/>
              </w:rPr>
              <w:t xml:space="preserve"> kg)</w:t>
            </w:r>
            <w:r w:rsidRPr="00966CD6">
              <w:rPr>
                <w:sz w:val="18"/>
                <w:szCs w:val="18"/>
                <w:vertAlign w:val="superscript"/>
                <w:lang w:val="fr-FR"/>
              </w:rPr>
              <w:t>3</w:t>
            </w:r>
          </w:p>
        </w:tc>
        <w:tc>
          <w:tcPr>
            <w:tcW w:w="1172" w:type="dxa"/>
            <w:shd w:val="clear" w:color="auto" w:fill="auto"/>
          </w:tcPr>
          <w:p w14:paraId="2A5F56F2" w14:textId="77777777" w:rsidR="00AD6EF5" w:rsidRPr="00966CD6" w:rsidRDefault="00AD6EF5" w:rsidP="0016793D">
            <w:pPr>
              <w:rPr>
                <w:sz w:val="18"/>
                <w:szCs w:val="18"/>
                <w:vertAlign w:val="superscript"/>
                <w:lang w:val="es-ES"/>
              </w:rPr>
            </w:pPr>
            <w:proofErr w:type="gramStart"/>
            <w:r w:rsidRPr="00966CD6">
              <w:rPr>
                <w:sz w:val="18"/>
                <w:szCs w:val="18"/>
                <w:lang w:val="es-ES"/>
              </w:rPr>
              <w:t>Grado  de</w:t>
            </w:r>
            <w:proofErr w:type="gramEnd"/>
            <w:r w:rsidRPr="00966CD6">
              <w:rPr>
                <w:sz w:val="18"/>
                <w:szCs w:val="18"/>
                <w:lang w:val="es-ES"/>
              </w:rPr>
              <w:t xml:space="preserve"> llenado(en kg)</w:t>
            </w:r>
            <w:r w:rsidRPr="00966CD6">
              <w:rPr>
                <w:sz w:val="18"/>
                <w:szCs w:val="18"/>
                <w:vertAlign w:val="superscript"/>
                <w:lang w:val="es-ES"/>
              </w:rPr>
              <w:t>3</w:t>
            </w:r>
          </w:p>
        </w:tc>
        <w:tc>
          <w:tcPr>
            <w:tcW w:w="1171" w:type="dxa"/>
            <w:shd w:val="clear" w:color="auto" w:fill="auto"/>
          </w:tcPr>
          <w:p w14:paraId="26974F64" w14:textId="77777777" w:rsidR="00AD6EF5" w:rsidRPr="00AB6280" w:rsidRDefault="00AD6EF5" w:rsidP="0016793D">
            <w:pPr>
              <w:rPr>
                <w:sz w:val="18"/>
                <w:szCs w:val="18"/>
                <w:vertAlign w:val="superscript"/>
              </w:rPr>
            </w:pPr>
            <w:r w:rsidRPr="00966CD6">
              <w:rPr>
                <w:sz w:val="18"/>
                <w:szCs w:val="18"/>
                <w:lang w:val="es-ES"/>
              </w:rPr>
              <w:t xml:space="preserve"> </w:t>
            </w:r>
            <w:r w:rsidRPr="00AB6280">
              <w:rPr>
                <w:color w:val="FF0000"/>
                <w:sz w:val="18"/>
                <w:szCs w:val="18"/>
              </w:rPr>
              <w:t xml:space="preserve">Maximum allowable mass of gas filled </w:t>
            </w:r>
            <w:r w:rsidRPr="00AB6280">
              <w:rPr>
                <w:sz w:val="18"/>
                <w:szCs w:val="18"/>
              </w:rPr>
              <w:t>(in kg)</w:t>
            </w:r>
            <w:r w:rsidRPr="00AB6280">
              <w:rPr>
                <w:sz w:val="18"/>
                <w:szCs w:val="18"/>
                <w:vertAlign w:val="superscript"/>
              </w:rPr>
              <w:t>3</w:t>
            </w:r>
          </w:p>
          <w:p w14:paraId="15CD8220"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19</w:t>
            </w:r>
          </w:p>
        </w:tc>
        <w:tc>
          <w:tcPr>
            <w:tcW w:w="1566" w:type="dxa"/>
            <w:shd w:val="clear" w:color="auto" w:fill="auto"/>
          </w:tcPr>
          <w:p w14:paraId="0805D474" w14:textId="77777777" w:rsidR="00AD6EF5" w:rsidRPr="00AB6280" w:rsidRDefault="00AD6EF5" w:rsidP="0016793D">
            <w:pPr>
              <w:rPr>
                <w:sz w:val="18"/>
                <w:szCs w:val="18"/>
                <w:vertAlign w:val="superscript"/>
                <w:lang w:val="fr-FR"/>
              </w:rPr>
            </w:pPr>
            <w:r w:rsidRPr="00966CD6">
              <w:rPr>
                <w:b/>
                <w:bCs/>
                <w:sz w:val="18"/>
                <w:szCs w:val="18"/>
                <w:lang w:val="fr-FR"/>
              </w:rPr>
              <w:t xml:space="preserve"> </w:t>
            </w:r>
            <w:r w:rsidRPr="00AB6280">
              <w:rPr>
                <w:color w:val="FF0000"/>
                <w:sz w:val="18"/>
                <w:szCs w:val="18"/>
                <w:lang w:val="fr-FR"/>
              </w:rPr>
              <w:t>Masse maximale admissible de gaz rempli</w:t>
            </w:r>
            <w:r w:rsidR="009866D5">
              <w:rPr>
                <w:color w:val="FF0000"/>
                <w:sz w:val="18"/>
                <w:szCs w:val="18"/>
                <w:lang w:val="fr-FR"/>
              </w:rPr>
              <w:t>e</w:t>
            </w:r>
            <w:r w:rsidRPr="00AB6280">
              <w:rPr>
                <w:color w:val="FF0000"/>
                <w:sz w:val="18"/>
                <w:szCs w:val="18"/>
                <w:lang w:val="fr-FR"/>
              </w:rPr>
              <w:t xml:space="preserve"> </w:t>
            </w:r>
            <w:r w:rsidRPr="00AB6280">
              <w:rPr>
                <w:sz w:val="18"/>
                <w:szCs w:val="18"/>
                <w:lang w:val="fr-FR"/>
              </w:rPr>
              <w:t>(en kg)</w:t>
            </w:r>
            <w:r w:rsidRPr="00AB6280">
              <w:rPr>
                <w:sz w:val="18"/>
                <w:szCs w:val="18"/>
                <w:vertAlign w:val="superscript"/>
                <w:lang w:val="fr-FR"/>
              </w:rPr>
              <w:t>3</w:t>
            </w:r>
          </w:p>
          <w:p w14:paraId="62B41CE9" w14:textId="77777777" w:rsidR="00AD6EF5" w:rsidRPr="00966CD6" w:rsidRDefault="00AD6EF5" w:rsidP="0016793D">
            <w:pPr>
              <w:rPr>
                <w:b/>
                <w:bCs/>
                <w:sz w:val="18"/>
                <w:szCs w:val="18"/>
                <w:vertAlign w:val="superscript"/>
                <w:lang w:val="fr-FR"/>
              </w:rPr>
            </w:pPr>
            <w:r w:rsidRPr="00966CD6">
              <w:rPr>
                <w:b/>
                <w:bCs/>
                <w:sz w:val="18"/>
                <w:szCs w:val="18"/>
                <w:lang w:val="fr-FR"/>
              </w:rPr>
              <w:t>Para. 42</w:t>
            </w:r>
          </w:p>
        </w:tc>
        <w:tc>
          <w:tcPr>
            <w:tcW w:w="1552" w:type="dxa"/>
            <w:shd w:val="clear" w:color="auto" w:fill="auto"/>
          </w:tcPr>
          <w:p w14:paraId="32C60E62" w14:textId="77777777" w:rsidR="00AD6EF5" w:rsidRPr="00AB6280" w:rsidRDefault="00AD6EF5" w:rsidP="0016793D">
            <w:pPr>
              <w:rPr>
                <w:sz w:val="18"/>
                <w:szCs w:val="18"/>
                <w:vertAlign w:val="superscript"/>
                <w:lang w:val="es-ES"/>
              </w:rPr>
            </w:pPr>
            <w:bookmarkStart w:id="4" w:name="_Hlk104562592"/>
            <w:r w:rsidRPr="00AB6280">
              <w:rPr>
                <w:color w:val="FF0000"/>
                <w:sz w:val="18"/>
                <w:szCs w:val="18"/>
                <w:lang w:val="es-ES"/>
              </w:rPr>
              <w:t xml:space="preserve">Masa máxima admisible de gas </w:t>
            </w:r>
            <w:r w:rsidR="00AB6280">
              <w:rPr>
                <w:color w:val="FF0000"/>
                <w:sz w:val="18"/>
                <w:szCs w:val="18"/>
                <w:lang w:val="es-ES"/>
              </w:rPr>
              <w:t>llenado</w:t>
            </w:r>
            <w:r w:rsidRPr="00AB6280">
              <w:rPr>
                <w:color w:val="FF0000"/>
                <w:sz w:val="18"/>
                <w:szCs w:val="18"/>
                <w:lang w:val="es-ES"/>
              </w:rPr>
              <w:t xml:space="preserve"> </w:t>
            </w:r>
            <w:bookmarkEnd w:id="4"/>
            <w:r w:rsidRPr="00AB6280">
              <w:rPr>
                <w:color w:val="000000"/>
                <w:sz w:val="18"/>
                <w:szCs w:val="18"/>
                <w:lang w:val="es-ES"/>
              </w:rPr>
              <w:t>(</w:t>
            </w:r>
            <w:r w:rsidRPr="00AB6280">
              <w:rPr>
                <w:sz w:val="18"/>
                <w:szCs w:val="18"/>
                <w:lang w:val="es-ES"/>
              </w:rPr>
              <w:t>en kg)</w:t>
            </w:r>
            <w:r w:rsidRPr="00AB6280">
              <w:rPr>
                <w:sz w:val="18"/>
                <w:szCs w:val="18"/>
                <w:vertAlign w:val="superscript"/>
                <w:lang w:val="es-ES"/>
              </w:rPr>
              <w:t>3</w:t>
            </w:r>
          </w:p>
          <w:p w14:paraId="7322831D"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52</w:t>
            </w:r>
          </w:p>
        </w:tc>
      </w:tr>
      <w:tr w:rsidR="00AD6EF5" w:rsidRPr="009E3E90" w14:paraId="51785495" w14:textId="77777777" w:rsidTr="00966CD6">
        <w:trPr>
          <w:trHeight w:val="800"/>
        </w:trPr>
        <w:tc>
          <w:tcPr>
            <w:tcW w:w="1540" w:type="dxa"/>
            <w:shd w:val="clear" w:color="auto" w:fill="auto"/>
          </w:tcPr>
          <w:p w14:paraId="2210CEEE" w14:textId="77777777" w:rsidR="00AD6EF5" w:rsidRPr="00966CD6" w:rsidRDefault="00AD6EF5" w:rsidP="0016793D">
            <w:pPr>
              <w:rPr>
                <w:sz w:val="18"/>
                <w:szCs w:val="18"/>
              </w:rPr>
            </w:pPr>
            <w:r w:rsidRPr="00966CD6">
              <w:rPr>
                <w:sz w:val="18"/>
                <w:szCs w:val="18"/>
              </w:rPr>
              <w:t xml:space="preserve">Figure 6.7.4.15.1 </w:t>
            </w:r>
          </w:p>
          <w:p w14:paraId="79DF3429" w14:textId="77777777" w:rsidR="00AD6EF5" w:rsidRPr="00966CD6" w:rsidRDefault="00AD6EF5" w:rsidP="0016793D">
            <w:pPr>
              <w:rPr>
                <w:sz w:val="18"/>
                <w:szCs w:val="18"/>
              </w:rPr>
            </w:pPr>
            <w:r w:rsidRPr="00966CD6">
              <w:rPr>
                <w:sz w:val="18"/>
                <w:szCs w:val="18"/>
              </w:rPr>
              <w:t>Holding Times</w:t>
            </w:r>
          </w:p>
        </w:tc>
        <w:tc>
          <w:tcPr>
            <w:tcW w:w="1218" w:type="dxa"/>
            <w:shd w:val="clear" w:color="auto" w:fill="auto"/>
          </w:tcPr>
          <w:p w14:paraId="02E0EF7A" w14:textId="77777777" w:rsidR="00AD6EF5" w:rsidRPr="00966CD6" w:rsidRDefault="00AD6EF5" w:rsidP="0016793D">
            <w:pPr>
              <w:rPr>
                <w:sz w:val="18"/>
                <w:szCs w:val="18"/>
              </w:rPr>
            </w:pPr>
            <w:r w:rsidRPr="00966CD6">
              <w:rPr>
                <w:sz w:val="18"/>
                <w:szCs w:val="18"/>
              </w:rPr>
              <w:t xml:space="preserve">Degree of filling </w:t>
            </w:r>
          </w:p>
          <w:p w14:paraId="0A4FC210" w14:textId="5DD214E9" w:rsidR="00AD6EF5" w:rsidRPr="00966CD6" w:rsidRDefault="00B13633" w:rsidP="0016793D">
            <w:pPr>
              <w:rPr>
                <w:sz w:val="18"/>
                <w:szCs w:val="18"/>
              </w:rPr>
            </w:pPr>
            <w:r w:rsidRPr="00966CD6">
              <w:rPr>
                <w:sz w:val="18"/>
                <w:szCs w:val="18"/>
              </w:rPr>
              <w:t>K</w:t>
            </w:r>
            <w:r w:rsidR="00AD6EF5" w:rsidRPr="00966CD6">
              <w:rPr>
                <w:sz w:val="18"/>
                <w:szCs w:val="18"/>
              </w:rPr>
              <w:t>g</w:t>
            </w:r>
          </w:p>
        </w:tc>
        <w:tc>
          <w:tcPr>
            <w:tcW w:w="1557" w:type="dxa"/>
            <w:shd w:val="clear" w:color="auto" w:fill="auto"/>
          </w:tcPr>
          <w:p w14:paraId="30D48FC5" w14:textId="77777777" w:rsidR="00AD6EF5" w:rsidRPr="00966CD6" w:rsidRDefault="00AD6EF5" w:rsidP="0016793D">
            <w:pPr>
              <w:rPr>
                <w:sz w:val="18"/>
                <w:szCs w:val="18"/>
              </w:rPr>
            </w:pPr>
            <w:proofErr w:type="spellStart"/>
            <w:r w:rsidRPr="00966CD6">
              <w:rPr>
                <w:sz w:val="18"/>
                <w:szCs w:val="18"/>
              </w:rPr>
              <w:t>Taux</w:t>
            </w:r>
            <w:proofErr w:type="spellEnd"/>
            <w:r w:rsidRPr="00966CD6">
              <w:rPr>
                <w:sz w:val="18"/>
                <w:szCs w:val="18"/>
              </w:rPr>
              <w:t xml:space="preserve"> de </w:t>
            </w:r>
            <w:proofErr w:type="spellStart"/>
            <w:r w:rsidRPr="00966CD6">
              <w:rPr>
                <w:sz w:val="18"/>
                <w:szCs w:val="18"/>
              </w:rPr>
              <w:t>remplissage</w:t>
            </w:r>
            <w:proofErr w:type="spellEnd"/>
          </w:p>
          <w:p w14:paraId="659C4CA0" w14:textId="77777777" w:rsidR="00AD6EF5" w:rsidRPr="00966CD6" w:rsidRDefault="00AD6EF5" w:rsidP="0016793D">
            <w:pPr>
              <w:rPr>
                <w:sz w:val="18"/>
                <w:szCs w:val="18"/>
              </w:rPr>
            </w:pPr>
            <w:r w:rsidRPr="00966CD6">
              <w:rPr>
                <w:sz w:val="18"/>
                <w:szCs w:val="18"/>
              </w:rPr>
              <w:t>kg</w:t>
            </w:r>
          </w:p>
        </w:tc>
        <w:tc>
          <w:tcPr>
            <w:tcW w:w="1172" w:type="dxa"/>
            <w:shd w:val="clear" w:color="auto" w:fill="auto"/>
          </w:tcPr>
          <w:p w14:paraId="38347F70" w14:textId="77777777" w:rsidR="00AD6EF5" w:rsidRPr="00966CD6" w:rsidRDefault="00AD6EF5" w:rsidP="0016793D">
            <w:pPr>
              <w:rPr>
                <w:sz w:val="18"/>
                <w:szCs w:val="18"/>
              </w:rPr>
            </w:pPr>
            <w:r w:rsidRPr="00966CD6">
              <w:rPr>
                <w:sz w:val="18"/>
                <w:szCs w:val="18"/>
              </w:rPr>
              <w:t xml:space="preserve">Grado de </w:t>
            </w:r>
            <w:proofErr w:type="spellStart"/>
            <w:r w:rsidRPr="00966CD6">
              <w:rPr>
                <w:sz w:val="18"/>
                <w:szCs w:val="18"/>
              </w:rPr>
              <w:t>llenado</w:t>
            </w:r>
            <w:proofErr w:type="spellEnd"/>
          </w:p>
          <w:p w14:paraId="5109BDA9" w14:textId="77777777" w:rsidR="00AD6EF5" w:rsidRPr="00966CD6" w:rsidRDefault="00AD6EF5" w:rsidP="0016793D">
            <w:pPr>
              <w:rPr>
                <w:sz w:val="18"/>
                <w:szCs w:val="18"/>
              </w:rPr>
            </w:pPr>
            <w:r w:rsidRPr="00966CD6">
              <w:rPr>
                <w:sz w:val="18"/>
                <w:szCs w:val="18"/>
              </w:rPr>
              <w:t>kg</w:t>
            </w:r>
          </w:p>
        </w:tc>
        <w:tc>
          <w:tcPr>
            <w:tcW w:w="1171" w:type="dxa"/>
            <w:shd w:val="clear" w:color="auto" w:fill="auto"/>
          </w:tcPr>
          <w:p w14:paraId="7DBDCB4A" w14:textId="77777777" w:rsidR="00AD6EF5" w:rsidRPr="00AD4169" w:rsidRDefault="00AD6EF5" w:rsidP="0016793D">
            <w:pPr>
              <w:rPr>
                <w:sz w:val="18"/>
                <w:szCs w:val="18"/>
                <w:vertAlign w:val="superscript"/>
              </w:rPr>
            </w:pPr>
            <w:r w:rsidRPr="00AD4169">
              <w:rPr>
                <w:color w:val="FF0000"/>
                <w:sz w:val="18"/>
                <w:szCs w:val="18"/>
              </w:rPr>
              <w:t>Maximum allowable mass of gas filled (</w:t>
            </w:r>
            <w:r w:rsidRPr="00AD4169">
              <w:rPr>
                <w:sz w:val="18"/>
                <w:szCs w:val="18"/>
              </w:rPr>
              <w:t>(in kg)</w:t>
            </w:r>
          </w:p>
          <w:p w14:paraId="752CE059"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20</w:t>
            </w:r>
          </w:p>
        </w:tc>
        <w:tc>
          <w:tcPr>
            <w:tcW w:w="1566" w:type="dxa"/>
            <w:shd w:val="clear" w:color="auto" w:fill="auto"/>
          </w:tcPr>
          <w:p w14:paraId="55A7A9F2" w14:textId="77777777" w:rsidR="00AD6EF5" w:rsidRPr="00AD4169" w:rsidRDefault="00AD6EF5" w:rsidP="0016793D">
            <w:pPr>
              <w:rPr>
                <w:sz w:val="18"/>
                <w:szCs w:val="18"/>
                <w:lang w:val="fr-FR"/>
              </w:rPr>
            </w:pPr>
            <w:r w:rsidRPr="00966CD6">
              <w:rPr>
                <w:b/>
                <w:bCs/>
                <w:sz w:val="18"/>
                <w:szCs w:val="18"/>
                <w:lang w:val="fr-FR"/>
              </w:rPr>
              <w:t xml:space="preserve"> </w:t>
            </w:r>
            <w:r w:rsidRPr="00AD4169">
              <w:rPr>
                <w:color w:val="FF0000"/>
                <w:sz w:val="18"/>
                <w:szCs w:val="18"/>
                <w:lang w:val="fr-FR"/>
              </w:rPr>
              <w:t>Masse maximale admissible de gaz rempli</w:t>
            </w:r>
            <w:r w:rsidR="009866D5">
              <w:rPr>
                <w:color w:val="FF0000"/>
                <w:sz w:val="18"/>
                <w:szCs w:val="18"/>
                <w:lang w:val="fr-FR"/>
              </w:rPr>
              <w:t>e</w:t>
            </w:r>
            <w:r w:rsidRPr="00AD4169">
              <w:rPr>
                <w:color w:val="FF0000"/>
                <w:sz w:val="18"/>
                <w:szCs w:val="18"/>
                <w:lang w:val="fr-FR"/>
              </w:rPr>
              <w:t xml:space="preserve"> </w:t>
            </w:r>
            <w:r w:rsidRPr="00AD4169">
              <w:rPr>
                <w:sz w:val="18"/>
                <w:szCs w:val="18"/>
                <w:lang w:val="fr-FR"/>
              </w:rPr>
              <w:t>(en kg)</w:t>
            </w:r>
          </w:p>
          <w:p w14:paraId="1C2F8D3F" w14:textId="77777777" w:rsidR="00AD6EF5" w:rsidRPr="00966CD6" w:rsidRDefault="00AD6EF5" w:rsidP="0016793D">
            <w:pPr>
              <w:rPr>
                <w:b/>
                <w:bCs/>
                <w:sz w:val="18"/>
                <w:szCs w:val="18"/>
                <w:lang w:val="fr-FR"/>
              </w:rPr>
            </w:pPr>
            <w:r w:rsidRPr="00966CD6">
              <w:rPr>
                <w:b/>
                <w:bCs/>
                <w:sz w:val="18"/>
                <w:szCs w:val="18"/>
                <w:lang w:val="fr-FR"/>
              </w:rPr>
              <w:t>Para. 43</w:t>
            </w:r>
          </w:p>
          <w:p w14:paraId="674A65AD" w14:textId="77777777" w:rsidR="00AD6EF5" w:rsidRPr="00966CD6" w:rsidRDefault="00AD6EF5" w:rsidP="0016793D">
            <w:pPr>
              <w:rPr>
                <w:b/>
                <w:bCs/>
                <w:sz w:val="18"/>
                <w:szCs w:val="18"/>
                <w:lang w:val="fr-FR"/>
              </w:rPr>
            </w:pPr>
          </w:p>
        </w:tc>
        <w:tc>
          <w:tcPr>
            <w:tcW w:w="1552" w:type="dxa"/>
            <w:shd w:val="clear" w:color="auto" w:fill="auto"/>
          </w:tcPr>
          <w:p w14:paraId="2C2B9C1A" w14:textId="77777777" w:rsidR="00AD6EF5" w:rsidRPr="00AD4169" w:rsidRDefault="00AD6EF5" w:rsidP="0016793D">
            <w:pPr>
              <w:rPr>
                <w:sz w:val="18"/>
                <w:szCs w:val="18"/>
                <w:vertAlign w:val="superscript"/>
                <w:lang w:val="es-ES"/>
              </w:rPr>
            </w:pPr>
            <w:r w:rsidRPr="00AD4169">
              <w:rPr>
                <w:color w:val="FF0000"/>
                <w:sz w:val="18"/>
                <w:szCs w:val="18"/>
                <w:lang w:val="es-ES"/>
              </w:rPr>
              <w:t xml:space="preserve">Masa máxima admisible de gas </w:t>
            </w:r>
            <w:r w:rsidR="00AD4169">
              <w:rPr>
                <w:color w:val="FF0000"/>
                <w:sz w:val="18"/>
                <w:szCs w:val="18"/>
                <w:lang w:val="es-ES"/>
              </w:rPr>
              <w:t>cargado</w:t>
            </w:r>
            <w:r w:rsidRPr="00AD4169">
              <w:rPr>
                <w:color w:val="FF0000"/>
                <w:sz w:val="18"/>
                <w:szCs w:val="18"/>
                <w:lang w:val="es-ES"/>
              </w:rPr>
              <w:t xml:space="preserve"> </w:t>
            </w:r>
            <w:r w:rsidRPr="00AD4169">
              <w:rPr>
                <w:color w:val="000000"/>
                <w:sz w:val="18"/>
                <w:szCs w:val="18"/>
                <w:lang w:val="es-ES"/>
              </w:rPr>
              <w:t>(</w:t>
            </w:r>
            <w:r w:rsidRPr="00AD4169">
              <w:rPr>
                <w:sz w:val="18"/>
                <w:szCs w:val="18"/>
                <w:lang w:val="es-ES"/>
              </w:rPr>
              <w:t>en kg)</w:t>
            </w:r>
          </w:p>
          <w:p w14:paraId="20106DC2" w14:textId="77777777" w:rsidR="00AD6EF5" w:rsidRPr="00966CD6" w:rsidRDefault="00AD6EF5" w:rsidP="0016793D">
            <w:pPr>
              <w:rPr>
                <w:sz w:val="18"/>
                <w:szCs w:val="18"/>
                <w:lang w:val="es-ES"/>
              </w:rPr>
            </w:pPr>
          </w:p>
          <w:p w14:paraId="314F7CED" w14:textId="77777777" w:rsidR="00AD6EF5" w:rsidRPr="00966CD6" w:rsidRDefault="00AD6EF5" w:rsidP="0016793D">
            <w:pPr>
              <w:rPr>
                <w:b/>
                <w:bCs/>
                <w:sz w:val="18"/>
                <w:szCs w:val="18"/>
              </w:rPr>
            </w:pPr>
            <w:r w:rsidRPr="00966CD6">
              <w:rPr>
                <w:b/>
                <w:bCs/>
                <w:sz w:val="18"/>
                <w:szCs w:val="18"/>
              </w:rPr>
              <w:t xml:space="preserve">Para. </w:t>
            </w:r>
            <w:r w:rsidRPr="00966CD6">
              <w:rPr>
                <w:b/>
                <w:bCs/>
                <w:color w:val="000000"/>
                <w:sz w:val="18"/>
                <w:szCs w:val="18"/>
              </w:rPr>
              <w:t>53</w:t>
            </w:r>
          </w:p>
        </w:tc>
      </w:tr>
    </w:tbl>
    <w:p w14:paraId="1051B2B8" w14:textId="77777777" w:rsidR="00AD6EF5" w:rsidRPr="009E3E90" w:rsidRDefault="00AD6EF5" w:rsidP="00AD6EF5">
      <w:pPr>
        <w:spacing w:before="240"/>
        <w:jc w:val="center"/>
        <w:rPr>
          <w:u w:val="single"/>
        </w:rPr>
      </w:pPr>
      <w:r>
        <w:rPr>
          <w:u w:val="single"/>
        </w:rPr>
        <w:tab/>
      </w:r>
      <w:r>
        <w:rPr>
          <w:u w:val="single"/>
        </w:rPr>
        <w:tab/>
      </w:r>
      <w:r>
        <w:rPr>
          <w:u w:val="single"/>
        </w:rPr>
        <w:tab/>
      </w:r>
    </w:p>
    <w:p w14:paraId="29420779" w14:textId="77777777" w:rsidR="00B226A3" w:rsidRPr="00B226A3" w:rsidRDefault="00B226A3" w:rsidP="00B226A3"/>
    <w:sectPr w:rsidR="00B226A3" w:rsidRPr="00B226A3"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2B04" w14:textId="77777777" w:rsidR="009D43BC" w:rsidRDefault="009D43BC"/>
  </w:endnote>
  <w:endnote w:type="continuationSeparator" w:id="0">
    <w:p w14:paraId="61243032" w14:textId="77777777" w:rsidR="009D43BC" w:rsidRDefault="009D43BC"/>
  </w:endnote>
  <w:endnote w:type="continuationNotice" w:id="1">
    <w:p w14:paraId="4537CA91" w14:textId="77777777" w:rsidR="009D43BC" w:rsidRDefault="009D4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DDCF"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D71F"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0591" w14:textId="77777777" w:rsidR="002330E6" w:rsidRDefault="0023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65B7" w14:textId="77777777" w:rsidR="009D43BC" w:rsidRPr="000B175B" w:rsidRDefault="009D43BC" w:rsidP="000B175B">
      <w:pPr>
        <w:tabs>
          <w:tab w:val="right" w:pos="2155"/>
        </w:tabs>
        <w:spacing w:after="80"/>
        <w:ind w:left="680"/>
        <w:rPr>
          <w:u w:val="single"/>
        </w:rPr>
      </w:pPr>
      <w:r>
        <w:rPr>
          <w:u w:val="single"/>
        </w:rPr>
        <w:tab/>
      </w:r>
    </w:p>
  </w:footnote>
  <w:footnote w:type="continuationSeparator" w:id="0">
    <w:p w14:paraId="4EAC54CC" w14:textId="77777777" w:rsidR="009D43BC" w:rsidRPr="00FC68B7" w:rsidRDefault="009D43BC" w:rsidP="00FC68B7">
      <w:pPr>
        <w:tabs>
          <w:tab w:val="left" w:pos="2155"/>
        </w:tabs>
        <w:spacing w:after="80"/>
        <w:ind w:left="680"/>
        <w:rPr>
          <w:u w:val="single"/>
        </w:rPr>
      </w:pPr>
      <w:r>
        <w:rPr>
          <w:u w:val="single"/>
        </w:rPr>
        <w:tab/>
      </w:r>
    </w:p>
  </w:footnote>
  <w:footnote w:type="continuationNotice" w:id="1">
    <w:p w14:paraId="15D21E79" w14:textId="77777777" w:rsidR="009D43BC" w:rsidRDefault="009D4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BF79" w14:textId="19B0FDBD" w:rsidR="006C0DC6" w:rsidRPr="0099001C" w:rsidRDefault="006C0DC6" w:rsidP="00366CA7">
    <w:pPr>
      <w:pStyle w:val="Header"/>
    </w:pPr>
    <w:r>
      <w:t>UN/SCE</w:t>
    </w:r>
    <w:r w:rsidR="00C01A22">
      <w:t>TDG</w:t>
    </w:r>
    <w:r>
      <w:t>/</w:t>
    </w:r>
    <w:r w:rsidR="00224BDB">
      <w:t>60</w:t>
    </w:r>
    <w:r>
      <w:t>/INF</w:t>
    </w:r>
    <w:r w:rsidR="002330E6">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18C9" w14:textId="54B35310" w:rsidR="006C0DC6" w:rsidRPr="0099001C" w:rsidRDefault="006C0DC6" w:rsidP="0099001C">
    <w:pPr>
      <w:pStyle w:val="Header"/>
      <w:jc w:val="right"/>
    </w:pPr>
    <w:r>
      <w:t>UN/SCE</w:t>
    </w:r>
    <w:r w:rsidR="00C01A22">
      <w:t>TDG</w:t>
    </w:r>
    <w:r>
      <w:t>/</w:t>
    </w:r>
    <w:r w:rsidR="00224BDB">
      <w:t>60</w:t>
    </w:r>
    <w:r w:rsidR="00C07F9E">
      <w:t>/</w:t>
    </w:r>
    <w:r>
      <w:t>INF.</w:t>
    </w:r>
    <w:r w:rsidR="00867086">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8311" w14:textId="77777777" w:rsidR="002330E6" w:rsidRDefault="00233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0"/>
  </w:num>
  <w:num w:numId="9">
    <w:abstractNumId w:val="0"/>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5E5"/>
    <w:rsid w:val="00012767"/>
    <w:rsid w:val="000137FF"/>
    <w:rsid w:val="00013D99"/>
    <w:rsid w:val="0002214E"/>
    <w:rsid w:val="00024AB3"/>
    <w:rsid w:val="00030639"/>
    <w:rsid w:val="0003123C"/>
    <w:rsid w:val="00031CBB"/>
    <w:rsid w:val="00033B3D"/>
    <w:rsid w:val="0003793B"/>
    <w:rsid w:val="00042858"/>
    <w:rsid w:val="00043E1A"/>
    <w:rsid w:val="0004433E"/>
    <w:rsid w:val="000448F5"/>
    <w:rsid w:val="00050F6B"/>
    <w:rsid w:val="00051214"/>
    <w:rsid w:val="00054C58"/>
    <w:rsid w:val="0005512E"/>
    <w:rsid w:val="00057F51"/>
    <w:rsid w:val="000609DB"/>
    <w:rsid w:val="00065499"/>
    <w:rsid w:val="0006754E"/>
    <w:rsid w:val="000723E7"/>
    <w:rsid w:val="00072C8C"/>
    <w:rsid w:val="00076279"/>
    <w:rsid w:val="000765DD"/>
    <w:rsid w:val="00076E62"/>
    <w:rsid w:val="000778B2"/>
    <w:rsid w:val="00081647"/>
    <w:rsid w:val="00081F44"/>
    <w:rsid w:val="00083694"/>
    <w:rsid w:val="00083C33"/>
    <w:rsid w:val="000877CA"/>
    <w:rsid w:val="00090A51"/>
    <w:rsid w:val="000915A0"/>
    <w:rsid w:val="00092AAD"/>
    <w:rsid w:val="000931C0"/>
    <w:rsid w:val="0009390A"/>
    <w:rsid w:val="00096CD4"/>
    <w:rsid w:val="000A0664"/>
    <w:rsid w:val="000A18E8"/>
    <w:rsid w:val="000A22EE"/>
    <w:rsid w:val="000A2837"/>
    <w:rsid w:val="000A2BF0"/>
    <w:rsid w:val="000A3E88"/>
    <w:rsid w:val="000A5146"/>
    <w:rsid w:val="000B175B"/>
    <w:rsid w:val="000B3A0F"/>
    <w:rsid w:val="000B4C96"/>
    <w:rsid w:val="000B7378"/>
    <w:rsid w:val="000C1589"/>
    <w:rsid w:val="000C25B7"/>
    <w:rsid w:val="000C38D0"/>
    <w:rsid w:val="000C5B0B"/>
    <w:rsid w:val="000C6544"/>
    <w:rsid w:val="000C6A00"/>
    <w:rsid w:val="000D191F"/>
    <w:rsid w:val="000D39F8"/>
    <w:rsid w:val="000D3B0C"/>
    <w:rsid w:val="000D7DB6"/>
    <w:rsid w:val="000E0415"/>
    <w:rsid w:val="000E1ED2"/>
    <w:rsid w:val="000E45CC"/>
    <w:rsid w:val="000F10C6"/>
    <w:rsid w:val="000F2CE1"/>
    <w:rsid w:val="000F368C"/>
    <w:rsid w:val="000F3DDC"/>
    <w:rsid w:val="000F6C7B"/>
    <w:rsid w:val="00100A9D"/>
    <w:rsid w:val="00102373"/>
    <w:rsid w:val="001035FB"/>
    <w:rsid w:val="00107042"/>
    <w:rsid w:val="00110386"/>
    <w:rsid w:val="0011098D"/>
    <w:rsid w:val="00110DF6"/>
    <w:rsid w:val="00111F3F"/>
    <w:rsid w:val="00114F74"/>
    <w:rsid w:val="0011793B"/>
    <w:rsid w:val="00120412"/>
    <w:rsid w:val="001211BC"/>
    <w:rsid w:val="001220B8"/>
    <w:rsid w:val="00123D08"/>
    <w:rsid w:val="001240C5"/>
    <w:rsid w:val="0013106B"/>
    <w:rsid w:val="00132A27"/>
    <w:rsid w:val="00132EE2"/>
    <w:rsid w:val="0013397C"/>
    <w:rsid w:val="001362CB"/>
    <w:rsid w:val="0013641F"/>
    <w:rsid w:val="0013733A"/>
    <w:rsid w:val="00137D36"/>
    <w:rsid w:val="00144078"/>
    <w:rsid w:val="00147485"/>
    <w:rsid w:val="001475C0"/>
    <w:rsid w:val="001547CA"/>
    <w:rsid w:val="00156F3C"/>
    <w:rsid w:val="00162BF7"/>
    <w:rsid w:val="00163012"/>
    <w:rsid w:val="00163D0D"/>
    <w:rsid w:val="00165823"/>
    <w:rsid w:val="0016583F"/>
    <w:rsid w:val="0016793D"/>
    <w:rsid w:val="00172643"/>
    <w:rsid w:val="00172C04"/>
    <w:rsid w:val="001806E6"/>
    <w:rsid w:val="001832FF"/>
    <w:rsid w:val="00190AEA"/>
    <w:rsid w:val="00191F25"/>
    <w:rsid w:val="00195105"/>
    <w:rsid w:val="00196CD0"/>
    <w:rsid w:val="001A1B3F"/>
    <w:rsid w:val="001A2C53"/>
    <w:rsid w:val="001A3CE1"/>
    <w:rsid w:val="001A42F3"/>
    <w:rsid w:val="001A62B6"/>
    <w:rsid w:val="001B1308"/>
    <w:rsid w:val="001B1F42"/>
    <w:rsid w:val="001B2C77"/>
    <w:rsid w:val="001B36BA"/>
    <w:rsid w:val="001B4B04"/>
    <w:rsid w:val="001B7FE6"/>
    <w:rsid w:val="001C6663"/>
    <w:rsid w:val="001C7895"/>
    <w:rsid w:val="001D1E09"/>
    <w:rsid w:val="001D1E2A"/>
    <w:rsid w:val="001D26DF"/>
    <w:rsid w:val="001D6D9F"/>
    <w:rsid w:val="001E2D52"/>
    <w:rsid w:val="001E47FD"/>
    <w:rsid w:val="001E4C75"/>
    <w:rsid w:val="001E5BA9"/>
    <w:rsid w:val="001E710B"/>
    <w:rsid w:val="001F20EB"/>
    <w:rsid w:val="001F3237"/>
    <w:rsid w:val="00201E38"/>
    <w:rsid w:val="00205370"/>
    <w:rsid w:val="00206DE0"/>
    <w:rsid w:val="00211ADF"/>
    <w:rsid w:val="00211D0D"/>
    <w:rsid w:val="00211E0B"/>
    <w:rsid w:val="00217F00"/>
    <w:rsid w:val="00224BDB"/>
    <w:rsid w:val="00226D5F"/>
    <w:rsid w:val="00226D9D"/>
    <w:rsid w:val="002330E6"/>
    <w:rsid w:val="00234380"/>
    <w:rsid w:val="002348F4"/>
    <w:rsid w:val="0023564D"/>
    <w:rsid w:val="00236E81"/>
    <w:rsid w:val="00237890"/>
    <w:rsid w:val="002401EF"/>
    <w:rsid w:val="002405A7"/>
    <w:rsid w:val="00244673"/>
    <w:rsid w:val="00245F5C"/>
    <w:rsid w:val="0024624B"/>
    <w:rsid w:val="002505DA"/>
    <w:rsid w:val="00252056"/>
    <w:rsid w:val="002570BC"/>
    <w:rsid w:val="00257E45"/>
    <w:rsid w:val="00262488"/>
    <w:rsid w:val="00263951"/>
    <w:rsid w:val="00265671"/>
    <w:rsid w:val="00266898"/>
    <w:rsid w:val="0027313E"/>
    <w:rsid w:val="00275D77"/>
    <w:rsid w:val="00284A54"/>
    <w:rsid w:val="00285613"/>
    <w:rsid w:val="00286659"/>
    <w:rsid w:val="00295894"/>
    <w:rsid w:val="002A537C"/>
    <w:rsid w:val="002A5947"/>
    <w:rsid w:val="002A5A2D"/>
    <w:rsid w:val="002A7047"/>
    <w:rsid w:val="002B079A"/>
    <w:rsid w:val="002B3993"/>
    <w:rsid w:val="002B66EE"/>
    <w:rsid w:val="002B670E"/>
    <w:rsid w:val="002B6A44"/>
    <w:rsid w:val="002C116B"/>
    <w:rsid w:val="002C133E"/>
    <w:rsid w:val="002C1386"/>
    <w:rsid w:val="002C21E5"/>
    <w:rsid w:val="002C22EC"/>
    <w:rsid w:val="002C710D"/>
    <w:rsid w:val="002D1E27"/>
    <w:rsid w:val="002D59D3"/>
    <w:rsid w:val="002E0624"/>
    <w:rsid w:val="002E6284"/>
    <w:rsid w:val="002E7C49"/>
    <w:rsid w:val="002F1024"/>
    <w:rsid w:val="002F1089"/>
    <w:rsid w:val="002F178F"/>
    <w:rsid w:val="002F19CB"/>
    <w:rsid w:val="002F7CA4"/>
    <w:rsid w:val="00305C3C"/>
    <w:rsid w:val="003073F4"/>
    <w:rsid w:val="003107FA"/>
    <w:rsid w:val="003118D4"/>
    <w:rsid w:val="003127A2"/>
    <w:rsid w:val="003140CE"/>
    <w:rsid w:val="003217B0"/>
    <w:rsid w:val="00321878"/>
    <w:rsid w:val="003229D8"/>
    <w:rsid w:val="003234A7"/>
    <w:rsid w:val="0032442E"/>
    <w:rsid w:val="0032489E"/>
    <w:rsid w:val="003265CA"/>
    <w:rsid w:val="00334D85"/>
    <w:rsid w:val="003366EC"/>
    <w:rsid w:val="0033745A"/>
    <w:rsid w:val="00337513"/>
    <w:rsid w:val="003376D4"/>
    <w:rsid w:val="00342302"/>
    <w:rsid w:val="003443E5"/>
    <w:rsid w:val="00350692"/>
    <w:rsid w:val="003506B8"/>
    <w:rsid w:val="00351974"/>
    <w:rsid w:val="00352E14"/>
    <w:rsid w:val="00353DBA"/>
    <w:rsid w:val="003565E5"/>
    <w:rsid w:val="00360834"/>
    <w:rsid w:val="00364E58"/>
    <w:rsid w:val="00366CA7"/>
    <w:rsid w:val="0037249C"/>
    <w:rsid w:val="00373F65"/>
    <w:rsid w:val="003819B1"/>
    <w:rsid w:val="00382921"/>
    <w:rsid w:val="003841B8"/>
    <w:rsid w:val="003864F3"/>
    <w:rsid w:val="0038656E"/>
    <w:rsid w:val="00387A81"/>
    <w:rsid w:val="00390529"/>
    <w:rsid w:val="0039277A"/>
    <w:rsid w:val="003937A6"/>
    <w:rsid w:val="003972E0"/>
    <w:rsid w:val="003A26B0"/>
    <w:rsid w:val="003A402E"/>
    <w:rsid w:val="003A4B23"/>
    <w:rsid w:val="003A5D05"/>
    <w:rsid w:val="003B39CC"/>
    <w:rsid w:val="003B7321"/>
    <w:rsid w:val="003C2CC4"/>
    <w:rsid w:val="003C32AD"/>
    <w:rsid w:val="003C3936"/>
    <w:rsid w:val="003C3C04"/>
    <w:rsid w:val="003C4B7F"/>
    <w:rsid w:val="003C54C2"/>
    <w:rsid w:val="003C7292"/>
    <w:rsid w:val="003C72DD"/>
    <w:rsid w:val="003D02C2"/>
    <w:rsid w:val="003D1EA9"/>
    <w:rsid w:val="003D4B23"/>
    <w:rsid w:val="003D621B"/>
    <w:rsid w:val="003E117E"/>
    <w:rsid w:val="003E1216"/>
    <w:rsid w:val="003E1B5B"/>
    <w:rsid w:val="003E1E60"/>
    <w:rsid w:val="003E4D37"/>
    <w:rsid w:val="003F0752"/>
    <w:rsid w:val="003F18A0"/>
    <w:rsid w:val="003F1ED3"/>
    <w:rsid w:val="003F2060"/>
    <w:rsid w:val="003F29E4"/>
    <w:rsid w:val="003F4CBA"/>
    <w:rsid w:val="003F5E77"/>
    <w:rsid w:val="003F668F"/>
    <w:rsid w:val="003F6DAE"/>
    <w:rsid w:val="003F7973"/>
    <w:rsid w:val="003F7A75"/>
    <w:rsid w:val="0040598C"/>
    <w:rsid w:val="00410733"/>
    <w:rsid w:val="004160C6"/>
    <w:rsid w:val="00416BC8"/>
    <w:rsid w:val="004230C0"/>
    <w:rsid w:val="00424C81"/>
    <w:rsid w:val="0042573C"/>
    <w:rsid w:val="0042588C"/>
    <w:rsid w:val="00426C3A"/>
    <w:rsid w:val="00426C9C"/>
    <w:rsid w:val="00431C5B"/>
    <w:rsid w:val="004325CB"/>
    <w:rsid w:val="00433BFC"/>
    <w:rsid w:val="0043783F"/>
    <w:rsid w:val="00437EFC"/>
    <w:rsid w:val="00446DE4"/>
    <w:rsid w:val="00451562"/>
    <w:rsid w:val="0045333F"/>
    <w:rsid w:val="0045616D"/>
    <w:rsid w:val="00460DD9"/>
    <w:rsid w:val="004618A1"/>
    <w:rsid w:val="0046228F"/>
    <w:rsid w:val="004750BF"/>
    <w:rsid w:val="00475ACA"/>
    <w:rsid w:val="004774B9"/>
    <w:rsid w:val="0048291A"/>
    <w:rsid w:val="0048651D"/>
    <w:rsid w:val="004901B7"/>
    <w:rsid w:val="0049427E"/>
    <w:rsid w:val="00497A7B"/>
    <w:rsid w:val="004A2EA2"/>
    <w:rsid w:val="004A3F42"/>
    <w:rsid w:val="004A41CA"/>
    <w:rsid w:val="004A6072"/>
    <w:rsid w:val="004A6319"/>
    <w:rsid w:val="004A6C6E"/>
    <w:rsid w:val="004A707C"/>
    <w:rsid w:val="004A7239"/>
    <w:rsid w:val="004B6733"/>
    <w:rsid w:val="004C012B"/>
    <w:rsid w:val="004C7AF7"/>
    <w:rsid w:val="004D16C5"/>
    <w:rsid w:val="004D5CB2"/>
    <w:rsid w:val="004D6E91"/>
    <w:rsid w:val="004D7EFA"/>
    <w:rsid w:val="004E09B1"/>
    <w:rsid w:val="004E478E"/>
    <w:rsid w:val="004E5083"/>
    <w:rsid w:val="004E674C"/>
    <w:rsid w:val="004E76F6"/>
    <w:rsid w:val="004E7AD9"/>
    <w:rsid w:val="004E7DE6"/>
    <w:rsid w:val="004F1932"/>
    <w:rsid w:val="004F43E6"/>
    <w:rsid w:val="004F47EC"/>
    <w:rsid w:val="004F4B24"/>
    <w:rsid w:val="004F65C1"/>
    <w:rsid w:val="00501115"/>
    <w:rsid w:val="00501D18"/>
    <w:rsid w:val="00503228"/>
    <w:rsid w:val="00503516"/>
    <w:rsid w:val="00505384"/>
    <w:rsid w:val="00516318"/>
    <w:rsid w:val="0051748D"/>
    <w:rsid w:val="00517A1B"/>
    <w:rsid w:val="00525275"/>
    <w:rsid w:val="0052543F"/>
    <w:rsid w:val="00526E8A"/>
    <w:rsid w:val="00532EF8"/>
    <w:rsid w:val="005356FB"/>
    <w:rsid w:val="00540DD6"/>
    <w:rsid w:val="005420F2"/>
    <w:rsid w:val="005433C8"/>
    <w:rsid w:val="005450F3"/>
    <w:rsid w:val="00545150"/>
    <w:rsid w:val="00545F1A"/>
    <w:rsid w:val="005504B6"/>
    <w:rsid w:val="00551AB9"/>
    <w:rsid w:val="00551FC6"/>
    <w:rsid w:val="00553222"/>
    <w:rsid w:val="005560DB"/>
    <w:rsid w:val="00562548"/>
    <w:rsid w:val="00562694"/>
    <w:rsid w:val="0056627E"/>
    <w:rsid w:val="00567BC7"/>
    <w:rsid w:val="0057024D"/>
    <w:rsid w:val="00570364"/>
    <w:rsid w:val="00570CC4"/>
    <w:rsid w:val="00571FB2"/>
    <w:rsid w:val="00572B36"/>
    <w:rsid w:val="005777F3"/>
    <w:rsid w:val="00585A18"/>
    <w:rsid w:val="00586F4A"/>
    <w:rsid w:val="005900D3"/>
    <w:rsid w:val="00592D34"/>
    <w:rsid w:val="00592FDB"/>
    <w:rsid w:val="005A0903"/>
    <w:rsid w:val="005A1E22"/>
    <w:rsid w:val="005A43C6"/>
    <w:rsid w:val="005A503C"/>
    <w:rsid w:val="005A79B8"/>
    <w:rsid w:val="005B054C"/>
    <w:rsid w:val="005B1B47"/>
    <w:rsid w:val="005B1F1B"/>
    <w:rsid w:val="005B1F57"/>
    <w:rsid w:val="005B2C89"/>
    <w:rsid w:val="005B3DB3"/>
    <w:rsid w:val="005B408C"/>
    <w:rsid w:val="005C13CD"/>
    <w:rsid w:val="005C22AD"/>
    <w:rsid w:val="005C4858"/>
    <w:rsid w:val="005C53DB"/>
    <w:rsid w:val="005D33AB"/>
    <w:rsid w:val="005D425A"/>
    <w:rsid w:val="005D4725"/>
    <w:rsid w:val="005D529D"/>
    <w:rsid w:val="005E1591"/>
    <w:rsid w:val="005E249C"/>
    <w:rsid w:val="005E27AB"/>
    <w:rsid w:val="005E37E7"/>
    <w:rsid w:val="005E46D3"/>
    <w:rsid w:val="005E743D"/>
    <w:rsid w:val="005F2648"/>
    <w:rsid w:val="00600487"/>
    <w:rsid w:val="00602EE8"/>
    <w:rsid w:val="00602FF5"/>
    <w:rsid w:val="006034C6"/>
    <w:rsid w:val="00603B91"/>
    <w:rsid w:val="00603E59"/>
    <w:rsid w:val="006055EE"/>
    <w:rsid w:val="00606679"/>
    <w:rsid w:val="00611FC4"/>
    <w:rsid w:val="006176FB"/>
    <w:rsid w:val="006218CD"/>
    <w:rsid w:val="00623353"/>
    <w:rsid w:val="006241C1"/>
    <w:rsid w:val="00624260"/>
    <w:rsid w:val="0062490D"/>
    <w:rsid w:val="0062753C"/>
    <w:rsid w:val="00627ED0"/>
    <w:rsid w:val="00633DBA"/>
    <w:rsid w:val="00633ED0"/>
    <w:rsid w:val="00634702"/>
    <w:rsid w:val="00640B26"/>
    <w:rsid w:val="00640FD5"/>
    <w:rsid w:val="00641F8E"/>
    <w:rsid w:val="00642B1E"/>
    <w:rsid w:val="00643E18"/>
    <w:rsid w:val="0064479D"/>
    <w:rsid w:val="006545BA"/>
    <w:rsid w:val="00654697"/>
    <w:rsid w:val="00661F7A"/>
    <w:rsid w:val="006632CE"/>
    <w:rsid w:val="00665595"/>
    <w:rsid w:val="006666F6"/>
    <w:rsid w:val="006743E5"/>
    <w:rsid w:val="0068043C"/>
    <w:rsid w:val="006879C9"/>
    <w:rsid w:val="00687A18"/>
    <w:rsid w:val="00691F20"/>
    <w:rsid w:val="00693543"/>
    <w:rsid w:val="00693F47"/>
    <w:rsid w:val="00694263"/>
    <w:rsid w:val="006944AB"/>
    <w:rsid w:val="00694E7D"/>
    <w:rsid w:val="00695C1E"/>
    <w:rsid w:val="006A7392"/>
    <w:rsid w:val="006A7757"/>
    <w:rsid w:val="006B0029"/>
    <w:rsid w:val="006B195F"/>
    <w:rsid w:val="006B4E5D"/>
    <w:rsid w:val="006B533E"/>
    <w:rsid w:val="006B5E68"/>
    <w:rsid w:val="006B79E3"/>
    <w:rsid w:val="006C0DC6"/>
    <w:rsid w:val="006C241B"/>
    <w:rsid w:val="006C2471"/>
    <w:rsid w:val="006C36AA"/>
    <w:rsid w:val="006C3F77"/>
    <w:rsid w:val="006C41F5"/>
    <w:rsid w:val="006C52B9"/>
    <w:rsid w:val="006D2106"/>
    <w:rsid w:val="006D36D1"/>
    <w:rsid w:val="006D383D"/>
    <w:rsid w:val="006D633D"/>
    <w:rsid w:val="006E1A35"/>
    <w:rsid w:val="006E1F95"/>
    <w:rsid w:val="006E20C4"/>
    <w:rsid w:val="006E2A58"/>
    <w:rsid w:val="006E2CE0"/>
    <w:rsid w:val="006E41A2"/>
    <w:rsid w:val="006E41F6"/>
    <w:rsid w:val="006E564B"/>
    <w:rsid w:val="006E7306"/>
    <w:rsid w:val="006E762C"/>
    <w:rsid w:val="006E7CEF"/>
    <w:rsid w:val="006F17B5"/>
    <w:rsid w:val="006F2413"/>
    <w:rsid w:val="006F6BFA"/>
    <w:rsid w:val="00700E12"/>
    <w:rsid w:val="00702BA6"/>
    <w:rsid w:val="007103BF"/>
    <w:rsid w:val="0071349F"/>
    <w:rsid w:val="00717E07"/>
    <w:rsid w:val="00720DEB"/>
    <w:rsid w:val="00720E11"/>
    <w:rsid w:val="00725594"/>
    <w:rsid w:val="0072632A"/>
    <w:rsid w:val="0073084C"/>
    <w:rsid w:val="007316E1"/>
    <w:rsid w:val="007326E1"/>
    <w:rsid w:val="00733AAE"/>
    <w:rsid w:val="00735880"/>
    <w:rsid w:val="00736209"/>
    <w:rsid w:val="007372E2"/>
    <w:rsid w:val="00740598"/>
    <w:rsid w:val="0074105E"/>
    <w:rsid w:val="007435D4"/>
    <w:rsid w:val="00745024"/>
    <w:rsid w:val="007468B8"/>
    <w:rsid w:val="00752A06"/>
    <w:rsid w:val="00752BD5"/>
    <w:rsid w:val="0075458D"/>
    <w:rsid w:val="00754EE1"/>
    <w:rsid w:val="00762E85"/>
    <w:rsid w:val="00763C11"/>
    <w:rsid w:val="00766D93"/>
    <w:rsid w:val="0077406B"/>
    <w:rsid w:val="00774FA5"/>
    <w:rsid w:val="007750C3"/>
    <w:rsid w:val="00775D8C"/>
    <w:rsid w:val="00781A60"/>
    <w:rsid w:val="00783AF2"/>
    <w:rsid w:val="00783AF8"/>
    <w:rsid w:val="0078417F"/>
    <w:rsid w:val="00786A3A"/>
    <w:rsid w:val="00787C77"/>
    <w:rsid w:val="00790122"/>
    <w:rsid w:val="00792D96"/>
    <w:rsid w:val="00792ECE"/>
    <w:rsid w:val="007955EA"/>
    <w:rsid w:val="007A3FBD"/>
    <w:rsid w:val="007A4977"/>
    <w:rsid w:val="007A6A94"/>
    <w:rsid w:val="007B0262"/>
    <w:rsid w:val="007B6BA5"/>
    <w:rsid w:val="007B7FB2"/>
    <w:rsid w:val="007C269D"/>
    <w:rsid w:val="007C3390"/>
    <w:rsid w:val="007C4F4B"/>
    <w:rsid w:val="007C6044"/>
    <w:rsid w:val="007E18A9"/>
    <w:rsid w:val="007E6124"/>
    <w:rsid w:val="007E70FF"/>
    <w:rsid w:val="007F025F"/>
    <w:rsid w:val="007F0B83"/>
    <w:rsid w:val="007F48EF"/>
    <w:rsid w:val="007F4FCD"/>
    <w:rsid w:val="007F650F"/>
    <w:rsid w:val="007F6611"/>
    <w:rsid w:val="00800FB0"/>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6AF7"/>
    <w:rsid w:val="00847D11"/>
    <w:rsid w:val="0085028A"/>
    <w:rsid w:val="0086000D"/>
    <w:rsid w:val="0086055B"/>
    <w:rsid w:val="00860D55"/>
    <w:rsid w:val="00862284"/>
    <w:rsid w:val="00865A21"/>
    <w:rsid w:val="00867086"/>
    <w:rsid w:val="00867562"/>
    <w:rsid w:val="00870D13"/>
    <w:rsid w:val="00871FD5"/>
    <w:rsid w:val="00872E35"/>
    <w:rsid w:val="00874FB8"/>
    <w:rsid w:val="00882090"/>
    <w:rsid w:val="008852E3"/>
    <w:rsid w:val="00887755"/>
    <w:rsid w:val="0089033B"/>
    <w:rsid w:val="00890B04"/>
    <w:rsid w:val="00893992"/>
    <w:rsid w:val="00896186"/>
    <w:rsid w:val="00897025"/>
    <w:rsid w:val="008979B1"/>
    <w:rsid w:val="00897BD7"/>
    <w:rsid w:val="008A6B25"/>
    <w:rsid w:val="008A6C1B"/>
    <w:rsid w:val="008A6C4F"/>
    <w:rsid w:val="008A7F3B"/>
    <w:rsid w:val="008B3F54"/>
    <w:rsid w:val="008B40B7"/>
    <w:rsid w:val="008B52E8"/>
    <w:rsid w:val="008B6E26"/>
    <w:rsid w:val="008C0DD5"/>
    <w:rsid w:val="008C3353"/>
    <w:rsid w:val="008C34B0"/>
    <w:rsid w:val="008C3FFB"/>
    <w:rsid w:val="008D02E6"/>
    <w:rsid w:val="008D314A"/>
    <w:rsid w:val="008D3F4B"/>
    <w:rsid w:val="008D7B55"/>
    <w:rsid w:val="008E0E46"/>
    <w:rsid w:val="008E0FB3"/>
    <w:rsid w:val="008E1F9C"/>
    <w:rsid w:val="008E4640"/>
    <w:rsid w:val="008E4C4C"/>
    <w:rsid w:val="008E646E"/>
    <w:rsid w:val="008E64AE"/>
    <w:rsid w:val="008F02B0"/>
    <w:rsid w:val="008F29C1"/>
    <w:rsid w:val="008F3CB0"/>
    <w:rsid w:val="008F583E"/>
    <w:rsid w:val="0090052B"/>
    <w:rsid w:val="00902BF1"/>
    <w:rsid w:val="0090431C"/>
    <w:rsid w:val="00907AD2"/>
    <w:rsid w:val="00910260"/>
    <w:rsid w:val="00911047"/>
    <w:rsid w:val="009134D8"/>
    <w:rsid w:val="00917321"/>
    <w:rsid w:val="00921DF8"/>
    <w:rsid w:val="009265B7"/>
    <w:rsid w:val="00927819"/>
    <w:rsid w:val="00930308"/>
    <w:rsid w:val="00931073"/>
    <w:rsid w:val="00933D9F"/>
    <w:rsid w:val="0093545E"/>
    <w:rsid w:val="00936565"/>
    <w:rsid w:val="0094040C"/>
    <w:rsid w:val="009404A6"/>
    <w:rsid w:val="00940847"/>
    <w:rsid w:val="0094386E"/>
    <w:rsid w:val="009440D4"/>
    <w:rsid w:val="009449FD"/>
    <w:rsid w:val="00944D2D"/>
    <w:rsid w:val="00946F0A"/>
    <w:rsid w:val="00951778"/>
    <w:rsid w:val="00952BE3"/>
    <w:rsid w:val="00956B99"/>
    <w:rsid w:val="00957AD6"/>
    <w:rsid w:val="009612BF"/>
    <w:rsid w:val="00963CBA"/>
    <w:rsid w:val="00963FED"/>
    <w:rsid w:val="0096659B"/>
    <w:rsid w:val="00966CD6"/>
    <w:rsid w:val="00966CD7"/>
    <w:rsid w:val="009715EE"/>
    <w:rsid w:val="00974146"/>
    <w:rsid w:val="00974A8D"/>
    <w:rsid w:val="00974ABE"/>
    <w:rsid w:val="00974C60"/>
    <w:rsid w:val="00974F4C"/>
    <w:rsid w:val="00975059"/>
    <w:rsid w:val="0098016B"/>
    <w:rsid w:val="009866D5"/>
    <w:rsid w:val="00987072"/>
    <w:rsid w:val="0098707E"/>
    <w:rsid w:val="0099001C"/>
    <w:rsid w:val="00991261"/>
    <w:rsid w:val="009A0D5F"/>
    <w:rsid w:val="009A1082"/>
    <w:rsid w:val="009A527C"/>
    <w:rsid w:val="009A5B4A"/>
    <w:rsid w:val="009B43E1"/>
    <w:rsid w:val="009B4939"/>
    <w:rsid w:val="009B55EC"/>
    <w:rsid w:val="009B6D3A"/>
    <w:rsid w:val="009B71F3"/>
    <w:rsid w:val="009C13A1"/>
    <w:rsid w:val="009C1781"/>
    <w:rsid w:val="009C17AC"/>
    <w:rsid w:val="009C31E7"/>
    <w:rsid w:val="009C36B5"/>
    <w:rsid w:val="009D0EC7"/>
    <w:rsid w:val="009D0FA6"/>
    <w:rsid w:val="009D1B37"/>
    <w:rsid w:val="009D43BC"/>
    <w:rsid w:val="009D49A6"/>
    <w:rsid w:val="009D623C"/>
    <w:rsid w:val="009E72B5"/>
    <w:rsid w:val="009E7885"/>
    <w:rsid w:val="009E7F76"/>
    <w:rsid w:val="009F16FB"/>
    <w:rsid w:val="009F3106"/>
    <w:rsid w:val="009F3A17"/>
    <w:rsid w:val="009F6CAF"/>
    <w:rsid w:val="00A0477C"/>
    <w:rsid w:val="00A123AB"/>
    <w:rsid w:val="00A1355C"/>
    <w:rsid w:val="00A1427D"/>
    <w:rsid w:val="00A15CB4"/>
    <w:rsid w:val="00A1649D"/>
    <w:rsid w:val="00A20AEB"/>
    <w:rsid w:val="00A25163"/>
    <w:rsid w:val="00A257FA"/>
    <w:rsid w:val="00A25BA6"/>
    <w:rsid w:val="00A3227A"/>
    <w:rsid w:val="00A35008"/>
    <w:rsid w:val="00A35AE8"/>
    <w:rsid w:val="00A40A6E"/>
    <w:rsid w:val="00A429E3"/>
    <w:rsid w:val="00A463F1"/>
    <w:rsid w:val="00A50173"/>
    <w:rsid w:val="00A51DB9"/>
    <w:rsid w:val="00A52B4E"/>
    <w:rsid w:val="00A530ED"/>
    <w:rsid w:val="00A5477E"/>
    <w:rsid w:val="00A54F58"/>
    <w:rsid w:val="00A55FB2"/>
    <w:rsid w:val="00A67424"/>
    <w:rsid w:val="00A70749"/>
    <w:rsid w:val="00A70B89"/>
    <w:rsid w:val="00A71EC0"/>
    <w:rsid w:val="00A72F22"/>
    <w:rsid w:val="00A748A6"/>
    <w:rsid w:val="00A76B9A"/>
    <w:rsid w:val="00A77E77"/>
    <w:rsid w:val="00A805EB"/>
    <w:rsid w:val="00A80877"/>
    <w:rsid w:val="00A81711"/>
    <w:rsid w:val="00A8577D"/>
    <w:rsid w:val="00A879A4"/>
    <w:rsid w:val="00A91158"/>
    <w:rsid w:val="00A94CB3"/>
    <w:rsid w:val="00A958C8"/>
    <w:rsid w:val="00AA332B"/>
    <w:rsid w:val="00AA496B"/>
    <w:rsid w:val="00AA5028"/>
    <w:rsid w:val="00AA63F2"/>
    <w:rsid w:val="00AB1332"/>
    <w:rsid w:val="00AB16DB"/>
    <w:rsid w:val="00AB3FD6"/>
    <w:rsid w:val="00AB4960"/>
    <w:rsid w:val="00AB6280"/>
    <w:rsid w:val="00AB6B7D"/>
    <w:rsid w:val="00AB720C"/>
    <w:rsid w:val="00AC1F45"/>
    <w:rsid w:val="00AC35ED"/>
    <w:rsid w:val="00AC4E2F"/>
    <w:rsid w:val="00AD4169"/>
    <w:rsid w:val="00AD605D"/>
    <w:rsid w:val="00AD6EF5"/>
    <w:rsid w:val="00AE25DA"/>
    <w:rsid w:val="00AE3219"/>
    <w:rsid w:val="00AE3D8F"/>
    <w:rsid w:val="00AE405A"/>
    <w:rsid w:val="00AE4E50"/>
    <w:rsid w:val="00AF1FB0"/>
    <w:rsid w:val="00AF22E6"/>
    <w:rsid w:val="00AF475E"/>
    <w:rsid w:val="00AF7D41"/>
    <w:rsid w:val="00B078E8"/>
    <w:rsid w:val="00B10465"/>
    <w:rsid w:val="00B10CA2"/>
    <w:rsid w:val="00B13633"/>
    <w:rsid w:val="00B1509D"/>
    <w:rsid w:val="00B172A6"/>
    <w:rsid w:val="00B17E1A"/>
    <w:rsid w:val="00B208C1"/>
    <w:rsid w:val="00B226A3"/>
    <w:rsid w:val="00B30179"/>
    <w:rsid w:val="00B325A9"/>
    <w:rsid w:val="00B339D3"/>
    <w:rsid w:val="00B33EC0"/>
    <w:rsid w:val="00B33FCC"/>
    <w:rsid w:val="00B34226"/>
    <w:rsid w:val="00B36067"/>
    <w:rsid w:val="00B36BD5"/>
    <w:rsid w:val="00B4022A"/>
    <w:rsid w:val="00B406F6"/>
    <w:rsid w:val="00B47B0C"/>
    <w:rsid w:val="00B51069"/>
    <w:rsid w:val="00B520F8"/>
    <w:rsid w:val="00B523F6"/>
    <w:rsid w:val="00B52E4E"/>
    <w:rsid w:val="00B53CBD"/>
    <w:rsid w:val="00B5742C"/>
    <w:rsid w:val="00B577F4"/>
    <w:rsid w:val="00B61246"/>
    <w:rsid w:val="00B647CA"/>
    <w:rsid w:val="00B66E5A"/>
    <w:rsid w:val="00B66E74"/>
    <w:rsid w:val="00B74353"/>
    <w:rsid w:val="00B762D3"/>
    <w:rsid w:val="00B81E12"/>
    <w:rsid w:val="00B83093"/>
    <w:rsid w:val="00B839A7"/>
    <w:rsid w:val="00B845D6"/>
    <w:rsid w:val="00B85329"/>
    <w:rsid w:val="00B87CF1"/>
    <w:rsid w:val="00B90AC5"/>
    <w:rsid w:val="00B90C56"/>
    <w:rsid w:val="00B91D03"/>
    <w:rsid w:val="00B96314"/>
    <w:rsid w:val="00B963B2"/>
    <w:rsid w:val="00B968A0"/>
    <w:rsid w:val="00BA515F"/>
    <w:rsid w:val="00BA5FB4"/>
    <w:rsid w:val="00BB129E"/>
    <w:rsid w:val="00BB60D4"/>
    <w:rsid w:val="00BB62BE"/>
    <w:rsid w:val="00BB6799"/>
    <w:rsid w:val="00BC2F52"/>
    <w:rsid w:val="00BC3830"/>
    <w:rsid w:val="00BC5C60"/>
    <w:rsid w:val="00BC6B7B"/>
    <w:rsid w:val="00BC7496"/>
    <w:rsid w:val="00BC74E9"/>
    <w:rsid w:val="00BD138D"/>
    <w:rsid w:val="00BD2146"/>
    <w:rsid w:val="00BD2E27"/>
    <w:rsid w:val="00BD6280"/>
    <w:rsid w:val="00BD7385"/>
    <w:rsid w:val="00BE37C1"/>
    <w:rsid w:val="00BE4F74"/>
    <w:rsid w:val="00BE6017"/>
    <w:rsid w:val="00BE618E"/>
    <w:rsid w:val="00BE62C1"/>
    <w:rsid w:val="00BE6BC5"/>
    <w:rsid w:val="00BF3D59"/>
    <w:rsid w:val="00C01A22"/>
    <w:rsid w:val="00C02512"/>
    <w:rsid w:val="00C030C9"/>
    <w:rsid w:val="00C04DFB"/>
    <w:rsid w:val="00C07F9E"/>
    <w:rsid w:val="00C10DD8"/>
    <w:rsid w:val="00C11473"/>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1B28"/>
    <w:rsid w:val="00C527B3"/>
    <w:rsid w:val="00C55437"/>
    <w:rsid w:val="00C55A7E"/>
    <w:rsid w:val="00C564FA"/>
    <w:rsid w:val="00C56E7F"/>
    <w:rsid w:val="00C63480"/>
    <w:rsid w:val="00C6468A"/>
    <w:rsid w:val="00C67B25"/>
    <w:rsid w:val="00C7172A"/>
    <w:rsid w:val="00C745C3"/>
    <w:rsid w:val="00C7549B"/>
    <w:rsid w:val="00C7582B"/>
    <w:rsid w:val="00C766BF"/>
    <w:rsid w:val="00C86842"/>
    <w:rsid w:val="00C900CD"/>
    <w:rsid w:val="00C90FCB"/>
    <w:rsid w:val="00CA1321"/>
    <w:rsid w:val="00CA2E8B"/>
    <w:rsid w:val="00CA390E"/>
    <w:rsid w:val="00CA56FF"/>
    <w:rsid w:val="00CA73A2"/>
    <w:rsid w:val="00CA797A"/>
    <w:rsid w:val="00CB1281"/>
    <w:rsid w:val="00CB13B0"/>
    <w:rsid w:val="00CB70D1"/>
    <w:rsid w:val="00CC1344"/>
    <w:rsid w:val="00CC44E0"/>
    <w:rsid w:val="00CC4AD6"/>
    <w:rsid w:val="00CE025D"/>
    <w:rsid w:val="00CE3324"/>
    <w:rsid w:val="00CE4A8F"/>
    <w:rsid w:val="00CE4B9D"/>
    <w:rsid w:val="00CE4DA7"/>
    <w:rsid w:val="00CF13A6"/>
    <w:rsid w:val="00CF2FA9"/>
    <w:rsid w:val="00CF5B9E"/>
    <w:rsid w:val="00CF6929"/>
    <w:rsid w:val="00CF6EE8"/>
    <w:rsid w:val="00D00141"/>
    <w:rsid w:val="00D008DB"/>
    <w:rsid w:val="00D030E1"/>
    <w:rsid w:val="00D0613B"/>
    <w:rsid w:val="00D067AA"/>
    <w:rsid w:val="00D06CD2"/>
    <w:rsid w:val="00D07175"/>
    <w:rsid w:val="00D0737E"/>
    <w:rsid w:val="00D1722D"/>
    <w:rsid w:val="00D17E6C"/>
    <w:rsid w:val="00D2031B"/>
    <w:rsid w:val="00D21980"/>
    <w:rsid w:val="00D24347"/>
    <w:rsid w:val="00D2448E"/>
    <w:rsid w:val="00D25FE2"/>
    <w:rsid w:val="00D279BB"/>
    <w:rsid w:val="00D305E2"/>
    <w:rsid w:val="00D307F3"/>
    <w:rsid w:val="00D317BB"/>
    <w:rsid w:val="00D3192B"/>
    <w:rsid w:val="00D31A35"/>
    <w:rsid w:val="00D35D8F"/>
    <w:rsid w:val="00D42106"/>
    <w:rsid w:val="00D427EE"/>
    <w:rsid w:val="00D43252"/>
    <w:rsid w:val="00D45103"/>
    <w:rsid w:val="00D54AB1"/>
    <w:rsid w:val="00D60093"/>
    <w:rsid w:val="00D607E3"/>
    <w:rsid w:val="00D61666"/>
    <w:rsid w:val="00D62C64"/>
    <w:rsid w:val="00D637C6"/>
    <w:rsid w:val="00D63AF3"/>
    <w:rsid w:val="00D655D5"/>
    <w:rsid w:val="00D71971"/>
    <w:rsid w:val="00D74237"/>
    <w:rsid w:val="00D74E9A"/>
    <w:rsid w:val="00D77993"/>
    <w:rsid w:val="00D81879"/>
    <w:rsid w:val="00D81A2B"/>
    <w:rsid w:val="00D91C9C"/>
    <w:rsid w:val="00D978C6"/>
    <w:rsid w:val="00DA2989"/>
    <w:rsid w:val="00DA3054"/>
    <w:rsid w:val="00DA4AC8"/>
    <w:rsid w:val="00DA67AD"/>
    <w:rsid w:val="00DB2A67"/>
    <w:rsid w:val="00DB2BED"/>
    <w:rsid w:val="00DB579F"/>
    <w:rsid w:val="00DB5D0F"/>
    <w:rsid w:val="00DC3156"/>
    <w:rsid w:val="00DC3242"/>
    <w:rsid w:val="00DC410C"/>
    <w:rsid w:val="00DD5F36"/>
    <w:rsid w:val="00DD6DB6"/>
    <w:rsid w:val="00DD738F"/>
    <w:rsid w:val="00DD7C2D"/>
    <w:rsid w:val="00DE0552"/>
    <w:rsid w:val="00DE057D"/>
    <w:rsid w:val="00DE0580"/>
    <w:rsid w:val="00DE7C9F"/>
    <w:rsid w:val="00DF0A29"/>
    <w:rsid w:val="00DF12F7"/>
    <w:rsid w:val="00DF1FBC"/>
    <w:rsid w:val="00DF2C64"/>
    <w:rsid w:val="00DF30CC"/>
    <w:rsid w:val="00DF6813"/>
    <w:rsid w:val="00E01030"/>
    <w:rsid w:val="00E01575"/>
    <w:rsid w:val="00E023E0"/>
    <w:rsid w:val="00E027C0"/>
    <w:rsid w:val="00E02BA9"/>
    <w:rsid w:val="00E02C81"/>
    <w:rsid w:val="00E06EAB"/>
    <w:rsid w:val="00E07137"/>
    <w:rsid w:val="00E07263"/>
    <w:rsid w:val="00E130AB"/>
    <w:rsid w:val="00E1360D"/>
    <w:rsid w:val="00E26913"/>
    <w:rsid w:val="00E329E0"/>
    <w:rsid w:val="00E369CA"/>
    <w:rsid w:val="00E405EE"/>
    <w:rsid w:val="00E4125F"/>
    <w:rsid w:val="00E41B04"/>
    <w:rsid w:val="00E43A7D"/>
    <w:rsid w:val="00E57B4F"/>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7921"/>
    <w:rsid w:val="00E87EC4"/>
    <w:rsid w:val="00E95C41"/>
    <w:rsid w:val="00E96630"/>
    <w:rsid w:val="00E96D11"/>
    <w:rsid w:val="00E97278"/>
    <w:rsid w:val="00E97F8A"/>
    <w:rsid w:val="00EA0243"/>
    <w:rsid w:val="00EA264E"/>
    <w:rsid w:val="00EA2D43"/>
    <w:rsid w:val="00EA3A41"/>
    <w:rsid w:val="00EA4CA3"/>
    <w:rsid w:val="00EA7F49"/>
    <w:rsid w:val="00EB15A9"/>
    <w:rsid w:val="00EB3339"/>
    <w:rsid w:val="00EB430E"/>
    <w:rsid w:val="00EB6C91"/>
    <w:rsid w:val="00EC1E1B"/>
    <w:rsid w:val="00EC2105"/>
    <w:rsid w:val="00EC326B"/>
    <w:rsid w:val="00EC3AE0"/>
    <w:rsid w:val="00EC48A8"/>
    <w:rsid w:val="00EC5C86"/>
    <w:rsid w:val="00EC65A6"/>
    <w:rsid w:val="00ED5C86"/>
    <w:rsid w:val="00ED7A2A"/>
    <w:rsid w:val="00EE6E0E"/>
    <w:rsid w:val="00EF09B7"/>
    <w:rsid w:val="00EF0A24"/>
    <w:rsid w:val="00EF1D7F"/>
    <w:rsid w:val="00EF3A31"/>
    <w:rsid w:val="00EF7CDC"/>
    <w:rsid w:val="00F05659"/>
    <w:rsid w:val="00F10E8A"/>
    <w:rsid w:val="00F14F1C"/>
    <w:rsid w:val="00F17440"/>
    <w:rsid w:val="00F23051"/>
    <w:rsid w:val="00F244D5"/>
    <w:rsid w:val="00F244F1"/>
    <w:rsid w:val="00F31D83"/>
    <w:rsid w:val="00F34768"/>
    <w:rsid w:val="00F359EF"/>
    <w:rsid w:val="00F35DD4"/>
    <w:rsid w:val="00F366BF"/>
    <w:rsid w:val="00F36C4A"/>
    <w:rsid w:val="00F377FC"/>
    <w:rsid w:val="00F429EB"/>
    <w:rsid w:val="00F434EE"/>
    <w:rsid w:val="00F44963"/>
    <w:rsid w:val="00F52A98"/>
    <w:rsid w:val="00F52B1B"/>
    <w:rsid w:val="00F53A2D"/>
    <w:rsid w:val="00F53B3F"/>
    <w:rsid w:val="00F53EDA"/>
    <w:rsid w:val="00F5718D"/>
    <w:rsid w:val="00F61158"/>
    <w:rsid w:val="00F618D8"/>
    <w:rsid w:val="00F65F0D"/>
    <w:rsid w:val="00F66BB0"/>
    <w:rsid w:val="00F707E4"/>
    <w:rsid w:val="00F70F95"/>
    <w:rsid w:val="00F72782"/>
    <w:rsid w:val="00F74D26"/>
    <w:rsid w:val="00F75508"/>
    <w:rsid w:val="00F7753D"/>
    <w:rsid w:val="00F811D5"/>
    <w:rsid w:val="00F8280A"/>
    <w:rsid w:val="00F85F34"/>
    <w:rsid w:val="00F93A12"/>
    <w:rsid w:val="00F96ABA"/>
    <w:rsid w:val="00FA06F7"/>
    <w:rsid w:val="00FA0B28"/>
    <w:rsid w:val="00FA3A6F"/>
    <w:rsid w:val="00FA51E0"/>
    <w:rsid w:val="00FA7945"/>
    <w:rsid w:val="00FB09F9"/>
    <w:rsid w:val="00FB171A"/>
    <w:rsid w:val="00FB213D"/>
    <w:rsid w:val="00FB48D5"/>
    <w:rsid w:val="00FB5541"/>
    <w:rsid w:val="00FC244C"/>
    <w:rsid w:val="00FC3D2E"/>
    <w:rsid w:val="00FC4669"/>
    <w:rsid w:val="00FC4F4B"/>
    <w:rsid w:val="00FC68B7"/>
    <w:rsid w:val="00FC6DE3"/>
    <w:rsid w:val="00FD3300"/>
    <w:rsid w:val="00FD4F7E"/>
    <w:rsid w:val="00FD7BF6"/>
    <w:rsid w:val="00FE3F20"/>
    <w:rsid w:val="00FE57F9"/>
    <w:rsid w:val="00FE6FC6"/>
    <w:rsid w:val="00FE7DCB"/>
    <w:rsid w:val="00FF0A40"/>
    <w:rsid w:val="00FF1281"/>
    <w:rsid w:val="00FF233A"/>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270FC"/>
  <w15:docId w15:val="{BA57869F-C56A-4C93-9DD7-D6BEA34F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customStyle="1" w:styleId="H1GChar">
    <w:name w:val="_ H_1_G Char"/>
    <w:link w:val="H1G"/>
    <w:qFormat/>
    <w:rsid w:val="000A2837"/>
    <w:rPr>
      <w:b/>
      <w:sz w:val="24"/>
      <w:lang w:eastAsia="en-US"/>
    </w:rPr>
  </w:style>
  <w:style w:type="character" w:customStyle="1" w:styleId="Heading1Char">
    <w:name w:val="Heading 1 Char"/>
    <w:aliases w:val="Table_G Char"/>
    <w:link w:val="Heading1"/>
    <w:rsid w:val="00AD6EF5"/>
    <w:rPr>
      <w:lang w:eastAsia="en-US"/>
    </w:rPr>
  </w:style>
  <w:style w:type="character" w:customStyle="1" w:styleId="Heading2Char">
    <w:name w:val="Heading 2 Char"/>
    <w:link w:val="Heading2"/>
    <w:rsid w:val="00AD6EF5"/>
    <w:rPr>
      <w:lang w:eastAsia="en-US"/>
    </w:rPr>
  </w:style>
  <w:style w:type="character" w:customStyle="1" w:styleId="Heading3Char">
    <w:name w:val="Heading 3 Char"/>
    <w:link w:val="Heading3"/>
    <w:rsid w:val="00AD6EF5"/>
    <w:rPr>
      <w:lang w:eastAsia="en-US"/>
    </w:rPr>
  </w:style>
  <w:style w:type="character" w:customStyle="1" w:styleId="Heading4Char">
    <w:name w:val="Heading 4 Char"/>
    <w:link w:val="Heading4"/>
    <w:rsid w:val="00AD6EF5"/>
    <w:rPr>
      <w:lang w:eastAsia="en-US"/>
    </w:rPr>
  </w:style>
  <w:style w:type="character" w:customStyle="1" w:styleId="Heading5Char">
    <w:name w:val="Heading 5 Char"/>
    <w:link w:val="Heading5"/>
    <w:rsid w:val="00AD6EF5"/>
    <w:rPr>
      <w:lang w:eastAsia="en-US"/>
    </w:rPr>
  </w:style>
  <w:style w:type="character" w:customStyle="1" w:styleId="Heading6Char">
    <w:name w:val="Heading 6 Char"/>
    <w:link w:val="Heading6"/>
    <w:rsid w:val="00AD6EF5"/>
    <w:rPr>
      <w:lang w:eastAsia="en-US"/>
    </w:rPr>
  </w:style>
  <w:style w:type="character" w:customStyle="1" w:styleId="Heading7Char">
    <w:name w:val="Heading 7 Char"/>
    <w:link w:val="Heading7"/>
    <w:rsid w:val="00AD6EF5"/>
    <w:rPr>
      <w:lang w:eastAsia="en-US"/>
    </w:rPr>
  </w:style>
  <w:style w:type="character" w:customStyle="1" w:styleId="Heading8Char">
    <w:name w:val="Heading 8 Char"/>
    <w:link w:val="Heading8"/>
    <w:rsid w:val="00AD6EF5"/>
    <w:rPr>
      <w:lang w:eastAsia="en-US"/>
    </w:rPr>
  </w:style>
  <w:style w:type="character" w:customStyle="1" w:styleId="Heading9Char">
    <w:name w:val="Heading 9 Char"/>
    <w:link w:val="Heading9"/>
    <w:rsid w:val="00AD6EF5"/>
    <w:rPr>
      <w:lang w:eastAsia="en-US"/>
    </w:rPr>
  </w:style>
  <w:style w:type="character" w:customStyle="1" w:styleId="HeaderChar">
    <w:name w:val="Header Char"/>
    <w:aliases w:val="6_G Char"/>
    <w:link w:val="Header"/>
    <w:rsid w:val="00AD6EF5"/>
    <w:rPr>
      <w:b/>
      <w:sz w:val="18"/>
      <w:lang w:eastAsia="en-US"/>
    </w:rPr>
  </w:style>
  <w:style w:type="character" w:customStyle="1" w:styleId="FooterChar">
    <w:name w:val="Footer Char"/>
    <w:aliases w:val="3_G Char"/>
    <w:link w:val="Footer"/>
    <w:rsid w:val="00AD6EF5"/>
    <w:rPr>
      <w:sz w:val="16"/>
      <w:lang w:eastAsia="en-US"/>
    </w:rPr>
  </w:style>
  <w:style w:type="paragraph" w:customStyle="1" w:styleId="ParNoG">
    <w:name w:val="_ParNo_G"/>
    <w:basedOn w:val="SingleTxtG"/>
    <w:qFormat/>
    <w:rsid w:val="00AD6EF5"/>
    <w:pPr>
      <w:numPr>
        <w:numId w:val="10"/>
      </w:numPr>
      <w:tabs>
        <w:tab w:val="clear" w:pos="1701"/>
        <w:tab w:val="num" w:pos="360"/>
      </w:tabs>
      <w:suppressAutoHyphens w:val="0"/>
    </w:pPr>
    <w:rPr>
      <w:lang w:eastAsia="zh-CN"/>
    </w:rPr>
  </w:style>
  <w:style w:type="numbering" w:styleId="111111">
    <w:name w:val="Outline List 2"/>
    <w:basedOn w:val="NoList"/>
    <w:semiHidden/>
    <w:rsid w:val="00AD6EF5"/>
    <w:pPr>
      <w:numPr>
        <w:numId w:val="5"/>
      </w:numPr>
    </w:pPr>
  </w:style>
  <w:style w:type="numbering" w:styleId="1ai">
    <w:name w:val="Outline List 1"/>
    <w:basedOn w:val="NoList"/>
    <w:semiHidden/>
    <w:rsid w:val="00AD6EF5"/>
    <w:pPr>
      <w:numPr>
        <w:numId w:val="6"/>
      </w:numPr>
    </w:pPr>
  </w:style>
  <w:style w:type="character" w:customStyle="1" w:styleId="EndnoteTextChar">
    <w:name w:val="Endnote Text Char"/>
    <w:aliases w:val="2_G Char"/>
    <w:link w:val="EndnoteText"/>
    <w:rsid w:val="00AD6EF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768621448">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963683488">
      <w:bodyDiv w:val="1"/>
      <w:marLeft w:val="0"/>
      <w:marRight w:val="0"/>
      <w:marTop w:val="0"/>
      <w:marBottom w:val="0"/>
      <w:divBdr>
        <w:top w:val="none" w:sz="0" w:space="0" w:color="auto"/>
        <w:left w:val="none" w:sz="0" w:space="0" w:color="auto"/>
        <w:bottom w:val="none" w:sz="0" w:space="0" w:color="auto"/>
        <w:right w:val="none" w:sz="0" w:space="0" w:color="auto"/>
      </w:divBdr>
    </w:div>
    <w:div w:id="2045253643">
      <w:bodyDiv w:val="1"/>
      <w:marLeft w:val="0"/>
      <w:marRight w:val="0"/>
      <w:marTop w:val="0"/>
      <w:marBottom w:val="0"/>
      <w:divBdr>
        <w:top w:val="none" w:sz="0" w:space="0" w:color="auto"/>
        <w:left w:val="none" w:sz="0" w:space="0" w:color="auto"/>
        <w:bottom w:val="none" w:sz="0" w:space="0" w:color="auto"/>
        <w:right w:val="none" w:sz="0" w:space="0" w:color="auto"/>
      </w:divBdr>
    </w:div>
    <w:div w:id="20718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4B0622BE-91E1-45DF-9B61-85653792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367F1-9436-4098-9B61-7F2E306686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12</Pages>
  <Words>4284</Words>
  <Characters>24419</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UN/SCEGHS/19/INF</vt:lpstr>
      <vt:lpstr>UN/SCEGHS/19/INF</vt:lpstr>
    </vt:vector>
  </TitlesOfParts>
  <Company>CSD</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Laurence Berthet</cp:lastModifiedBy>
  <cp:revision>10</cp:revision>
  <cp:lastPrinted>2022-05-30T07:43:00Z</cp:lastPrinted>
  <dcterms:created xsi:type="dcterms:W3CDTF">2022-06-13T09:56:00Z</dcterms:created>
  <dcterms:modified xsi:type="dcterms:W3CDTF">2022-06-14T06:43:00Z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ies>
</file>