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C9AC0A1" w:rsidR="00FC215C" w:rsidRPr="00E44D34" w:rsidRDefault="00FC215C" w:rsidP="00B666B2">
            <w:pPr>
              <w:jc w:val="right"/>
              <w:rPr>
                <w:b/>
                <w:sz w:val="40"/>
                <w:szCs w:val="40"/>
              </w:rPr>
            </w:pPr>
            <w:r w:rsidRPr="00E44D34">
              <w:rPr>
                <w:b/>
                <w:sz w:val="40"/>
                <w:szCs w:val="40"/>
              </w:rPr>
              <w:t>UN/SCETDG/</w:t>
            </w:r>
            <w:r w:rsidR="00EA4C53">
              <w:rPr>
                <w:b/>
                <w:sz w:val="40"/>
                <w:szCs w:val="40"/>
              </w:rPr>
              <w:t>60</w:t>
            </w:r>
            <w:r w:rsidRPr="00E44D34">
              <w:rPr>
                <w:b/>
                <w:sz w:val="40"/>
                <w:szCs w:val="40"/>
              </w:rPr>
              <w:t>/</w:t>
            </w:r>
            <w:r w:rsidR="00EB6BA6">
              <w:rPr>
                <w:b/>
                <w:sz w:val="40"/>
                <w:szCs w:val="40"/>
              </w:rPr>
              <w:t>INF</w:t>
            </w:r>
            <w:r w:rsidR="00DF4A63">
              <w:rPr>
                <w:b/>
                <w:sz w:val="40"/>
                <w:szCs w:val="40"/>
              </w:rPr>
              <w:t>.</w:t>
            </w:r>
            <w:r w:rsidR="00F211EA">
              <w:rPr>
                <w:b/>
                <w:sz w:val="40"/>
                <w:szCs w:val="40"/>
              </w:rPr>
              <w:t>9</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AE6BB3" w14:paraId="49111E43" w14:textId="77777777" w:rsidTr="00D73803">
        <w:tc>
          <w:tcPr>
            <w:tcW w:w="9645" w:type="dxa"/>
            <w:tcMar>
              <w:top w:w="142" w:type="dxa"/>
              <w:left w:w="108" w:type="dxa"/>
              <w:bottom w:w="142" w:type="dxa"/>
              <w:right w:w="108" w:type="dxa"/>
            </w:tcMar>
          </w:tcPr>
          <w:p w14:paraId="659610D8" w14:textId="41C1722C" w:rsidR="00645A0B" w:rsidRPr="00AE6BB3" w:rsidRDefault="00645A0B" w:rsidP="00EE2966">
            <w:pPr>
              <w:tabs>
                <w:tab w:val="right" w:pos="9214"/>
              </w:tabs>
            </w:pPr>
            <w:r w:rsidRPr="00AE6BB3">
              <w:rPr>
                <w:b/>
                <w:sz w:val="24"/>
                <w:szCs w:val="24"/>
              </w:rPr>
              <w:t>Committee of Experts on the Transport of Dangerous Goods</w:t>
            </w:r>
            <w:r w:rsidRPr="00AE6BB3">
              <w:rPr>
                <w:b/>
                <w:sz w:val="24"/>
                <w:szCs w:val="24"/>
              </w:rPr>
              <w:br/>
              <w:t>and on the Globally Harmonized System of Classification</w:t>
            </w:r>
            <w:r w:rsidRPr="00AE6BB3">
              <w:rPr>
                <w:b/>
                <w:sz w:val="24"/>
                <w:szCs w:val="24"/>
              </w:rPr>
              <w:br/>
              <w:t>and Labelling of Chemicals</w:t>
            </w:r>
            <w:r w:rsidRPr="00AE6BB3">
              <w:rPr>
                <w:b/>
              </w:rPr>
              <w:tab/>
            </w:r>
            <w:r w:rsidR="00F211EA">
              <w:rPr>
                <w:b/>
              </w:rPr>
              <w:t>30</w:t>
            </w:r>
            <w:r w:rsidR="00EA4C53">
              <w:rPr>
                <w:b/>
              </w:rPr>
              <w:t xml:space="preserve"> May</w:t>
            </w:r>
            <w:r w:rsidR="00AD7C5F" w:rsidRPr="00AE6BB3">
              <w:rPr>
                <w:b/>
              </w:rPr>
              <w:t xml:space="preserve"> 202</w:t>
            </w:r>
            <w:r w:rsidR="00EA4C53">
              <w:rPr>
                <w:b/>
              </w:rPr>
              <w:t>2</w:t>
            </w:r>
          </w:p>
        </w:tc>
      </w:tr>
      <w:tr w:rsidR="00006E29" w:rsidRPr="00AE6BB3" w14:paraId="6574E88D" w14:textId="77777777" w:rsidTr="00555FEA">
        <w:trPr>
          <w:trHeight w:val="1828"/>
        </w:trPr>
        <w:tc>
          <w:tcPr>
            <w:tcW w:w="9645" w:type="dxa"/>
            <w:tcMar>
              <w:top w:w="57" w:type="dxa"/>
              <w:left w:w="108" w:type="dxa"/>
              <w:bottom w:w="0" w:type="dxa"/>
              <w:right w:w="108" w:type="dxa"/>
            </w:tcMar>
            <w:vAlign w:val="center"/>
          </w:tcPr>
          <w:p w14:paraId="7E6E1C31" w14:textId="100C180E" w:rsidR="00006E29" w:rsidRPr="00AE6BB3" w:rsidRDefault="00006E29" w:rsidP="00D73803">
            <w:pPr>
              <w:spacing w:before="40"/>
              <w:rPr>
                <w:b/>
              </w:rPr>
            </w:pPr>
            <w:r w:rsidRPr="00AE6BB3">
              <w:rPr>
                <w:b/>
              </w:rPr>
              <w:t>Sub-Committee of Experts on the Transport of Dangerous Goods</w:t>
            </w:r>
          </w:p>
          <w:p w14:paraId="613C7C0F" w14:textId="616FE9B7" w:rsidR="00006E29" w:rsidRPr="00AE6BB3" w:rsidRDefault="00EA4C53" w:rsidP="00CB2799">
            <w:pPr>
              <w:spacing w:before="120" w:line="240" w:lineRule="auto"/>
              <w:ind w:left="34" w:hanging="34"/>
              <w:rPr>
                <w:b/>
              </w:rPr>
            </w:pPr>
            <w:r>
              <w:rPr>
                <w:b/>
              </w:rPr>
              <w:t>Sixtieth</w:t>
            </w:r>
            <w:r w:rsidR="00006E29" w:rsidRPr="00AE6BB3">
              <w:rPr>
                <w:b/>
              </w:rPr>
              <w:t xml:space="preserve"> session</w:t>
            </w:r>
          </w:p>
          <w:p w14:paraId="3BDE97DE" w14:textId="23C5C746" w:rsidR="00006E29" w:rsidRPr="00AE6BB3" w:rsidRDefault="000E5E08" w:rsidP="00597048">
            <w:pPr>
              <w:rPr>
                <w:b/>
              </w:rPr>
            </w:pPr>
            <w:r>
              <w:t>Geneva, 27 June-6 July 2022</w:t>
            </w:r>
            <w:r w:rsidR="00006E29" w:rsidRPr="00AE6BB3">
              <w:br/>
              <w:t xml:space="preserve">Item </w:t>
            </w:r>
            <w:r w:rsidR="002017E8" w:rsidRPr="00AE6BB3">
              <w:t>6 (</w:t>
            </w:r>
            <w:r w:rsidR="00EA4C53">
              <w:t>a</w:t>
            </w:r>
            <w:r w:rsidR="002017E8" w:rsidRPr="00AE6BB3">
              <w:t>)</w:t>
            </w:r>
            <w:r w:rsidR="00006E29" w:rsidRPr="00AE6BB3">
              <w:t xml:space="preserve"> of the provisional agenda</w:t>
            </w:r>
            <w:r w:rsidR="00006E29" w:rsidRPr="00AE6BB3">
              <w:br/>
            </w:r>
            <w:r w:rsidR="002017E8" w:rsidRPr="00AE6BB3">
              <w:rPr>
                <w:b/>
                <w:bCs/>
              </w:rPr>
              <w:t xml:space="preserve">Miscellaneous proposals for amendments to the Model Regulations </w:t>
            </w:r>
            <w:r w:rsidR="002017E8" w:rsidRPr="00AE6BB3">
              <w:rPr>
                <w:b/>
                <w:bCs/>
              </w:rPr>
              <w:br/>
              <w:t xml:space="preserve">on the Transport of Dangerous Goods: </w:t>
            </w:r>
            <w:r w:rsidR="00F211EA">
              <w:rPr>
                <w:b/>
                <w:bCs/>
              </w:rPr>
              <w:t>m</w:t>
            </w:r>
            <w:r w:rsidR="001C6213">
              <w:rPr>
                <w:b/>
                <w:bCs/>
              </w:rPr>
              <w:t>arking and labelling</w:t>
            </w:r>
          </w:p>
        </w:tc>
      </w:tr>
    </w:tbl>
    <w:p w14:paraId="3A04BCAC" w14:textId="480AE69C" w:rsidR="00226317" w:rsidRPr="00AE6BB3" w:rsidRDefault="00226317" w:rsidP="00226317">
      <w:pPr>
        <w:pStyle w:val="HChG"/>
        <w:rPr>
          <w:lang w:val="en-GB"/>
        </w:rPr>
      </w:pPr>
      <w:r w:rsidRPr="00AE6BB3">
        <w:rPr>
          <w:lang w:val="en-GB"/>
        </w:rPr>
        <w:tab/>
      </w:r>
      <w:r w:rsidRPr="00AE6BB3">
        <w:rPr>
          <w:lang w:val="en-GB"/>
        </w:rPr>
        <w:tab/>
      </w:r>
      <w:r w:rsidR="009F7001">
        <w:rPr>
          <w:lang w:val="en-GB"/>
        </w:rPr>
        <w:t xml:space="preserve">Consideration of the use of the </w:t>
      </w:r>
      <w:r w:rsidR="003C208B">
        <w:rPr>
          <w:lang w:val="en-GB"/>
        </w:rPr>
        <w:t xml:space="preserve">lithium battery Class 9 hazard label (Model No. 9A) </w:t>
      </w:r>
      <w:r w:rsidR="00846F2A">
        <w:rPr>
          <w:lang w:val="en-GB"/>
        </w:rPr>
        <w:t>on vehicles powered by lithium batteries</w:t>
      </w:r>
    </w:p>
    <w:p w14:paraId="62C6D94A" w14:textId="43A98F41" w:rsidR="00226317" w:rsidRPr="00AE6BB3" w:rsidRDefault="00226317" w:rsidP="00226317">
      <w:pPr>
        <w:pStyle w:val="H1G"/>
      </w:pPr>
      <w:r w:rsidRPr="00AE6BB3">
        <w:tab/>
      </w:r>
      <w:r w:rsidRPr="00AE6BB3">
        <w:tab/>
      </w:r>
      <w:r w:rsidR="00A13E52">
        <w:t>Submitted</w:t>
      </w:r>
      <w:r w:rsidRPr="00AE6BB3">
        <w:t xml:space="preserve"> by </w:t>
      </w:r>
      <w:r w:rsidR="001C6213">
        <w:t xml:space="preserve">the International Air </w:t>
      </w:r>
      <w:r w:rsidR="00574E70">
        <w:t>Transport Association (IATA)</w:t>
      </w:r>
    </w:p>
    <w:p w14:paraId="1B70811D" w14:textId="51ABD884" w:rsidR="00AC2249" w:rsidRDefault="00AC2249" w:rsidP="00AC2249">
      <w:pPr>
        <w:pStyle w:val="HChG"/>
        <w:rPr>
          <w:lang w:val="en-GB"/>
        </w:rPr>
      </w:pPr>
      <w:r w:rsidRPr="00AE6BB3">
        <w:rPr>
          <w:lang w:val="en-GB"/>
        </w:rPr>
        <w:tab/>
      </w:r>
      <w:r w:rsidRPr="00AE6BB3">
        <w:rPr>
          <w:lang w:val="en-GB"/>
        </w:rPr>
        <w:tab/>
      </w:r>
      <w:r>
        <w:rPr>
          <w:lang w:val="en-GB"/>
        </w:rPr>
        <w:t>Introduction</w:t>
      </w:r>
    </w:p>
    <w:p w14:paraId="1A242B88" w14:textId="697ED3BB" w:rsidR="009C7D98" w:rsidRDefault="00226317" w:rsidP="00226317">
      <w:pPr>
        <w:pStyle w:val="SingleTxtG"/>
        <w:rPr>
          <w:lang w:val="en-GB"/>
        </w:rPr>
      </w:pPr>
      <w:r w:rsidRPr="00AE6BB3">
        <w:rPr>
          <w:lang w:val="en-GB"/>
        </w:rPr>
        <w:tab/>
        <w:t>1.</w:t>
      </w:r>
      <w:r w:rsidRPr="00AE6BB3">
        <w:rPr>
          <w:lang w:val="en-GB"/>
        </w:rPr>
        <w:tab/>
      </w:r>
      <w:r w:rsidR="002B60BC">
        <w:rPr>
          <w:lang w:val="en-GB"/>
        </w:rPr>
        <w:t xml:space="preserve">At the </w:t>
      </w:r>
      <w:r w:rsidR="00F211EA">
        <w:rPr>
          <w:lang w:val="en-GB"/>
        </w:rPr>
        <w:t>forty-sixth</w:t>
      </w:r>
      <w:r w:rsidR="002B60BC">
        <w:rPr>
          <w:lang w:val="en-GB"/>
        </w:rPr>
        <w:t xml:space="preserve"> session of the </w:t>
      </w:r>
      <w:r w:rsidR="00341391">
        <w:rPr>
          <w:lang w:val="en-GB"/>
        </w:rPr>
        <w:t>Sub</w:t>
      </w:r>
      <w:r w:rsidR="00F211EA">
        <w:rPr>
          <w:lang w:val="en-GB"/>
        </w:rPr>
        <w:t>-C</w:t>
      </w:r>
      <w:r w:rsidR="00341391">
        <w:rPr>
          <w:lang w:val="en-GB"/>
        </w:rPr>
        <w:t>ommittee in December 2014, the Sub</w:t>
      </w:r>
      <w:r w:rsidR="00F211EA">
        <w:rPr>
          <w:lang w:val="en-GB"/>
        </w:rPr>
        <w:t>-C</w:t>
      </w:r>
      <w:r w:rsidR="00341391">
        <w:rPr>
          <w:lang w:val="en-GB"/>
        </w:rPr>
        <w:t xml:space="preserve">ommittee agreed to adopt into the </w:t>
      </w:r>
      <w:r w:rsidR="00E67FBB">
        <w:rPr>
          <w:lang w:val="en-GB"/>
        </w:rPr>
        <w:t>nineteenth</w:t>
      </w:r>
      <w:r w:rsidR="008B7763">
        <w:rPr>
          <w:lang w:val="en-GB"/>
        </w:rPr>
        <w:t xml:space="preserve"> revised edition of the </w:t>
      </w:r>
      <w:r w:rsidR="003729C1">
        <w:rPr>
          <w:lang w:val="en-GB"/>
        </w:rPr>
        <w:t>Model Regulations a new hazard label</w:t>
      </w:r>
      <w:r w:rsidR="001218DD">
        <w:rPr>
          <w:lang w:val="en-GB"/>
        </w:rPr>
        <w:t xml:space="preserve"> (Model </w:t>
      </w:r>
      <w:r w:rsidR="00173C85">
        <w:rPr>
          <w:lang w:val="en-GB"/>
        </w:rPr>
        <w:t>N</w:t>
      </w:r>
      <w:r w:rsidR="001218DD">
        <w:rPr>
          <w:lang w:val="en-GB"/>
        </w:rPr>
        <w:t>o. 9A)</w:t>
      </w:r>
      <w:r w:rsidR="003729C1">
        <w:rPr>
          <w:lang w:val="en-GB"/>
        </w:rPr>
        <w:t xml:space="preserve"> specifically for lithium batteries</w:t>
      </w:r>
      <w:r w:rsidR="005B4811">
        <w:rPr>
          <w:lang w:val="en-GB"/>
        </w:rPr>
        <w:t xml:space="preserve">, UN </w:t>
      </w:r>
      <w:r w:rsidR="00173C85">
        <w:rPr>
          <w:lang w:val="en-GB"/>
        </w:rPr>
        <w:t>Nos. 3090, 3091, 3480 and 3481</w:t>
      </w:r>
      <w:r w:rsidR="001A779F">
        <w:rPr>
          <w:lang w:val="en-GB"/>
        </w:rPr>
        <w:t xml:space="preserve">. </w:t>
      </w:r>
      <w:r w:rsidR="008B7763">
        <w:rPr>
          <w:lang w:val="en-GB"/>
        </w:rPr>
        <w:t xml:space="preserve">The new hazard </w:t>
      </w:r>
      <w:r w:rsidR="00846F2A">
        <w:rPr>
          <w:lang w:val="en-GB"/>
        </w:rPr>
        <w:t xml:space="preserve">label </w:t>
      </w:r>
      <w:r w:rsidR="001A4C53">
        <w:rPr>
          <w:lang w:val="en-GB"/>
        </w:rPr>
        <w:t xml:space="preserve">became effective in the modal regulations </w:t>
      </w:r>
      <w:r w:rsidR="00412BC5">
        <w:rPr>
          <w:lang w:val="en-GB"/>
        </w:rPr>
        <w:t>from</w:t>
      </w:r>
      <w:r w:rsidR="001A4C53">
        <w:rPr>
          <w:lang w:val="en-GB"/>
        </w:rPr>
        <w:t xml:space="preserve"> </w:t>
      </w:r>
      <w:r w:rsidR="00F11F65">
        <w:rPr>
          <w:lang w:val="en-GB"/>
        </w:rPr>
        <w:t xml:space="preserve">1 January 2017 with </w:t>
      </w:r>
      <w:r w:rsidR="00B3522E">
        <w:rPr>
          <w:lang w:val="en-GB"/>
        </w:rPr>
        <w:t>a transitional period until 31 December 2018</w:t>
      </w:r>
      <w:r w:rsidR="009C7D98">
        <w:rPr>
          <w:lang w:val="en-GB"/>
        </w:rPr>
        <w:t xml:space="preserve">, after which time it became mandatory. </w:t>
      </w:r>
    </w:p>
    <w:p w14:paraId="018ADEAD" w14:textId="34772293" w:rsidR="00226317" w:rsidRDefault="004E7DD9" w:rsidP="00226317">
      <w:pPr>
        <w:pStyle w:val="SingleTxtG"/>
        <w:rPr>
          <w:lang w:val="en-GB"/>
        </w:rPr>
      </w:pPr>
      <w:r>
        <w:rPr>
          <w:lang w:val="en-GB"/>
        </w:rPr>
        <w:t>2.</w:t>
      </w:r>
      <w:r>
        <w:rPr>
          <w:lang w:val="en-GB"/>
        </w:rPr>
        <w:tab/>
      </w:r>
      <w:r w:rsidR="000115F2">
        <w:rPr>
          <w:lang w:val="en-GB"/>
        </w:rPr>
        <w:t xml:space="preserve">The purpose of the new hazard label was to provide better hazard communication </w:t>
      </w:r>
      <w:r w:rsidR="002F18B9">
        <w:rPr>
          <w:lang w:val="en-GB"/>
        </w:rPr>
        <w:t>for consignments of lithium batteries, including when packed with equipment and contained in equipment</w:t>
      </w:r>
      <w:r w:rsidR="00F00C72">
        <w:rPr>
          <w:lang w:val="en-GB"/>
        </w:rPr>
        <w:t>, recognising that the hazard</w:t>
      </w:r>
      <w:r w:rsidR="00947E32">
        <w:rPr>
          <w:lang w:val="en-GB"/>
        </w:rPr>
        <w:t>s</w:t>
      </w:r>
      <w:r w:rsidR="00F00C72">
        <w:rPr>
          <w:lang w:val="en-GB"/>
        </w:rPr>
        <w:t xml:space="preserve"> associated with lithium batteries </w:t>
      </w:r>
      <w:r w:rsidR="00770375">
        <w:rPr>
          <w:lang w:val="en-GB"/>
        </w:rPr>
        <w:t>in the event of a fire are very different and require</w:t>
      </w:r>
      <w:r w:rsidR="00F51F73">
        <w:rPr>
          <w:lang w:val="en-GB"/>
        </w:rPr>
        <w:t xml:space="preserve"> specific consideration.</w:t>
      </w:r>
    </w:p>
    <w:p w14:paraId="555F959B" w14:textId="39971C26" w:rsidR="00F51F73" w:rsidRDefault="00F51F73" w:rsidP="00226317">
      <w:pPr>
        <w:pStyle w:val="SingleTxtG"/>
        <w:rPr>
          <w:lang w:val="en-GB"/>
        </w:rPr>
      </w:pPr>
      <w:r>
        <w:rPr>
          <w:lang w:val="en-GB"/>
        </w:rPr>
        <w:t>3.</w:t>
      </w:r>
      <w:r>
        <w:rPr>
          <w:lang w:val="en-GB"/>
        </w:rPr>
        <w:tab/>
        <w:t>In the intervening period, the</w:t>
      </w:r>
      <w:r w:rsidR="00A11201">
        <w:rPr>
          <w:lang w:val="en-GB"/>
        </w:rPr>
        <w:t>re has been a very significant increase in the volume of lithium batteries being transport</w:t>
      </w:r>
      <w:r w:rsidR="00655A5E">
        <w:rPr>
          <w:lang w:val="en-GB"/>
        </w:rPr>
        <w:t>ed</w:t>
      </w:r>
      <w:r w:rsidR="00A11201">
        <w:rPr>
          <w:lang w:val="en-GB"/>
        </w:rPr>
        <w:t xml:space="preserve"> </w:t>
      </w:r>
      <w:r w:rsidR="00DA277F">
        <w:rPr>
          <w:lang w:val="en-GB"/>
        </w:rPr>
        <w:t xml:space="preserve">as industries have recognised that lithium batteries </w:t>
      </w:r>
      <w:r w:rsidR="00780864">
        <w:rPr>
          <w:lang w:val="en-GB"/>
        </w:rPr>
        <w:t xml:space="preserve">provide an excellent source of power </w:t>
      </w:r>
      <w:r w:rsidR="005720F5">
        <w:rPr>
          <w:lang w:val="en-GB"/>
        </w:rPr>
        <w:t>with a much higher power to weight ratio compared to other battery technologies</w:t>
      </w:r>
      <w:r w:rsidR="00C86D7C">
        <w:rPr>
          <w:lang w:val="en-GB"/>
        </w:rPr>
        <w:t>, such as nickel-metal hydride and wet, non-spillable batteries.</w:t>
      </w:r>
    </w:p>
    <w:p w14:paraId="749C313F" w14:textId="0D9F8F4F" w:rsidR="00C86D7C" w:rsidRDefault="00C86D7C" w:rsidP="00226317">
      <w:pPr>
        <w:pStyle w:val="SingleTxtG"/>
        <w:rPr>
          <w:lang w:val="en-GB"/>
        </w:rPr>
      </w:pPr>
      <w:r>
        <w:rPr>
          <w:lang w:val="en-GB"/>
        </w:rPr>
        <w:t>4.</w:t>
      </w:r>
      <w:r>
        <w:rPr>
          <w:lang w:val="en-GB"/>
        </w:rPr>
        <w:tab/>
      </w:r>
      <w:r w:rsidR="00BF4FF0">
        <w:rPr>
          <w:lang w:val="en-GB"/>
        </w:rPr>
        <w:t xml:space="preserve">One area that has seen significant innovation </w:t>
      </w:r>
      <w:r w:rsidR="00B174E3">
        <w:rPr>
          <w:lang w:val="en-GB"/>
        </w:rPr>
        <w:t xml:space="preserve">with </w:t>
      </w:r>
      <w:r w:rsidR="00BF4FF0">
        <w:rPr>
          <w:lang w:val="en-GB"/>
        </w:rPr>
        <w:t xml:space="preserve">the use of lithium ion batteries is </w:t>
      </w:r>
      <w:r w:rsidR="00BE3584">
        <w:rPr>
          <w:lang w:val="en-GB"/>
        </w:rPr>
        <w:t xml:space="preserve">the massive growth in personal mobility devices, such as e-bikes, </w:t>
      </w:r>
      <w:r w:rsidR="00BB796B">
        <w:rPr>
          <w:lang w:val="en-GB"/>
        </w:rPr>
        <w:t>e-scooters, e-skateboards</w:t>
      </w:r>
      <w:r w:rsidR="00BE3584">
        <w:rPr>
          <w:lang w:val="en-GB"/>
        </w:rPr>
        <w:t xml:space="preserve"> </w:t>
      </w:r>
      <w:r w:rsidR="003A637E">
        <w:rPr>
          <w:lang w:val="en-GB"/>
        </w:rPr>
        <w:t>and other lightweight vehicles</w:t>
      </w:r>
      <w:r w:rsidR="005F414E">
        <w:rPr>
          <w:lang w:val="en-GB"/>
        </w:rPr>
        <w:t xml:space="preserve">. </w:t>
      </w:r>
    </w:p>
    <w:p w14:paraId="510ED822" w14:textId="07916FE0" w:rsidR="00E444BE" w:rsidRDefault="00E444BE" w:rsidP="00226317">
      <w:pPr>
        <w:pStyle w:val="SingleTxtG"/>
        <w:rPr>
          <w:lang w:val="en-GB"/>
        </w:rPr>
      </w:pPr>
      <w:r>
        <w:rPr>
          <w:lang w:val="en-GB"/>
        </w:rPr>
        <w:t>5.</w:t>
      </w:r>
      <w:r>
        <w:rPr>
          <w:lang w:val="en-GB"/>
        </w:rPr>
        <w:tab/>
        <w:t xml:space="preserve">These lightweight vehicles are typically shipped </w:t>
      </w:r>
      <w:r w:rsidR="00D913AC">
        <w:rPr>
          <w:lang w:val="en-GB"/>
        </w:rPr>
        <w:t xml:space="preserve">from the manufacturer </w:t>
      </w:r>
      <w:r w:rsidR="006A049B">
        <w:rPr>
          <w:lang w:val="en-GB"/>
        </w:rPr>
        <w:t xml:space="preserve">and distribution centres </w:t>
      </w:r>
      <w:r w:rsidR="00D913AC">
        <w:rPr>
          <w:lang w:val="en-GB"/>
        </w:rPr>
        <w:t>packed in fibreboard boxes</w:t>
      </w:r>
      <w:r w:rsidR="006A049B">
        <w:rPr>
          <w:lang w:val="en-GB"/>
        </w:rPr>
        <w:t xml:space="preserve"> with potentially hundreds or even thousands of small vehicles in a consignment</w:t>
      </w:r>
      <w:r w:rsidR="00C60CA4">
        <w:rPr>
          <w:lang w:val="en-GB"/>
        </w:rPr>
        <w:t xml:space="preserve"> </w:t>
      </w:r>
      <w:r w:rsidR="00432057">
        <w:rPr>
          <w:lang w:val="en-GB"/>
        </w:rPr>
        <w:t>moving in air, maritime and road transport</w:t>
      </w:r>
      <w:r w:rsidR="00197EBE">
        <w:rPr>
          <w:lang w:val="en-GB"/>
        </w:rPr>
        <w:t>.</w:t>
      </w:r>
    </w:p>
    <w:p w14:paraId="378DABEA" w14:textId="1CC81A50" w:rsidR="005F414E" w:rsidRDefault="00F51EBE" w:rsidP="00226317">
      <w:pPr>
        <w:pStyle w:val="SingleTxtG"/>
        <w:rPr>
          <w:lang w:val="en-GB"/>
        </w:rPr>
      </w:pPr>
      <w:r>
        <w:rPr>
          <w:lang w:val="en-GB"/>
        </w:rPr>
        <w:t>6</w:t>
      </w:r>
      <w:r w:rsidR="005F414E">
        <w:rPr>
          <w:lang w:val="en-GB"/>
        </w:rPr>
        <w:t>.</w:t>
      </w:r>
      <w:r w:rsidR="005F414E">
        <w:rPr>
          <w:lang w:val="en-GB"/>
        </w:rPr>
        <w:tab/>
        <w:t>The issue though is that these are classified as UN 3171</w:t>
      </w:r>
      <w:r w:rsidR="00F65666">
        <w:rPr>
          <w:lang w:val="en-GB"/>
        </w:rPr>
        <w:t>, BATTERY-POWERED VEHICLE</w:t>
      </w:r>
      <w:r w:rsidR="00E00E7F">
        <w:rPr>
          <w:lang w:val="en-GB"/>
        </w:rPr>
        <w:t xml:space="preserve"> and therefore while the hazard is the same as for UN Nos</w:t>
      </w:r>
      <w:r w:rsidR="00D4270D">
        <w:rPr>
          <w:lang w:val="en-GB"/>
        </w:rPr>
        <w:t>. 3090, 3091, 3480 and 3481, this hazard is not identified when the consignments are in transport</w:t>
      </w:r>
      <w:r w:rsidR="0074620D">
        <w:rPr>
          <w:lang w:val="en-GB"/>
        </w:rPr>
        <w:t xml:space="preserve">. </w:t>
      </w:r>
      <w:r w:rsidR="006E4D87">
        <w:rPr>
          <w:lang w:val="en-GB"/>
        </w:rPr>
        <w:t>I</w:t>
      </w:r>
      <w:r w:rsidR="00197EBE">
        <w:rPr>
          <w:lang w:val="en-GB"/>
        </w:rPr>
        <w:t>n air and maritime transport</w:t>
      </w:r>
      <w:r w:rsidR="00AA76AE">
        <w:rPr>
          <w:lang w:val="en-GB"/>
        </w:rPr>
        <w:t>,</w:t>
      </w:r>
      <w:r w:rsidR="00197EBE">
        <w:rPr>
          <w:lang w:val="en-GB"/>
        </w:rPr>
        <w:t xml:space="preserve"> the packages bear just the Class 9 hazard label</w:t>
      </w:r>
      <w:r w:rsidR="001D3212">
        <w:rPr>
          <w:lang w:val="en-GB"/>
        </w:rPr>
        <w:t>, and there is no indication of the presence of lithium batteries.</w:t>
      </w:r>
    </w:p>
    <w:p w14:paraId="70C504B0" w14:textId="5509440A" w:rsidR="001D3212" w:rsidRDefault="00F51EBE" w:rsidP="00226317">
      <w:pPr>
        <w:pStyle w:val="SingleTxtG"/>
        <w:rPr>
          <w:lang w:val="en-GB"/>
        </w:rPr>
      </w:pPr>
      <w:r>
        <w:rPr>
          <w:lang w:val="en-GB"/>
        </w:rPr>
        <w:t>7</w:t>
      </w:r>
      <w:r w:rsidR="001D3212">
        <w:rPr>
          <w:lang w:val="en-GB"/>
        </w:rPr>
        <w:t>.</w:t>
      </w:r>
      <w:r w:rsidR="001D3212">
        <w:rPr>
          <w:lang w:val="en-GB"/>
        </w:rPr>
        <w:tab/>
      </w:r>
      <w:r w:rsidR="0092124B">
        <w:rPr>
          <w:lang w:val="en-GB"/>
        </w:rPr>
        <w:t>For air transport</w:t>
      </w:r>
      <w:r w:rsidR="008906F0">
        <w:rPr>
          <w:lang w:val="en-GB"/>
        </w:rPr>
        <w:t>, airlines have implemented a systems approach to safety</w:t>
      </w:r>
      <w:r w:rsidR="00E2686B">
        <w:rPr>
          <w:lang w:val="en-GB"/>
        </w:rPr>
        <w:t xml:space="preserve">, including the performance of safety risk assessments to identify the hazards associated with </w:t>
      </w:r>
      <w:r w:rsidR="00A21303">
        <w:rPr>
          <w:lang w:val="en-GB"/>
        </w:rPr>
        <w:t>goods being transport</w:t>
      </w:r>
      <w:r w:rsidR="00862C04">
        <w:rPr>
          <w:lang w:val="en-GB"/>
        </w:rPr>
        <w:t>ed</w:t>
      </w:r>
      <w:r w:rsidR="00A21303">
        <w:rPr>
          <w:lang w:val="en-GB"/>
        </w:rPr>
        <w:t xml:space="preserve"> and then the potential risks</w:t>
      </w:r>
      <w:r w:rsidR="0092124B">
        <w:rPr>
          <w:lang w:val="en-GB"/>
        </w:rPr>
        <w:t xml:space="preserve"> </w:t>
      </w:r>
      <w:r w:rsidR="00A21303">
        <w:rPr>
          <w:lang w:val="en-GB"/>
        </w:rPr>
        <w:t xml:space="preserve">that arise from </w:t>
      </w:r>
      <w:r w:rsidR="00C67FC9">
        <w:rPr>
          <w:lang w:val="en-GB"/>
        </w:rPr>
        <w:t xml:space="preserve">these in air transport. The purpose being to understand the likelihood and </w:t>
      </w:r>
      <w:r w:rsidR="0019334D">
        <w:rPr>
          <w:lang w:val="en-GB"/>
        </w:rPr>
        <w:t>potential consequences of the risk</w:t>
      </w:r>
      <w:r w:rsidR="009447CC">
        <w:rPr>
          <w:lang w:val="en-GB"/>
        </w:rPr>
        <w:t>. Based on the identifie</w:t>
      </w:r>
      <w:r w:rsidR="00A96450">
        <w:rPr>
          <w:lang w:val="en-GB"/>
        </w:rPr>
        <w:t>d</w:t>
      </w:r>
      <w:r w:rsidR="009447CC">
        <w:rPr>
          <w:lang w:val="en-GB"/>
        </w:rPr>
        <w:t xml:space="preserve"> risks</w:t>
      </w:r>
      <w:r w:rsidR="00A96450">
        <w:rPr>
          <w:lang w:val="en-GB"/>
        </w:rPr>
        <w:t>,</w:t>
      </w:r>
      <w:r w:rsidR="009447CC">
        <w:rPr>
          <w:lang w:val="en-GB"/>
        </w:rPr>
        <w:t xml:space="preserve"> the airlines then develop mitigation strategies to reduce the risk to a level that is acceptab</w:t>
      </w:r>
      <w:r w:rsidR="0059104C">
        <w:rPr>
          <w:lang w:val="en-GB"/>
        </w:rPr>
        <w:t>le to ensure a safe operation.</w:t>
      </w:r>
    </w:p>
    <w:p w14:paraId="1FD56D9A" w14:textId="632C24B3" w:rsidR="0059104C" w:rsidRPr="00AE6BB3" w:rsidRDefault="00F51EBE" w:rsidP="00226317">
      <w:pPr>
        <w:pStyle w:val="SingleTxtG"/>
        <w:rPr>
          <w:lang w:val="en-GB"/>
        </w:rPr>
      </w:pPr>
      <w:r>
        <w:rPr>
          <w:lang w:val="en-GB"/>
        </w:rPr>
        <w:lastRenderedPageBreak/>
        <w:t>8</w:t>
      </w:r>
      <w:r w:rsidR="0059104C">
        <w:rPr>
          <w:lang w:val="en-GB"/>
        </w:rPr>
        <w:t>.</w:t>
      </w:r>
      <w:r w:rsidR="0059104C">
        <w:rPr>
          <w:lang w:val="en-GB"/>
        </w:rPr>
        <w:tab/>
      </w:r>
      <w:r w:rsidR="00212D0C">
        <w:rPr>
          <w:lang w:val="en-GB"/>
        </w:rPr>
        <w:t xml:space="preserve">For UN 3171, while it is known that </w:t>
      </w:r>
      <w:r w:rsidR="004E2AFD">
        <w:rPr>
          <w:lang w:val="en-GB"/>
        </w:rPr>
        <w:t>for BATTERY-POWERED EQUIPMENT</w:t>
      </w:r>
      <w:r w:rsidR="00CB60DB">
        <w:rPr>
          <w:lang w:val="en-GB"/>
        </w:rPr>
        <w:t xml:space="preserve"> the</w:t>
      </w:r>
      <w:r w:rsidR="004E2AFD">
        <w:rPr>
          <w:lang w:val="en-GB"/>
        </w:rPr>
        <w:t xml:space="preserve"> power source cannot</w:t>
      </w:r>
      <w:r w:rsidR="00CB60DB">
        <w:rPr>
          <w:lang w:val="en-GB"/>
        </w:rPr>
        <w:t xml:space="preserve"> be a lithium battery, </w:t>
      </w:r>
      <w:r w:rsidR="00807F03">
        <w:rPr>
          <w:lang w:val="en-GB"/>
        </w:rPr>
        <w:t>as equipment containing lithium batteries must be assigned to UN 3</w:t>
      </w:r>
      <w:r w:rsidR="00144CDC">
        <w:rPr>
          <w:lang w:val="en-GB"/>
        </w:rPr>
        <w:t>0</w:t>
      </w:r>
      <w:r w:rsidR="00807F03">
        <w:rPr>
          <w:lang w:val="en-GB"/>
        </w:rPr>
        <w:t xml:space="preserve">91 or UN 3481, </w:t>
      </w:r>
      <w:r w:rsidR="00CB60DB">
        <w:rPr>
          <w:lang w:val="en-GB"/>
        </w:rPr>
        <w:t xml:space="preserve">the same differentiation </w:t>
      </w:r>
      <w:r w:rsidR="00A07911">
        <w:rPr>
          <w:lang w:val="en-GB"/>
        </w:rPr>
        <w:t xml:space="preserve">is not available for </w:t>
      </w:r>
      <w:r w:rsidR="000B4A80">
        <w:rPr>
          <w:lang w:val="en-GB"/>
        </w:rPr>
        <w:t xml:space="preserve">UN 3171, </w:t>
      </w:r>
      <w:r w:rsidR="00A07911">
        <w:rPr>
          <w:lang w:val="en-GB"/>
        </w:rPr>
        <w:t>BATTERY-POWERED VEHICLE</w:t>
      </w:r>
      <w:r w:rsidR="00896D6D">
        <w:rPr>
          <w:lang w:val="en-GB"/>
        </w:rPr>
        <w:t xml:space="preserve"> where the power source could be any type of battery</w:t>
      </w:r>
      <w:r w:rsidR="00C11C75">
        <w:rPr>
          <w:lang w:val="en-GB"/>
        </w:rPr>
        <w:t>, including a lithium battery</w:t>
      </w:r>
      <w:r w:rsidR="00A07911">
        <w:rPr>
          <w:lang w:val="en-GB"/>
        </w:rPr>
        <w:t>.</w:t>
      </w:r>
    </w:p>
    <w:p w14:paraId="361AFF33" w14:textId="77777777" w:rsidR="00226317" w:rsidRPr="00AE6BB3" w:rsidRDefault="00226317" w:rsidP="00226317">
      <w:pPr>
        <w:pStyle w:val="HChG"/>
        <w:rPr>
          <w:lang w:val="en-GB"/>
        </w:rPr>
      </w:pPr>
      <w:r w:rsidRPr="00AE6BB3">
        <w:rPr>
          <w:lang w:val="en-GB"/>
        </w:rPr>
        <w:tab/>
      </w:r>
      <w:r w:rsidRPr="00AE6BB3">
        <w:rPr>
          <w:lang w:val="en-GB"/>
        </w:rPr>
        <w:tab/>
        <w:t>Actions requested</w:t>
      </w:r>
    </w:p>
    <w:p w14:paraId="6DCACEF8" w14:textId="475A63E5" w:rsidR="004108A5" w:rsidRDefault="00E97CD8" w:rsidP="00E97CD8">
      <w:pPr>
        <w:pStyle w:val="SingleTxtG"/>
        <w:rPr>
          <w:lang w:val="en-GB"/>
        </w:rPr>
      </w:pPr>
      <w:r w:rsidRPr="00AE6BB3">
        <w:rPr>
          <w:lang w:val="en-GB"/>
        </w:rPr>
        <w:tab/>
      </w:r>
      <w:r w:rsidR="00F51EBE">
        <w:rPr>
          <w:lang w:val="en-GB"/>
        </w:rPr>
        <w:t>9</w:t>
      </w:r>
      <w:r w:rsidRPr="00AE6BB3">
        <w:rPr>
          <w:lang w:val="en-GB"/>
        </w:rPr>
        <w:t>.</w:t>
      </w:r>
      <w:r w:rsidRPr="00AE6BB3">
        <w:rPr>
          <w:lang w:val="en-GB"/>
        </w:rPr>
        <w:tab/>
      </w:r>
      <w:r w:rsidR="00226317" w:rsidRPr="00AE6BB3">
        <w:rPr>
          <w:lang w:val="en-GB"/>
        </w:rPr>
        <w:t xml:space="preserve">The Sub-Committee is invited to consider </w:t>
      </w:r>
      <w:r w:rsidR="003B59BA">
        <w:rPr>
          <w:lang w:val="en-GB"/>
        </w:rPr>
        <w:t xml:space="preserve">some options to clearly identify battery-powered </w:t>
      </w:r>
      <w:r w:rsidR="00937581">
        <w:rPr>
          <w:lang w:val="en-GB"/>
        </w:rPr>
        <w:t xml:space="preserve">vehicles </w:t>
      </w:r>
      <w:r w:rsidR="00B601FD">
        <w:rPr>
          <w:lang w:val="en-GB"/>
        </w:rPr>
        <w:t>when</w:t>
      </w:r>
      <w:r w:rsidR="00937581">
        <w:rPr>
          <w:lang w:val="en-GB"/>
        </w:rPr>
        <w:t xml:space="preserve"> powered by a lithium battery</w:t>
      </w:r>
      <w:r w:rsidR="004A0C56">
        <w:rPr>
          <w:lang w:val="en-GB"/>
        </w:rPr>
        <w:t xml:space="preserve"> and therefore provide clear </w:t>
      </w:r>
      <w:r w:rsidR="001F0112">
        <w:rPr>
          <w:lang w:val="en-GB"/>
        </w:rPr>
        <w:t>identification of the hazard as being lithium batteries and not just a “miscellaneous” hazard</w:t>
      </w:r>
      <w:r w:rsidR="00937581">
        <w:rPr>
          <w:lang w:val="en-GB"/>
        </w:rPr>
        <w:t>.</w:t>
      </w:r>
      <w:r w:rsidR="005565A0">
        <w:rPr>
          <w:lang w:val="en-GB"/>
        </w:rPr>
        <w:t xml:space="preserve"> These are presented for discussion to gauge the potential level of support</w:t>
      </w:r>
      <w:r w:rsidR="00E63389">
        <w:rPr>
          <w:lang w:val="en-GB"/>
        </w:rPr>
        <w:t>. If there is sufficient support from the Sub</w:t>
      </w:r>
      <w:r w:rsidR="00F842B0">
        <w:rPr>
          <w:lang w:val="en-GB"/>
        </w:rPr>
        <w:t>-C</w:t>
      </w:r>
      <w:r w:rsidR="00E63389">
        <w:rPr>
          <w:lang w:val="en-GB"/>
        </w:rPr>
        <w:t>ommittee a fully detailed proposal will be submitted to the next session.</w:t>
      </w:r>
    </w:p>
    <w:p w14:paraId="44BD1BD2" w14:textId="5454872C" w:rsidR="00226317" w:rsidRPr="00AE6BB3" w:rsidRDefault="004108A5" w:rsidP="004108A5">
      <w:pPr>
        <w:pStyle w:val="HChG"/>
      </w:pPr>
      <w:r>
        <w:tab/>
      </w:r>
      <w:r>
        <w:tab/>
      </w:r>
      <w:r>
        <w:rPr>
          <w:lang w:val="en-US"/>
        </w:rPr>
        <w:t>Option 1</w:t>
      </w:r>
    </w:p>
    <w:p w14:paraId="4706C87B" w14:textId="2309F5C8" w:rsidR="00075666" w:rsidRDefault="00F51EBE" w:rsidP="00E97CD8">
      <w:pPr>
        <w:pStyle w:val="SingleTxtG"/>
        <w:rPr>
          <w:lang w:val="en-GB"/>
        </w:rPr>
      </w:pPr>
      <w:r>
        <w:rPr>
          <w:lang w:val="en-GB"/>
        </w:rPr>
        <w:t>10</w:t>
      </w:r>
      <w:r w:rsidR="00E97CD8" w:rsidRPr="00AE6BB3">
        <w:rPr>
          <w:lang w:val="en-GB"/>
        </w:rPr>
        <w:t>.</w:t>
      </w:r>
      <w:r w:rsidR="00E97CD8" w:rsidRPr="00AE6BB3">
        <w:rPr>
          <w:lang w:val="en-GB"/>
        </w:rPr>
        <w:tab/>
      </w:r>
      <w:r w:rsidR="00C55064">
        <w:rPr>
          <w:lang w:val="en-GB"/>
        </w:rPr>
        <w:t>D</w:t>
      </w:r>
      <w:r w:rsidR="004E296B">
        <w:rPr>
          <w:lang w:val="en-GB"/>
        </w:rPr>
        <w:t xml:space="preserve">evelop a new special </w:t>
      </w:r>
      <w:r w:rsidR="00672CD9">
        <w:rPr>
          <w:lang w:val="en-GB"/>
        </w:rPr>
        <w:t>provision or</w:t>
      </w:r>
      <w:r w:rsidR="004E296B">
        <w:rPr>
          <w:lang w:val="en-GB"/>
        </w:rPr>
        <w:t xml:space="preserve"> amend an existing special provision to require that </w:t>
      </w:r>
      <w:r w:rsidR="002D54C0">
        <w:rPr>
          <w:lang w:val="en-GB"/>
        </w:rPr>
        <w:t xml:space="preserve">for </w:t>
      </w:r>
      <w:r w:rsidR="000F4F97">
        <w:rPr>
          <w:lang w:val="en-GB"/>
        </w:rPr>
        <w:t>vehicles powered</w:t>
      </w:r>
      <w:r w:rsidR="00BB3EC9">
        <w:rPr>
          <w:lang w:val="en-GB"/>
        </w:rPr>
        <w:t xml:space="preserve"> by lithium ion batteries</w:t>
      </w:r>
      <w:r w:rsidR="00B0311F">
        <w:rPr>
          <w:lang w:val="en-GB"/>
        </w:rPr>
        <w:t>, when the vehicles are placed into a packaging,</w:t>
      </w:r>
      <w:r w:rsidR="00BB3EC9">
        <w:rPr>
          <w:lang w:val="en-GB"/>
        </w:rPr>
        <w:t xml:space="preserve"> </w:t>
      </w:r>
      <w:r w:rsidR="002D54C0">
        <w:rPr>
          <w:lang w:val="en-GB"/>
        </w:rPr>
        <w:t>the label to be used</w:t>
      </w:r>
      <w:r w:rsidR="00226317" w:rsidRPr="00AE6BB3">
        <w:rPr>
          <w:lang w:val="en-GB"/>
        </w:rPr>
        <w:t xml:space="preserve"> </w:t>
      </w:r>
      <w:r w:rsidR="003A24AF">
        <w:rPr>
          <w:lang w:val="en-GB"/>
        </w:rPr>
        <w:t xml:space="preserve">is Model </w:t>
      </w:r>
      <w:r w:rsidR="00672CD9">
        <w:rPr>
          <w:lang w:val="en-GB"/>
        </w:rPr>
        <w:t xml:space="preserve">No. 9A. </w:t>
      </w:r>
      <w:r w:rsidR="00ED58DA">
        <w:rPr>
          <w:lang w:val="en-GB"/>
        </w:rPr>
        <w:t xml:space="preserve">A possible option would be </w:t>
      </w:r>
      <w:r w:rsidR="007A757E">
        <w:rPr>
          <w:lang w:val="en-GB"/>
        </w:rPr>
        <w:t xml:space="preserve">to amend special provision 388 </w:t>
      </w:r>
      <w:r w:rsidR="00F55D12">
        <w:rPr>
          <w:lang w:val="en-GB"/>
        </w:rPr>
        <w:t>to add this condition</w:t>
      </w:r>
      <w:r w:rsidR="00075666">
        <w:rPr>
          <w:lang w:val="en-GB"/>
        </w:rPr>
        <w:t xml:space="preserve"> as follows</w:t>
      </w:r>
      <w:r w:rsidR="005477B4">
        <w:rPr>
          <w:lang w:val="en-GB"/>
        </w:rPr>
        <w:t xml:space="preserve"> (new text i</w:t>
      </w:r>
      <w:r w:rsidR="00C913AF">
        <w:rPr>
          <w:lang w:val="en-GB"/>
        </w:rPr>
        <w:t xml:space="preserve">n bold </w:t>
      </w:r>
      <w:r w:rsidR="005477B4">
        <w:rPr>
          <w:lang w:val="en-GB"/>
        </w:rPr>
        <w:t>underlined)</w:t>
      </w:r>
      <w:r w:rsidR="00075666">
        <w:rPr>
          <w:lang w:val="en-GB"/>
        </w:rPr>
        <w:t>:</w:t>
      </w:r>
    </w:p>
    <w:p w14:paraId="0898BCA3" w14:textId="58909E50" w:rsidR="002F101A" w:rsidRPr="00816A2E" w:rsidRDefault="00816A2E" w:rsidP="00F51EBE">
      <w:pPr>
        <w:suppressAutoHyphens w:val="0"/>
        <w:autoSpaceDE w:val="0"/>
        <w:autoSpaceDN w:val="0"/>
        <w:adjustRightInd w:val="0"/>
        <w:spacing w:after="120" w:line="240" w:lineRule="auto"/>
        <w:ind w:left="1701" w:right="1134"/>
        <w:jc w:val="both"/>
        <w:rPr>
          <w:rFonts w:ascii="TimesNewRoman" w:hAnsi="TimesNewRoman" w:cs="TimesNewRoman"/>
        </w:rPr>
      </w:pPr>
      <w:r w:rsidRPr="00816A2E">
        <w:rPr>
          <w:rFonts w:ascii="TimesNewRoman" w:hAnsi="TimesNewRoman" w:cs="TimesNewRoman"/>
        </w:rPr>
        <w:t>“</w:t>
      </w:r>
      <w:r w:rsidR="00A46BAF">
        <w:rPr>
          <w:rFonts w:ascii="TimesNewRoman" w:hAnsi="TimesNewRoman" w:cs="TimesNewRoman"/>
        </w:rPr>
        <w:t>…</w:t>
      </w:r>
      <w:r w:rsidR="00006563">
        <w:rPr>
          <w:rFonts w:ascii="TimesNewRoman" w:hAnsi="TimesNewRoman" w:cs="TimesNewRoman"/>
        </w:rPr>
        <w:t xml:space="preserve"> </w:t>
      </w:r>
      <w:r w:rsidRPr="00816A2E">
        <w:rPr>
          <w:rFonts w:ascii="TimesNewRoman" w:hAnsi="TimesNewRoman" w:cs="TimesNewRoman"/>
        </w:rPr>
        <w:t>E</w:t>
      </w:r>
      <w:r w:rsidR="002F101A" w:rsidRPr="00816A2E">
        <w:rPr>
          <w:rFonts w:ascii="TimesNewRoman" w:hAnsi="TimesNewRoman" w:cs="TimesNewRoman"/>
        </w:rPr>
        <w:t xml:space="preserve">ntry UN 3171 only applies to vehicles powered by wet batteries, sodium batteries, lithium metal batteries or lithium ion batteries and equipment powered by wet batteries or sodium batteries transported with these batteries installed. </w:t>
      </w:r>
    </w:p>
    <w:p w14:paraId="00A65D01" w14:textId="0B0C5661" w:rsidR="00E90065" w:rsidRPr="00BC275E" w:rsidRDefault="00786790" w:rsidP="00F51EBE">
      <w:pPr>
        <w:suppressAutoHyphens w:val="0"/>
        <w:autoSpaceDE w:val="0"/>
        <w:autoSpaceDN w:val="0"/>
        <w:adjustRightInd w:val="0"/>
        <w:spacing w:after="120" w:line="240" w:lineRule="auto"/>
        <w:ind w:left="1701" w:right="1134"/>
        <w:jc w:val="both"/>
        <w:rPr>
          <w:rFonts w:ascii="TimesNewRoman" w:hAnsi="TimesNewRoman" w:cs="TimesNewRoman"/>
          <w:b/>
          <w:bCs/>
          <w:color w:val="FF0000"/>
          <w:u w:val="single"/>
        </w:rPr>
      </w:pPr>
      <w:r w:rsidRPr="00BC275E">
        <w:rPr>
          <w:rFonts w:ascii="TimesNewRoman" w:hAnsi="TimesNewRoman" w:cs="TimesNewRoman"/>
          <w:b/>
          <w:bCs/>
          <w:color w:val="FF0000"/>
          <w:u w:val="single"/>
        </w:rPr>
        <w:t>Where v</w:t>
      </w:r>
      <w:r w:rsidR="008B6E9A" w:rsidRPr="00BC275E">
        <w:rPr>
          <w:rFonts w:ascii="TimesNewRoman" w:hAnsi="TimesNewRoman" w:cs="TimesNewRoman"/>
          <w:b/>
          <w:bCs/>
          <w:color w:val="FF0000"/>
          <w:u w:val="single"/>
        </w:rPr>
        <w:t xml:space="preserve">ehicles powered by </w:t>
      </w:r>
      <w:r w:rsidRPr="00BC275E">
        <w:rPr>
          <w:rFonts w:ascii="TimesNewRoman" w:hAnsi="TimesNewRoman" w:cs="TimesNewRoman"/>
          <w:b/>
          <w:bCs/>
          <w:color w:val="FF0000"/>
          <w:u w:val="single"/>
        </w:rPr>
        <w:t xml:space="preserve">lithium metal batteries or lithium ion batteries are placed into a packaging, the </w:t>
      </w:r>
      <w:r w:rsidR="00E359F5" w:rsidRPr="00BC275E">
        <w:rPr>
          <w:rFonts w:ascii="TimesNewRoman" w:hAnsi="TimesNewRoman" w:cs="TimesNewRoman"/>
          <w:b/>
          <w:bCs/>
          <w:color w:val="FF0000"/>
          <w:u w:val="single"/>
        </w:rPr>
        <w:t>label to be used shall be Model No</w:t>
      </w:r>
      <w:r w:rsidR="00BC275E" w:rsidRPr="00BC275E">
        <w:rPr>
          <w:rFonts w:ascii="TimesNewRoman" w:hAnsi="TimesNewRoman" w:cs="TimesNewRoman"/>
          <w:b/>
          <w:bCs/>
          <w:color w:val="FF0000"/>
          <w:u w:val="single"/>
        </w:rPr>
        <w:t>.</w:t>
      </w:r>
      <w:r w:rsidR="00E359F5" w:rsidRPr="00BC275E">
        <w:rPr>
          <w:rFonts w:ascii="TimesNewRoman" w:hAnsi="TimesNewRoman" w:cs="TimesNewRoman"/>
          <w:b/>
          <w:bCs/>
          <w:color w:val="FF0000"/>
          <w:u w:val="single"/>
        </w:rPr>
        <w:t xml:space="preserve"> 9A</w:t>
      </w:r>
      <w:r w:rsidR="00B01189" w:rsidRPr="00BC275E">
        <w:rPr>
          <w:rFonts w:ascii="TimesNewRoman" w:hAnsi="TimesNewRoman" w:cs="TimesNewRoman"/>
          <w:b/>
          <w:bCs/>
          <w:color w:val="FF0000"/>
          <w:u w:val="single"/>
        </w:rPr>
        <w:t xml:space="preserve">, see </w:t>
      </w:r>
      <w:r w:rsidR="00D537E3" w:rsidRPr="00BC275E">
        <w:rPr>
          <w:rFonts w:ascii="TimesNewRoman" w:hAnsi="TimesNewRoman" w:cs="TimesNewRoman"/>
          <w:b/>
          <w:bCs/>
          <w:color w:val="FF0000"/>
          <w:u w:val="single"/>
        </w:rPr>
        <w:t>5.2.2.2.2.</w:t>
      </w:r>
    </w:p>
    <w:p w14:paraId="25E12E64" w14:textId="5D7E9160" w:rsidR="00226317" w:rsidRPr="00816A2E" w:rsidRDefault="002F101A" w:rsidP="00F51EBE">
      <w:pPr>
        <w:suppressAutoHyphens w:val="0"/>
        <w:autoSpaceDE w:val="0"/>
        <w:autoSpaceDN w:val="0"/>
        <w:adjustRightInd w:val="0"/>
        <w:spacing w:line="240" w:lineRule="auto"/>
        <w:ind w:left="1701" w:right="1134"/>
        <w:jc w:val="both"/>
      </w:pPr>
      <w:r w:rsidRPr="00816A2E">
        <w:rPr>
          <w:rFonts w:ascii="TimesNewRoman" w:hAnsi="TimesNewRoman" w:cs="TimesNewRoman"/>
        </w:rPr>
        <w:t>For the purpose of this special provision, vehicles are self-propelled apparatus designed</w:t>
      </w:r>
      <w:r w:rsidR="00E90065" w:rsidRPr="00816A2E">
        <w:rPr>
          <w:rFonts w:ascii="TimesNewRoman" w:hAnsi="TimesNewRoman" w:cs="TimesNewRoman"/>
        </w:rPr>
        <w:t xml:space="preserve"> </w:t>
      </w:r>
      <w:r w:rsidRPr="00816A2E">
        <w:rPr>
          <w:rFonts w:ascii="TimesNewRoman" w:hAnsi="TimesNewRoman" w:cs="TimesNewRoman"/>
        </w:rPr>
        <w:t>to carry one or more persons or goods. Examples of such vehicles are cars, motorcycles,</w:t>
      </w:r>
      <w:r w:rsidR="00E90065" w:rsidRPr="00816A2E">
        <w:rPr>
          <w:rFonts w:ascii="TimesNewRoman" w:hAnsi="TimesNewRoman" w:cs="TimesNewRoman"/>
        </w:rPr>
        <w:t xml:space="preserve"> </w:t>
      </w:r>
      <w:r w:rsidRPr="00816A2E">
        <w:rPr>
          <w:rFonts w:ascii="TimesNewRoman" w:hAnsi="TimesNewRoman" w:cs="TimesNewRoman"/>
        </w:rPr>
        <w:t>scooters, three- and four-wheeled vehicles or motorcycles, trucks, locomotives, bicycles</w:t>
      </w:r>
      <w:r w:rsidR="00E90065" w:rsidRPr="00816A2E">
        <w:rPr>
          <w:rFonts w:ascii="TimesNewRoman" w:hAnsi="TimesNewRoman" w:cs="TimesNewRoman"/>
        </w:rPr>
        <w:t xml:space="preserve"> </w:t>
      </w:r>
      <w:r w:rsidRPr="00816A2E">
        <w:rPr>
          <w:rFonts w:ascii="TimesNewRoman" w:hAnsi="TimesNewRoman" w:cs="TimesNewRoman"/>
        </w:rPr>
        <w:t>(pedal cycles with a motor) and other vehicles of this type (e.g. self-balancing vehicles</w:t>
      </w:r>
      <w:r w:rsidR="00E90065" w:rsidRPr="00816A2E">
        <w:rPr>
          <w:rFonts w:ascii="TimesNewRoman" w:hAnsi="TimesNewRoman" w:cs="TimesNewRoman"/>
        </w:rPr>
        <w:t xml:space="preserve"> </w:t>
      </w:r>
      <w:r w:rsidRPr="00816A2E">
        <w:rPr>
          <w:rFonts w:ascii="TimesNewRoman" w:hAnsi="TimesNewRoman" w:cs="TimesNewRoman"/>
        </w:rPr>
        <w:t>or vehicles not equipped with at least one seating position), wheelchairs, lawn tractors,</w:t>
      </w:r>
      <w:r w:rsidR="00E90065" w:rsidRPr="00816A2E">
        <w:rPr>
          <w:rFonts w:ascii="TimesNewRoman" w:hAnsi="TimesNewRoman" w:cs="TimesNewRoman"/>
        </w:rPr>
        <w:t xml:space="preserve"> </w:t>
      </w:r>
      <w:r w:rsidRPr="00816A2E">
        <w:rPr>
          <w:rFonts w:ascii="TimesNewRoman" w:hAnsi="TimesNewRoman" w:cs="TimesNewRoman"/>
        </w:rPr>
        <w:t>self-propelled farming and construction equipment, boats and aircraft. This includes</w:t>
      </w:r>
      <w:r w:rsidR="00E90065" w:rsidRPr="00816A2E">
        <w:rPr>
          <w:rFonts w:ascii="TimesNewRoman" w:hAnsi="TimesNewRoman" w:cs="TimesNewRoman"/>
        </w:rPr>
        <w:t xml:space="preserve"> </w:t>
      </w:r>
      <w:r w:rsidRPr="00816A2E">
        <w:rPr>
          <w:rFonts w:ascii="TimesNewRoman" w:hAnsi="TimesNewRoman" w:cs="TimesNewRoman"/>
        </w:rPr>
        <w:t>vehicles transported in a packaging. In this case some parts of the vehicle may be</w:t>
      </w:r>
      <w:r w:rsidR="00E90065" w:rsidRPr="00816A2E">
        <w:rPr>
          <w:rFonts w:ascii="TimesNewRoman" w:hAnsi="TimesNewRoman" w:cs="TimesNewRoman"/>
        </w:rPr>
        <w:t xml:space="preserve"> </w:t>
      </w:r>
      <w:r w:rsidRPr="00816A2E">
        <w:rPr>
          <w:rFonts w:ascii="TimesNewRoman" w:hAnsi="TimesNewRoman" w:cs="TimesNewRoman"/>
        </w:rPr>
        <w:t>detached from its frame to fit into the packaging.</w:t>
      </w:r>
      <w:r w:rsidR="00A46BAF">
        <w:rPr>
          <w:rFonts w:ascii="TimesNewRoman" w:hAnsi="TimesNewRoman" w:cs="TimesNewRoman"/>
        </w:rPr>
        <w:t xml:space="preserve"> …</w:t>
      </w:r>
      <w:r w:rsidR="00816A2E">
        <w:rPr>
          <w:rFonts w:ascii="TimesNewRoman" w:hAnsi="TimesNewRoman" w:cs="TimesNewRoman"/>
        </w:rPr>
        <w:t>”</w:t>
      </w:r>
    </w:p>
    <w:p w14:paraId="62501838" w14:textId="61A3773A" w:rsidR="00F93AE0" w:rsidRPr="00AE6BB3" w:rsidRDefault="00F93AE0" w:rsidP="00F93AE0">
      <w:pPr>
        <w:pStyle w:val="HChG"/>
      </w:pPr>
      <w:r>
        <w:tab/>
      </w:r>
      <w:r>
        <w:tab/>
      </w:r>
      <w:r>
        <w:rPr>
          <w:lang w:val="en-US"/>
        </w:rPr>
        <w:t xml:space="preserve">Option </w:t>
      </w:r>
      <w:r w:rsidR="002B1261">
        <w:rPr>
          <w:lang w:val="en-US"/>
        </w:rPr>
        <w:t>2</w:t>
      </w:r>
    </w:p>
    <w:p w14:paraId="35BDFA74" w14:textId="7E044C25" w:rsidR="00F93AE0" w:rsidRDefault="00F51EBE" w:rsidP="00F93AE0">
      <w:pPr>
        <w:pStyle w:val="SingleTxtG"/>
        <w:rPr>
          <w:lang w:val="en-GB"/>
        </w:rPr>
      </w:pPr>
      <w:r>
        <w:rPr>
          <w:lang w:val="en-GB"/>
        </w:rPr>
        <w:t>11</w:t>
      </w:r>
      <w:r w:rsidR="00F93AE0" w:rsidRPr="00AE6BB3">
        <w:rPr>
          <w:lang w:val="en-GB"/>
        </w:rPr>
        <w:t>.</w:t>
      </w:r>
      <w:r w:rsidR="00F93AE0" w:rsidRPr="00AE6BB3">
        <w:rPr>
          <w:lang w:val="en-GB"/>
        </w:rPr>
        <w:tab/>
      </w:r>
      <w:r w:rsidR="009C35ED">
        <w:rPr>
          <w:lang w:val="en-GB"/>
        </w:rPr>
        <w:t xml:space="preserve">Separate </w:t>
      </w:r>
      <w:r w:rsidR="00C55064">
        <w:rPr>
          <w:lang w:val="en-GB"/>
        </w:rPr>
        <w:t>vehicles powered by lithium batteries from those powered by other battery technologies</w:t>
      </w:r>
      <w:r w:rsidR="00134658">
        <w:rPr>
          <w:lang w:val="en-GB"/>
        </w:rPr>
        <w:t xml:space="preserve"> to assign a new UN number to vehicles powered by lithium batteries</w:t>
      </w:r>
      <w:r w:rsidR="00A1450A">
        <w:rPr>
          <w:lang w:val="en-GB"/>
        </w:rPr>
        <w:t xml:space="preserve">. </w:t>
      </w:r>
      <w:r w:rsidR="00CD4371">
        <w:rPr>
          <w:lang w:val="en-GB"/>
        </w:rPr>
        <w:t>This would provide a clear differentiation between lithium battery</w:t>
      </w:r>
      <w:r w:rsidR="00B6539D">
        <w:rPr>
          <w:lang w:val="en-GB"/>
        </w:rPr>
        <w:t xml:space="preserve"> </w:t>
      </w:r>
      <w:r w:rsidR="00CD4371">
        <w:rPr>
          <w:lang w:val="en-GB"/>
        </w:rPr>
        <w:t>pow</w:t>
      </w:r>
      <w:r w:rsidR="00CD1202">
        <w:rPr>
          <w:lang w:val="en-GB"/>
        </w:rPr>
        <w:t>e</w:t>
      </w:r>
      <w:r w:rsidR="00CD4371">
        <w:rPr>
          <w:lang w:val="en-GB"/>
        </w:rPr>
        <w:t>red vehicles and other battery powered vehicles</w:t>
      </w:r>
      <w:r w:rsidR="00CD1202">
        <w:rPr>
          <w:lang w:val="en-GB"/>
        </w:rPr>
        <w:t>. An indication of this is as follows:</w:t>
      </w:r>
    </w:p>
    <w:tbl>
      <w:tblPr>
        <w:tblStyle w:val="TableGrid"/>
        <w:tblW w:w="9923" w:type="dxa"/>
        <w:tblInd w:w="-5" w:type="dxa"/>
        <w:tblLayout w:type="fixed"/>
        <w:tblLook w:val="04A0" w:firstRow="1" w:lastRow="0" w:firstColumn="1" w:lastColumn="0" w:noHBand="0" w:noVBand="1"/>
      </w:tblPr>
      <w:tblGrid>
        <w:gridCol w:w="567"/>
        <w:gridCol w:w="1985"/>
        <w:gridCol w:w="567"/>
        <w:gridCol w:w="567"/>
        <w:gridCol w:w="709"/>
        <w:gridCol w:w="708"/>
        <w:gridCol w:w="567"/>
        <w:gridCol w:w="567"/>
        <w:gridCol w:w="992"/>
        <w:gridCol w:w="993"/>
        <w:gridCol w:w="850"/>
        <w:gridCol w:w="851"/>
      </w:tblGrid>
      <w:tr w:rsidR="00626FB0" w:rsidRPr="0052658B" w14:paraId="42A9A4EF" w14:textId="77777777" w:rsidTr="00626FB0">
        <w:trPr>
          <w:trHeight w:val="338"/>
        </w:trPr>
        <w:tc>
          <w:tcPr>
            <w:tcW w:w="567" w:type="dxa"/>
            <w:vMerge w:val="restart"/>
            <w:vAlign w:val="center"/>
          </w:tcPr>
          <w:p w14:paraId="14263DE3" w14:textId="77777777" w:rsidR="00265165" w:rsidRPr="0052658B" w:rsidRDefault="00265165" w:rsidP="00C80E38">
            <w:pPr>
              <w:pStyle w:val="SingleTxtG"/>
              <w:ind w:left="0" w:right="19"/>
              <w:jc w:val="center"/>
              <w:rPr>
                <w:sz w:val="18"/>
                <w:szCs w:val="18"/>
                <w:lang w:val="en-GB"/>
              </w:rPr>
            </w:pPr>
            <w:r w:rsidRPr="0052658B">
              <w:rPr>
                <w:sz w:val="18"/>
                <w:szCs w:val="18"/>
                <w:lang w:val="en-GB"/>
              </w:rPr>
              <w:t>UN No.</w:t>
            </w:r>
          </w:p>
        </w:tc>
        <w:tc>
          <w:tcPr>
            <w:tcW w:w="1985" w:type="dxa"/>
            <w:vMerge w:val="restart"/>
            <w:vAlign w:val="center"/>
          </w:tcPr>
          <w:p w14:paraId="1A20ED88" w14:textId="77777777" w:rsidR="00265165" w:rsidRPr="0052658B" w:rsidRDefault="00265165" w:rsidP="00C80E38">
            <w:pPr>
              <w:pStyle w:val="SingleTxtG"/>
              <w:ind w:left="0" w:right="139"/>
              <w:jc w:val="center"/>
              <w:rPr>
                <w:sz w:val="18"/>
                <w:szCs w:val="18"/>
                <w:lang w:val="en-GB"/>
              </w:rPr>
            </w:pPr>
            <w:r w:rsidRPr="0052658B">
              <w:rPr>
                <w:sz w:val="18"/>
                <w:szCs w:val="18"/>
                <w:lang w:val="en-GB"/>
              </w:rPr>
              <w:t>Name and description</w:t>
            </w:r>
          </w:p>
        </w:tc>
        <w:tc>
          <w:tcPr>
            <w:tcW w:w="567" w:type="dxa"/>
            <w:vMerge w:val="restart"/>
            <w:vAlign w:val="center"/>
          </w:tcPr>
          <w:p w14:paraId="7C45397E" w14:textId="77777777" w:rsidR="00265165" w:rsidRPr="0052658B" w:rsidRDefault="00265165" w:rsidP="00626FB0">
            <w:pPr>
              <w:pStyle w:val="SingleTxtG"/>
              <w:ind w:left="-57" w:right="-57"/>
              <w:jc w:val="center"/>
              <w:rPr>
                <w:sz w:val="18"/>
                <w:szCs w:val="18"/>
                <w:lang w:val="en-GB"/>
              </w:rPr>
            </w:pPr>
            <w:r w:rsidRPr="0052658B">
              <w:rPr>
                <w:sz w:val="18"/>
                <w:szCs w:val="18"/>
                <w:lang w:val="en-GB"/>
              </w:rPr>
              <w:t>Class or division</w:t>
            </w:r>
          </w:p>
        </w:tc>
        <w:tc>
          <w:tcPr>
            <w:tcW w:w="567" w:type="dxa"/>
            <w:vMerge w:val="restart"/>
            <w:vAlign w:val="center"/>
          </w:tcPr>
          <w:p w14:paraId="06BB94BB" w14:textId="77777777" w:rsidR="00265165" w:rsidRPr="0052658B" w:rsidRDefault="00265165" w:rsidP="00C80E38">
            <w:pPr>
              <w:pStyle w:val="SingleTxtG"/>
              <w:tabs>
                <w:tab w:val="left" w:pos="0"/>
              </w:tabs>
              <w:ind w:left="0" w:right="0"/>
              <w:jc w:val="center"/>
              <w:rPr>
                <w:sz w:val="18"/>
                <w:szCs w:val="18"/>
                <w:lang w:val="en-GB"/>
              </w:rPr>
            </w:pPr>
            <w:r w:rsidRPr="0052658B">
              <w:rPr>
                <w:sz w:val="18"/>
                <w:szCs w:val="18"/>
                <w:lang w:val="en-GB"/>
              </w:rPr>
              <w:t>Subsi-diary hazard</w:t>
            </w:r>
          </w:p>
        </w:tc>
        <w:tc>
          <w:tcPr>
            <w:tcW w:w="709" w:type="dxa"/>
            <w:vMerge w:val="restart"/>
            <w:vAlign w:val="center"/>
          </w:tcPr>
          <w:p w14:paraId="65458A72" w14:textId="77777777" w:rsidR="00265165" w:rsidRPr="0052658B" w:rsidRDefault="00265165" w:rsidP="00C80E38">
            <w:pPr>
              <w:pStyle w:val="SingleTxtG"/>
              <w:ind w:left="0" w:right="0"/>
              <w:jc w:val="center"/>
              <w:rPr>
                <w:sz w:val="18"/>
                <w:szCs w:val="18"/>
                <w:lang w:val="en-GB"/>
              </w:rPr>
            </w:pPr>
            <w:r w:rsidRPr="0052658B">
              <w:rPr>
                <w:sz w:val="18"/>
                <w:szCs w:val="18"/>
                <w:lang w:val="en-GB"/>
              </w:rPr>
              <w:t>UN packing group</w:t>
            </w:r>
          </w:p>
        </w:tc>
        <w:tc>
          <w:tcPr>
            <w:tcW w:w="708" w:type="dxa"/>
            <w:vMerge w:val="restart"/>
            <w:vAlign w:val="center"/>
          </w:tcPr>
          <w:p w14:paraId="37DD2051" w14:textId="77777777" w:rsidR="00265165" w:rsidRPr="0052658B" w:rsidRDefault="00265165" w:rsidP="00C80E38">
            <w:pPr>
              <w:pStyle w:val="SingleTxtG"/>
              <w:ind w:left="0" w:right="0"/>
              <w:jc w:val="center"/>
              <w:rPr>
                <w:sz w:val="18"/>
                <w:szCs w:val="18"/>
                <w:lang w:val="en-GB"/>
              </w:rPr>
            </w:pPr>
            <w:r w:rsidRPr="0052658B">
              <w:rPr>
                <w:sz w:val="18"/>
                <w:szCs w:val="18"/>
                <w:lang w:val="en-GB"/>
              </w:rPr>
              <w:t>Special provi-sions</w:t>
            </w:r>
          </w:p>
        </w:tc>
        <w:tc>
          <w:tcPr>
            <w:tcW w:w="1134" w:type="dxa"/>
            <w:gridSpan w:val="2"/>
            <w:vMerge w:val="restart"/>
            <w:vAlign w:val="center"/>
          </w:tcPr>
          <w:p w14:paraId="392D824B" w14:textId="77777777" w:rsidR="00265165" w:rsidRPr="0052658B" w:rsidRDefault="00265165" w:rsidP="00C80E38">
            <w:pPr>
              <w:pStyle w:val="SingleTxtG"/>
              <w:ind w:left="0" w:right="0"/>
              <w:jc w:val="center"/>
              <w:rPr>
                <w:sz w:val="18"/>
                <w:szCs w:val="18"/>
                <w:lang w:val="en-GB"/>
              </w:rPr>
            </w:pPr>
            <w:r w:rsidRPr="0052658B">
              <w:rPr>
                <w:sz w:val="18"/>
                <w:szCs w:val="18"/>
                <w:lang w:val="en-GB"/>
              </w:rPr>
              <w:t>Limited and ex</w:t>
            </w:r>
            <w:r>
              <w:rPr>
                <w:sz w:val="18"/>
                <w:szCs w:val="18"/>
                <w:lang w:val="en-GB"/>
              </w:rPr>
              <w:t>c</w:t>
            </w:r>
            <w:r w:rsidRPr="0052658B">
              <w:rPr>
                <w:sz w:val="18"/>
                <w:szCs w:val="18"/>
                <w:lang w:val="en-GB"/>
              </w:rPr>
              <w:t>epted quantities</w:t>
            </w:r>
          </w:p>
        </w:tc>
        <w:tc>
          <w:tcPr>
            <w:tcW w:w="1985" w:type="dxa"/>
            <w:gridSpan w:val="2"/>
            <w:vAlign w:val="center"/>
          </w:tcPr>
          <w:p w14:paraId="21EC39EF" w14:textId="77777777" w:rsidR="00265165" w:rsidRPr="0052658B" w:rsidRDefault="00265165" w:rsidP="00C80E38">
            <w:pPr>
              <w:pStyle w:val="SingleTxtG"/>
              <w:tabs>
                <w:tab w:val="left" w:pos="0"/>
              </w:tabs>
              <w:ind w:left="0" w:right="0"/>
              <w:jc w:val="center"/>
              <w:rPr>
                <w:sz w:val="18"/>
                <w:szCs w:val="18"/>
                <w:lang w:val="en-GB"/>
              </w:rPr>
            </w:pPr>
            <w:r w:rsidRPr="0052658B">
              <w:rPr>
                <w:sz w:val="18"/>
                <w:szCs w:val="18"/>
                <w:lang w:val="en-GB"/>
              </w:rPr>
              <w:t>Packagings and IBCs</w:t>
            </w:r>
          </w:p>
        </w:tc>
        <w:tc>
          <w:tcPr>
            <w:tcW w:w="1701" w:type="dxa"/>
            <w:gridSpan w:val="2"/>
            <w:vAlign w:val="center"/>
          </w:tcPr>
          <w:p w14:paraId="7E77529F" w14:textId="77777777" w:rsidR="00265165" w:rsidRPr="0052658B" w:rsidRDefault="00265165" w:rsidP="00C80E38">
            <w:pPr>
              <w:pStyle w:val="SingleTxtG"/>
              <w:ind w:left="0" w:right="0"/>
              <w:jc w:val="center"/>
              <w:rPr>
                <w:sz w:val="18"/>
                <w:szCs w:val="18"/>
                <w:lang w:val="en-GB"/>
              </w:rPr>
            </w:pPr>
            <w:r w:rsidRPr="0052658B">
              <w:rPr>
                <w:sz w:val="18"/>
                <w:szCs w:val="18"/>
                <w:lang w:val="en-GB"/>
              </w:rPr>
              <w:t>Portable tanks and bulk containers</w:t>
            </w:r>
          </w:p>
        </w:tc>
      </w:tr>
      <w:tr w:rsidR="00626FB0" w:rsidRPr="0052658B" w14:paraId="1573FD8B" w14:textId="77777777" w:rsidTr="00626FB0">
        <w:trPr>
          <w:trHeight w:val="338"/>
        </w:trPr>
        <w:tc>
          <w:tcPr>
            <w:tcW w:w="567" w:type="dxa"/>
            <w:vMerge/>
            <w:tcBorders>
              <w:bottom w:val="single" w:sz="4" w:space="0" w:color="auto"/>
            </w:tcBorders>
            <w:vAlign w:val="center"/>
          </w:tcPr>
          <w:p w14:paraId="01293261" w14:textId="77777777" w:rsidR="00265165" w:rsidRPr="0052658B" w:rsidRDefault="00265165" w:rsidP="00C80E38">
            <w:pPr>
              <w:pStyle w:val="SingleTxtG"/>
              <w:ind w:left="0" w:right="19"/>
              <w:jc w:val="center"/>
              <w:rPr>
                <w:sz w:val="18"/>
                <w:szCs w:val="18"/>
                <w:lang w:val="en-GB"/>
              </w:rPr>
            </w:pPr>
          </w:p>
        </w:tc>
        <w:tc>
          <w:tcPr>
            <w:tcW w:w="1985" w:type="dxa"/>
            <w:vMerge/>
            <w:tcBorders>
              <w:bottom w:val="single" w:sz="4" w:space="0" w:color="auto"/>
            </w:tcBorders>
            <w:vAlign w:val="center"/>
          </w:tcPr>
          <w:p w14:paraId="247E66A4" w14:textId="77777777" w:rsidR="00265165" w:rsidRPr="0052658B" w:rsidRDefault="00265165" w:rsidP="00C80E38">
            <w:pPr>
              <w:pStyle w:val="SingleTxtG"/>
              <w:ind w:left="0" w:right="139"/>
              <w:jc w:val="center"/>
              <w:rPr>
                <w:sz w:val="18"/>
                <w:szCs w:val="18"/>
                <w:lang w:val="en-GB"/>
              </w:rPr>
            </w:pPr>
          </w:p>
        </w:tc>
        <w:tc>
          <w:tcPr>
            <w:tcW w:w="567" w:type="dxa"/>
            <w:vMerge/>
            <w:tcBorders>
              <w:bottom w:val="single" w:sz="4" w:space="0" w:color="auto"/>
            </w:tcBorders>
            <w:vAlign w:val="center"/>
          </w:tcPr>
          <w:p w14:paraId="20346C49" w14:textId="77777777" w:rsidR="00265165" w:rsidRPr="0052658B" w:rsidRDefault="00265165" w:rsidP="00C80E38">
            <w:pPr>
              <w:pStyle w:val="SingleTxtG"/>
              <w:ind w:left="0" w:right="0"/>
              <w:jc w:val="center"/>
              <w:rPr>
                <w:sz w:val="18"/>
                <w:szCs w:val="18"/>
                <w:lang w:val="en-GB"/>
              </w:rPr>
            </w:pPr>
          </w:p>
        </w:tc>
        <w:tc>
          <w:tcPr>
            <w:tcW w:w="567" w:type="dxa"/>
            <w:vMerge/>
            <w:tcBorders>
              <w:bottom w:val="single" w:sz="4" w:space="0" w:color="auto"/>
            </w:tcBorders>
            <w:vAlign w:val="center"/>
          </w:tcPr>
          <w:p w14:paraId="162AEF2C" w14:textId="77777777" w:rsidR="00265165" w:rsidRPr="0052658B" w:rsidRDefault="00265165" w:rsidP="00C80E38">
            <w:pPr>
              <w:pStyle w:val="SingleTxtG"/>
              <w:tabs>
                <w:tab w:val="left" w:pos="0"/>
              </w:tabs>
              <w:ind w:left="0" w:right="0"/>
              <w:jc w:val="center"/>
              <w:rPr>
                <w:sz w:val="18"/>
                <w:szCs w:val="18"/>
                <w:lang w:val="en-GB"/>
              </w:rPr>
            </w:pPr>
          </w:p>
        </w:tc>
        <w:tc>
          <w:tcPr>
            <w:tcW w:w="709" w:type="dxa"/>
            <w:vMerge/>
            <w:tcBorders>
              <w:bottom w:val="single" w:sz="4" w:space="0" w:color="auto"/>
            </w:tcBorders>
            <w:vAlign w:val="center"/>
          </w:tcPr>
          <w:p w14:paraId="08262120" w14:textId="77777777" w:rsidR="00265165" w:rsidRPr="0052658B" w:rsidRDefault="00265165" w:rsidP="00C80E38">
            <w:pPr>
              <w:pStyle w:val="SingleTxtG"/>
              <w:ind w:left="0" w:right="0"/>
              <w:jc w:val="center"/>
              <w:rPr>
                <w:sz w:val="18"/>
                <w:szCs w:val="18"/>
                <w:lang w:val="en-GB"/>
              </w:rPr>
            </w:pPr>
          </w:p>
        </w:tc>
        <w:tc>
          <w:tcPr>
            <w:tcW w:w="708" w:type="dxa"/>
            <w:vMerge/>
            <w:tcBorders>
              <w:bottom w:val="single" w:sz="4" w:space="0" w:color="auto"/>
            </w:tcBorders>
            <w:vAlign w:val="center"/>
          </w:tcPr>
          <w:p w14:paraId="39D171F3" w14:textId="77777777" w:rsidR="00265165" w:rsidRPr="0052658B" w:rsidRDefault="00265165" w:rsidP="00C80E38">
            <w:pPr>
              <w:pStyle w:val="SingleTxtG"/>
              <w:ind w:left="0" w:right="0"/>
              <w:jc w:val="center"/>
              <w:rPr>
                <w:sz w:val="18"/>
                <w:szCs w:val="18"/>
                <w:lang w:val="en-GB"/>
              </w:rPr>
            </w:pPr>
          </w:p>
        </w:tc>
        <w:tc>
          <w:tcPr>
            <w:tcW w:w="1134" w:type="dxa"/>
            <w:gridSpan w:val="2"/>
            <w:vMerge/>
            <w:tcBorders>
              <w:bottom w:val="single" w:sz="4" w:space="0" w:color="auto"/>
            </w:tcBorders>
            <w:vAlign w:val="center"/>
          </w:tcPr>
          <w:p w14:paraId="330D44A4" w14:textId="77777777" w:rsidR="00265165" w:rsidRPr="0052658B" w:rsidRDefault="00265165" w:rsidP="00C80E38">
            <w:pPr>
              <w:pStyle w:val="SingleTxtG"/>
              <w:ind w:left="0" w:right="0"/>
              <w:jc w:val="center"/>
              <w:rPr>
                <w:sz w:val="18"/>
                <w:szCs w:val="18"/>
                <w:lang w:val="en-GB"/>
              </w:rPr>
            </w:pPr>
          </w:p>
        </w:tc>
        <w:tc>
          <w:tcPr>
            <w:tcW w:w="992" w:type="dxa"/>
            <w:tcBorders>
              <w:bottom w:val="single" w:sz="4" w:space="0" w:color="auto"/>
            </w:tcBorders>
            <w:vAlign w:val="center"/>
          </w:tcPr>
          <w:p w14:paraId="1F0F2325" w14:textId="77777777" w:rsidR="00265165" w:rsidRPr="0052658B" w:rsidRDefault="00265165" w:rsidP="00C80E38">
            <w:pPr>
              <w:pStyle w:val="SingleTxtG"/>
              <w:tabs>
                <w:tab w:val="left" w:pos="0"/>
              </w:tabs>
              <w:ind w:left="0" w:right="0"/>
              <w:jc w:val="center"/>
              <w:rPr>
                <w:sz w:val="18"/>
                <w:szCs w:val="18"/>
                <w:lang w:val="en-GB"/>
              </w:rPr>
            </w:pPr>
            <w:r w:rsidRPr="0052658B">
              <w:rPr>
                <w:sz w:val="18"/>
                <w:szCs w:val="18"/>
                <w:lang w:val="en-GB"/>
              </w:rPr>
              <w:t>Packing instruction</w:t>
            </w:r>
          </w:p>
        </w:tc>
        <w:tc>
          <w:tcPr>
            <w:tcW w:w="993" w:type="dxa"/>
            <w:tcBorders>
              <w:bottom w:val="single" w:sz="4" w:space="0" w:color="auto"/>
            </w:tcBorders>
            <w:vAlign w:val="center"/>
          </w:tcPr>
          <w:p w14:paraId="22C3F492" w14:textId="77777777" w:rsidR="00265165" w:rsidRPr="0052658B" w:rsidRDefault="00265165" w:rsidP="00C80E38">
            <w:pPr>
              <w:pStyle w:val="SingleTxtG"/>
              <w:tabs>
                <w:tab w:val="left" w:pos="0"/>
              </w:tabs>
              <w:ind w:left="0" w:right="0"/>
              <w:jc w:val="center"/>
              <w:rPr>
                <w:sz w:val="18"/>
                <w:szCs w:val="18"/>
                <w:lang w:val="en-GB"/>
              </w:rPr>
            </w:pPr>
            <w:r w:rsidRPr="0052658B">
              <w:rPr>
                <w:sz w:val="18"/>
                <w:szCs w:val="18"/>
                <w:lang w:val="en-GB"/>
              </w:rPr>
              <w:t>Special packing provisions</w:t>
            </w:r>
          </w:p>
        </w:tc>
        <w:tc>
          <w:tcPr>
            <w:tcW w:w="850" w:type="dxa"/>
            <w:tcBorders>
              <w:bottom w:val="single" w:sz="4" w:space="0" w:color="auto"/>
            </w:tcBorders>
            <w:vAlign w:val="center"/>
          </w:tcPr>
          <w:p w14:paraId="528A4C5F" w14:textId="75C72386" w:rsidR="00265165" w:rsidRPr="0052658B" w:rsidRDefault="00265165" w:rsidP="00C80E38">
            <w:pPr>
              <w:pStyle w:val="SingleTxtG"/>
              <w:ind w:left="0" w:right="0"/>
              <w:jc w:val="center"/>
              <w:rPr>
                <w:sz w:val="18"/>
                <w:szCs w:val="18"/>
                <w:lang w:val="en-GB"/>
              </w:rPr>
            </w:pPr>
            <w:r w:rsidRPr="0052658B">
              <w:rPr>
                <w:sz w:val="18"/>
                <w:szCs w:val="18"/>
                <w:lang w:val="en-GB"/>
              </w:rPr>
              <w:t>Instruc</w:t>
            </w:r>
            <w:r w:rsidR="00865DF9">
              <w:rPr>
                <w:sz w:val="18"/>
                <w:szCs w:val="18"/>
                <w:lang w:val="en-GB"/>
              </w:rPr>
              <w:t>-</w:t>
            </w:r>
            <w:r w:rsidRPr="0052658B">
              <w:rPr>
                <w:sz w:val="18"/>
                <w:szCs w:val="18"/>
                <w:lang w:val="en-GB"/>
              </w:rPr>
              <w:t>tions</w:t>
            </w:r>
          </w:p>
        </w:tc>
        <w:tc>
          <w:tcPr>
            <w:tcW w:w="851" w:type="dxa"/>
            <w:tcBorders>
              <w:bottom w:val="single" w:sz="4" w:space="0" w:color="auto"/>
            </w:tcBorders>
            <w:vAlign w:val="center"/>
          </w:tcPr>
          <w:p w14:paraId="1EA0AF5B" w14:textId="77777777" w:rsidR="00265165" w:rsidRPr="0052658B" w:rsidRDefault="00265165" w:rsidP="00C80E38">
            <w:pPr>
              <w:pStyle w:val="SingleTxtG"/>
              <w:ind w:left="0" w:right="0"/>
              <w:jc w:val="center"/>
              <w:rPr>
                <w:sz w:val="18"/>
                <w:szCs w:val="18"/>
                <w:lang w:val="en-GB"/>
              </w:rPr>
            </w:pPr>
            <w:r w:rsidRPr="0052658B">
              <w:rPr>
                <w:sz w:val="18"/>
                <w:szCs w:val="18"/>
                <w:lang w:val="en-GB"/>
              </w:rPr>
              <w:t>Special provisions</w:t>
            </w:r>
          </w:p>
        </w:tc>
      </w:tr>
      <w:tr w:rsidR="00AC767E" w:rsidRPr="0052658B" w14:paraId="7397C401" w14:textId="77777777" w:rsidTr="00626FB0">
        <w:tc>
          <w:tcPr>
            <w:tcW w:w="567" w:type="dxa"/>
          </w:tcPr>
          <w:p w14:paraId="1DD27BEA" w14:textId="77777777" w:rsidR="00265165" w:rsidRPr="0052658B" w:rsidRDefault="00265165" w:rsidP="00C80E38">
            <w:pPr>
              <w:pStyle w:val="SingleTxtG"/>
              <w:ind w:left="0" w:right="19"/>
              <w:jc w:val="center"/>
              <w:rPr>
                <w:sz w:val="18"/>
                <w:szCs w:val="18"/>
                <w:lang w:val="en-GB"/>
              </w:rPr>
            </w:pPr>
            <w:r w:rsidRPr="0052658B">
              <w:rPr>
                <w:sz w:val="18"/>
                <w:szCs w:val="18"/>
                <w:lang w:val="en-GB"/>
              </w:rPr>
              <w:t>(1)</w:t>
            </w:r>
          </w:p>
        </w:tc>
        <w:tc>
          <w:tcPr>
            <w:tcW w:w="1985" w:type="dxa"/>
          </w:tcPr>
          <w:p w14:paraId="2EE87F40" w14:textId="77777777" w:rsidR="00265165" w:rsidRPr="0052658B" w:rsidRDefault="00265165" w:rsidP="00C80E38">
            <w:pPr>
              <w:pStyle w:val="SingleTxtG"/>
              <w:ind w:left="0" w:right="19"/>
              <w:jc w:val="center"/>
              <w:rPr>
                <w:sz w:val="18"/>
                <w:szCs w:val="18"/>
                <w:lang w:val="en-GB"/>
              </w:rPr>
            </w:pPr>
            <w:r w:rsidRPr="0052658B">
              <w:rPr>
                <w:sz w:val="18"/>
                <w:szCs w:val="18"/>
                <w:lang w:val="en-GB"/>
              </w:rPr>
              <w:t>(2)</w:t>
            </w:r>
          </w:p>
        </w:tc>
        <w:tc>
          <w:tcPr>
            <w:tcW w:w="567" w:type="dxa"/>
          </w:tcPr>
          <w:p w14:paraId="2866796B" w14:textId="77777777" w:rsidR="00265165" w:rsidRPr="0052658B" w:rsidRDefault="00265165" w:rsidP="00C80E38">
            <w:pPr>
              <w:pStyle w:val="SingleTxtG"/>
              <w:ind w:left="0" w:right="19"/>
              <w:jc w:val="center"/>
              <w:rPr>
                <w:sz w:val="18"/>
                <w:szCs w:val="18"/>
                <w:lang w:val="en-GB"/>
              </w:rPr>
            </w:pPr>
            <w:r w:rsidRPr="0052658B">
              <w:rPr>
                <w:sz w:val="18"/>
                <w:szCs w:val="18"/>
                <w:lang w:val="en-GB"/>
              </w:rPr>
              <w:t>(3)</w:t>
            </w:r>
          </w:p>
        </w:tc>
        <w:tc>
          <w:tcPr>
            <w:tcW w:w="567" w:type="dxa"/>
          </w:tcPr>
          <w:p w14:paraId="7E4CB610" w14:textId="77777777" w:rsidR="00265165" w:rsidRPr="0052658B" w:rsidRDefault="00265165" w:rsidP="00C80E38">
            <w:pPr>
              <w:pStyle w:val="SingleTxtG"/>
              <w:ind w:left="0" w:right="19"/>
              <w:jc w:val="center"/>
              <w:rPr>
                <w:sz w:val="18"/>
                <w:szCs w:val="18"/>
                <w:lang w:val="en-GB"/>
              </w:rPr>
            </w:pPr>
            <w:r w:rsidRPr="0052658B">
              <w:rPr>
                <w:sz w:val="18"/>
                <w:szCs w:val="18"/>
                <w:lang w:val="en-GB"/>
              </w:rPr>
              <w:t>(4)</w:t>
            </w:r>
          </w:p>
        </w:tc>
        <w:tc>
          <w:tcPr>
            <w:tcW w:w="709" w:type="dxa"/>
          </w:tcPr>
          <w:p w14:paraId="5FF18CDB" w14:textId="77777777" w:rsidR="00265165" w:rsidRPr="0052658B" w:rsidRDefault="00265165" w:rsidP="00C80E38">
            <w:pPr>
              <w:pStyle w:val="SingleTxtG"/>
              <w:ind w:left="0" w:right="19"/>
              <w:jc w:val="center"/>
              <w:rPr>
                <w:sz w:val="18"/>
                <w:szCs w:val="18"/>
                <w:lang w:val="en-GB"/>
              </w:rPr>
            </w:pPr>
            <w:r w:rsidRPr="0052658B">
              <w:rPr>
                <w:sz w:val="18"/>
                <w:szCs w:val="18"/>
                <w:lang w:val="en-GB"/>
              </w:rPr>
              <w:t>(5)</w:t>
            </w:r>
          </w:p>
        </w:tc>
        <w:tc>
          <w:tcPr>
            <w:tcW w:w="708" w:type="dxa"/>
          </w:tcPr>
          <w:p w14:paraId="50B58FF0" w14:textId="77777777" w:rsidR="00265165" w:rsidRPr="0052658B" w:rsidRDefault="00265165" w:rsidP="00C80E38">
            <w:pPr>
              <w:pStyle w:val="SingleTxtG"/>
              <w:ind w:left="0" w:right="19"/>
              <w:jc w:val="center"/>
              <w:rPr>
                <w:sz w:val="18"/>
                <w:szCs w:val="18"/>
                <w:lang w:val="en-GB"/>
              </w:rPr>
            </w:pPr>
            <w:r w:rsidRPr="0052658B">
              <w:rPr>
                <w:sz w:val="18"/>
                <w:szCs w:val="18"/>
                <w:lang w:val="en-GB"/>
              </w:rPr>
              <w:t>(6)</w:t>
            </w:r>
          </w:p>
        </w:tc>
        <w:tc>
          <w:tcPr>
            <w:tcW w:w="567" w:type="dxa"/>
          </w:tcPr>
          <w:p w14:paraId="605FD6FB" w14:textId="77777777" w:rsidR="00265165" w:rsidRPr="0052658B" w:rsidRDefault="00265165" w:rsidP="00C80E38">
            <w:pPr>
              <w:pStyle w:val="SingleTxtG"/>
              <w:ind w:left="0" w:right="19"/>
              <w:jc w:val="center"/>
              <w:rPr>
                <w:sz w:val="18"/>
                <w:szCs w:val="18"/>
                <w:lang w:val="en-GB"/>
              </w:rPr>
            </w:pPr>
            <w:r w:rsidRPr="0052658B">
              <w:rPr>
                <w:sz w:val="18"/>
                <w:szCs w:val="18"/>
                <w:lang w:val="en-GB"/>
              </w:rPr>
              <w:t>(7a)</w:t>
            </w:r>
          </w:p>
        </w:tc>
        <w:tc>
          <w:tcPr>
            <w:tcW w:w="567" w:type="dxa"/>
          </w:tcPr>
          <w:p w14:paraId="57C7517F" w14:textId="77777777" w:rsidR="00265165" w:rsidRPr="0052658B" w:rsidRDefault="00265165" w:rsidP="00C80E38">
            <w:pPr>
              <w:pStyle w:val="SingleTxtG"/>
              <w:ind w:left="0" w:right="19"/>
              <w:jc w:val="center"/>
              <w:rPr>
                <w:sz w:val="18"/>
                <w:szCs w:val="18"/>
                <w:lang w:val="en-GB"/>
              </w:rPr>
            </w:pPr>
            <w:r w:rsidRPr="0052658B">
              <w:rPr>
                <w:sz w:val="18"/>
                <w:szCs w:val="18"/>
                <w:lang w:val="en-GB"/>
              </w:rPr>
              <w:t>(7b)</w:t>
            </w:r>
          </w:p>
        </w:tc>
        <w:tc>
          <w:tcPr>
            <w:tcW w:w="992" w:type="dxa"/>
          </w:tcPr>
          <w:p w14:paraId="148E47B6" w14:textId="77777777" w:rsidR="00265165" w:rsidRPr="0052658B" w:rsidRDefault="00265165" w:rsidP="00C80E38">
            <w:pPr>
              <w:pStyle w:val="SingleTxtG"/>
              <w:ind w:left="0" w:right="19"/>
              <w:jc w:val="center"/>
              <w:rPr>
                <w:sz w:val="18"/>
                <w:szCs w:val="18"/>
                <w:lang w:val="en-GB"/>
              </w:rPr>
            </w:pPr>
            <w:r w:rsidRPr="0052658B">
              <w:rPr>
                <w:sz w:val="18"/>
                <w:szCs w:val="18"/>
                <w:lang w:val="en-GB"/>
              </w:rPr>
              <w:t>(8)</w:t>
            </w:r>
          </w:p>
        </w:tc>
        <w:tc>
          <w:tcPr>
            <w:tcW w:w="993" w:type="dxa"/>
          </w:tcPr>
          <w:p w14:paraId="3161CB0A" w14:textId="77777777" w:rsidR="00265165" w:rsidRPr="0052658B" w:rsidRDefault="00265165" w:rsidP="00C80E38">
            <w:pPr>
              <w:pStyle w:val="SingleTxtG"/>
              <w:ind w:left="0" w:right="19"/>
              <w:jc w:val="center"/>
              <w:rPr>
                <w:sz w:val="18"/>
                <w:szCs w:val="18"/>
                <w:lang w:val="en-GB"/>
              </w:rPr>
            </w:pPr>
            <w:r w:rsidRPr="0052658B">
              <w:rPr>
                <w:sz w:val="18"/>
                <w:szCs w:val="18"/>
                <w:lang w:val="en-GB"/>
              </w:rPr>
              <w:t>(9)</w:t>
            </w:r>
          </w:p>
        </w:tc>
        <w:tc>
          <w:tcPr>
            <w:tcW w:w="850" w:type="dxa"/>
          </w:tcPr>
          <w:p w14:paraId="0FB701C6" w14:textId="77777777" w:rsidR="00265165" w:rsidRPr="0052658B" w:rsidRDefault="00265165" w:rsidP="00C80E38">
            <w:pPr>
              <w:pStyle w:val="SingleTxtG"/>
              <w:ind w:left="0" w:right="19"/>
              <w:jc w:val="center"/>
              <w:rPr>
                <w:sz w:val="18"/>
                <w:szCs w:val="18"/>
                <w:lang w:val="en-GB"/>
              </w:rPr>
            </w:pPr>
            <w:r w:rsidRPr="0052658B">
              <w:rPr>
                <w:sz w:val="18"/>
                <w:szCs w:val="18"/>
                <w:lang w:val="en-GB"/>
              </w:rPr>
              <w:t>(10)</w:t>
            </w:r>
          </w:p>
        </w:tc>
        <w:tc>
          <w:tcPr>
            <w:tcW w:w="851" w:type="dxa"/>
          </w:tcPr>
          <w:p w14:paraId="7ACBB2D0" w14:textId="77777777" w:rsidR="00265165" w:rsidRPr="0052658B" w:rsidRDefault="00265165" w:rsidP="00C80E38">
            <w:pPr>
              <w:pStyle w:val="SingleTxtG"/>
              <w:ind w:left="0" w:right="19"/>
              <w:jc w:val="center"/>
              <w:rPr>
                <w:sz w:val="18"/>
                <w:szCs w:val="18"/>
                <w:lang w:val="en-GB"/>
              </w:rPr>
            </w:pPr>
            <w:r w:rsidRPr="0052658B">
              <w:rPr>
                <w:sz w:val="18"/>
                <w:szCs w:val="18"/>
                <w:lang w:val="en-GB"/>
              </w:rPr>
              <w:t>(11)</w:t>
            </w:r>
          </w:p>
        </w:tc>
      </w:tr>
      <w:tr w:rsidR="00AC767E" w:rsidRPr="0052658B" w14:paraId="169CA54F" w14:textId="77777777" w:rsidTr="00626FB0">
        <w:tc>
          <w:tcPr>
            <w:tcW w:w="567" w:type="dxa"/>
            <w:tcBorders>
              <w:bottom w:val="single" w:sz="4" w:space="0" w:color="auto"/>
            </w:tcBorders>
          </w:tcPr>
          <w:p w14:paraId="204750AD" w14:textId="6F871171" w:rsidR="00265165" w:rsidRPr="0052658B" w:rsidRDefault="00626FB0" w:rsidP="00626FB0">
            <w:pPr>
              <w:pStyle w:val="SingleTxtG"/>
              <w:ind w:left="-57" w:right="-57"/>
              <w:jc w:val="center"/>
              <w:rPr>
                <w:sz w:val="18"/>
                <w:szCs w:val="18"/>
                <w:lang w:val="en-GB"/>
              </w:rPr>
            </w:pPr>
            <w:r>
              <w:rPr>
                <w:sz w:val="18"/>
                <w:szCs w:val="18"/>
                <w:lang w:val="en-GB"/>
              </w:rPr>
              <w:t>35</w:t>
            </w:r>
            <w:r w:rsidR="00265165" w:rsidRPr="0052658B">
              <w:rPr>
                <w:sz w:val="18"/>
                <w:szCs w:val="18"/>
                <w:lang w:val="en-GB"/>
              </w:rPr>
              <w:t>XX</w:t>
            </w:r>
          </w:p>
        </w:tc>
        <w:tc>
          <w:tcPr>
            <w:tcW w:w="1985" w:type="dxa"/>
            <w:tcBorders>
              <w:bottom w:val="single" w:sz="4" w:space="0" w:color="auto"/>
            </w:tcBorders>
          </w:tcPr>
          <w:p w14:paraId="6AEECF7E" w14:textId="668B4DF8" w:rsidR="00265165" w:rsidRPr="0052658B" w:rsidRDefault="00882892" w:rsidP="00C80E38">
            <w:pPr>
              <w:pStyle w:val="SingleTxtG"/>
              <w:ind w:left="0" w:right="19"/>
              <w:jc w:val="center"/>
              <w:rPr>
                <w:sz w:val="18"/>
                <w:szCs w:val="18"/>
                <w:lang w:val="en-GB"/>
              </w:rPr>
            </w:pPr>
            <w:r>
              <w:rPr>
                <w:snapToGrid w:val="0"/>
                <w:sz w:val="18"/>
                <w:szCs w:val="18"/>
                <w:lang w:val="en-GB"/>
              </w:rPr>
              <w:t xml:space="preserve">LITHIUM </w:t>
            </w:r>
            <w:r w:rsidR="004D717B">
              <w:rPr>
                <w:snapToGrid w:val="0"/>
                <w:sz w:val="18"/>
                <w:szCs w:val="18"/>
                <w:lang w:val="en-GB"/>
              </w:rPr>
              <w:t>BATTERY</w:t>
            </w:r>
            <w:r w:rsidR="00CF6514">
              <w:rPr>
                <w:snapToGrid w:val="0"/>
                <w:sz w:val="18"/>
                <w:szCs w:val="18"/>
                <w:lang w:val="en-GB"/>
              </w:rPr>
              <w:t xml:space="preserve">-POWERED VEHICLE </w:t>
            </w:r>
            <w:r w:rsidR="002B39BB">
              <w:rPr>
                <w:snapToGrid w:val="0"/>
                <w:sz w:val="18"/>
                <w:szCs w:val="18"/>
                <w:lang w:val="en-GB"/>
              </w:rPr>
              <w:t>lithium metal or lithium ion battery</w:t>
            </w:r>
          </w:p>
        </w:tc>
        <w:tc>
          <w:tcPr>
            <w:tcW w:w="567" w:type="dxa"/>
            <w:tcBorders>
              <w:bottom w:val="single" w:sz="4" w:space="0" w:color="auto"/>
            </w:tcBorders>
          </w:tcPr>
          <w:p w14:paraId="669AFC06" w14:textId="640563F5" w:rsidR="00265165" w:rsidRPr="0052658B" w:rsidRDefault="00D540EE" w:rsidP="00C80E38">
            <w:pPr>
              <w:pStyle w:val="SingleTxtG"/>
              <w:ind w:left="0" w:right="19"/>
              <w:jc w:val="center"/>
              <w:rPr>
                <w:sz w:val="18"/>
                <w:szCs w:val="18"/>
                <w:lang w:val="en-GB"/>
              </w:rPr>
            </w:pPr>
            <w:r>
              <w:rPr>
                <w:sz w:val="18"/>
                <w:szCs w:val="18"/>
                <w:lang w:val="en-GB"/>
              </w:rPr>
              <w:t>9</w:t>
            </w:r>
          </w:p>
        </w:tc>
        <w:tc>
          <w:tcPr>
            <w:tcW w:w="567" w:type="dxa"/>
            <w:tcBorders>
              <w:bottom w:val="single" w:sz="4" w:space="0" w:color="auto"/>
            </w:tcBorders>
          </w:tcPr>
          <w:p w14:paraId="62C357B5" w14:textId="77777777" w:rsidR="00265165" w:rsidRPr="0052658B" w:rsidRDefault="00265165" w:rsidP="00C80E38">
            <w:pPr>
              <w:pStyle w:val="SingleTxtG"/>
              <w:ind w:left="0" w:right="19"/>
              <w:jc w:val="center"/>
              <w:rPr>
                <w:sz w:val="18"/>
                <w:szCs w:val="18"/>
                <w:lang w:val="en-GB"/>
              </w:rPr>
            </w:pPr>
          </w:p>
        </w:tc>
        <w:tc>
          <w:tcPr>
            <w:tcW w:w="709" w:type="dxa"/>
            <w:tcBorders>
              <w:bottom w:val="single" w:sz="4" w:space="0" w:color="auto"/>
            </w:tcBorders>
          </w:tcPr>
          <w:p w14:paraId="7B08994F" w14:textId="3DD8AC7C" w:rsidR="00265165" w:rsidRPr="0052658B" w:rsidRDefault="00265165" w:rsidP="00C80E38">
            <w:pPr>
              <w:pStyle w:val="SingleTxtG"/>
              <w:ind w:left="0" w:right="19"/>
              <w:jc w:val="center"/>
              <w:rPr>
                <w:sz w:val="18"/>
                <w:szCs w:val="18"/>
                <w:lang w:val="en-GB"/>
              </w:rPr>
            </w:pPr>
          </w:p>
        </w:tc>
        <w:tc>
          <w:tcPr>
            <w:tcW w:w="708" w:type="dxa"/>
            <w:tcBorders>
              <w:bottom w:val="single" w:sz="4" w:space="0" w:color="auto"/>
            </w:tcBorders>
          </w:tcPr>
          <w:p w14:paraId="13EE74BF" w14:textId="006502B9" w:rsidR="00265165" w:rsidRPr="0052658B" w:rsidRDefault="00D540EE" w:rsidP="00C80E38">
            <w:pPr>
              <w:pStyle w:val="SingleTxtG"/>
              <w:ind w:left="0" w:right="19"/>
              <w:jc w:val="center"/>
              <w:rPr>
                <w:sz w:val="18"/>
                <w:szCs w:val="18"/>
                <w:lang w:val="en-GB"/>
              </w:rPr>
            </w:pPr>
            <w:r>
              <w:rPr>
                <w:sz w:val="18"/>
                <w:szCs w:val="18"/>
                <w:lang w:val="en-GB"/>
              </w:rPr>
              <w:t>123</w:t>
            </w:r>
            <w:r w:rsidR="00265165" w:rsidRPr="0052658B">
              <w:rPr>
                <w:sz w:val="18"/>
                <w:szCs w:val="18"/>
                <w:lang w:val="en-GB"/>
              </w:rPr>
              <w:br/>
            </w:r>
            <w:r w:rsidR="008B2D02">
              <w:rPr>
                <w:sz w:val="18"/>
                <w:szCs w:val="18"/>
                <w:lang w:val="en-GB"/>
              </w:rPr>
              <w:t>38</w:t>
            </w:r>
            <w:r w:rsidR="003F5D02">
              <w:rPr>
                <w:sz w:val="18"/>
                <w:szCs w:val="18"/>
                <w:lang w:val="en-GB"/>
              </w:rPr>
              <w:t>4</w:t>
            </w:r>
            <w:r w:rsidR="00AC767E">
              <w:rPr>
                <w:sz w:val="18"/>
                <w:szCs w:val="18"/>
                <w:lang w:val="en-GB"/>
              </w:rPr>
              <w:br/>
            </w:r>
            <w:r w:rsidR="003F5D02">
              <w:rPr>
                <w:sz w:val="18"/>
                <w:szCs w:val="18"/>
                <w:lang w:val="en-GB"/>
              </w:rPr>
              <w:t>388</w:t>
            </w:r>
          </w:p>
        </w:tc>
        <w:tc>
          <w:tcPr>
            <w:tcW w:w="567" w:type="dxa"/>
            <w:tcBorders>
              <w:bottom w:val="single" w:sz="4" w:space="0" w:color="auto"/>
            </w:tcBorders>
          </w:tcPr>
          <w:p w14:paraId="3E017F68" w14:textId="77777777" w:rsidR="00265165" w:rsidRPr="0052658B" w:rsidRDefault="00265165" w:rsidP="00C80E38">
            <w:pPr>
              <w:pStyle w:val="SingleTxtG"/>
              <w:ind w:left="0" w:right="19"/>
              <w:jc w:val="center"/>
              <w:rPr>
                <w:sz w:val="18"/>
                <w:szCs w:val="18"/>
                <w:lang w:val="en-GB"/>
              </w:rPr>
            </w:pPr>
            <w:r w:rsidRPr="0052658B">
              <w:rPr>
                <w:sz w:val="18"/>
                <w:szCs w:val="18"/>
                <w:lang w:val="en-GB"/>
              </w:rPr>
              <w:t>0</w:t>
            </w:r>
          </w:p>
        </w:tc>
        <w:tc>
          <w:tcPr>
            <w:tcW w:w="567" w:type="dxa"/>
            <w:tcBorders>
              <w:bottom w:val="single" w:sz="4" w:space="0" w:color="auto"/>
            </w:tcBorders>
          </w:tcPr>
          <w:p w14:paraId="5A817F36" w14:textId="77777777" w:rsidR="00265165" w:rsidRPr="0052658B" w:rsidRDefault="00265165" w:rsidP="00C80E38">
            <w:pPr>
              <w:pStyle w:val="SingleTxtG"/>
              <w:ind w:left="0" w:right="19"/>
              <w:jc w:val="center"/>
              <w:rPr>
                <w:sz w:val="18"/>
                <w:szCs w:val="18"/>
                <w:lang w:val="en-GB"/>
              </w:rPr>
            </w:pPr>
            <w:r w:rsidRPr="0052658B">
              <w:rPr>
                <w:sz w:val="18"/>
                <w:szCs w:val="18"/>
                <w:lang w:val="en-GB"/>
              </w:rPr>
              <w:t>E0</w:t>
            </w:r>
          </w:p>
        </w:tc>
        <w:tc>
          <w:tcPr>
            <w:tcW w:w="992" w:type="dxa"/>
            <w:tcBorders>
              <w:bottom w:val="single" w:sz="4" w:space="0" w:color="auto"/>
            </w:tcBorders>
          </w:tcPr>
          <w:p w14:paraId="34FA30EE" w14:textId="0A6FDB19" w:rsidR="00265165" w:rsidRPr="0052658B" w:rsidRDefault="0042657C" w:rsidP="00C80E38">
            <w:pPr>
              <w:pStyle w:val="SingleTxtG"/>
              <w:ind w:left="0" w:right="19"/>
              <w:jc w:val="center"/>
              <w:rPr>
                <w:sz w:val="18"/>
                <w:szCs w:val="18"/>
                <w:lang w:val="en-GB"/>
              </w:rPr>
            </w:pPr>
            <w:r>
              <w:rPr>
                <w:sz w:val="18"/>
                <w:szCs w:val="18"/>
                <w:lang w:val="en-GB"/>
              </w:rPr>
              <w:t>NONE</w:t>
            </w:r>
          </w:p>
        </w:tc>
        <w:tc>
          <w:tcPr>
            <w:tcW w:w="993" w:type="dxa"/>
            <w:tcBorders>
              <w:bottom w:val="single" w:sz="4" w:space="0" w:color="auto"/>
            </w:tcBorders>
          </w:tcPr>
          <w:p w14:paraId="7D33ED07" w14:textId="003504EF" w:rsidR="00265165" w:rsidRPr="0052658B" w:rsidRDefault="00265165" w:rsidP="00C80E38">
            <w:pPr>
              <w:pStyle w:val="SingleTxtG"/>
              <w:ind w:left="0" w:right="19"/>
              <w:jc w:val="center"/>
              <w:rPr>
                <w:sz w:val="18"/>
                <w:szCs w:val="18"/>
                <w:lang w:val="en-GB"/>
              </w:rPr>
            </w:pPr>
          </w:p>
        </w:tc>
        <w:tc>
          <w:tcPr>
            <w:tcW w:w="850" w:type="dxa"/>
            <w:tcBorders>
              <w:bottom w:val="single" w:sz="4" w:space="0" w:color="auto"/>
            </w:tcBorders>
          </w:tcPr>
          <w:p w14:paraId="4C192C30" w14:textId="77777777" w:rsidR="00265165" w:rsidRPr="0052658B" w:rsidRDefault="00265165" w:rsidP="00C80E38">
            <w:pPr>
              <w:pStyle w:val="SingleTxtG"/>
              <w:ind w:left="0" w:right="19"/>
              <w:jc w:val="center"/>
              <w:rPr>
                <w:sz w:val="18"/>
                <w:szCs w:val="18"/>
                <w:lang w:val="en-GB"/>
              </w:rPr>
            </w:pPr>
          </w:p>
        </w:tc>
        <w:tc>
          <w:tcPr>
            <w:tcW w:w="851" w:type="dxa"/>
            <w:tcBorders>
              <w:bottom w:val="single" w:sz="4" w:space="0" w:color="auto"/>
            </w:tcBorders>
          </w:tcPr>
          <w:p w14:paraId="7CC11702" w14:textId="77777777" w:rsidR="00265165" w:rsidRPr="0052658B" w:rsidRDefault="00265165" w:rsidP="00C80E38">
            <w:pPr>
              <w:pStyle w:val="SingleTxtG"/>
              <w:ind w:left="0" w:right="19"/>
              <w:jc w:val="center"/>
              <w:rPr>
                <w:sz w:val="18"/>
                <w:szCs w:val="18"/>
                <w:lang w:val="en-GB"/>
              </w:rPr>
            </w:pPr>
          </w:p>
        </w:tc>
      </w:tr>
    </w:tbl>
    <w:p w14:paraId="33561C47" w14:textId="670023D8" w:rsidR="00BE6283" w:rsidRDefault="00265165" w:rsidP="00F90CF8">
      <w:pPr>
        <w:pStyle w:val="SingleTxtG"/>
        <w:spacing w:before="240"/>
      </w:pPr>
      <w:r>
        <w:tab/>
      </w:r>
      <w:r w:rsidR="00BE6283">
        <w:br w:type="page"/>
      </w:r>
    </w:p>
    <w:p w14:paraId="127E8BAA" w14:textId="3520965C" w:rsidR="00265165" w:rsidRPr="00743AA9" w:rsidRDefault="00265165" w:rsidP="00265165">
      <w:pPr>
        <w:pStyle w:val="SingleTxtG"/>
        <w:spacing w:before="240"/>
        <w:rPr>
          <w:lang w:val="en-GB"/>
        </w:rPr>
      </w:pPr>
      <w:r>
        <w:lastRenderedPageBreak/>
        <w:t>1</w:t>
      </w:r>
      <w:r w:rsidR="00F51EBE">
        <w:rPr>
          <w:lang w:val="en-US"/>
        </w:rPr>
        <w:t>2</w:t>
      </w:r>
      <w:r>
        <w:t>.</w:t>
      </w:r>
      <w:r>
        <w:tab/>
      </w:r>
      <w:r w:rsidR="0042657C" w:rsidRPr="00743AA9">
        <w:rPr>
          <w:lang w:val="en-GB"/>
        </w:rPr>
        <w:t xml:space="preserve">If this approach is favoured </w:t>
      </w:r>
      <w:r w:rsidR="00C95ED2" w:rsidRPr="00743AA9">
        <w:rPr>
          <w:lang w:val="en-GB"/>
        </w:rPr>
        <w:t xml:space="preserve">there would be consequential amendments required to perhaps add </w:t>
      </w:r>
      <w:r w:rsidR="00204332" w:rsidRPr="00743AA9">
        <w:rPr>
          <w:lang w:val="en-GB"/>
        </w:rPr>
        <w:t>lower case text to UN 3171, BATTERY-POWERED VEHICLE</w:t>
      </w:r>
      <w:r w:rsidR="00743AA9" w:rsidRPr="00743AA9">
        <w:rPr>
          <w:lang w:val="en-GB"/>
        </w:rPr>
        <w:t xml:space="preserve"> to identify “other than </w:t>
      </w:r>
      <w:r w:rsidR="00743AA9">
        <w:rPr>
          <w:lang w:val="en-GB"/>
        </w:rPr>
        <w:t>lithium battery”</w:t>
      </w:r>
      <w:r w:rsidR="00876076">
        <w:rPr>
          <w:lang w:val="en-GB"/>
        </w:rPr>
        <w:t xml:space="preserve"> and amend </w:t>
      </w:r>
      <w:r w:rsidR="00F529A9">
        <w:rPr>
          <w:lang w:val="en-GB"/>
        </w:rPr>
        <w:t>several</w:t>
      </w:r>
      <w:r w:rsidR="00876076">
        <w:rPr>
          <w:lang w:val="en-GB"/>
        </w:rPr>
        <w:t xml:space="preserve"> special provisions, including </w:t>
      </w:r>
      <w:r w:rsidR="00305D89">
        <w:rPr>
          <w:lang w:val="en-GB"/>
        </w:rPr>
        <w:t xml:space="preserve">360 </w:t>
      </w:r>
      <w:r w:rsidR="00A8332B">
        <w:rPr>
          <w:lang w:val="en-GB"/>
        </w:rPr>
        <w:t>and 388</w:t>
      </w:r>
      <w:r w:rsidR="003A507B">
        <w:rPr>
          <w:lang w:val="en-GB"/>
        </w:rPr>
        <w:t>.</w:t>
      </w:r>
    </w:p>
    <w:p w14:paraId="4ABD89C5" w14:textId="22F45A71" w:rsidR="00226317" w:rsidRPr="00AE6BB3" w:rsidRDefault="00E97CD8" w:rsidP="00E97CD8">
      <w:pPr>
        <w:spacing w:before="240"/>
        <w:jc w:val="center"/>
        <w:rPr>
          <w:u w:val="single"/>
        </w:rPr>
      </w:pPr>
      <w:r w:rsidRPr="00AE6BB3">
        <w:rPr>
          <w:u w:val="single"/>
        </w:rPr>
        <w:tab/>
      </w:r>
      <w:r w:rsidRPr="00AE6BB3">
        <w:rPr>
          <w:u w:val="single"/>
        </w:rPr>
        <w:tab/>
      </w:r>
      <w:r w:rsidRPr="00AE6BB3">
        <w:rPr>
          <w:u w:val="single"/>
        </w:rPr>
        <w:tab/>
      </w:r>
    </w:p>
    <w:sectPr w:rsidR="00226317" w:rsidRPr="00AE6BB3"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17E1" w14:textId="77777777" w:rsidR="00EF5122" w:rsidRDefault="00EF5122"/>
  </w:endnote>
  <w:endnote w:type="continuationSeparator" w:id="0">
    <w:p w14:paraId="5A660A1F" w14:textId="77777777" w:rsidR="00EF5122" w:rsidRDefault="00EF5122"/>
  </w:endnote>
  <w:endnote w:type="continuationNotice" w:id="1">
    <w:p w14:paraId="532F614B" w14:textId="77777777" w:rsidR="00EF5122" w:rsidRDefault="00EF5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258F" w14:textId="77777777" w:rsidR="00EF5122" w:rsidRPr="000B175B" w:rsidRDefault="00EF5122" w:rsidP="000B175B">
      <w:pPr>
        <w:tabs>
          <w:tab w:val="right" w:pos="2155"/>
        </w:tabs>
        <w:spacing w:after="80"/>
        <w:ind w:left="680"/>
        <w:rPr>
          <w:u w:val="single"/>
        </w:rPr>
      </w:pPr>
      <w:r>
        <w:rPr>
          <w:u w:val="single"/>
        </w:rPr>
        <w:tab/>
      </w:r>
    </w:p>
  </w:footnote>
  <w:footnote w:type="continuationSeparator" w:id="0">
    <w:p w14:paraId="3884EBE5" w14:textId="77777777" w:rsidR="00EF5122" w:rsidRPr="00FC68B7" w:rsidRDefault="00EF5122" w:rsidP="00FC68B7">
      <w:pPr>
        <w:tabs>
          <w:tab w:val="left" w:pos="2155"/>
        </w:tabs>
        <w:spacing w:after="80"/>
        <w:ind w:left="680"/>
        <w:rPr>
          <w:u w:val="single"/>
        </w:rPr>
      </w:pPr>
      <w:r>
        <w:rPr>
          <w:u w:val="single"/>
        </w:rPr>
        <w:tab/>
      </w:r>
    </w:p>
  </w:footnote>
  <w:footnote w:type="continuationNotice" w:id="1">
    <w:p w14:paraId="521ACA54" w14:textId="77777777" w:rsidR="00EF5122" w:rsidRDefault="00EF5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1437475B"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C84FA8">
      <w:rPr>
        <w:b/>
        <w:bCs/>
        <w:sz w:val="18"/>
        <w:szCs w:val="18"/>
      </w:rPr>
      <w:t>60</w:t>
    </w:r>
    <w:r w:rsidR="0066373E" w:rsidRPr="0066373E">
      <w:rPr>
        <w:b/>
        <w:bCs/>
        <w:sz w:val="18"/>
        <w:szCs w:val="18"/>
      </w:rPr>
      <w:t>/</w:t>
    </w:r>
    <w:r w:rsidR="00EB6BA6">
      <w:rPr>
        <w:b/>
        <w:bCs/>
        <w:sz w:val="18"/>
        <w:szCs w:val="18"/>
      </w:rPr>
      <w:t>INF</w:t>
    </w:r>
    <w:r w:rsidR="00273E5B">
      <w:rPr>
        <w:b/>
        <w:bCs/>
        <w:sz w:val="18"/>
        <w:szCs w:val="18"/>
      </w:rPr>
      <w:t>.</w:t>
    </w:r>
    <w:r w:rsidR="00F51EBE">
      <w:rPr>
        <w:b/>
        <w:bCs/>
        <w:sz w:val="18"/>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64422260"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C84FA8">
      <w:rPr>
        <w:b/>
        <w:bCs/>
        <w:sz w:val="18"/>
        <w:szCs w:val="18"/>
      </w:rPr>
      <w:t>60</w:t>
    </w:r>
    <w:r w:rsidRPr="0066373E">
      <w:rPr>
        <w:b/>
        <w:bCs/>
        <w:sz w:val="18"/>
        <w:szCs w:val="18"/>
      </w:rPr>
      <w:t>/</w:t>
    </w:r>
    <w:r w:rsidR="00A14F4B">
      <w:rPr>
        <w:b/>
        <w:bCs/>
        <w:sz w:val="18"/>
        <w:szCs w:val="18"/>
      </w:rPr>
      <w:t>INF.</w:t>
    </w:r>
    <w:r w:rsidR="00F51EBE">
      <w:rPr>
        <w:b/>
        <w:bCs/>
        <w:sz w:val="18"/>
        <w:szCs w:val="18"/>
      </w:rPr>
      <w:t>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BE4" w14:textId="3538A4BF"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2852FD0"/>
    <w:multiLevelType w:val="hybridMultilevel"/>
    <w:tmpl w:val="5FF48428"/>
    <w:lvl w:ilvl="0" w:tplc="A9F80EAC">
      <w:start w:val="1"/>
      <w:numFmt w:val="decimal"/>
      <w:lvlText w:val="%1."/>
      <w:lvlJc w:val="left"/>
      <w:pPr>
        <w:ind w:left="1704" w:hanging="57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9A1B3F"/>
    <w:multiLevelType w:val="hybridMultilevel"/>
    <w:tmpl w:val="D3F28F90"/>
    <w:lvl w:ilvl="0" w:tplc="39C4751A">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C4FEE1"/>
    <w:multiLevelType w:val="singleLevel"/>
    <w:tmpl w:val="1FC4FEE1"/>
    <w:lvl w:ilvl="0">
      <w:start w:val="1"/>
      <w:numFmt w:val="decimal"/>
      <w:lvlText w:val="%1."/>
      <w:lvlJc w:val="left"/>
      <w:pPr>
        <w:ind w:left="0" w:firstLine="0"/>
      </w:pPr>
    </w:lvl>
  </w:abstractNum>
  <w:abstractNum w:abstractNumId="18"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19"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2"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3"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4" w15:restartNumberingAfterBreak="0">
    <w:nsid w:val="44732CF5"/>
    <w:multiLevelType w:val="hybridMultilevel"/>
    <w:tmpl w:val="05445B8A"/>
    <w:lvl w:ilvl="0" w:tplc="D8A008AC">
      <w:start w:val="5"/>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5"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8" w15:restartNumberingAfterBreak="0">
    <w:nsid w:val="51F1431F"/>
    <w:multiLevelType w:val="hybridMultilevel"/>
    <w:tmpl w:val="5FAA62D0"/>
    <w:lvl w:ilvl="0" w:tplc="F4425362">
      <w:start w:val="1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9"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2"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3"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9230B"/>
    <w:multiLevelType w:val="hybridMultilevel"/>
    <w:tmpl w:val="4CDE3204"/>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9"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5"/>
  </w:num>
  <w:num w:numId="13">
    <w:abstractNumId w:val="10"/>
  </w:num>
  <w:num w:numId="14">
    <w:abstractNumId w:val="34"/>
  </w:num>
  <w:num w:numId="15">
    <w:abstractNumId w:val="37"/>
  </w:num>
  <w:num w:numId="16">
    <w:abstractNumId w:val="11"/>
  </w:num>
  <w:num w:numId="17">
    <w:abstractNumId w:val="20"/>
  </w:num>
  <w:num w:numId="18">
    <w:abstractNumId w:val="21"/>
  </w:num>
  <w:num w:numId="19">
    <w:abstractNumId w:val="17"/>
    <w:lvlOverride w:ilvl="0">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3"/>
  </w:num>
  <w:num w:numId="24">
    <w:abstractNumId w:val="22"/>
  </w:num>
  <w:num w:numId="25">
    <w:abstractNumId w:val="36"/>
  </w:num>
  <w:num w:numId="26">
    <w:abstractNumId w:val="27"/>
  </w:num>
  <w:num w:numId="27">
    <w:abstractNumId w:val="2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9"/>
  </w:num>
  <w:num w:numId="32">
    <w:abstractNumId w:val="18"/>
  </w:num>
  <w:num w:numId="33">
    <w:abstractNumId w:val="33"/>
  </w:num>
  <w:num w:numId="34">
    <w:abstractNumId w:val="31"/>
  </w:num>
  <w:num w:numId="35">
    <w:abstractNumId w:val="24"/>
  </w:num>
  <w:num w:numId="36">
    <w:abstractNumId w:val="40"/>
  </w:num>
  <w:num w:numId="37">
    <w:abstractNumId w:val="19"/>
  </w:num>
  <w:num w:numId="38">
    <w:abstractNumId w:val="28"/>
  </w:num>
  <w:num w:numId="39">
    <w:abstractNumId w:val="35"/>
  </w:num>
  <w:num w:numId="40">
    <w:abstractNumId w:val="16"/>
  </w:num>
  <w:num w:numId="41">
    <w:abstractNumId w:val="34"/>
  </w:num>
  <w:num w:numId="4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563"/>
    <w:rsid w:val="00006E29"/>
    <w:rsid w:val="00006FAE"/>
    <w:rsid w:val="000115F2"/>
    <w:rsid w:val="00012EB6"/>
    <w:rsid w:val="000133C5"/>
    <w:rsid w:val="00014467"/>
    <w:rsid w:val="00017D24"/>
    <w:rsid w:val="000216CC"/>
    <w:rsid w:val="00025E5F"/>
    <w:rsid w:val="000277D3"/>
    <w:rsid w:val="00032B85"/>
    <w:rsid w:val="00033414"/>
    <w:rsid w:val="0003375D"/>
    <w:rsid w:val="00034851"/>
    <w:rsid w:val="00043180"/>
    <w:rsid w:val="00045941"/>
    <w:rsid w:val="000504CE"/>
    <w:rsid w:val="00050645"/>
    <w:rsid w:val="00050922"/>
    <w:rsid w:val="00050F6B"/>
    <w:rsid w:val="00053101"/>
    <w:rsid w:val="00053492"/>
    <w:rsid w:val="0005420E"/>
    <w:rsid w:val="000550AF"/>
    <w:rsid w:val="000556F5"/>
    <w:rsid w:val="00056879"/>
    <w:rsid w:val="0005710C"/>
    <w:rsid w:val="000577F8"/>
    <w:rsid w:val="00057ABF"/>
    <w:rsid w:val="00060C1F"/>
    <w:rsid w:val="00064402"/>
    <w:rsid w:val="00064AED"/>
    <w:rsid w:val="00067E6D"/>
    <w:rsid w:val="00072C03"/>
    <w:rsid w:val="00072C8C"/>
    <w:rsid w:val="00073129"/>
    <w:rsid w:val="00075666"/>
    <w:rsid w:val="00075F99"/>
    <w:rsid w:val="00076A0A"/>
    <w:rsid w:val="0007744B"/>
    <w:rsid w:val="00081C42"/>
    <w:rsid w:val="00082B4A"/>
    <w:rsid w:val="00082CE1"/>
    <w:rsid w:val="00083598"/>
    <w:rsid w:val="00084632"/>
    <w:rsid w:val="00085840"/>
    <w:rsid w:val="000862DB"/>
    <w:rsid w:val="00087152"/>
    <w:rsid w:val="00090BA7"/>
    <w:rsid w:val="00090CBF"/>
    <w:rsid w:val="00091046"/>
    <w:rsid w:val="00091419"/>
    <w:rsid w:val="00091CB3"/>
    <w:rsid w:val="000931C0"/>
    <w:rsid w:val="00093B29"/>
    <w:rsid w:val="00094558"/>
    <w:rsid w:val="0009492D"/>
    <w:rsid w:val="00095423"/>
    <w:rsid w:val="000A12E4"/>
    <w:rsid w:val="000A2236"/>
    <w:rsid w:val="000A35F2"/>
    <w:rsid w:val="000A3A48"/>
    <w:rsid w:val="000A4C38"/>
    <w:rsid w:val="000A4F3B"/>
    <w:rsid w:val="000B0608"/>
    <w:rsid w:val="000B175B"/>
    <w:rsid w:val="000B3A0F"/>
    <w:rsid w:val="000B4919"/>
    <w:rsid w:val="000B4A80"/>
    <w:rsid w:val="000B6AD1"/>
    <w:rsid w:val="000B7AF2"/>
    <w:rsid w:val="000C1ED8"/>
    <w:rsid w:val="000C33EF"/>
    <w:rsid w:val="000C5D4B"/>
    <w:rsid w:val="000C6F83"/>
    <w:rsid w:val="000C717F"/>
    <w:rsid w:val="000C7F2A"/>
    <w:rsid w:val="000D0360"/>
    <w:rsid w:val="000D0B8F"/>
    <w:rsid w:val="000D316D"/>
    <w:rsid w:val="000D481F"/>
    <w:rsid w:val="000D6D97"/>
    <w:rsid w:val="000D7830"/>
    <w:rsid w:val="000E0415"/>
    <w:rsid w:val="000E5E08"/>
    <w:rsid w:val="000E772F"/>
    <w:rsid w:val="000F0347"/>
    <w:rsid w:val="000F24D4"/>
    <w:rsid w:val="000F4F97"/>
    <w:rsid w:val="000F52D6"/>
    <w:rsid w:val="000F6A20"/>
    <w:rsid w:val="001016F4"/>
    <w:rsid w:val="0010461A"/>
    <w:rsid w:val="00104908"/>
    <w:rsid w:val="00104E49"/>
    <w:rsid w:val="00106405"/>
    <w:rsid w:val="001072D1"/>
    <w:rsid w:val="001146AD"/>
    <w:rsid w:val="00114BFD"/>
    <w:rsid w:val="00115303"/>
    <w:rsid w:val="0011676D"/>
    <w:rsid w:val="00117787"/>
    <w:rsid w:val="00117D0D"/>
    <w:rsid w:val="001207BB"/>
    <w:rsid w:val="00120B41"/>
    <w:rsid w:val="001218DD"/>
    <w:rsid w:val="00121EB7"/>
    <w:rsid w:val="00123BFF"/>
    <w:rsid w:val="00124DB4"/>
    <w:rsid w:val="00126151"/>
    <w:rsid w:val="00131B10"/>
    <w:rsid w:val="00131D42"/>
    <w:rsid w:val="00133C50"/>
    <w:rsid w:val="00134658"/>
    <w:rsid w:val="001406F4"/>
    <w:rsid w:val="00140F48"/>
    <w:rsid w:val="001418B6"/>
    <w:rsid w:val="00144CDC"/>
    <w:rsid w:val="00146A01"/>
    <w:rsid w:val="00147935"/>
    <w:rsid w:val="001518B1"/>
    <w:rsid w:val="00156E9B"/>
    <w:rsid w:val="00161334"/>
    <w:rsid w:val="00161886"/>
    <w:rsid w:val="001633FB"/>
    <w:rsid w:val="00163A1B"/>
    <w:rsid w:val="00165735"/>
    <w:rsid w:val="001657D3"/>
    <w:rsid w:val="00167786"/>
    <w:rsid w:val="00167C57"/>
    <w:rsid w:val="00173C85"/>
    <w:rsid w:val="0017489D"/>
    <w:rsid w:val="00177877"/>
    <w:rsid w:val="001802FD"/>
    <w:rsid w:val="00180633"/>
    <w:rsid w:val="00181019"/>
    <w:rsid w:val="0018162F"/>
    <w:rsid w:val="0018168F"/>
    <w:rsid w:val="001818F3"/>
    <w:rsid w:val="00181EF7"/>
    <w:rsid w:val="001835BF"/>
    <w:rsid w:val="0018403C"/>
    <w:rsid w:val="00184120"/>
    <w:rsid w:val="00184B86"/>
    <w:rsid w:val="00187513"/>
    <w:rsid w:val="001877D7"/>
    <w:rsid w:val="0019334D"/>
    <w:rsid w:val="00193474"/>
    <w:rsid w:val="00195229"/>
    <w:rsid w:val="00197EBE"/>
    <w:rsid w:val="001A02A4"/>
    <w:rsid w:val="001A2D19"/>
    <w:rsid w:val="001A4C53"/>
    <w:rsid w:val="001A7113"/>
    <w:rsid w:val="001A779F"/>
    <w:rsid w:val="001A7908"/>
    <w:rsid w:val="001B05DC"/>
    <w:rsid w:val="001B35EE"/>
    <w:rsid w:val="001B4B04"/>
    <w:rsid w:val="001B6B72"/>
    <w:rsid w:val="001B7A75"/>
    <w:rsid w:val="001C3233"/>
    <w:rsid w:val="001C429D"/>
    <w:rsid w:val="001C6213"/>
    <w:rsid w:val="001C6663"/>
    <w:rsid w:val="001C7895"/>
    <w:rsid w:val="001D26DF"/>
    <w:rsid w:val="001D2B6E"/>
    <w:rsid w:val="001D2FDC"/>
    <w:rsid w:val="001D3123"/>
    <w:rsid w:val="001D3212"/>
    <w:rsid w:val="001D3A88"/>
    <w:rsid w:val="001D49F7"/>
    <w:rsid w:val="001D4B2D"/>
    <w:rsid w:val="001D4E70"/>
    <w:rsid w:val="001D678A"/>
    <w:rsid w:val="001D74D0"/>
    <w:rsid w:val="001E0855"/>
    <w:rsid w:val="001E0DCB"/>
    <w:rsid w:val="001E175B"/>
    <w:rsid w:val="001E435D"/>
    <w:rsid w:val="001E55D0"/>
    <w:rsid w:val="001E797C"/>
    <w:rsid w:val="001F0112"/>
    <w:rsid w:val="001F4091"/>
    <w:rsid w:val="002015A3"/>
    <w:rsid w:val="002017E8"/>
    <w:rsid w:val="00204332"/>
    <w:rsid w:val="002062DE"/>
    <w:rsid w:val="00207304"/>
    <w:rsid w:val="00211B12"/>
    <w:rsid w:val="00211B28"/>
    <w:rsid w:val="00211E0B"/>
    <w:rsid w:val="00212D0C"/>
    <w:rsid w:val="00212ED2"/>
    <w:rsid w:val="0021481D"/>
    <w:rsid w:val="00216539"/>
    <w:rsid w:val="00216B28"/>
    <w:rsid w:val="00221542"/>
    <w:rsid w:val="00221589"/>
    <w:rsid w:val="00221AC2"/>
    <w:rsid w:val="00224CD9"/>
    <w:rsid w:val="00225822"/>
    <w:rsid w:val="00226317"/>
    <w:rsid w:val="0022724D"/>
    <w:rsid w:val="002309A7"/>
    <w:rsid w:val="0023231C"/>
    <w:rsid w:val="00235381"/>
    <w:rsid w:val="002363DF"/>
    <w:rsid w:val="00236EE7"/>
    <w:rsid w:val="00237785"/>
    <w:rsid w:val="00241178"/>
    <w:rsid w:val="00241466"/>
    <w:rsid w:val="002440E7"/>
    <w:rsid w:val="00244C52"/>
    <w:rsid w:val="00245792"/>
    <w:rsid w:val="00246BD2"/>
    <w:rsid w:val="00247570"/>
    <w:rsid w:val="00250078"/>
    <w:rsid w:val="00252C17"/>
    <w:rsid w:val="00254330"/>
    <w:rsid w:val="00257C1E"/>
    <w:rsid w:val="00261B1B"/>
    <w:rsid w:val="00261B71"/>
    <w:rsid w:val="002621F5"/>
    <w:rsid w:val="002622A9"/>
    <w:rsid w:val="00265165"/>
    <w:rsid w:val="002708B5"/>
    <w:rsid w:val="002711B7"/>
    <w:rsid w:val="002725CA"/>
    <w:rsid w:val="00273A92"/>
    <w:rsid w:val="00273E5B"/>
    <w:rsid w:val="002766A5"/>
    <w:rsid w:val="00277896"/>
    <w:rsid w:val="00280EB7"/>
    <w:rsid w:val="00281CF6"/>
    <w:rsid w:val="00281F8C"/>
    <w:rsid w:val="00282699"/>
    <w:rsid w:val="00290234"/>
    <w:rsid w:val="002905C1"/>
    <w:rsid w:val="00291870"/>
    <w:rsid w:val="0029239D"/>
    <w:rsid w:val="00293E31"/>
    <w:rsid w:val="002944C2"/>
    <w:rsid w:val="00294B51"/>
    <w:rsid w:val="00295C28"/>
    <w:rsid w:val="00295FEA"/>
    <w:rsid w:val="0029715E"/>
    <w:rsid w:val="002976CF"/>
    <w:rsid w:val="0029796E"/>
    <w:rsid w:val="002A0BD2"/>
    <w:rsid w:val="002A18AB"/>
    <w:rsid w:val="002A2ED3"/>
    <w:rsid w:val="002A5B17"/>
    <w:rsid w:val="002A5B84"/>
    <w:rsid w:val="002B067A"/>
    <w:rsid w:val="002B1261"/>
    <w:rsid w:val="002B1514"/>
    <w:rsid w:val="002B1CDA"/>
    <w:rsid w:val="002B2B5B"/>
    <w:rsid w:val="002B39BB"/>
    <w:rsid w:val="002B4A3F"/>
    <w:rsid w:val="002B4F9B"/>
    <w:rsid w:val="002B60BC"/>
    <w:rsid w:val="002B786A"/>
    <w:rsid w:val="002C2E9A"/>
    <w:rsid w:val="002C4F61"/>
    <w:rsid w:val="002C7F25"/>
    <w:rsid w:val="002D0A72"/>
    <w:rsid w:val="002D2D04"/>
    <w:rsid w:val="002D44DB"/>
    <w:rsid w:val="002D54C0"/>
    <w:rsid w:val="002D5A85"/>
    <w:rsid w:val="002D5C7D"/>
    <w:rsid w:val="002E35BB"/>
    <w:rsid w:val="002E48FA"/>
    <w:rsid w:val="002F101A"/>
    <w:rsid w:val="002F1760"/>
    <w:rsid w:val="002F18B9"/>
    <w:rsid w:val="002F415D"/>
    <w:rsid w:val="002F4CCA"/>
    <w:rsid w:val="002F5475"/>
    <w:rsid w:val="002F58A7"/>
    <w:rsid w:val="002F68FD"/>
    <w:rsid w:val="003001B0"/>
    <w:rsid w:val="00301284"/>
    <w:rsid w:val="003035A9"/>
    <w:rsid w:val="00305D89"/>
    <w:rsid w:val="00310043"/>
    <w:rsid w:val="003107D8"/>
    <w:rsid w:val="003107FA"/>
    <w:rsid w:val="00311991"/>
    <w:rsid w:val="00311B04"/>
    <w:rsid w:val="00313AC2"/>
    <w:rsid w:val="00313B8C"/>
    <w:rsid w:val="00315D73"/>
    <w:rsid w:val="00316BE7"/>
    <w:rsid w:val="00316FF9"/>
    <w:rsid w:val="00317230"/>
    <w:rsid w:val="003173F6"/>
    <w:rsid w:val="00321716"/>
    <w:rsid w:val="003229D8"/>
    <w:rsid w:val="003244D9"/>
    <w:rsid w:val="00326586"/>
    <w:rsid w:val="00327D0A"/>
    <w:rsid w:val="00335175"/>
    <w:rsid w:val="00336B18"/>
    <w:rsid w:val="00337A32"/>
    <w:rsid w:val="00340E2C"/>
    <w:rsid w:val="00341391"/>
    <w:rsid w:val="00342C27"/>
    <w:rsid w:val="00350C50"/>
    <w:rsid w:val="003517C3"/>
    <w:rsid w:val="0035235A"/>
    <w:rsid w:val="00353ADD"/>
    <w:rsid w:val="00355502"/>
    <w:rsid w:val="00356BC7"/>
    <w:rsid w:val="00357A20"/>
    <w:rsid w:val="00360AA6"/>
    <w:rsid w:val="00360AC5"/>
    <w:rsid w:val="00365AA6"/>
    <w:rsid w:val="003661A1"/>
    <w:rsid w:val="00370E40"/>
    <w:rsid w:val="003729C1"/>
    <w:rsid w:val="00372F06"/>
    <w:rsid w:val="00374B43"/>
    <w:rsid w:val="00382452"/>
    <w:rsid w:val="00383E61"/>
    <w:rsid w:val="00384A0B"/>
    <w:rsid w:val="00386E86"/>
    <w:rsid w:val="00391647"/>
    <w:rsid w:val="00391A13"/>
    <w:rsid w:val="00391CFE"/>
    <w:rsid w:val="0039260F"/>
    <w:rsid w:val="0039277A"/>
    <w:rsid w:val="003929EA"/>
    <w:rsid w:val="00393B99"/>
    <w:rsid w:val="0039517B"/>
    <w:rsid w:val="00396F6A"/>
    <w:rsid w:val="003972E0"/>
    <w:rsid w:val="003A0C23"/>
    <w:rsid w:val="003A1865"/>
    <w:rsid w:val="003A1EC2"/>
    <w:rsid w:val="003A24AF"/>
    <w:rsid w:val="003A3667"/>
    <w:rsid w:val="003A507B"/>
    <w:rsid w:val="003A52D7"/>
    <w:rsid w:val="003A5A16"/>
    <w:rsid w:val="003A637E"/>
    <w:rsid w:val="003A753E"/>
    <w:rsid w:val="003A757E"/>
    <w:rsid w:val="003B0C98"/>
    <w:rsid w:val="003B236E"/>
    <w:rsid w:val="003B4EAD"/>
    <w:rsid w:val="003B5166"/>
    <w:rsid w:val="003B59BA"/>
    <w:rsid w:val="003C0657"/>
    <w:rsid w:val="003C1398"/>
    <w:rsid w:val="003C18C9"/>
    <w:rsid w:val="003C208B"/>
    <w:rsid w:val="003C2CC4"/>
    <w:rsid w:val="003C4369"/>
    <w:rsid w:val="003C48C7"/>
    <w:rsid w:val="003C655D"/>
    <w:rsid w:val="003C6CFB"/>
    <w:rsid w:val="003C7BB3"/>
    <w:rsid w:val="003D097D"/>
    <w:rsid w:val="003D17E1"/>
    <w:rsid w:val="003D1BF8"/>
    <w:rsid w:val="003D23B5"/>
    <w:rsid w:val="003D2576"/>
    <w:rsid w:val="003D293B"/>
    <w:rsid w:val="003D2F59"/>
    <w:rsid w:val="003D4B23"/>
    <w:rsid w:val="003D59CF"/>
    <w:rsid w:val="003E6A6E"/>
    <w:rsid w:val="003F23A4"/>
    <w:rsid w:val="003F3A8A"/>
    <w:rsid w:val="003F54D8"/>
    <w:rsid w:val="003F5B52"/>
    <w:rsid w:val="003F5D02"/>
    <w:rsid w:val="003F773E"/>
    <w:rsid w:val="00400408"/>
    <w:rsid w:val="004005C1"/>
    <w:rsid w:val="004021B7"/>
    <w:rsid w:val="00403EC6"/>
    <w:rsid w:val="00406A80"/>
    <w:rsid w:val="00406CD4"/>
    <w:rsid w:val="00410600"/>
    <w:rsid w:val="004108A5"/>
    <w:rsid w:val="004108CE"/>
    <w:rsid w:val="004120FC"/>
    <w:rsid w:val="00412BC5"/>
    <w:rsid w:val="00415B93"/>
    <w:rsid w:val="00415BB6"/>
    <w:rsid w:val="00417D37"/>
    <w:rsid w:val="00420F4B"/>
    <w:rsid w:val="004248D6"/>
    <w:rsid w:val="0042657C"/>
    <w:rsid w:val="00430086"/>
    <w:rsid w:val="00430918"/>
    <w:rsid w:val="004317D1"/>
    <w:rsid w:val="00432057"/>
    <w:rsid w:val="004325CB"/>
    <w:rsid w:val="004328DC"/>
    <w:rsid w:val="0043784D"/>
    <w:rsid w:val="00437F3F"/>
    <w:rsid w:val="00441BB4"/>
    <w:rsid w:val="00445B83"/>
    <w:rsid w:val="00446DE4"/>
    <w:rsid w:val="004526E8"/>
    <w:rsid w:val="00452D10"/>
    <w:rsid w:val="00452FD6"/>
    <w:rsid w:val="00454036"/>
    <w:rsid w:val="00454B6A"/>
    <w:rsid w:val="004562AA"/>
    <w:rsid w:val="004574AB"/>
    <w:rsid w:val="00460B22"/>
    <w:rsid w:val="004624DA"/>
    <w:rsid w:val="0046443A"/>
    <w:rsid w:val="00464FD2"/>
    <w:rsid w:val="004653B3"/>
    <w:rsid w:val="004654C4"/>
    <w:rsid w:val="004656A9"/>
    <w:rsid w:val="0046668F"/>
    <w:rsid w:val="0046773D"/>
    <w:rsid w:val="0046788D"/>
    <w:rsid w:val="00474BB3"/>
    <w:rsid w:val="004814C2"/>
    <w:rsid w:val="004822C0"/>
    <w:rsid w:val="0048304D"/>
    <w:rsid w:val="00484A9B"/>
    <w:rsid w:val="0049065C"/>
    <w:rsid w:val="00491861"/>
    <w:rsid w:val="0049211A"/>
    <w:rsid w:val="00492764"/>
    <w:rsid w:val="00492AF9"/>
    <w:rsid w:val="00493651"/>
    <w:rsid w:val="00494C77"/>
    <w:rsid w:val="00497291"/>
    <w:rsid w:val="00497711"/>
    <w:rsid w:val="004977C9"/>
    <w:rsid w:val="004A004F"/>
    <w:rsid w:val="004A0C56"/>
    <w:rsid w:val="004A3312"/>
    <w:rsid w:val="004A3C15"/>
    <w:rsid w:val="004A52F4"/>
    <w:rsid w:val="004A5F27"/>
    <w:rsid w:val="004A6709"/>
    <w:rsid w:val="004B25F8"/>
    <w:rsid w:val="004B2C9D"/>
    <w:rsid w:val="004B5939"/>
    <w:rsid w:val="004B73D6"/>
    <w:rsid w:val="004B7537"/>
    <w:rsid w:val="004B777B"/>
    <w:rsid w:val="004B7DA1"/>
    <w:rsid w:val="004C0BF6"/>
    <w:rsid w:val="004C222A"/>
    <w:rsid w:val="004C39D0"/>
    <w:rsid w:val="004C3A49"/>
    <w:rsid w:val="004C4F1A"/>
    <w:rsid w:val="004C6D6D"/>
    <w:rsid w:val="004D27A5"/>
    <w:rsid w:val="004D717B"/>
    <w:rsid w:val="004E0C5D"/>
    <w:rsid w:val="004E2191"/>
    <w:rsid w:val="004E296B"/>
    <w:rsid w:val="004E2AFD"/>
    <w:rsid w:val="004E2CEA"/>
    <w:rsid w:val="004E460D"/>
    <w:rsid w:val="004E5DE8"/>
    <w:rsid w:val="004E6B8E"/>
    <w:rsid w:val="004E71A3"/>
    <w:rsid w:val="004E7DD9"/>
    <w:rsid w:val="004F22A9"/>
    <w:rsid w:val="004F3C94"/>
    <w:rsid w:val="004F4240"/>
    <w:rsid w:val="004F6D33"/>
    <w:rsid w:val="004F6DF4"/>
    <w:rsid w:val="004F7738"/>
    <w:rsid w:val="004F77CD"/>
    <w:rsid w:val="005002CA"/>
    <w:rsid w:val="0050042A"/>
    <w:rsid w:val="00503D59"/>
    <w:rsid w:val="00504855"/>
    <w:rsid w:val="00507CF1"/>
    <w:rsid w:val="00510AD5"/>
    <w:rsid w:val="005110DD"/>
    <w:rsid w:val="005134A0"/>
    <w:rsid w:val="00522177"/>
    <w:rsid w:val="005241A9"/>
    <w:rsid w:val="00526AFD"/>
    <w:rsid w:val="00527910"/>
    <w:rsid w:val="005318BF"/>
    <w:rsid w:val="00532D57"/>
    <w:rsid w:val="005342E4"/>
    <w:rsid w:val="00534D16"/>
    <w:rsid w:val="005420F2"/>
    <w:rsid w:val="00542505"/>
    <w:rsid w:val="005434D7"/>
    <w:rsid w:val="0054380E"/>
    <w:rsid w:val="00547029"/>
    <w:rsid w:val="005470EF"/>
    <w:rsid w:val="005475D4"/>
    <w:rsid w:val="005477AC"/>
    <w:rsid w:val="005477B4"/>
    <w:rsid w:val="00552CEE"/>
    <w:rsid w:val="00555CDB"/>
    <w:rsid w:val="00555FEA"/>
    <w:rsid w:val="005565A0"/>
    <w:rsid w:val="00560BC2"/>
    <w:rsid w:val="0056140D"/>
    <w:rsid w:val="00561B6D"/>
    <w:rsid w:val="00562D45"/>
    <w:rsid w:val="005637A1"/>
    <w:rsid w:val="0056615B"/>
    <w:rsid w:val="00567DFB"/>
    <w:rsid w:val="0057069B"/>
    <w:rsid w:val="00571DAA"/>
    <w:rsid w:val="00572049"/>
    <w:rsid w:val="005720F5"/>
    <w:rsid w:val="00572E93"/>
    <w:rsid w:val="00574E70"/>
    <w:rsid w:val="0058129D"/>
    <w:rsid w:val="00590144"/>
    <w:rsid w:val="005909D1"/>
    <w:rsid w:val="0059104C"/>
    <w:rsid w:val="0059131E"/>
    <w:rsid w:val="00592277"/>
    <w:rsid w:val="00593401"/>
    <w:rsid w:val="0059682C"/>
    <w:rsid w:val="00597048"/>
    <w:rsid w:val="005A3F48"/>
    <w:rsid w:val="005A4EE3"/>
    <w:rsid w:val="005A6020"/>
    <w:rsid w:val="005A6301"/>
    <w:rsid w:val="005A64DD"/>
    <w:rsid w:val="005A6CDA"/>
    <w:rsid w:val="005B09F0"/>
    <w:rsid w:val="005B0CED"/>
    <w:rsid w:val="005B3DB3"/>
    <w:rsid w:val="005B4811"/>
    <w:rsid w:val="005B528A"/>
    <w:rsid w:val="005B6088"/>
    <w:rsid w:val="005C12D2"/>
    <w:rsid w:val="005C3490"/>
    <w:rsid w:val="005C4CB5"/>
    <w:rsid w:val="005C5ADB"/>
    <w:rsid w:val="005C7905"/>
    <w:rsid w:val="005D06F3"/>
    <w:rsid w:val="005D0C6C"/>
    <w:rsid w:val="005D1BB4"/>
    <w:rsid w:val="005D2A88"/>
    <w:rsid w:val="005D649A"/>
    <w:rsid w:val="005E010D"/>
    <w:rsid w:val="005E0BF6"/>
    <w:rsid w:val="005E2425"/>
    <w:rsid w:val="005E28E0"/>
    <w:rsid w:val="005E3563"/>
    <w:rsid w:val="005E3AAD"/>
    <w:rsid w:val="005E5946"/>
    <w:rsid w:val="005E64CA"/>
    <w:rsid w:val="005E75CA"/>
    <w:rsid w:val="005F1A5A"/>
    <w:rsid w:val="005F3A39"/>
    <w:rsid w:val="005F414E"/>
    <w:rsid w:val="005F5C2F"/>
    <w:rsid w:val="005F6EEB"/>
    <w:rsid w:val="005F7BB1"/>
    <w:rsid w:val="006003ED"/>
    <w:rsid w:val="00601266"/>
    <w:rsid w:val="00601F8F"/>
    <w:rsid w:val="00602490"/>
    <w:rsid w:val="00603E3C"/>
    <w:rsid w:val="0060673A"/>
    <w:rsid w:val="00611DFE"/>
    <w:rsid w:val="00611FC4"/>
    <w:rsid w:val="00612812"/>
    <w:rsid w:val="006147E0"/>
    <w:rsid w:val="006176FB"/>
    <w:rsid w:val="006212CC"/>
    <w:rsid w:val="006216A1"/>
    <w:rsid w:val="00626B06"/>
    <w:rsid w:val="00626FB0"/>
    <w:rsid w:val="006279AC"/>
    <w:rsid w:val="0063419C"/>
    <w:rsid w:val="00635381"/>
    <w:rsid w:val="00636986"/>
    <w:rsid w:val="00636F58"/>
    <w:rsid w:val="00637542"/>
    <w:rsid w:val="006404CB"/>
    <w:rsid w:val="00640B26"/>
    <w:rsid w:val="00641194"/>
    <w:rsid w:val="0064329F"/>
    <w:rsid w:val="00644BE5"/>
    <w:rsid w:val="00645A0B"/>
    <w:rsid w:val="006478B5"/>
    <w:rsid w:val="006500BA"/>
    <w:rsid w:val="006506DB"/>
    <w:rsid w:val="00652721"/>
    <w:rsid w:val="006531D5"/>
    <w:rsid w:val="0065465F"/>
    <w:rsid w:val="00655474"/>
    <w:rsid w:val="00655A5E"/>
    <w:rsid w:val="00661EBA"/>
    <w:rsid w:val="00662121"/>
    <w:rsid w:val="00662E09"/>
    <w:rsid w:val="0066373E"/>
    <w:rsid w:val="00663A3B"/>
    <w:rsid w:val="00670CF0"/>
    <w:rsid w:val="00670D2F"/>
    <w:rsid w:val="006719CA"/>
    <w:rsid w:val="00671D64"/>
    <w:rsid w:val="006729AE"/>
    <w:rsid w:val="00672AB3"/>
    <w:rsid w:val="00672CD9"/>
    <w:rsid w:val="00675F87"/>
    <w:rsid w:val="0067699C"/>
    <w:rsid w:val="006777D1"/>
    <w:rsid w:val="00683BEF"/>
    <w:rsid w:val="0068461F"/>
    <w:rsid w:val="006863AE"/>
    <w:rsid w:val="006870AE"/>
    <w:rsid w:val="006906FF"/>
    <w:rsid w:val="00690CD6"/>
    <w:rsid w:val="00691194"/>
    <w:rsid w:val="006A049B"/>
    <w:rsid w:val="006A098A"/>
    <w:rsid w:val="006A3932"/>
    <w:rsid w:val="006A4684"/>
    <w:rsid w:val="006A53DC"/>
    <w:rsid w:val="006A63E3"/>
    <w:rsid w:val="006A7392"/>
    <w:rsid w:val="006B083A"/>
    <w:rsid w:val="006B1148"/>
    <w:rsid w:val="006B1C55"/>
    <w:rsid w:val="006C0D34"/>
    <w:rsid w:val="006C251B"/>
    <w:rsid w:val="006C2F7E"/>
    <w:rsid w:val="006C5EBF"/>
    <w:rsid w:val="006D0308"/>
    <w:rsid w:val="006D0803"/>
    <w:rsid w:val="006D0F63"/>
    <w:rsid w:val="006D3560"/>
    <w:rsid w:val="006E2DD6"/>
    <w:rsid w:val="006E3B65"/>
    <w:rsid w:val="006E4D87"/>
    <w:rsid w:val="006E4E78"/>
    <w:rsid w:val="006E564B"/>
    <w:rsid w:val="006E6B76"/>
    <w:rsid w:val="007012EF"/>
    <w:rsid w:val="007025C0"/>
    <w:rsid w:val="007032D3"/>
    <w:rsid w:val="0070332C"/>
    <w:rsid w:val="00706803"/>
    <w:rsid w:val="00707F04"/>
    <w:rsid w:val="00711498"/>
    <w:rsid w:val="00711637"/>
    <w:rsid w:val="0071184D"/>
    <w:rsid w:val="00712115"/>
    <w:rsid w:val="007125B8"/>
    <w:rsid w:val="00714F4F"/>
    <w:rsid w:val="0071611E"/>
    <w:rsid w:val="00716CDE"/>
    <w:rsid w:val="00716EB1"/>
    <w:rsid w:val="0072170F"/>
    <w:rsid w:val="00723C85"/>
    <w:rsid w:val="0072632A"/>
    <w:rsid w:val="007270CF"/>
    <w:rsid w:val="00727720"/>
    <w:rsid w:val="00727F27"/>
    <w:rsid w:val="00734B63"/>
    <w:rsid w:val="00734F20"/>
    <w:rsid w:val="00734F74"/>
    <w:rsid w:val="00736A58"/>
    <w:rsid w:val="00736E6A"/>
    <w:rsid w:val="00741F59"/>
    <w:rsid w:val="007427C1"/>
    <w:rsid w:val="00742BA1"/>
    <w:rsid w:val="00743AA9"/>
    <w:rsid w:val="00745598"/>
    <w:rsid w:val="0074620D"/>
    <w:rsid w:val="0074697D"/>
    <w:rsid w:val="007510F5"/>
    <w:rsid w:val="00754F09"/>
    <w:rsid w:val="00755EBE"/>
    <w:rsid w:val="0075661B"/>
    <w:rsid w:val="00757C56"/>
    <w:rsid w:val="00760CBD"/>
    <w:rsid w:val="00761619"/>
    <w:rsid w:val="0076177C"/>
    <w:rsid w:val="0076279F"/>
    <w:rsid w:val="00763AE6"/>
    <w:rsid w:val="00763C33"/>
    <w:rsid w:val="00766107"/>
    <w:rsid w:val="00766322"/>
    <w:rsid w:val="00767680"/>
    <w:rsid w:val="00770375"/>
    <w:rsid w:val="00770621"/>
    <w:rsid w:val="00770BCD"/>
    <w:rsid w:val="00771654"/>
    <w:rsid w:val="00771904"/>
    <w:rsid w:val="00772A33"/>
    <w:rsid w:val="00773353"/>
    <w:rsid w:val="00773ED7"/>
    <w:rsid w:val="00774129"/>
    <w:rsid w:val="00774E8F"/>
    <w:rsid w:val="00774EAA"/>
    <w:rsid w:val="0077553A"/>
    <w:rsid w:val="00776C93"/>
    <w:rsid w:val="00777812"/>
    <w:rsid w:val="00777CCB"/>
    <w:rsid w:val="00777E41"/>
    <w:rsid w:val="0078004E"/>
    <w:rsid w:val="00780864"/>
    <w:rsid w:val="0078123B"/>
    <w:rsid w:val="00781B57"/>
    <w:rsid w:val="00786434"/>
    <w:rsid w:val="00786790"/>
    <w:rsid w:val="00787007"/>
    <w:rsid w:val="00787961"/>
    <w:rsid w:val="00790791"/>
    <w:rsid w:val="00791245"/>
    <w:rsid w:val="007926BC"/>
    <w:rsid w:val="00794292"/>
    <w:rsid w:val="00796F36"/>
    <w:rsid w:val="007978E7"/>
    <w:rsid w:val="007A026F"/>
    <w:rsid w:val="007A2CDB"/>
    <w:rsid w:val="007A334C"/>
    <w:rsid w:val="007A38EF"/>
    <w:rsid w:val="007A44D6"/>
    <w:rsid w:val="007A62EC"/>
    <w:rsid w:val="007A737C"/>
    <w:rsid w:val="007A757E"/>
    <w:rsid w:val="007B06F2"/>
    <w:rsid w:val="007B1A7E"/>
    <w:rsid w:val="007B1FF3"/>
    <w:rsid w:val="007B2BA8"/>
    <w:rsid w:val="007B4133"/>
    <w:rsid w:val="007B59BF"/>
    <w:rsid w:val="007B63C1"/>
    <w:rsid w:val="007B6BA5"/>
    <w:rsid w:val="007B7E1E"/>
    <w:rsid w:val="007C013C"/>
    <w:rsid w:val="007C2C0D"/>
    <w:rsid w:val="007C3162"/>
    <w:rsid w:val="007C3390"/>
    <w:rsid w:val="007C45AA"/>
    <w:rsid w:val="007C4A35"/>
    <w:rsid w:val="007C4F4B"/>
    <w:rsid w:val="007C644D"/>
    <w:rsid w:val="007D0C74"/>
    <w:rsid w:val="007D1406"/>
    <w:rsid w:val="007D220C"/>
    <w:rsid w:val="007D2AC1"/>
    <w:rsid w:val="007D384C"/>
    <w:rsid w:val="007D5760"/>
    <w:rsid w:val="007D7BC6"/>
    <w:rsid w:val="007E237E"/>
    <w:rsid w:val="007E277E"/>
    <w:rsid w:val="007E4BD3"/>
    <w:rsid w:val="007E5843"/>
    <w:rsid w:val="007E5C1B"/>
    <w:rsid w:val="007E5D7C"/>
    <w:rsid w:val="007F06E6"/>
    <w:rsid w:val="007F10BF"/>
    <w:rsid w:val="007F1B4D"/>
    <w:rsid w:val="007F2A54"/>
    <w:rsid w:val="007F5104"/>
    <w:rsid w:val="007F6611"/>
    <w:rsid w:val="007F67C2"/>
    <w:rsid w:val="00800024"/>
    <w:rsid w:val="008008BF"/>
    <w:rsid w:val="008037A2"/>
    <w:rsid w:val="0080420D"/>
    <w:rsid w:val="008056D6"/>
    <w:rsid w:val="00806656"/>
    <w:rsid w:val="008071B7"/>
    <w:rsid w:val="00807F03"/>
    <w:rsid w:val="00815E91"/>
    <w:rsid w:val="00816582"/>
    <w:rsid w:val="00816A2E"/>
    <w:rsid w:val="008175E9"/>
    <w:rsid w:val="00820A2D"/>
    <w:rsid w:val="0082224B"/>
    <w:rsid w:val="008242D7"/>
    <w:rsid w:val="008247E7"/>
    <w:rsid w:val="008263C5"/>
    <w:rsid w:val="00826C09"/>
    <w:rsid w:val="0083043E"/>
    <w:rsid w:val="0083055C"/>
    <w:rsid w:val="0083069A"/>
    <w:rsid w:val="00831B2F"/>
    <w:rsid w:val="00832A1D"/>
    <w:rsid w:val="008330A1"/>
    <w:rsid w:val="00833994"/>
    <w:rsid w:val="00834479"/>
    <w:rsid w:val="00836D65"/>
    <w:rsid w:val="00843AB2"/>
    <w:rsid w:val="00846809"/>
    <w:rsid w:val="00846900"/>
    <w:rsid w:val="00846F2A"/>
    <w:rsid w:val="00852815"/>
    <w:rsid w:val="00857789"/>
    <w:rsid w:val="0086107D"/>
    <w:rsid w:val="0086247E"/>
    <w:rsid w:val="008627A5"/>
    <w:rsid w:val="00862C04"/>
    <w:rsid w:val="00864251"/>
    <w:rsid w:val="00865DF9"/>
    <w:rsid w:val="00866808"/>
    <w:rsid w:val="00871FD5"/>
    <w:rsid w:val="00872FA8"/>
    <w:rsid w:val="00876076"/>
    <w:rsid w:val="00881213"/>
    <w:rsid w:val="00882892"/>
    <w:rsid w:val="008830CC"/>
    <w:rsid w:val="00886943"/>
    <w:rsid w:val="00887029"/>
    <w:rsid w:val="008906F0"/>
    <w:rsid w:val="00892591"/>
    <w:rsid w:val="0089679D"/>
    <w:rsid w:val="00896D6D"/>
    <w:rsid w:val="008979B1"/>
    <w:rsid w:val="008A0B75"/>
    <w:rsid w:val="008A1542"/>
    <w:rsid w:val="008A490A"/>
    <w:rsid w:val="008A6B25"/>
    <w:rsid w:val="008A6C4F"/>
    <w:rsid w:val="008A7679"/>
    <w:rsid w:val="008A7AB3"/>
    <w:rsid w:val="008A7E0F"/>
    <w:rsid w:val="008B2D02"/>
    <w:rsid w:val="008B3BC8"/>
    <w:rsid w:val="008B65FB"/>
    <w:rsid w:val="008B6E9A"/>
    <w:rsid w:val="008B7763"/>
    <w:rsid w:val="008C200B"/>
    <w:rsid w:val="008C260B"/>
    <w:rsid w:val="008C3B3C"/>
    <w:rsid w:val="008C4283"/>
    <w:rsid w:val="008C42BF"/>
    <w:rsid w:val="008C6B6F"/>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E6FBC"/>
    <w:rsid w:val="008F2101"/>
    <w:rsid w:val="008F2D9A"/>
    <w:rsid w:val="008F44B8"/>
    <w:rsid w:val="008F4FF4"/>
    <w:rsid w:val="008F504A"/>
    <w:rsid w:val="008F5C0B"/>
    <w:rsid w:val="0090092A"/>
    <w:rsid w:val="00900CE1"/>
    <w:rsid w:val="00902700"/>
    <w:rsid w:val="00903FF9"/>
    <w:rsid w:val="009045EE"/>
    <w:rsid w:val="00904EBC"/>
    <w:rsid w:val="0090535C"/>
    <w:rsid w:val="0090584A"/>
    <w:rsid w:val="00906C3D"/>
    <w:rsid w:val="0091056A"/>
    <w:rsid w:val="00912044"/>
    <w:rsid w:val="0092124B"/>
    <w:rsid w:val="00923019"/>
    <w:rsid w:val="00924492"/>
    <w:rsid w:val="00924B63"/>
    <w:rsid w:val="00925C7C"/>
    <w:rsid w:val="0093487F"/>
    <w:rsid w:val="009363B6"/>
    <w:rsid w:val="00937581"/>
    <w:rsid w:val="00937829"/>
    <w:rsid w:val="00940036"/>
    <w:rsid w:val="00940F46"/>
    <w:rsid w:val="00941ECC"/>
    <w:rsid w:val="00941FFD"/>
    <w:rsid w:val="00942487"/>
    <w:rsid w:val="00943C7D"/>
    <w:rsid w:val="009447CC"/>
    <w:rsid w:val="0094598E"/>
    <w:rsid w:val="00945A5D"/>
    <w:rsid w:val="009461B4"/>
    <w:rsid w:val="00946A0D"/>
    <w:rsid w:val="00947E32"/>
    <w:rsid w:val="009547DD"/>
    <w:rsid w:val="00954D3B"/>
    <w:rsid w:val="00955109"/>
    <w:rsid w:val="0095595D"/>
    <w:rsid w:val="00956AD7"/>
    <w:rsid w:val="009610A6"/>
    <w:rsid w:val="0096156F"/>
    <w:rsid w:val="00963B67"/>
    <w:rsid w:val="00963CBA"/>
    <w:rsid w:val="00964682"/>
    <w:rsid w:val="00970059"/>
    <w:rsid w:val="009701ED"/>
    <w:rsid w:val="009710AB"/>
    <w:rsid w:val="00972A01"/>
    <w:rsid w:val="009736B9"/>
    <w:rsid w:val="00977ED2"/>
    <w:rsid w:val="00980BD7"/>
    <w:rsid w:val="00982F08"/>
    <w:rsid w:val="00983EC3"/>
    <w:rsid w:val="00984471"/>
    <w:rsid w:val="00985F37"/>
    <w:rsid w:val="009879EA"/>
    <w:rsid w:val="0099044A"/>
    <w:rsid w:val="009908A5"/>
    <w:rsid w:val="0099124E"/>
    <w:rsid w:val="00991261"/>
    <w:rsid w:val="00991CC2"/>
    <w:rsid w:val="009953D5"/>
    <w:rsid w:val="00995E45"/>
    <w:rsid w:val="00996D7F"/>
    <w:rsid w:val="009A1D29"/>
    <w:rsid w:val="009A65D9"/>
    <w:rsid w:val="009A798B"/>
    <w:rsid w:val="009B1ADF"/>
    <w:rsid w:val="009B78B2"/>
    <w:rsid w:val="009C09C9"/>
    <w:rsid w:val="009C1FAD"/>
    <w:rsid w:val="009C35ED"/>
    <w:rsid w:val="009C3A32"/>
    <w:rsid w:val="009C5690"/>
    <w:rsid w:val="009C5A99"/>
    <w:rsid w:val="009C6394"/>
    <w:rsid w:val="009C6604"/>
    <w:rsid w:val="009C6FE4"/>
    <w:rsid w:val="009C7D98"/>
    <w:rsid w:val="009D0E2A"/>
    <w:rsid w:val="009D0F0E"/>
    <w:rsid w:val="009D1AAE"/>
    <w:rsid w:val="009D634E"/>
    <w:rsid w:val="009E1560"/>
    <w:rsid w:val="009F0F06"/>
    <w:rsid w:val="009F10AB"/>
    <w:rsid w:val="009F1220"/>
    <w:rsid w:val="009F28BC"/>
    <w:rsid w:val="009F4FC5"/>
    <w:rsid w:val="009F5677"/>
    <w:rsid w:val="009F7001"/>
    <w:rsid w:val="00A002C1"/>
    <w:rsid w:val="00A0152E"/>
    <w:rsid w:val="00A04F82"/>
    <w:rsid w:val="00A05E7C"/>
    <w:rsid w:val="00A076EE"/>
    <w:rsid w:val="00A07911"/>
    <w:rsid w:val="00A11201"/>
    <w:rsid w:val="00A11954"/>
    <w:rsid w:val="00A12B58"/>
    <w:rsid w:val="00A13E52"/>
    <w:rsid w:val="00A1427D"/>
    <w:rsid w:val="00A1450A"/>
    <w:rsid w:val="00A14F4B"/>
    <w:rsid w:val="00A1790D"/>
    <w:rsid w:val="00A21303"/>
    <w:rsid w:val="00A21BD5"/>
    <w:rsid w:val="00A2248E"/>
    <w:rsid w:val="00A233BB"/>
    <w:rsid w:val="00A235F1"/>
    <w:rsid w:val="00A23983"/>
    <w:rsid w:val="00A23F62"/>
    <w:rsid w:val="00A2460E"/>
    <w:rsid w:val="00A27945"/>
    <w:rsid w:val="00A34B00"/>
    <w:rsid w:val="00A35D0C"/>
    <w:rsid w:val="00A367DA"/>
    <w:rsid w:val="00A3777A"/>
    <w:rsid w:val="00A378DF"/>
    <w:rsid w:val="00A43D4D"/>
    <w:rsid w:val="00A44269"/>
    <w:rsid w:val="00A44DD6"/>
    <w:rsid w:val="00A46BAF"/>
    <w:rsid w:val="00A50077"/>
    <w:rsid w:val="00A50E65"/>
    <w:rsid w:val="00A5248A"/>
    <w:rsid w:val="00A53982"/>
    <w:rsid w:val="00A53AD4"/>
    <w:rsid w:val="00A54CA8"/>
    <w:rsid w:val="00A559E2"/>
    <w:rsid w:val="00A60196"/>
    <w:rsid w:val="00A61066"/>
    <w:rsid w:val="00A61585"/>
    <w:rsid w:val="00A6199C"/>
    <w:rsid w:val="00A61CB2"/>
    <w:rsid w:val="00A622AF"/>
    <w:rsid w:val="00A65099"/>
    <w:rsid w:val="00A65F4A"/>
    <w:rsid w:val="00A66636"/>
    <w:rsid w:val="00A70A4F"/>
    <w:rsid w:val="00A72F22"/>
    <w:rsid w:val="00A73472"/>
    <w:rsid w:val="00A736C0"/>
    <w:rsid w:val="00A744D7"/>
    <w:rsid w:val="00A748A6"/>
    <w:rsid w:val="00A74A46"/>
    <w:rsid w:val="00A75EC9"/>
    <w:rsid w:val="00A810D4"/>
    <w:rsid w:val="00A8332B"/>
    <w:rsid w:val="00A83451"/>
    <w:rsid w:val="00A83538"/>
    <w:rsid w:val="00A8523D"/>
    <w:rsid w:val="00A864F0"/>
    <w:rsid w:val="00A879A4"/>
    <w:rsid w:val="00A92248"/>
    <w:rsid w:val="00A9283B"/>
    <w:rsid w:val="00A96450"/>
    <w:rsid w:val="00AA1D9A"/>
    <w:rsid w:val="00AA275E"/>
    <w:rsid w:val="00AA32EB"/>
    <w:rsid w:val="00AA510C"/>
    <w:rsid w:val="00AA76AE"/>
    <w:rsid w:val="00AB1C15"/>
    <w:rsid w:val="00AB1DA6"/>
    <w:rsid w:val="00AB348D"/>
    <w:rsid w:val="00AB382F"/>
    <w:rsid w:val="00AB4CF1"/>
    <w:rsid w:val="00AC2249"/>
    <w:rsid w:val="00AC24EA"/>
    <w:rsid w:val="00AC28AB"/>
    <w:rsid w:val="00AC353B"/>
    <w:rsid w:val="00AC5F60"/>
    <w:rsid w:val="00AC767E"/>
    <w:rsid w:val="00AD1151"/>
    <w:rsid w:val="00AD34EE"/>
    <w:rsid w:val="00AD77DF"/>
    <w:rsid w:val="00AD7C5F"/>
    <w:rsid w:val="00AD7C88"/>
    <w:rsid w:val="00AE23F5"/>
    <w:rsid w:val="00AE38A4"/>
    <w:rsid w:val="00AE3D48"/>
    <w:rsid w:val="00AE45DE"/>
    <w:rsid w:val="00AE4773"/>
    <w:rsid w:val="00AE6BB3"/>
    <w:rsid w:val="00AE792D"/>
    <w:rsid w:val="00AF04FA"/>
    <w:rsid w:val="00AF0878"/>
    <w:rsid w:val="00AF112B"/>
    <w:rsid w:val="00AF2F9D"/>
    <w:rsid w:val="00AF47AA"/>
    <w:rsid w:val="00AF6710"/>
    <w:rsid w:val="00AF7EF3"/>
    <w:rsid w:val="00B01189"/>
    <w:rsid w:val="00B013E6"/>
    <w:rsid w:val="00B01F0D"/>
    <w:rsid w:val="00B027F5"/>
    <w:rsid w:val="00B0311F"/>
    <w:rsid w:val="00B036FE"/>
    <w:rsid w:val="00B04026"/>
    <w:rsid w:val="00B04D66"/>
    <w:rsid w:val="00B066F7"/>
    <w:rsid w:val="00B06AAF"/>
    <w:rsid w:val="00B10C19"/>
    <w:rsid w:val="00B1157C"/>
    <w:rsid w:val="00B14403"/>
    <w:rsid w:val="00B1501F"/>
    <w:rsid w:val="00B151CE"/>
    <w:rsid w:val="00B17166"/>
    <w:rsid w:val="00B174E3"/>
    <w:rsid w:val="00B22971"/>
    <w:rsid w:val="00B26710"/>
    <w:rsid w:val="00B26B3C"/>
    <w:rsid w:val="00B27E70"/>
    <w:rsid w:val="00B30179"/>
    <w:rsid w:val="00B304E1"/>
    <w:rsid w:val="00B3317B"/>
    <w:rsid w:val="00B3522E"/>
    <w:rsid w:val="00B37554"/>
    <w:rsid w:val="00B37AAE"/>
    <w:rsid w:val="00B40450"/>
    <w:rsid w:val="00B40A23"/>
    <w:rsid w:val="00B41384"/>
    <w:rsid w:val="00B4398E"/>
    <w:rsid w:val="00B44443"/>
    <w:rsid w:val="00B44C01"/>
    <w:rsid w:val="00B45BCD"/>
    <w:rsid w:val="00B46383"/>
    <w:rsid w:val="00B4690D"/>
    <w:rsid w:val="00B4782A"/>
    <w:rsid w:val="00B52051"/>
    <w:rsid w:val="00B5392B"/>
    <w:rsid w:val="00B54B2E"/>
    <w:rsid w:val="00B56472"/>
    <w:rsid w:val="00B56612"/>
    <w:rsid w:val="00B601FD"/>
    <w:rsid w:val="00B60C54"/>
    <w:rsid w:val="00B61C6F"/>
    <w:rsid w:val="00B63370"/>
    <w:rsid w:val="00B64D17"/>
    <w:rsid w:val="00B6539D"/>
    <w:rsid w:val="00B666B2"/>
    <w:rsid w:val="00B71E2B"/>
    <w:rsid w:val="00B73602"/>
    <w:rsid w:val="00B73DA8"/>
    <w:rsid w:val="00B74F7C"/>
    <w:rsid w:val="00B75901"/>
    <w:rsid w:val="00B75E05"/>
    <w:rsid w:val="00B763CC"/>
    <w:rsid w:val="00B81E12"/>
    <w:rsid w:val="00B82563"/>
    <w:rsid w:val="00B829E9"/>
    <w:rsid w:val="00B82F5F"/>
    <w:rsid w:val="00B8417C"/>
    <w:rsid w:val="00B84AAC"/>
    <w:rsid w:val="00B877E1"/>
    <w:rsid w:val="00B90F54"/>
    <w:rsid w:val="00B9125C"/>
    <w:rsid w:val="00B91CC3"/>
    <w:rsid w:val="00B920D4"/>
    <w:rsid w:val="00B92A0C"/>
    <w:rsid w:val="00B93068"/>
    <w:rsid w:val="00B934CF"/>
    <w:rsid w:val="00B94692"/>
    <w:rsid w:val="00B96B1E"/>
    <w:rsid w:val="00BA792F"/>
    <w:rsid w:val="00BA7CDC"/>
    <w:rsid w:val="00BB02D9"/>
    <w:rsid w:val="00BB1428"/>
    <w:rsid w:val="00BB176D"/>
    <w:rsid w:val="00BB19F5"/>
    <w:rsid w:val="00BB3B28"/>
    <w:rsid w:val="00BB3CA8"/>
    <w:rsid w:val="00BB3EC9"/>
    <w:rsid w:val="00BB796B"/>
    <w:rsid w:val="00BC0714"/>
    <w:rsid w:val="00BC275E"/>
    <w:rsid w:val="00BC43AB"/>
    <w:rsid w:val="00BC5CA8"/>
    <w:rsid w:val="00BC6FCC"/>
    <w:rsid w:val="00BC74E9"/>
    <w:rsid w:val="00BD2077"/>
    <w:rsid w:val="00BD3308"/>
    <w:rsid w:val="00BD6D5A"/>
    <w:rsid w:val="00BE1FF8"/>
    <w:rsid w:val="00BE3584"/>
    <w:rsid w:val="00BE382C"/>
    <w:rsid w:val="00BE4A30"/>
    <w:rsid w:val="00BE50CA"/>
    <w:rsid w:val="00BE618E"/>
    <w:rsid w:val="00BE6283"/>
    <w:rsid w:val="00BF16FB"/>
    <w:rsid w:val="00BF1F83"/>
    <w:rsid w:val="00BF4FF0"/>
    <w:rsid w:val="00C015FE"/>
    <w:rsid w:val="00C0263F"/>
    <w:rsid w:val="00C03B44"/>
    <w:rsid w:val="00C045C1"/>
    <w:rsid w:val="00C04F8F"/>
    <w:rsid w:val="00C05987"/>
    <w:rsid w:val="00C11C75"/>
    <w:rsid w:val="00C135D6"/>
    <w:rsid w:val="00C13A85"/>
    <w:rsid w:val="00C14370"/>
    <w:rsid w:val="00C159B9"/>
    <w:rsid w:val="00C17563"/>
    <w:rsid w:val="00C20EC0"/>
    <w:rsid w:val="00C218A4"/>
    <w:rsid w:val="00C241C4"/>
    <w:rsid w:val="00C246E2"/>
    <w:rsid w:val="00C247A1"/>
    <w:rsid w:val="00C25C83"/>
    <w:rsid w:val="00C3044F"/>
    <w:rsid w:val="00C30538"/>
    <w:rsid w:val="00C31519"/>
    <w:rsid w:val="00C3172D"/>
    <w:rsid w:val="00C36D37"/>
    <w:rsid w:val="00C40803"/>
    <w:rsid w:val="00C415CF"/>
    <w:rsid w:val="00C42506"/>
    <w:rsid w:val="00C42730"/>
    <w:rsid w:val="00C463DD"/>
    <w:rsid w:val="00C4684B"/>
    <w:rsid w:val="00C46D5B"/>
    <w:rsid w:val="00C4750C"/>
    <w:rsid w:val="00C476A8"/>
    <w:rsid w:val="00C502DB"/>
    <w:rsid w:val="00C515B6"/>
    <w:rsid w:val="00C51A77"/>
    <w:rsid w:val="00C52899"/>
    <w:rsid w:val="00C537D5"/>
    <w:rsid w:val="00C55064"/>
    <w:rsid w:val="00C556AB"/>
    <w:rsid w:val="00C57EF0"/>
    <w:rsid w:val="00C60CA4"/>
    <w:rsid w:val="00C61EEF"/>
    <w:rsid w:val="00C61F88"/>
    <w:rsid w:val="00C62F76"/>
    <w:rsid w:val="00C63D9D"/>
    <w:rsid w:val="00C651B4"/>
    <w:rsid w:val="00C65342"/>
    <w:rsid w:val="00C66CE0"/>
    <w:rsid w:val="00C66D78"/>
    <w:rsid w:val="00C67FC9"/>
    <w:rsid w:val="00C72B97"/>
    <w:rsid w:val="00C73462"/>
    <w:rsid w:val="00C737DA"/>
    <w:rsid w:val="00C745C3"/>
    <w:rsid w:val="00C81212"/>
    <w:rsid w:val="00C81FCB"/>
    <w:rsid w:val="00C84FA8"/>
    <w:rsid w:val="00C84FF1"/>
    <w:rsid w:val="00C86D7C"/>
    <w:rsid w:val="00C87478"/>
    <w:rsid w:val="00C91180"/>
    <w:rsid w:val="00C913AF"/>
    <w:rsid w:val="00C93C11"/>
    <w:rsid w:val="00C95ED2"/>
    <w:rsid w:val="00C96B05"/>
    <w:rsid w:val="00C971F6"/>
    <w:rsid w:val="00CA049C"/>
    <w:rsid w:val="00CA381C"/>
    <w:rsid w:val="00CA4F3C"/>
    <w:rsid w:val="00CA74D3"/>
    <w:rsid w:val="00CB0187"/>
    <w:rsid w:val="00CB036F"/>
    <w:rsid w:val="00CB0B5F"/>
    <w:rsid w:val="00CB1EB6"/>
    <w:rsid w:val="00CB2158"/>
    <w:rsid w:val="00CB21E8"/>
    <w:rsid w:val="00CB2799"/>
    <w:rsid w:val="00CB2850"/>
    <w:rsid w:val="00CB3CEA"/>
    <w:rsid w:val="00CB60DB"/>
    <w:rsid w:val="00CB6380"/>
    <w:rsid w:val="00CB740E"/>
    <w:rsid w:val="00CC064C"/>
    <w:rsid w:val="00CC2E38"/>
    <w:rsid w:val="00CC4CA6"/>
    <w:rsid w:val="00CD0009"/>
    <w:rsid w:val="00CD010F"/>
    <w:rsid w:val="00CD1202"/>
    <w:rsid w:val="00CD2888"/>
    <w:rsid w:val="00CD2CE2"/>
    <w:rsid w:val="00CD30EE"/>
    <w:rsid w:val="00CD3225"/>
    <w:rsid w:val="00CD35E8"/>
    <w:rsid w:val="00CD36C0"/>
    <w:rsid w:val="00CD392C"/>
    <w:rsid w:val="00CD4371"/>
    <w:rsid w:val="00CD4C3C"/>
    <w:rsid w:val="00CD5022"/>
    <w:rsid w:val="00CD5526"/>
    <w:rsid w:val="00CD563F"/>
    <w:rsid w:val="00CD7A79"/>
    <w:rsid w:val="00CE09DE"/>
    <w:rsid w:val="00CE2D21"/>
    <w:rsid w:val="00CE33D5"/>
    <w:rsid w:val="00CE4083"/>
    <w:rsid w:val="00CE46BA"/>
    <w:rsid w:val="00CE4A8F"/>
    <w:rsid w:val="00CE52AD"/>
    <w:rsid w:val="00CE5642"/>
    <w:rsid w:val="00CE6B6A"/>
    <w:rsid w:val="00CE74ED"/>
    <w:rsid w:val="00CF02AD"/>
    <w:rsid w:val="00CF2FC7"/>
    <w:rsid w:val="00CF4FE1"/>
    <w:rsid w:val="00CF6514"/>
    <w:rsid w:val="00CF6F32"/>
    <w:rsid w:val="00CF7512"/>
    <w:rsid w:val="00CF778D"/>
    <w:rsid w:val="00D01017"/>
    <w:rsid w:val="00D02AD3"/>
    <w:rsid w:val="00D05A99"/>
    <w:rsid w:val="00D0631B"/>
    <w:rsid w:val="00D06C3A"/>
    <w:rsid w:val="00D13793"/>
    <w:rsid w:val="00D164BA"/>
    <w:rsid w:val="00D16C2F"/>
    <w:rsid w:val="00D179E7"/>
    <w:rsid w:val="00D2031B"/>
    <w:rsid w:val="00D208BF"/>
    <w:rsid w:val="00D226EA"/>
    <w:rsid w:val="00D24A58"/>
    <w:rsid w:val="00D25E8C"/>
    <w:rsid w:val="00D25FE2"/>
    <w:rsid w:val="00D2718F"/>
    <w:rsid w:val="00D27E89"/>
    <w:rsid w:val="00D338FF"/>
    <w:rsid w:val="00D35123"/>
    <w:rsid w:val="00D35907"/>
    <w:rsid w:val="00D35ACD"/>
    <w:rsid w:val="00D37478"/>
    <w:rsid w:val="00D37E80"/>
    <w:rsid w:val="00D40730"/>
    <w:rsid w:val="00D40D94"/>
    <w:rsid w:val="00D4270D"/>
    <w:rsid w:val="00D43252"/>
    <w:rsid w:val="00D46231"/>
    <w:rsid w:val="00D47425"/>
    <w:rsid w:val="00D477C4"/>
    <w:rsid w:val="00D50B32"/>
    <w:rsid w:val="00D50DF8"/>
    <w:rsid w:val="00D537E3"/>
    <w:rsid w:val="00D5409C"/>
    <w:rsid w:val="00D540EE"/>
    <w:rsid w:val="00D56A6A"/>
    <w:rsid w:val="00D577EE"/>
    <w:rsid w:val="00D57C13"/>
    <w:rsid w:val="00D57FD9"/>
    <w:rsid w:val="00D610C1"/>
    <w:rsid w:val="00D6123A"/>
    <w:rsid w:val="00D6583F"/>
    <w:rsid w:val="00D658FA"/>
    <w:rsid w:val="00D67B83"/>
    <w:rsid w:val="00D72464"/>
    <w:rsid w:val="00D730E3"/>
    <w:rsid w:val="00D73803"/>
    <w:rsid w:val="00D74C10"/>
    <w:rsid w:val="00D753D8"/>
    <w:rsid w:val="00D80B70"/>
    <w:rsid w:val="00D81622"/>
    <w:rsid w:val="00D832A7"/>
    <w:rsid w:val="00D84E67"/>
    <w:rsid w:val="00D913AC"/>
    <w:rsid w:val="00D9274F"/>
    <w:rsid w:val="00D92BE0"/>
    <w:rsid w:val="00D9526A"/>
    <w:rsid w:val="00D95AC2"/>
    <w:rsid w:val="00D96248"/>
    <w:rsid w:val="00D96CC5"/>
    <w:rsid w:val="00D978C6"/>
    <w:rsid w:val="00D97B77"/>
    <w:rsid w:val="00D97D41"/>
    <w:rsid w:val="00DA277F"/>
    <w:rsid w:val="00DA498B"/>
    <w:rsid w:val="00DA6620"/>
    <w:rsid w:val="00DA67AD"/>
    <w:rsid w:val="00DA7D8F"/>
    <w:rsid w:val="00DA7E44"/>
    <w:rsid w:val="00DB30D4"/>
    <w:rsid w:val="00DB39FA"/>
    <w:rsid w:val="00DB698B"/>
    <w:rsid w:val="00DB6D56"/>
    <w:rsid w:val="00DB7A95"/>
    <w:rsid w:val="00DD1E65"/>
    <w:rsid w:val="00DD3F15"/>
    <w:rsid w:val="00DD42A0"/>
    <w:rsid w:val="00DD725C"/>
    <w:rsid w:val="00DE15E0"/>
    <w:rsid w:val="00DE1C54"/>
    <w:rsid w:val="00DE1EFB"/>
    <w:rsid w:val="00DE236F"/>
    <w:rsid w:val="00DE2969"/>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0E7F"/>
    <w:rsid w:val="00E0148C"/>
    <w:rsid w:val="00E02BF9"/>
    <w:rsid w:val="00E03209"/>
    <w:rsid w:val="00E03260"/>
    <w:rsid w:val="00E07210"/>
    <w:rsid w:val="00E076A6"/>
    <w:rsid w:val="00E12162"/>
    <w:rsid w:val="00E130AB"/>
    <w:rsid w:val="00E1314A"/>
    <w:rsid w:val="00E160F2"/>
    <w:rsid w:val="00E16467"/>
    <w:rsid w:val="00E1679E"/>
    <w:rsid w:val="00E16CC9"/>
    <w:rsid w:val="00E21F99"/>
    <w:rsid w:val="00E239A0"/>
    <w:rsid w:val="00E2426B"/>
    <w:rsid w:val="00E247BA"/>
    <w:rsid w:val="00E2686B"/>
    <w:rsid w:val="00E3141C"/>
    <w:rsid w:val="00E32EF6"/>
    <w:rsid w:val="00E33D2C"/>
    <w:rsid w:val="00E34E58"/>
    <w:rsid w:val="00E359F5"/>
    <w:rsid w:val="00E36838"/>
    <w:rsid w:val="00E36C10"/>
    <w:rsid w:val="00E40B76"/>
    <w:rsid w:val="00E40D7C"/>
    <w:rsid w:val="00E422B7"/>
    <w:rsid w:val="00E42461"/>
    <w:rsid w:val="00E43544"/>
    <w:rsid w:val="00E4443D"/>
    <w:rsid w:val="00E444BE"/>
    <w:rsid w:val="00E44D34"/>
    <w:rsid w:val="00E52EB0"/>
    <w:rsid w:val="00E54352"/>
    <w:rsid w:val="00E5505D"/>
    <w:rsid w:val="00E5644E"/>
    <w:rsid w:val="00E5691C"/>
    <w:rsid w:val="00E56B35"/>
    <w:rsid w:val="00E577C9"/>
    <w:rsid w:val="00E60903"/>
    <w:rsid w:val="00E61DC3"/>
    <w:rsid w:val="00E631BA"/>
    <w:rsid w:val="00E631FE"/>
    <w:rsid w:val="00E63389"/>
    <w:rsid w:val="00E63481"/>
    <w:rsid w:val="00E63DE8"/>
    <w:rsid w:val="00E64C9C"/>
    <w:rsid w:val="00E6613A"/>
    <w:rsid w:val="00E666CC"/>
    <w:rsid w:val="00E67FBB"/>
    <w:rsid w:val="00E7063A"/>
    <w:rsid w:val="00E7260F"/>
    <w:rsid w:val="00E730D8"/>
    <w:rsid w:val="00E7449D"/>
    <w:rsid w:val="00E770EA"/>
    <w:rsid w:val="00E81230"/>
    <w:rsid w:val="00E81454"/>
    <w:rsid w:val="00E82A4A"/>
    <w:rsid w:val="00E8535A"/>
    <w:rsid w:val="00E859FF"/>
    <w:rsid w:val="00E864BE"/>
    <w:rsid w:val="00E872C1"/>
    <w:rsid w:val="00E90065"/>
    <w:rsid w:val="00E90647"/>
    <w:rsid w:val="00E90B62"/>
    <w:rsid w:val="00E9396C"/>
    <w:rsid w:val="00E96630"/>
    <w:rsid w:val="00E97CD8"/>
    <w:rsid w:val="00EA0364"/>
    <w:rsid w:val="00EA04DA"/>
    <w:rsid w:val="00EA1C0F"/>
    <w:rsid w:val="00EA417C"/>
    <w:rsid w:val="00EA48C4"/>
    <w:rsid w:val="00EA4C53"/>
    <w:rsid w:val="00EA50CE"/>
    <w:rsid w:val="00EA772F"/>
    <w:rsid w:val="00EB03DC"/>
    <w:rsid w:val="00EB2AE3"/>
    <w:rsid w:val="00EB4C06"/>
    <w:rsid w:val="00EB51D5"/>
    <w:rsid w:val="00EB5F0B"/>
    <w:rsid w:val="00EB65EF"/>
    <w:rsid w:val="00EB6832"/>
    <w:rsid w:val="00EB6BA6"/>
    <w:rsid w:val="00EB71BA"/>
    <w:rsid w:val="00EB798F"/>
    <w:rsid w:val="00EC14E9"/>
    <w:rsid w:val="00EC15D8"/>
    <w:rsid w:val="00EC1F27"/>
    <w:rsid w:val="00EC271A"/>
    <w:rsid w:val="00EC4EDF"/>
    <w:rsid w:val="00EC525D"/>
    <w:rsid w:val="00EC526C"/>
    <w:rsid w:val="00EC6BFD"/>
    <w:rsid w:val="00EC755A"/>
    <w:rsid w:val="00EC7D42"/>
    <w:rsid w:val="00ED2B14"/>
    <w:rsid w:val="00ED3508"/>
    <w:rsid w:val="00ED3F6F"/>
    <w:rsid w:val="00ED58DA"/>
    <w:rsid w:val="00ED7377"/>
    <w:rsid w:val="00ED769C"/>
    <w:rsid w:val="00ED7A2A"/>
    <w:rsid w:val="00ED7B73"/>
    <w:rsid w:val="00EE0EA7"/>
    <w:rsid w:val="00EE2966"/>
    <w:rsid w:val="00EE30CB"/>
    <w:rsid w:val="00EE4D59"/>
    <w:rsid w:val="00EE56B3"/>
    <w:rsid w:val="00EE7305"/>
    <w:rsid w:val="00EE73C3"/>
    <w:rsid w:val="00EF1D7F"/>
    <w:rsid w:val="00EF4AAC"/>
    <w:rsid w:val="00EF5122"/>
    <w:rsid w:val="00EF5645"/>
    <w:rsid w:val="00EF7E61"/>
    <w:rsid w:val="00F00C72"/>
    <w:rsid w:val="00F00D12"/>
    <w:rsid w:val="00F014FF"/>
    <w:rsid w:val="00F01C57"/>
    <w:rsid w:val="00F03FA2"/>
    <w:rsid w:val="00F05283"/>
    <w:rsid w:val="00F0579D"/>
    <w:rsid w:val="00F07537"/>
    <w:rsid w:val="00F07E12"/>
    <w:rsid w:val="00F1150D"/>
    <w:rsid w:val="00F11F5E"/>
    <w:rsid w:val="00F11F65"/>
    <w:rsid w:val="00F1200D"/>
    <w:rsid w:val="00F14F86"/>
    <w:rsid w:val="00F164C7"/>
    <w:rsid w:val="00F16FE9"/>
    <w:rsid w:val="00F211EA"/>
    <w:rsid w:val="00F2145E"/>
    <w:rsid w:val="00F21A22"/>
    <w:rsid w:val="00F21D60"/>
    <w:rsid w:val="00F22D71"/>
    <w:rsid w:val="00F257D1"/>
    <w:rsid w:val="00F30A8A"/>
    <w:rsid w:val="00F30F38"/>
    <w:rsid w:val="00F33F83"/>
    <w:rsid w:val="00F34267"/>
    <w:rsid w:val="00F34EBD"/>
    <w:rsid w:val="00F3574D"/>
    <w:rsid w:val="00F40295"/>
    <w:rsid w:val="00F40E75"/>
    <w:rsid w:val="00F412D3"/>
    <w:rsid w:val="00F444E3"/>
    <w:rsid w:val="00F4763E"/>
    <w:rsid w:val="00F5087E"/>
    <w:rsid w:val="00F510D1"/>
    <w:rsid w:val="00F51B40"/>
    <w:rsid w:val="00F51BAB"/>
    <w:rsid w:val="00F51EBE"/>
    <w:rsid w:val="00F51F73"/>
    <w:rsid w:val="00F529A9"/>
    <w:rsid w:val="00F535BE"/>
    <w:rsid w:val="00F538F5"/>
    <w:rsid w:val="00F54674"/>
    <w:rsid w:val="00F55D12"/>
    <w:rsid w:val="00F56336"/>
    <w:rsid w:val="00F5743B"/>
    <w:rsid w:val="00F57685"/>
    <w:rsid w:val="00F60FC0"/>
    <w:rsid w:val="00F63F63"/>
    <w:rsid w:val="00F64C95"/>
    <w:rsid w:val="00F65666"/>
    <w:rsid w:val="00F742D7"/>
    <w:rsid w:val="00F75E96"/>
    <w:rsid w:val="00F809F2"/>
    <w:rsid w:val="00F842B0"/>
    <w:rsid w:val="00F87B50"/>
    <w:rsid w:val="00F90CF8"/>
    <w:rsid w:val="00F93AE0"/>
    <w:rsid w:val="00F9439A"/>
    <w:rsid w:val="00FA00A0"/>
    <w:rsid w:val="00FA02CA"/>
    <w:rsid w:val="00FA032F"/>
    <w:rsid w:val="00FA3FB7"/>
    <w:rsid w:val="00FA48FC"/>
    <w:rsid w:val="00FA4E44"/>
    <w:rsid w:val="00FA5D08"/>
    <w:rsid w:val="00FA6FA8"/>
    <w:rsid w:val="00FB2CDB"/>
    <w:rsid w:val="00FB32E6"/>
    <w:rsid w:val="00FB4BA8"/>
    <w:rsid w:val="00FB5A37"/>
    <w:rsid w:val="00FB7793"/>
    <w:rsid w:val="00FC18AA"/>
    <w:rsid w:val="00FC215C"/>
    <w:rsid w:val="00FC3E63"/>
    <w:rsid w:val="00FC6351"/>
    <w:rsid w:val="00FC68B7"/>
    <w:rsid w:val="00FD053A"/>
    <w:rsid w:val="00FD347B"/>
    <w:rsid w:val="00FD3C5D"/>
    <w:rsid w:val="00FD3E70"/>
    <w:rsid w:val="00FD6B2B"/>
    <w:rsid w:val="00FD6D88"/>
    <w:rsid w:val="00FD6EEC"/>
    <w:rsid w:val="00FE2A4F"/>
    <w:rsid w:val="00FE326D"/>
    <w:rsid w:val="00FE3EEA"/>
    <w:rsid w:val="00FE4618"/>
    <w:rsid w:val="00FF03BB"/>
    <w:rsid w:val="00FF071A"/>
    <w:rsid w:val="00FF1792"/>
    <w:rsid w:val="00FF2D01"/>
    <w:rsid w:val="00FF51FB"/>
    <w:rsid w:val="00FF67F6"/>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42C7ED21-9882-4CA8-AEE1-54FDC40E9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24662-796E-45EE-8426-BF8B88FB7C2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59A83B8-3C27-4C09-A4DB-066EBBEEC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2022-05-30T08:46:00Z</dcterms:created>
  <dcterms:modified xsi:type="dcterms:W3CDTF">2022-06-01T12:23:00Z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