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164115" w:rsidRPr="0099001C" w14:paraId="0BBDF9CA" w14:textId="77777777" w:rsidTr="00C81840">
        <w:trPr>
          <w:cantSplit/>
          <w:trHeight w:hRule="exact" w:val="851"/>
        </w:trPr>
        <w:tc>
          <w:tcPr>
            <w:tcW w:w="9639" w:type="dxa"/>
            <w:tcBorders>
              <w:bottom w:val="single" w:sz="4" w:space="0" w:color="auto"/>
            </w:tcBorders>
            <w:vAlign w:val="bottom"/>
          </w:tcPr>
          <w:p w14:paraId="6EC4B76E" w14:textId="13AA7A32" w:rsidR="00164115" w:rsidRPr="0099001C" w:rsidRDefault="00164115" w:rsidP="00AE4666">
            <w:pPr>
              <w:jc w:val="right"/>
              <w:rPr>
                <w:b/>
                <w:sz w:val="40"/>
                <w:szCs w:val="40"/>
              </w:rPr>
            </w:pPr>
            <w:r w:rsidRPr="0099001C">
              <w:rPr>
                <w:b/>
                <w:sz w:val="40"/>
                <w:szCs w:val="40"/>
              </w:rPr>
              <w:t>UN/SCEGHS/</w:t>
            </w:r>
            <w:r w:rsidR="00AE4666">
              <w:rPr>
                <w:b/>
                <w:sz w:val="40"/>
                <w:szCs w:val="40"/>
              </w:rPr>
              <w:t>4</w:t>
            </w:r>
            <w:r w:rsidR="00265A17">
              <w:rPr>
                <w:b/>
                <w:sz w:val="40"/>
                <w:szCs w:val="40"/>
              </w:rPr>
              <w:t>2</w:t>
            </w:r>
            <w:r w:rsidRPr="0099001C">
              <w:rPr>
                <w:b/>
                <w:sz w:val="40"/>
                <w:szCs w:val="40"/>
              </w:rPr>
              <w:t>/INF.</w:t>
            </w:r>
            <w:r w:rsidR="00060108">
              <w:rPr>
                <w:b/>
                <w:sz w:val="40"/>
                <w:szCs w:val="40"/>
              </w:rPr>
              <w:t>1</w:t>
            </w:r>
            <w:r w:rsidR="001158D2">
              <w:rPr>
                <w:b/>
                <w:sz w:val="40"/>
                <w:szCs w:val="40"/>
              </w:rPr>
              <w:t>7</w:t>
            </w:r>
          </w:p>
        </w:tc>
      </w:tr>
      <w:tr w:rsidR="00164115" w14:paraId="4D07D853" w14:textId="77777777" w:rsidTr="00C81840">
        <w:trPr>
          <w:cantSplit/>
          <w:trHeight w:hRule="exact" w:val="3114"/>
        </w:trPr>
        <w:tc>
          <w:tcPr>
            <w:tcW w:w="9639" w:type="dxa"/>
            <w:tcBorders>
              <w:top w:val="single" w:sz="4" w:space="0" w:color="auto"/>
            </w:tcBorders>
          </w:tcPr>
          <w:p w14:paraId="1224738E" w14:textId="77777777" w:rsidR="00164115" w:rsidRPr="00691F20" w:rsidRDefault="00164115" w:rsidP="00E970FF">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14:paraId="1B71D8C4" w14:textId="48B2302E" w:rsidR="00164115" w:rsidRPr="009F0F06" w:rsidRDefault="00164115" w:rsidP="005A3E43">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137D32">
              <w:rPr>
                <w:b/>
                <w:lang w:val="en-US"/>
              </w:rPr>
              <w:tab/>
            </w:r>
            <w:r w:rsidR="008C0CA5">
              <w:rPr>
                <w:b/>
                <w:lang w:val="en-US"/>
              </w:rPr>
              <w:t>2</w:t>
            </w:r>
            <w:r w:rsidR="00777A93">
              <w:rPr>
                <w:b/>
                <w:lang w:val="en-US"/>
              </w:rPr>
              <w:t>2</w:t>
            </w:r>
            <w:r w:rsidR="00776AFF">
              <w:rPr>
                <w:b/>
                <w:lang w:val="en-US"/>
              </w:rPr>
              <w:t xml:space="preserve"> June</w:t>
            </w:r>
            <w:r w:rsidR="008C0CA5">
              <w:rPr>
                <w:b/>
                <w:lang w:val="en-US"/>
              </w:rPr>
              <w:t xml:space="preserve"> 2022</w:t>
            </w:r>
            <w:r>
              <w:rPr>
                <w:b/>
                <w:lang w:val="en-US"/>
              </w:rPr>
              <w:tab/>
            </w:r>
          </w:p>
          <w:p w14:paraId="7995AA4C" w14:textId="77777777" w:rsidR="00164115" w:rsidRDefault="00164115" w:rsidP="00E970FF">
            <w:pPr>
              <w:jc w:val="both"/>
              <w:rPr>
                <w:b/>
              </w:rPr>
            </w:pPr>
          </w:p>
          <w:p w14:paraId="7DB3104E" w14:textId="4E68DC6D" w:rsidR="00164115" w:rsidRDefault="00AE4666" w:rsidP="00E970FF">
            <w:pPr>
              <w:jc w:val="both"/>
            </w:pPr>
            <w:r>
              <w:rPr>
                <w:b/>
              </w:rPr>
              <w:t>Forty-</w:t>
            </w:r>
            <w:r w:rsidR="008C0CA5">
              <w:rPr>
                <w:b/>
              </w:rPr>
              <w:t>second</w:t>
            </w:r>
            <w:r w:rsidR="004255A7" w:rsidRPr="000B4919">
              <w:rPr>
                <w:b/>
              </w:rPr>
              <w:t xml:space="preserve"> </w:t>
            </w:r>
            <w:r w:rsidR="00164115" w:rsidRPr="000B4919">
              <w:rPr>
                <w:b/>
              </w:rPr>
              <w:t>session</w:t>
            </w:r>
            <w:r w:rsidR="00164115" w:rsidRPr="00283442">
              <w:t xml:space="preserve"> </w:t>
            </w:r>
          </w:p>
          <w:p w14:paraId="5985735A" w14:textId="3EBA7897" w:rsidR="00164115" w:rsidRPr="000B4919" w:rsidRDefault="00164115" w:rsidP="00E970FF">
            <w:pPr>
              <w:jc w:val="both"/>
            </w:pPr>
            <w:r w:rsidRPr="00283442">
              <w:t xml:space="preserve">Geneva, </w:t>
            </w:r>
            <w:r w:rsidR="008C0CA5">
              <w:t>6-8 July 2022</w:t>
            </w:r>
          </w:p>
          <w:p w14:paraId="6FA716A3" w14:textId="523FF013" w:rsidR="00164115" w:rsidRPr="00F005CD" w:rsidRDefault="00164115" w:rsidP="00552785">
            <w:pPr>
              <w:spacing w:before="40"/>
            </w:pPr>
            <w:r w:rsidRPr="00F005CD">
              <w:t xml:space="preserve">Item </w:t>
            </w:r>
            <w:r w:rsidR="00AE4666">
              <w:t>2</w:t>
            </w:r>
            <w:r w:rsidR="00325A9B">
              <w:t xml:space="preserve"> (</w:t>
            </w:r>
            <w:proofErr w:type="spellStart"/>
            <w:r w:rsidR="000D1812">
              <w:t>i</w:t>
            </w:r>
            <w:proofErr w:type="spellEnd"/>
            <w:r w:rsidR="00325A9B">
              <w:t>)</w:t>
            </w:r>
            <w:r w:rsidRPr="00F005CD">
              <w:t xml:space="preserve"> of the provisional agenda</w:t>
            </w:r>
          </w:p>
          <w:p w14:paraId="245C4BA3" w14:textId="753CF4AE" w:rsidR="00720043" w:rsidRDefault="006A1118" w:rsidP="00E970FF">
            <w:pPr>
              <w:jc w:val="both"/>
              <w:rPr>
                <w:b/>
              </w:rPr>
            </w:pPr>
            <w:r>
              <w:rPr>
                <w:b/>
              </w:rPr>
              <w:t>Work on the Globally Harmonized System (GHS)</w:t>
            </w:r>
            <w:r w:rsidR="00720043">
              <w:rPr>
                <w:b/>
              </w:rPr>
              <w:t>:</w:t>
            </w:r>
          </w:p>
          <w:p w14:paraId="2807C471" w14:textId="7954EF1F" w:rsidR="00164115" w:rsidRPr="00C47D66" w:rsidRDefault="006E0ED9" w:rsidP="00E970FF">
            <w:pPr>
              <w:spacing w:line="240" w:lineRule="exact"/>
              <w:rPr>
                <w:b/>
                <w:bCs/>
              </w:rPr>
            </w:pPr>
            <w:r w:rsidRPr="00C47D66">
              <w:rPr>
                <w:b/>
                <w:bCs/>
              </w:rPr>
              <w:t>other matters</w:t>
            </w:r>
          </w:p>
        </w:tc>
      </w:tr>
    </w:tbl>
    <w:p w14:paraId="22A504C2" w14:textId="77777777" w:rsidR="000D1812" w:rsidRPr="003B342C" w:rsidRDefault="000D1812" w:rsidP="000D1812">
      <w:pPr>
        <w:pStyle w:val="HChG"/>
        <w:spacing w:before="240"/>
        <w:rPr>
          <w:rFonts w:eastAsia="MS Mincho"/>
          <w:lang w:eastAsia="ja-JP"/>
        </w:rPr>
      </w:pPr>
      <w:r w:rsidRPr="009E7ABD">
        <w:rPr>
          <w:rFonts w:eastAsia="MS Mincho"/>
          <w:lang w:val="en-US" w:eastAsia="ja-JP"/>
        </w:rPr>
        <w:tab/>
      </w:r>
      <w:r>
        <w:rPr>
          <w:rFonts w:eastAsia="MS Mincho"/>
          <w:lang w:val="en-US" w:eastAsia="ja-JP"/>
        </w:rPr>
        <w:tab/>
      </w:r>
      <w:r>
        <w:t xml:space="preserve">Information on upcoming proposal for new work on the agenda for 2023-2024 </w:t>
      </w:r>
    </w:p>
    <w:p w14:paraId="2FB45740" w14:textId="0850226A" w:rsidR="000D1812" w:rsidRDefault="000D1812" w:rsidP="000D1812">
      <w:pPr>
        <w:pStyle w:val="H1G"/>
        <w:spacing w:before="240"/>
      </w:pPr>
      <w:r w:rsidRPr="003C265A">
        <w:rPr>
          <w:rFonts w:eastAsia="MS Mincho"/>
        </w:rPr>
        <w:tab/>
      </w:r>
      <w:r w:rsidRPr="003C265A">
        <w:rPr>
          <w:rFonts w:eastAsia="MS Mincho"/>
        </w:rPr>
        <w:tab/>
      </w:r>
      <w:r w:rsidRPr="003C265A">
        <w:t>Transmitted by t</w:t>
      </w:r>
      <w:r w:rsidRPr="00E337C6">
        <w:t>he European Union</w:t>
      </w:r>
      <w:r>
        <w:t xml:space="preserve"> </w:t>
      </w:r>
    </w:p>
    <w:p w14:paraId="348404BF" w14:textId="77777777" w:rsidR="000D1812" w:rsidRDefault="000D1812" w:rsidP="000D1812">
      <w:pPr>
        <w:pStyle w:val="HChG"/>
      </w:pPr>
      <w:r>
        <w:tab/>
      </w:r>
      <w:r>
        <w:tab/>
        <w:t>Background</w:t>
      </w:r>
    </w:p>
    <w:p w14:paraId="47B6ECB3" w14:textId="1BA8A2A0" w:rsidR="000D1812" w:rsidRPr="00A30BB3" w:rsidRDefault="000D1812" w:rsidP="000D1812">
      <w:pPr>
        <w:pStyle w:val="SingleTxtG"/>
        <w:tabs>
          <w:tab w:val="left" w:pos="1701"/>
        </w:tabs>
        <w:rPr>
          <w:rFonts w:eastAsiaTheme="minorEastAsia"/>
          <w:lang w:val="en-US"/>
        </w:rPr>
      </w:pPr>
      <w:r>
        <w:t xml:space="preserve">1. </w:t>
      </w:r>
      <w:r>
        <w:tab/>
        <w:t>As last an</w:t>
      </w:r>
      <w:r w:rsidRPr="3C21A86E">
        <w:rPr>
          <w:color w:val="000000" w:themeColor="text1"/>
        </w:rPr>
        <w:t xml:space="preserve">nounced during the </w:t>
      </w:r>
      <w:r w:rsidR="00240730">
        <w:rPr>
          <w:color w:val="000000" w:themeColor="text1"/>
        </w:rPr>
        <w:t>forty-first</w:t>
      </w:r>
      <w:r w:rsidRPr="3C21A86E">
        <w:rPr>
          <w:color w:val="000000" w:themeColor="text1"/>
        </w:rPr>
        <w:t xml:space="preserve"> session of the Sub-Committee, the European Union (EU) is in the p</w:t>
      </w:r>
      <w:r>
        <w:t>rocess of developing a working document for new work on the agenda for the biennium 2023-2024 that concerns the revision of GHS to cover the inclusion of new hazards. To this end, the EU seeks to collect initial feedback providing, via this informal document, background information and an overview of the next stages of the proposal development.</w:t>
      </w:r>
      <w:r w:rsidRPr="3C21A86E">
        <w:rPr>
          <w:rFonts w:eastAsiaTheme="minorEastAsia"/>
          <w:lang w:val="en-US"/>
        </w:rPr>
        <w:t xml:space="preserve"> </w:t>
      </w:r>
    </w:p>
    <w:p w14:paraId="4FA37CA6" w14:textId="77777777" w:rsidR="000D1812" w:rsidRPr="00265C0E" w:rsidRDefault="000D1812" w:rsidP="000D1812">
      <w:pPr>
        <w:pStyle w:val="SingleTxtG"/>
        <w:tabs>
          <w:tab w:val="left" w:pos="1701"/>
        </w:tabs>
      </w:pPr>
      <w:r w:rsidRPr="00265C0E">
        <w:t>2.</w:t>
      </w:r>
      <w:r>
        <w:t xml:space="preserve"> </w:t>
      </w:r>
      <w:r>
        <w:tab/>
        <w:t>A zero-pollution ambition in a toxic-free environment is one of the commitments that are tangible outcomes of the European Green Deal</w:t>
      </w:r>
      <w:r w:rsidRPr="00191C98">
        <w:rPr>
          <w:vertAlign w:val="superscript"/>
        </w:rPr>
        <w:footnoteReference w:id="2"/>
      </w:r>
      <w:r>
        <w:t>. To achieve such ambition, in October 2020, the European Commission published the EU Chemicals Strategy for Sustainability</w:t>
      </w:r>
      <w:r w:rsidRPr="003D2032">
        <w:t xml:space="preserve"> </w:t>
      </w:r>
      <w:r>
        <w:t>towards a Toxic-free Environment</w:t>
      </w:r>
      <w:r w:rsidRPr="00191C98">
        <w:rPr>
          <w:vertAlign w:val="superscript"/>
        </w:rPr>
        <w:footnoteReference w:id="3"/>
      </w:r>
      <w:r>
        <w:t xml:space="preserve">. </w:t>
      </w:r>
    </w:p>
    <w:p w14:paraId="4DF1BC2D" w14:textId="77777777" w:rsidR="000D1812" w:rsidRDefault="000D1812" w:rsidP="000D1812">
      <w:pPr>
        <w:pStyle w:val="SingleTxtG"/>
        <w:tabs>
          <w:tab w:val="left" w:pos="1701"/>
        </w:tabs>
      </w:pPr>
      <w:r w:rsidRPr="00265C0E">
        <w:t>3.</w:t>
      </w:r>
      <w:r>
        <w:t xml:space="preserve"> </w:t>
      </w:r>
      <w:r>
        <w:tab/>
        <w:t xml:space="preserve">The Strategy results from reviews of the European legislation on chemicals, including EU legislation on the </w:t>
      </w:r>
      <w:r w:rsidRPr="00594709">
        <w:t>classification, labelling and packaging of substances and mixtures</w:t>
      </w:r>
      <w:r w:rsidRPr="00191C98">
        <w:rPr>
          <w:vertAlign w:val="superscript"/>
        </w:rPr>
        <w:footnoteReference w:id="4"/>
      </w:r>
      <w:r>
        <w:t xml:space="preserve">, which implements the GHS and its revisions at EU level. The Strategy aims to better protect citizens and the environment, as well as boosting innovation for safe and sustainable chemicals. </w:t>
      </w:r>
    </w:p>
    <w:p w14:paraId="4DCCFC50" w14:textId="77777777" w:rsidR="000D1812" w:rsidRDefault="000D1812" w:rsidP="000D1812">
      <w:pPr>
        <w:pStyle w:val="SingleTxtG"/>
        <w:tabs>
          <w:tab w:val="left" w:pos="1701"/>
        </w:tabs>
      </w:pPr>
      <w:r>
        <w:t xml:space="preserve">4. </w:t>
      </w:r>
      <w:r>
        <w:tab/>
        <w:t>Two reviews of the EU legislation from 2019 and 2020 identified gaps, amongst others, in the way chemical hazards are identified for the following groups of substances:</w:t>
      </w:r>
    </w:p>
    <w:p w14:paraId="4BF86D77" w14:textId="0544EC9E" w:rsidR="000D1812" w:rsidRPr="008C37BE" w:rsidRDefault="000D1812" w:rsidP="00240730">
      <w:pPr>
        <w:pStyle w:val="SingleTxtG"/>
        <w:ind w:left="2127" w:hanging="426"/>
      </w:pPr>
      <w:r w:rsidRPr="008C37BE">
        <w:t>(a)</w:t>
      </w:r>
      <w:r w:rsidRPr="008C37BE">
        <w:tab/>
        <w:t>Endocrine disruptors</w:t>
      </w:r>
    </w:p>
    <w:p w14:paraId="148C575C" w14:textId="40360E0A" w:rsidR="000D1812" w:rsidRPr="008C37BE" w:rsidRDefault="000D1812" w:rsidP="00240730">
      <w:pPr>
        <w:pStyle w:val="SingleTxtG"/>
        <w:ind w:left="2127" w:hanging="426"/>
      </w:pPr>
      <w:r w:rsidRPr="008C37BE">
        <w:t>(b)</w:t>
      </w:r>
      <w:r w:rsidRPr="008C37BE">
        <w:tab/>
        <w:t xml:space="preserve">Persistent, </w:t>
      </w:r>
      <w:proofErr w:type="spellStart"/>
      <w:r w:rsidRPr="008C37BE">
        <w:t>Bioaccumulative</w:t>
      </w:r>
      <w:proofErr w:type="spellEnd"/>
      <w:r w:rsidRPr="008C37BE">
        <w:t xml:space="preserve"> and Toxic (PBT) substances</w:t>
      </w:r>
      <w:r>
        <w:t>, and</w:t>
      </w:r>
      <w:r w:rsidRPr="008C37BE">
        <w:t xml:space="preserve"> very Persistent and very </w:t>
      </w:r>
      <w:proofErr w:type="spellStart"/>
      <w:r w:rsidRPr="008C37BE">
        <w:t>Bioaccumulative</w:t>
      </w:r>
      <w:proofErr w:type="spellEnd"/>
      <w:r w:rsidRPr="008C37BE">
        <w:t xml:space="preserve"> substances (</w:t>
      </w:r>
      <w:proofErr w:type="spellStart"/>
      <w:r w:rsidRPr="008C37BE">
        <w:t>vPvB</w:t>
      </w:r>
      <w:proofErr w:type="spellEnd"/>
      <w:r w:rsidRPr="008C37BE">
        <w:t>)</w:t>
      </w:r>
    </w:p>
    <w:p w14:paraId="670011D4" w14:textId="74C568A7" w:rsidR="000D1812" w:rsidRPr="008C37BE" w:rsidRDefault="000D1812" w:rsidP="00240730">
      <w:pPr>
        <w:pStyle w:val="SingleTxtG"/>
        <w:ind w:left="2127" w:hanging="426"/>
      </w:pPr>
      <w:r w:rsidRPr="008C37BE">
        <w:t>(c)</w:t>
      </w:r>
      <w:r w:rsidRPr="008C37BE">
        <w:tab/>
        <w:t xml:space="preserve">Persistent, </w:t>
      </w:r>
      <w:proofErr w:type="gramStart"/>
      <w:r w:rsidRPr="008C37BE">
        <w:t>Mobile</w:t>
      </w:r>
      <w:proofErr w:type="gramEnd"/>
      <w:r w:rsidRPr="008C37BE">
        <w:t xml:space="preserve"> and Toxic (PMT) substances</w:t>
      </w:r>
      <w:r>
        <w:t>, and</w:t>
      </w:r>
      <w:r w:rsidRPr="008C37BE">
        <w:t xml:space="preserve"> very Persistent and very Mobile (</w:t>
      </w:r>
      <w:proofErr w:type="spellStart"/>
      <w:r w:rsidRPr="008C37BE">
        <w:t>vPvM</w:t>
      </w:r>
      <w:proofErr w:type="spellEnd"/>
      <w:r w:rsidRPr="008C37BE">
        <w:t>) substances</w:t>
      </w:r>
    </w:p>
    <w:p w14:paraId="08B8CEB5" w14:textId="544CB266" w:rsidR="000D1812" w:rsidRPr="008C37BE" w:rsidRDefault="000D1812" w:rsidP="00240730">
      <w:pPr>
        <w:pStyle w:val="SingleTxtG"/>
        <w:ind w:left="2127" w:hanging="426"/>
      </w:pPr>
      <w:r w:rsidRPr="008C37BE">
        <w:t>(d)</w:t>
      </w:r>
      <w:r w:rsidRPr="008C37BE">
        <w:tab/>
      </w:r>
      <w:proofErr w:type="spellStart"/>
      <w:r w:rsidRPr="008C37BE">
        <w:t>Immunotoxic</w:t>
      </w:r>
      <w:proofErr w:type="spellEnd"/>
      <w:r w:rsidRPr="008C37BE">
        <w:t xml:space="preserve"> substances</w:t>
      </w:r>
    </w:p>
    <w:p w14:paraId="34DE9D51" w14:textId="1D64C3E8" w:rsidR="000D1812" w:rsidRPr="008C37BE" w:rsidRDefault="000D1812" w:rsidP="00240730">
      <w:pPr>
        <w:pStyle w:val="SingleTxtG"/>
        <w:ind w:left="2127" w:hanging="426"/>
      </w:pPr>
      <w:r w:rsidRPr="008C37BE">
        <w:t>(e)</w:t>
      </w:r>
      <w:r w:rsidRPr="008C37BE">
        <w:tab/>
        <w:t>Neurotoxic substances</w:t>
      </w:r>
    </w:p>
    <w:p w14:paraId="5B4602AB" w14:textId="77777777" w:rsidR="000D1812" w:rsidRPr="008C37BE" w:rsidRDefault="000D1812" w:rsidP="00240730">
      <w:pPr>
        <w:pStyle w:val="SingleTxtG"/>
        <w:ind w:left="2127" w:hanging="426"/>
      </w:pPr>
      <w:r w:rsidRPr="008C37BE">
        <w:t>(f)</w:t>
      </w:r>
      <w:r w:rsidRPr="008C37BE">
        <w:tab/>
        <w:t>Substances toxic to terrestrial organisms</w:t>
      </w:r>
      <w:r>
        <w:t>.</w:t>
      </w:r>
    </w:p>
    <w:p w14:paraId="27E13696" w14:textId="77777777" w:rsidR="000D1812" w:rsidRPr="008936E7" w:rsidRDefault="000D1812" w:rsidP="000D1812">
      <w:pPr>
        <w:pStyle w:val="HChG"/>
        <w:rPr>
          <w:rFonts w:eastAsia="MS Mincho"/>
          <w:color w:val="000000" w:themeColor="text1"/>
        </w:rPr>
      </w:pPr>
      <w:r>
        <w:lastRenderedPageBreak/>
        <w:t xml:space="preserve"> </w:t>
      </w:r>
      <w:r>
        <w:tab/>
      </w:r>
      <w:r>
        <w:tab/>
      </w:r>
      <w:r w:rsidRPr="3C21A86E">
        <w:rPr>
          <w:rFonts w:eastAsia="MS Mincho"/>
        </w:rPr>
        <w:t>Frame of the upcoming proposa</w:t>
      </w:r>
      <w:r w:rsidRPr="3C21A86E">
        <w:rPr>
          <w:rFonts w:eastAsia="MS Mincho"/>
          <w:color w:val="000000" w:themeColor="text1"/>
        </w:rPr>
        <w:t>l</w:t>
      </w:r>
    </w:p>
    <w:p w14:paraId="05F7D184" w14:textId="77777777" w:rsidR="000D1812" w:rsidRPr="009A364C" w:rsidRDefault="000D1812" w:rsidP="000D1812">
      <w:pPr>
        <w:pStyle w:val="SingleTxtG"/>
        <w:rPr>
          <w:color w:val="000000" w:themeColor="text1"/>
        </w:rPr>
      </w:pPr>
      <w:r w:rsidRPr="3C21A86E">
        <w:rPr>
          <w:color w:val="000000" w:themeColor="text1"/>
        </w:rPr>
        <w:t xml:space="preserve">5. </w:t>
      </w:r>
      <w:r>
        <w:tab/>
      </w:r>
      <w:r w:rsidRPr="3C21A86E">
        <w:rPr>
          <w:color w:val="000000" w:themeColor="text1"/>
        </w:rPr>
        <w:t>The EU has initiated a regulatory process to identify the best options to fill these gaps</w:t>
      </w:r>
      <w:r>
        <w:rPr>
          <w:color w:val="000000" w:themeColor="text1"/>
        </w:rPr>
        <w:t xml:space="preserve"> in the EU legislation</w:t>
      </w:r>
      <w:r w:rsidRPr="3C21A86E">
        <w:rPr>
          <w:color w:val="000000" w:themeColor="text1"/>
        </w:rPr>
        <w:t xml:space="preserve">, while keeping the existing close alignment between the GHS and the EU legislation. </w:t>
      </w:r>
      <w:proofErr w:type="gramStart"/>
      <w:r w:rsidRPr="3C21A86E">
        <w:rPr>
          <w:color w:val="000000" w:themeColor="text1"/>
        </w:rPr>
        <w:t>In particular, it</w:t>
      </w:r>
      <w:proofErr w:type="gramEnd"/>
      <w:r w:rsidRPr="3C21A86E">
        <w:rPr>
          <w:color w:val="000000" w:themeColor="text1"/>
        </w:rPr>
        <w:t xml:space="preserve"> is suggested to focus on endocrine disruptors (for both human health and the environment), persistent and bio-accumulative substances, as well as persistent and mobile substances</w:t>
      </w:r>
      <w:r w:rsidRPr="3C21A86E">
        <w:rPr>
          <w:rStyle w:val="FootnoteReference"/>
          <w:color w:val="000000" w:themeColor="text1"/>
        </w:rPr>
        <w:footnoteReference w:id="5"/>
      </w:r>
      <w:r w:rsidRPr="3C21A86E">
        <w:rPr>
          <w:color w:val="000000" w:themeColor="text1"/>
        </w:rPr>
        <w:t>.</w:t>
      </w:r>
    </w:p>
    <w:p w14:paraId="0F2D7133" w14:textId="77777777" w:rsidR="000D1812" w:rsidRPr="009A364C" w:rsidRDefault="000D1812" w:rsidP="000D1812">
      <w:pPr>
        <w:pStyle w:val="SingleTxtG"/>
        <w:rPr>
          <w:color w:val="000000" w:themeColor="text1"/>
        </w:rPr>
      </w:pPr>
      <w:r w:rsidRPr="3C21A86E">
        <w:rPr>
          <w:color w:val="000000" w:themeColor="text1"/>
        </w:rPr>
        <w:t xml:space="preserve">6. </w:t>
      </w:r>
      <w:r>
        <w:tab/>
      </w:r>
      <w:r w:rsidRPr="3C21A86E">
        <w:rPr>
          <w:color w:val="000000" w:themeColor="text1"/>
        </w:rPr>
        <w:t>Firstly, on the endocrine disruptors (or endocrine-disrupting chemicals – EDCs), the discussion aims to identify chemicals with endocrine disruptive properties using the WHO/IPCS definition</w:t>
      </w:r>
      <w:r w:rsidRPr="3C21A86E">
        <w:rPr>
          <w:rStyle w:val="FootnoteReference"/>
          <w:color w:val="000000" w:themeColor="text1"/>
          <w:sz w:val="20"/>
        </w:rPr>
        <w:footnoteReference w:id="6"/>
      </w:r>
      <w:r w:rsidRPr="3C21A86E">
        <w:rPr>
          <w:color w:val="000000" w:themeColor="text1"/>
          <w:vertAlign w:val="superscript"/>
        </w:rPr>
        <w:t xml:space="preserve"> </w:t>
      </w:r>
      <w:r w:rsidRPr="3C21A86E">
        <w:rPr>
          <w:color w:val="000000" w:themeColor="text1"/>
        </w:rPr>
        <w:t>as already covered in the EU legislation for plant protection and biocid</w:t>
      </w:r>
      <w:r>
        <w:rPr>
          <w:color w:val="000000" w:themeColor="text1"/>
        </w:rPr>
        <w:t>al</w:t>
      </w:r>
      <w:r w:rsidRPr="3C21A86E">
        <w:rPr>
          <w:color w:val="000000" w:themeColor="text1"/>
        </w:rPr>
        <w:t xml:space="preserve"> products. This would address, at EU level, the UNEP/WHO call</w:t>
      </w:r>
      <w:r w:rsidRPr="3C21A86E">
        <w:rPr>
          <w:rStyle w:val="FootnoteReference"/>
          <w:color w:val="000000" w:themeColor="text1"/>
          <w:sz w:val="20"/>
        </w:rPr>
        <w:footnoteReference w:id="7"/>
      </w:r>
      <w:r w:rsidRPr="3C21A86E">
        <w:rPr>
          <w:color w:val="000000" w:themeColor="text1"/>
        </w:rPr>
        <w:t xml:space="preserve"> for ‘strengthening the knowledge of EDCs’ and ‘improved testing for EDCs […] to be used in hazard identification’.</w:t>
      </w:r>
    </w:p>
    <w:p w14:paraId="5D5C6680" w14:textId="77777777" w:rsidR="000D1812" w:rsidRPr="009A364C" w:rsidRDefault="000D1812" w:rsidP="000D1812">
      <w:pPr>
        <w:pStyle w:val="SingleTxtG"/>
        <w:rPr>
          <w:color w:val="000000" w:themeColor="text1"/>
        </w:rPr>
      </w:pPr>
      <w:r w:rsidRPr="3C21A86E">
        <w:rPr>
          <w:color w:val="000000" w:themeColor="text1"/>
        </w:rPr>
        <w:t xml:space="preserve">7. </w:t>
      </w:r>
      <w:r>
        <w:tab/>
      </w:r>
      <w:r w:rsidRPr="3C21A86E">
        <w:rPr>
          <w:color w:val="000000" w:themeColor="text1"/>
        </w:rPr>
        <w:t xml:space="preserve">Secondly, persistent organic substances resist degradation, may bioaccumulate, possess toxic properties and be transported through air, </w:t>
      </w:r>
      <w:proofErr w:type="gramStart"/>
      <w:r w:rsidRPr="3C21A86E">
        <w:rPr>
          <w:color w:val="000000" w:themeColor="text1"/>
        </w:rPr>
        <w:t>water</w:t>
      </w:r>
      <w:proofErr w:type="gramEnd"/>
      <w:r w:rsidRPr="3C21A86E">
        <w:rPr>
          <w:color w:val="000000" w:themeColor="text1"/>
        </w:rPr>
        <w:t xml:space="preserve"> and migratory species, across international boundaries and may deposit far from their place of release, where they accumulate in terrestrial and aquatic ecosystems. There are health concerns, especially in developing countries, resulting from local exposure to persistent organic pollutants, that </w:t>
      </w:r>
      <w:proofErr w:type="gramStart"/>
      <w:r w:rsidRPr="3C21A86E">
        <w:rPr>
          <w:color w:val="000000" w:themeColor="text1"/>
        </w:rPr>
        <w:t>in particular impact</w:t>
      </w:r>
      <w:proofErr w:type="gramEnd"/>
      <w:r w:rsidRPr="3C21A86E">
        <w:rPr>
          <w:color w:val="000000" w:themeColor="text1"/>
        </w:rPr>
        <w:t xml:space="preserve"> women and, through them, future generations. Furthermore, the Stockholm Convention only provides for the management of such pollutants when identified. </w:t>
      </w:r>
    </w:p>
    <w:p w14:paraId="3CD52673" w14:textId="77777777" w:rsidR="000D1812" w:rsidRDefault="000D1812" w:rsidP="000D1812">
      <w:pPr>
        <w:pStyle w:val="SingleTxtG"/>
        <w:rPr>
          <w:color w:val="000000" w:themeColor="text1"/>
        </w:rPr>
      </w:pPr>
      <w:r w:rsidRPr="3C21A86E">
        <w:rPr>
          <w:color w:val="000000" w:themeColor="text1"/>
        </w:rPr>
        <w:t xml:space="preserve">8. </w:t>
      </w:r>
      <w:r>
        <w:tab/>
      </w:r>
      <w:r w:rsidRPr="3C21A86E">
        <w:rPr>
          <w:color w:val="000000" w:themeColor="text1"/>
        </w:rPr>
        <w:t xml:space="preserve">Finally, persistent, mobile substances with or without toxic properties can for generations contaminate the environment and more specifically the water bodies used for drinking water purposes. In line with the 6th Sustainable Development Goal (SDG6) aiming at clean water and sanitation, there is a need to identify persistent and mobile substances that can pollute water </w:t>
      </w:r>
      <w:proofErr w:type="gramStart"/>
      <w:r w:rsidRPr="3C21A86E">
        <w:rPr>
          <w:color w:val="000000" w:themeColor="text1"/>
        </w:rPr>
        <w:t>bodies</w:t>
      </w:r>
      <w:proofErr w:type="gramEnd"/>
      <w:r w:rsidRPr="3C21A86E">
        <w:rPr>
          <w:color w:val="000000" w:themeColor="text1"/>
        </w:rPr>
        <w:t xml:space="preserve"> and which are difficult to remove in drinking water supply or wastewater before their release into the environment. </w:t>
      </w:r>
    </w:p>
    <w:p w14:paraId="5830DD79" w14:textId="77777777" w:rsidR="000D1812" w:rsidRPr="009A364C" w:rsidRDefault="000D1812" w:rsidP="000D1812">
      <w:pPr>
        <w:pStyle w:val="SingleTxtG"/>
        <w:rPr>
          <w:color w:val="000000" w:themeColor="text1"/>
        </w:rPr>
      </w:pPr>
      <w:r w:rsidRPr="3C21A86E">
        <w:rPr>
          <w:color w:val="000000" w:themeColor="text1"/>
        </w:rPr>
        <w:t xml:space="preserve">9. </w:t>
      </w:r>
      <w:r>
        <w:tab/>
        <w:t>There is therefore a need to address substances presenting the</w:t>
      </w:r>
      <w:r w:rsidRPr="0067081D">
        <w:t>se hazards</w:t>
      </w:r>
      <w:r w:rsidRPr="0067081D">
        <w:rPr>
          <w:color w:val="000000" w:themeColor="text1"/>
        </w:rPr>
        <w:t xml:space="preserve"> via internationally harmonised criteria. The EU believes that it would be pr</w:t>
      </w:r>
      <w:r w:rsidRPr="3C21A86E">
        <w:rPr>
          <w:color w:val="000000" w:themeColor="text1"/>
        </w:rPr>
        <w:t xml:space="preserve">eferable to multilaterally develop internationally harmonised criteria in GHS as those would allow addressing the problems globally more efficiently. </w:t>
      </w:r>
    </w:p>
    <w:p w14:paraId="65AD40AC" w14:textId="459E7468" w:rsidR="000D1812" w:rsidRDefault="000D1812" w:rsidP="00A87156">
      <w:pPr>
        <w:pStyle w:val="SingleTxtG"/>
        <w:tabs>
          <w:tab w:val="left" w:pos="1560"/>
        </w:tabs>
        <w:rPr>
          <w:color w:val="000000" w:themeColor="text1"/>
        </w:rPr>
      </w:pPr>
      <w:r w:rsidRPr="3C21A86E">
        <w:rPr>
          <w:color w:val="000000" w:themeColor="text1"/>
        </w:rPr>
        <w:t xml:space="preserve">10. </w:t>
      </w:r>
      <w:r w:rsidR="00A43BB1">
        <w:rPr>
          <w:color w:val="000000" w:themeColor="text1"/>
        </w:rPr>
        <w:tab/>
      </w:r>
      <w:r w:rsidRPr="3C21A86E">
        <w:rPr>
          <w:color w:val="000000" w:themeColor="text1"/>
        </w:rPr>
        <w:t xml:space="preserve">Consequently, the EU would like to propose at the next session of the Sub-Committee the insertion of a new item on its programme of work for 2023-2024, covering: endocrine disruptors (for both human health and the environment); persistent and bio-accumulative substances; as well as persistent and mobile substances. </w:t>
      </w:r>
    </w:p>
    <w:p w14:paraId="4296FEE5" w14:textId="77777777" w:rsidR="000D1812" w:rsidRDefault="000D1812" w:rsidP="00A87156">
      <w:pPr>
        <w:pStyle w:val="SingleTxtG"/>
        <w:tabs>
          <w:tab w:val="left" w:pos="1560"/>
        </w:tabs>
        <w:rPr>
          <w:color w:val="000000" w:themeColor="text1"/>
        </w:rPr>
      </w:pPr>
      <w:r w:rsidRPr="3C21A86E">
        <w:rPr>
          <w:color w:val="000000" w:themeColor="text1"/>
        </w:rPr>
        <w:t xml:space="preserve">11. </w:t>
      </w:r>
      <w:r>
        <w:tab/>
      </w:r>
      <w:r w:rsidRPr="3C21A86E">
        <w:rPr>
          <w:color w:val="000000" w:themeColor="text1"/>
        </w:rPr>
        <w:t>Mindful of the feedback provided in earlier discussions, the EU is open to consider either of the two following alternative options:</w:t>
      </w:r>
    </w:p>
    <w:p w14:paraId="35BD6D0F" w14:textId="21409D74" w:rsidR="000D1812" w:rsidRDefault="000D1812" w:rsidP="004F2B41">
      <w:pPr>
        <w:pStyle w:val="SingleTxtG"/>
        <w:ind w:left="1985" w:hanging="425"/>
        <w:rPr>
          <w:color w:val="000000" w:themeColor="text1"/>
        </w:rPr>
      </w:pPr>
      <w:r w:rsidRPr="3C21A86E">
        <w:rPr>
          <w:color w:val="000000" w:themeColor="text1"/>
        </w:rPr>
        <w:t>(a)</w:t>
      </w:r>
      <w:r w:rsidR="00A87156">
        <w:rPr>
          <w:color w:val="000000" w:themeColor="text1"/>
        </w:rPr>
        <w:tab/>
      </w:r>
      <w:r w:rsidRPr="3C21A86E">
        <w:rPr>
          <w:color w:val="000000" w:themeColor="text1"/>
        </w:rPr>
        <w:t xml:space="preserve">Entrusting the technical work to OECD as the Sub-Committee’s focal point on environment and health hazards </w:t>
      </w:r>
    </w:p>
    <w:p w14:paraId="3F0DB86F" w14:textId="46E52CED" w:rsidR="000D1812" w:rsidRDefault="000D1812" w:rsidP="004F2B41">
      <w:pPr>
        <w:pStyle w:val="SingleTxtG"/>
        <w:tabs>
          <w:tab w:val="left" w:pos="1843"/>
        </w:tabs>
        <w:ind w:left="1985" w:hanging="425"/>
        <w:rPr>
          <w:color w:val="000000" w:themeColor="text1"/>
        </w:rPr>
      </w:pPr>
      <w:r w:rsidRPr="3C21A86E">
        <w:rPr>
          <w:color w:val="000000" w:themeColor="text1"/>
        </w:rPr>
        <w:t xml:space="preserve">(b) </w:t>
      </w:r>
      <w:r>
        <w:tab/>
      </w:r>
      <w:r w:rsidRPr="3C21A86E">
        <w:rPr>
          <w:color w:val="000000" w:themeColor="text1"/>
        </w:rPr>
        <w:t xml:space="preserve">Entrusting the technical work to an informal group within the Sub-Committee. Under this option, involvement of the OECD would be vital  </w:t>
      </w:r>
    </w:p>
    <w:p w14:paraId="0C6947F4" w14:textId="77777777" w:rsidR="000D1812" w:rsidRDefault="000D1812" w:rsidP="00C83179">
      <w:pPr>
        <w:pStyle w:val="SingleTxtG"/>
        <w:tabs>
          <w:tab w:val="left" w:pos="1560"/>
        </w:tabs>
        <w:rPr>
          <w:color w:val="000000" w:themeColor="text1"/>
        </w:rPr>
      </w:pPr>
      <w:r w:rsidRPr="3C21A86E">
        <w:rPr>
          <w:color w:val="000000" w:themeColor="text1"/>
        </w:rPr>
        <w:t xml:space="preserve">12. </w:t>
      </w:r>
      <w:r>
        <w:tab/>
      </w:r>
      <w:r w:rsidRPr="3C21A86E">
        <w:rPr>
          <w:color w:val="000000" w:themeColor="text1"/>
        </w:rPr>
        <w:t xml:space="preserve">Based on preliminary assessments, the work </w:t>
      </w:r>
      <w:r>
        <w:rPr>
          <w:color w:val="000000" w:themeColor="text1"/>
        </w:rPr>
        <w:t>would</w:t>
      </w:r>
      <w:r w:rsidRPr="3C21A86E">
        <w:rPr>
          <w:color w:val="000000" w:themeColor="text1"/>
        </w:rPr>
        <w:t xml:space="preserve"> start on endocrine disruptors (for both human health and the wildlife), on persistent and bio-accumulative substances, as well as on persistent and mobile substances, during the biennium 2023-2024 and would conclude by the following biennium. </w:t>
      </w:r>
    </w:p>
    <w:p w14:paraId="2AA9C3F9" w14:textId="77777777" w:rsidR="005A4BB8" w:rsidRDefault="005A4BB8">
      <w:pPr>
        <w:suppressAutoHyphens w:val="0"/>
        <w:spacing w:after="160" w:line="259" w:lineRule="auto"/>
        <w:rPr>
          <w:color w:val="000000" w:themeColor="text1"/>
        </w:rPr>
      </w:pPr>
      <w:r>
        <w:rPr>
          <w:color w:val="000000" w:themeColor="text1"/>
        </w:rPr>
        <w:br w:type="page"/>
      </w:r>
    </w:p>
    <w:p w14:paraId="3DFA1603" w14:textId="1C23F63A" w:rsidR="000D1812" w:rsidRPr="009A364C" w:rsidRDefault="000D1812" w:rsidP="00C83179">
      <w:pPr>
        <w:pStyle w:val="SingleTxtG"/>
        <w:tabs>
          <w:tab w:val="left" w:pos="1560"/>
        </w:tabs>
        <w:rPr>
          <w:color w:val="000000" w:themeColor="text1"/>
        </w:rPr>
      </w:pPr>
      <w:r w:rsidRPr="3C21A86E">
        <w:rPr>
          <w:color w:val="000000" w:themeColor="text1"/>
        </w:rPr>
        <w:lastRenderedPageBreak/>
        <w:t xml:space="preserve">13. </w:t>
      </w:r>
      <w:r>
        <w:tab/>
      </w:r>
      <w:r w:rsidRPr="3C21A86E">
        <w:rPr>
          <w:color w:val="000000" w:themeColor="text1"/>
        </w:rPr>
        <w:t>The remaining groups of substances covering immunotoxicity, neurotoxicity and toxicity to terrestrial organisms require more preparatory work, discussions, and fact finding. The EU intends, therefore, to submit an information document and a proposal for a new item on those topics during the biennium 2023-2024. The work could start in 2025-2026 and conclude by the following biennium.</w:t>
      </w:r>
    </w:p>
    <w:p w14:paraId="3E2B37AC" w14:textId="77777777" w:rsidR="000D1812" w:rsidRPr="008936E7" w:rsidRDefault="000D1812" w:rsidP="000D1812">
      <w:pPr>
        <w:pStyle w:val="HChG"/>
        <w:rPr>
          <w:rFonts w:eastAsia="MS Mincho"/>
          <w:color w:val="000000" w:themeColor="text1"/>
        </w:rPr>
      </w:pPr>
      <w:r>
        <w:rPr>
          <w:rFonts w:eastAsia="MS Mincho"/>
        </w:rPr>
        <w:tab/>
      </w:r>
      <w:r>
        <w:rPr>
          <w:rFonts w:eastAsia="MS Mincho"/>
        </w:rPr>
        <w:tab/>
      </w:r>
      <w:r w:rsidRPr="3C21A86E">
        <w:rPr>
          <w:rFonts w:eastAsia="MS Mincho"/>
          <w:color w:val="000000" w:themeColor="text1"/>
        </w:rPr>
        <w:t>Discussion points</w:t>
      </w:r>
    </w:p>
    <w:p w14:paraId="1B039F5F" w14:textId="77777777" w:rsidR="000D1812" w:rsidRPr="009A364C" w:rsidRDefault="000D1812" w:rsidP="000D1812">
      <w:pPr>
        <w:pStyle w:val="SingleTxtG"/>
        <w:tabs>
          <w:tab w:val="left" w:pos="1701"/>
        </w:tabs>
        <w:rPr>
          <w:color w:val="000000" w:themeColor="text1"/>
        </w:rPr>
      </w:pPr>
      <w:r w:rsidRPr="3C21A86E">
        <w:rPr>
          <w:color w:val="000000" w:themeColor="text1"/>
        </w:rPr>
        <w:t xml:space="preserve">14. </w:t>
      </w:r>
      <w:r>
        <w:tab/>
      </w:r>
      <w:r w:rsidRPr="3C21A86E">
        <w:rPr>
          <w:color w:val="000000" w:themeColor="text1"/>
        </w:rPr>
        <w:t xml:space="preserve">Prior to the formalisation of the proposal on endocrine disruptors (for both human health and the wildlife), </w:t>
      </w:r>
      <w:r>
        <w:t>persistent and bio-accumulative substances</w:t>
      </w:r>
      <w:r w:rsidRPr="009A364C">
        <w:t xml:space="preserve">, as well as </w:t>
      </w:r>
      <w:r>
        <w:t>persistent and mobile substances</w:t>
      </w:r>
      <w:r>
        <w:rPr>
          <w:rStyle w:val="FootnoteReference"/>
        </w:rPr>
        <w:footnoteReference w:id="8"/>
      </w:r>
      <w:r w:rsidRPr="3C21A86E">
        <w:rPr>
          <w:color w:val="000000" w:themeColor="text1"/>
        </w:rPr>
        <w:t>; the EU would like to give the Sub-Committee an opportunity to discuss this approach.</w:t>
      </w:r>
    </w:p>
    <w:p w14:paraId="7505C9D6" w14:textId="43F7EABC" w:rsidR="000D1812" w:rsidRPr="009A364C" w:rsidRDefault="000D1812" w:rsidP="000D1812">
      <w:pPr>
        <w:pStyle w:val="SingleTxtG"/>
        <w:tabs>
          <w:tab w:val="left" w:pos="1701"/>
        </w:tabs>
        <w:rPr>
          <w:color w:val="000000" w:themeColor="text1"/>
        </w:rPr>
      </w:pPr>
      <w:proofErr w:type="gramStart"/>
      <w:r w:rsidRPr="3C21A86E">
        <w:rPr>
          <w:color w:val="000000" w:themeColor="text1"/>
        </w:rPr>
        <w:t xml:space="preserve">15. </w:t>
      </w:r>
      <w:r>
        <w:tab/>
      </w:r>
      <w:r w:rsidRPr="3C21A86E">
        <w:rPr>
          <w:color w:val="000000" w:themeColor="text1"/>
        </w:rPr>
        <w:t>In particular, the</w:t>
      </w:r>
      <w:proofErr w:type="gramEnd"/>
      <w:r w:rsidRPr="3C21A86E">
        <w:rPr>
          <w:color w:val="000000" w:themeColor="text1"/>
        </w:rPr>
        <w:t xml:space="preserve"> EU seeks comments on the suggested options (a) and (b) in paragraph</w:t>
      </w:r>
      <w:r w:rsidR="002254B1">
        <w:rPr>
          <w:color w:val="000000" w:themeColor="text1"/>
        </w:rPr>
        <w:t> </w:t>
      </w:r>
      <w:r w:rsidRPr="3C21A86E">
        <w:rPr>
          <w:color w:val="000000" w:themeColor="text1"/>
        </w:rPr>
        <w:t>11 (OECD vs. GHS working group) and the suggested timeline.</w:t>
      </w:r>
    </w:p>
    <w:p w14:paraId="7A1D1E22" w14:textId="77777777" w:rsidR="000D1812" w:rsidRPr="009A364C" w:rsidRDefault="000D1812" w:rsidP="000D1812">
      <w:pPr>
        <w:pStyle w:val="SingleTxtG"/>
        <w:tabs>
          <w:tab w:val="left" w:pos="1701"/>
        </w:tabs>
      </w:pPr>
      <w:r w:rsidRPr="3C21A86E">
        <w:rPr>
          <w:color w:val="000000" w:themeColor="text1"/>
        </w:rPr>
        <w:t xml:space="preserve">16. </w:t>
      </w:r>
      <w:r>
        <w:tab/>
      </w:r>
      <w:r w:rsidRPr="3C21A86E">
        <w:rPr>
          <w:color w:val="000000" w:themeColor="text1"/>
        </w:rPr>
        <w:t>Furthermore, the EU wou</w:t>
      </w:r>
      <w:r>
        <w:t>ld also welcome suggestions on the issues to discuss with respect to the proposal at the next session, as well as the format in which these discussions should take place, or any other pertinent contribution.</w:t>
      </w:r>
    </w:p>
    <w:p w14:paraId="4A1A073F" w14:textId="4DCFE413" w:rsidR="000D1812" w:rsidRPr="005A4BB8" w:rsidRDefault="005A4BB8" w:rsidP="005A4BB8">
      <w:pPr>
        <w:spacing w:before="240"/>
        <w:jc w:val="center"/>
        <w:rPr>
          <w:u w:val="single"/>
        </w:rPr>
      </w:pPr>
      <w:r>
        <w:rPr>
          <w:u w:val="single"/>
        </w:rPr>
        <w:tab/>
      </w:r>
      <w:r>
        <w:rPr>
          <w:u w:val="single"/>
        </w:rPr>
        <w:tab/>
      </w:r>
      <w:r>
        <w:rPr>
          <w:u w:val="single"/>
        </w:rPr>
        <w:tab/>
      </w:r>
    </w:p>
    <w:p w14:paraId="6394D054" w14:textId="77777777" w:rsidR="000D1812" w:rsidRPr="00A35F6E" w:rsidRDefault="000D1812" w:rsidP="000D1812">
      <w:pPr>
        <w:pStyle w:val="SingleTxtG"/>
        <w:ind w:left="0"/>
      </w:pPr>
    </w:p>
    <w:p w14:paraId="23394CA0" w14:textId="77777777" w:rsidR="001158D2" w:rsidRPr="00E136FE" w:rsidRDefault="001158D2" w:rsidP="001158D2">
      <w:pPr>
        <w:pStyle w:val="SingleTxtG"/>
        <w:ind w:left="2268"/>
        <w:jc w:val="left"/>
        <w:rPr>
          <w:rFonts w:eastAsiaTheme="minorHAnsi"/>
          <w:lang w:val="en-US"/>
        </w:rPr>
      </w:pPr>
    </w:p>
    <w:sectPr w:rsidR="001158D2" w:rsidRPr="00E136FE" w:rsidSect="005A4BB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1134"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605C" w14:textId="77777777" w:rsidR="00A82A21" w:rsidRDefault="00A82A21" w:rsidP="00164115">
      <w:pPr>
        <w:spacing w:line="240" w:lineRule="auto"/>
      </w:pPr>
      <w:r>
        <w:separator/>
      </w:r>
    </w:p>
  </w:endnote>
  <w:endnote w:type="continuationSeparator" w:id="0">
    <w:p w14:paraId="7C544CBA" w14:textId="77777777" w:rsidR="00A82A21" w:rsidRDefault="00A82A21" w:rsidP="00164115">
      <w:pPr>
        <w:spacing w:line="240" w:lineRule="auto"/>
      </w:pPr>
      <w:r>
        <w:continuationSeparator/>
      </w:r>
    </w:p>
  </w:endnote>
  <w:endnote w:type="continuationNotice" w:id="1">
    <w:p w14:paraId="1982E001" w14:textId="77777777" w:rsidR="00A82A21" w:rsidRDefault="00A82A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A99" w14:textId="77777777" w:rsidR="006A7757" w:rsidRPr="0099001C" w:rsidRDefault="00FB3B5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noProof/>
        <w:sz w:val="18"/>
      </w:rPr>
      <w:t>6</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5924" w14:textId="0315493F" w:rsidR="006A7757" w:rsidRPr="0099001C" w:rsidRDefault="00FB3B54" w:rsidP="00C91DF5">
    <w:pPr>
      <w:pStyle w:val="Footer"/>
      <w:tabs>
        <w:tab w:val="right" w:pos="9638"/>
      </w:tabs>
      <w:jc w:val="right"/>
      <w:rPr>
        <w:b/>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8C727E">
      <w:rPr>
        <w:b/>
        <w:noProof/>
        <w:sz w:val="18"/>
      </w:rPr>
      <w:t>2</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D7FD" w14:textId="77777777" w:rsidR="005A4BB8" w:rsidRDefault="005A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0CB6" w14:textId="77777777" w:rsidR="00A82A21" w:rsidRDefault="00A82A21" w:rsidP="00164115">
      <w:pPr>
        <w:spacing w:line="240" w:lineRule="auto"/>
      </w:pPr>
      <w:r>
        <w:separator/>
      </w:r>
    </w:p>
  </w:footnote>
  <w:footnote w:type="continuationSeparator" w:id="0">
    <w:p w14:paraId="31D47820" w14:textId="77777777" w:rsidR="00A82A21" w:rsidRDefault="00A82A21" w:rsidP="00164115">
      <w:pPr>
        <w:spacing w:line="240" w:lineRule="auto"/>
      </w:pPr>
      <w:r>
        <w:continuationSeparator/>
      </w:r>
    </w:p>
  </w:footnote>
  <w:footnote w:type="continuationNotice" w:id="1">
    <w:p w14:paraId="0F877CE9" w14:textId="77777777" w:rsidR="00A82A21" w:rsidRDefault="00A82A21">
      <w:pPr>
        <w:spacing w:line="240" w:lineRule="auto"/>
      </w:pPr>
    </w:p>
  </w:footnote>
  <w:footnote w:id="2">
    <w:p w14:paraId="5F091B8D" w14:textId="3B6AC3AB" w:rsidR="000D1812" w:rsidRPr="00776F18" w:rsidRDefault="000D1812" w:rsidP="00D64DF9">
      <w:pPr>
        <w:pStyle w:val="FootnoteText"/>
        <w:tabs>
          <w:tab w:val="clear" w:pos="1021"/>
          <w:tab w:val="right" w:pos="567"/>
          <w:tab w:val="left" w:pos="851"/>
        </w:tabs>
        <w:ind w:hanging="567"/>
      </w:pPr>
      <w:r>
        <w:tab/>
      </w:r>
      <w:r>
        <w:rPr>
          <w:rStyle w:val="FootnoteReference"/>
        </w:rPr>
        <w:footnoteRef/>
      </w:r>
      <w:r>
        <w:t xml:space="preserve"> </w:t>
      </w:r>
      <w:r w:rsidR="00D64DF9">
        <w:tab/>
      </w:r>
      <w:r>
        <w:t xml:space="preserve">See </w:t>
      </w:r>
      <w:hyperlink r:id="rId1" w:history="1">
        <w:r w:rsidRPr="004F031A">
          <w:rPr>
            <w:rStyle w:val="Hyperlink"/>
          </w:rPr>
          <w:t>https://ec.europa.eu/info/strategy/priorities-2019-2024/european-green-deal_en</w:t>
        </w:r>
      </w:hyperlink>
      <w:r>
        <w:t xml:space="preserve"> </w:t>
      </w:r>
    </w:p>
  </w:footnote>
  <w:footnote w:id="3">
    <w:p w14:paraId="7B72E5C8" w14:textId="6FDA6037" w:rsidR="000D1812" w:rsidRPr="00594709" w:rsidRDefault="000D1812" w:rsidP="00352BB1">
      <w:pPr>
        <w:pStyle w:val="FootnoteText"/>
        <w:tabs>
          <w:tab w:val="clear" w:pos="1021"/>
        </w:tabs>
        <w:ind w:left="851" w:hanging="284"/>
        <w:rPr>
          <w:lang w:val="en-IE"/>
        </w:rPr>
      </w:pPr>
      <w:r>
        <w:rPr>
          <w:rStyle w:val="FootnoteReference"/>
        </w:rPr>
        <w:footnoteRef/>
      </w:r>
      <w:r w:rsidRPr="00594709">
        <w:rPr>
          <w:lang w:val="en-IE"/>
        </w:rPr>
        <w:t xml:space="preserve"> </w:t>
      </w:r>
      <w:r w:rsidR="00D64DF9">
        <w:rPr>
          <w:lang w:val="en-IE"/>
        </w:rPr>
        <w:tab/>
      </w:r>
      <w:proofErr w:type="gramStart"/>
      <w:r w:rsidRPr="00594709">
        <w:rPr>
          <w:lang w:val="en-IE"/>
        </w:rPr>
        <w:t>COM(</w:t>
      </w:r>
      <w:proofErr w:type="gramEnd"/>
      <w:r w:rsidRPr="00594709">
        <w:rPr>
          <w:lang w:val="en-IE"/>
        </w:rPr>
        <w:t xml:space="preserve">2020) 667 final </w:t>
      </w:r>
      <w:hyperlink r:id="rId2" w:history="1">
        <w:r w:rsidRPr="00594709">
          <w:rPr>
            <w:rStyle w:val="Hyperlink"/>
            <w:lang w:val="en-IE"/>
          </w:rPr>
          <w:t>https://eur-lex.europa.eu/legal-content/EN/TXT/?uri=COM%3A2020%3A667%3AFIN</w:t>
        </w:r>
      </w:hyperlink>
      <w:r w:rsidRPr="00594709">
        <w:rPr>
          <w:lang w:val="en-IE"/>
        </w:rPr>
        <w:t xml:space="preserve"> </w:t>
      </w:r>
    </w:p>
  </w:footnote>
  <w:footnote w:id="4">
    <w:p w14:paraId="01E629A3" w14:textId="37D60655" w:rsidR="000D1812" w:rsidRPr="00D05DDB" w:rsidRDefault="000D1812" w:rsidP="00352BB1">
      <w:pPr>
        <w:pStyle w:val="FootnoteText"/>
        <w:tabs>
          <w:tab w:val="clear" w:pos="1021"/>
        </w:tabs>
        <w:ind w:left="851" w:hanging="284"/>
        <w:rPr>
          <w:lang w:val="fr-BE"/>
        </w:rPr>
      </w:pPr>
      <w:r w:rsidRPr="00A35F6E">
        <w:rPr>
          <w:rStyle w:val="FootnoteReference"/>
          <w:lang w:val="en-IE"/>
        </w:rPr>
        <w:footnoteRef/>
      </w:r>
      <w:r w:rsidRPr="00D05DDB">
        <w:rPr>
          <w:lang w:val="fr-BE"/>
        </w:rPr>
        <w:t xml:space="preserve"> </w:t>
      </w:r>
      <w:r w:rsidR="00D64DF9">
        <w:rPr>
          <w:lang w:val="fr-BE"/>
        </w:rPr>
        <w:tab/>
      </w:r>
      <w:r w:rsidRPr="00D05DDB">
        <w:rPr>
          <w:lang w:val="fr-BE"/>
        </w:rPr>
        <w:t xml:space="preserve">EU </w:t>
      </w:r>
      <w:proofErr w:type="spellStart"/>
      <w:r w:rsidRPr="00D05DDB">
        <w:rPr>
          <w:lang w:val="fr-BE"/>
        </w:rPr>
        <w:t>Regulation</w:t>
      </w:r>
      <w:proofErr w:type="spellEnd"/>
      <w:r w:rsidRPr="00D05DDB">
        <w:rPr>
          <w:lang w:val="fr-BE"/>
        </w:rPr>
        <w:t xml:space="preserve"> 1272/2008 </w:t>
      </w:r>
      <w:hyperlink r:id="rId3" w:history="1">
        <w:r w:rsidRPr="00D05DDB">
          <w:rPr>
            <w:rStyle w:val="Hyperlink"/>
            <w:lang w:val="fr-BE"/>
          </w:rPr>
          <w:t>https://eur-lex.europa.eu/legal-content/EN/TXT/?uri=CELEX%3A32008R1272</w:t>
        </w:r>
      </w:hyperlink>
      <w:r w:rsidRPr="00D05DDB">
        <w:rPr>
          <w:lang w:val="fr-BE"/>
        </w:rPr>
        <w:t xml:space="preserve"> </w:t>
      </w:r>
    </w:p>
  </w:footnote>
  <w:footnote w:id="5">
    <w:p w14:paraId="75D80EFB" w14:textId="574EF6FE" w:rsidR="000D1812" w:rsidRPr="00045866" w:rsidRDefault="000D1812" w:rsidP="00B270CB">
      <w:pPr>
        <w:pStyle w:val="FootnoteText"/>
        <w:tabs>
          <w:tab w:val="clear" w:pos="1021"/>
          <w:tab w:val="left" w:pos="851"/>
        </w:tabs>
        <w:ind w:hanging="567"/>
        <w:rPr>
          <w:lang w:val="en-IE"/>
        </w:rPr>
      </w:pPr>
      <w:r>
        <w:rPr>
          <w:rStyle w:val="FootnoteReference"/>
        </w:rPr>
        <w:footnoteRef/>
      </w:r>
      <w:r>
        <w:t xml:space="preserve"> </w:t>
      </w:r>
      <w:r w:rsidR="00B270CB">
        <w:tab/>
      </w:r>
      <w:r>
        <w:rPr>
          <w:lang w:val="en-IE"/>
        </w:rPr>
        <w:t>With or without specific considerations of toxicity.</w:t>
      </w:r>
    </w:p>
  </w:footnote>
  <w:footnote w:id="6">
    <w:p w14:paraId="7CC398EF" w14:textId="0B66547B" w:rsidR="000D1812" w:rsidRPr="00262779" w:rsidRDefault="000D1812" w:rsidP="00B270CB">
      <w:pPr>
        <w:pStyle w:val="FootnoteText"/>
        <w:tabs>
          <w:tab w:val="clear" w:pos="1021"/>
          <w:tab w:val="left" w:pos="851"/>
        </w:tabs>
        <w:ind w:left="567" w:firstLine="0"/>
        <w:rPr>
          <w:lang w:val="en-IE"/>
        </w:rPr>
      </w:pPr>
      <w:r>
        <w:rPr>
          <w:rStyle w:val="FootnoteReference"/>
        </w:rPr>
        <w:footnoteRef/>
      </w:r>
      <w:r>
        <w:t xml:space="preserve"> </w:t>
      </w:r>
      <w:r w:rsidR="00B270CB">
        <w:tab/>
      </w:r>
      <w:r>
        <w:t>IPCS, 2002. Global assessment of the state-of-the-science of endocrine disruptors. Geneva, Switzerland, World Health Organization, International Programme on Chemical Safety</w:t>
      </w:r>
    </w:p>
  </w:footnote>
  <w:footnote w:id="7">
    <w:p w14:paraId="76CF135D" w14:textId="6FC39CDE" w:rsidR="000D1812" w:rsidRPr="00262779" w:rsidRDefault="000D1812" w:rsidP="00B270CB">
      <w:pPr>
        <w:pStyle w:val="FootnoteText"/>
        <w:tabs>
          <w:tab w:val="clear" w:pos="1021"/>
          <w:tab w:val="left" w:pos="851"/>
        </w:tabs>
        <w:ind w:left="567" w:firstLine="0"/>
        <w:rPr>
          <w:lang w:val="en-IE"/>
        </w:rPr>
      </w:pPr>
      <w:r>
        <w:rPr>
          <w:rStyle w:val="FootnoteReference"/>
        </w:rPr>
        <w:footnoteRef/>
      </w:r>
      <w:r>
        <w:t xml:space="preserve"> </w:t>
      </w:r>
      <w:r w:rsidR="00B270CB">
        <w:tab/>
      </w:r>
      <w:r>
        <w:t xml:space="preserve">WHO, </w:t>
      </w:r>
      <w:proofErr w:type="gramStart"/>
      <w:r>
        <w:t>2012.</w:t>
      </w:r>
      <w:proofErr w:type="gramEnd"/>
      <w:r>
        <w:t xml:space="preserve"> State of the science of endocrine disrupting chemicals 2012. Summary for Decision-Makers / edited by </w:t>
      </w:r>
      <w:proofErr w:type="spellStart"/>
      <w:r>
        <w:t>Åke</w:t>
      </w:r>
      <w:proofErr w:type="spellEnd"/>
      <w:r>
        <w:t xml:space="preserve"> Bergman, Jerrold J. </w:t>
      </w:r>
      <w:proofErr w:type="spellStart"/>
      <w:r>
        <w:t>Heindel</w:t>
      </w:r>
      <w:proofErr w:type="spellEnd"/>
      <w:r>
        <w:t xml:space="preserve">, Susan Jobling, Karen A. </w:t>
      </w:r>
      <w:proofErr w:type="gramStart"/>
      <w:r>
        <w:t>Kidd</w:t>
      </w:r>
      <w:proofErr w:type="gramEnd"/>
      <w:r>
        <w:t xml:space="preserve"> and R. Thomas Zoeller. See p. 27</w:t>
      </w:r>
    </w:p>
  </w:footnote>
  <w:footnote w:id="8">
    <w:p w14:paraId="0126D172" w14:textId="22AC6D46" w:rsidR="000D1812" w:rsidRPr="00045866" w:rsidRDefault="000D1812" w:rsidP="00AE61B2">
      <w:pPr>
        <w:pStyle w:val="FootnoteText"/>
        <w:tabs>
          <w:tab w:val="clear" w:pos="1021"/>
          <w:tab w:val="left" w:pos="851"/>
        </w:tabs>
        <w:ind w:hanging="567"/>
        <w:rPr>
          <w:lang w:val="en-IE"/>
        </w:rPr>
      </w:pPr>
      <w:r>
        <w:rPr>
          <w:rStyle w:val="FootnoteReference"/>
        </w:rPr>
        <w:footnoteRef/>
      </w:r>
      <w:r>
        <w:t xml:space="preserve"> </w:t>
      </w:r>
      <w:r w:rsidR="00AE61B2">
        <w:tab/>
      </w:r>
      <w:r>
        <w:rPr>
          <w:lang w:val="en-IE"/>
        </w:rPr>
        <w:t>With or without specific considerations of toxicity.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DC1D" w14:textId="61B115A7" w:rsidR="006A7757" w:rsidRPr="0099001C" w:rsidRDefault="00FB3B54" w:rsidP="00366CA7">
    <w:pPr>
      <w:pStyle w:val="Header"/>
    </w:pPr>
    <w:r w:rsidRPr="00774B07">
      <w:t>UN/SCEGHS/</w:t>
    </w:r>
    <w:r w:rsidR="005A4BB8">
      <w:t>42</w:t>
    </w:r>
    <w:r w:rsidRPr="00774B07">
      <w:t>/INF.</w:t>
    </w:r>
    <w:r w:rsidR="005A4BB8">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3390" w14:textId="067FA417" w:rsidR="006A7757" w:rsidRPr="0099001C" w:rsidRDefault="00FB3B54" w:rsidP="00C91DF5">
    <w:pPr>
      <w:pStyle w:val="Header"/>
      <w:jc w:val="right"/>
    </w:pPr>
    <w:r>
      <w:t>UN/SCEGHS/</w:t>
    </w:r>
    <w:r w:rsidR="00677693">
      <w:t>4</w:t>
    </w:r>
    <w:r w:rsidR="00776AFF">
      <w:t>2</w:t>
    </w:r>
    <w:r>
      <w:t>/INF</w:t>
    </w:r>
    <w:r w:rsidR="00A64E59">
      <w:t>.</w:t>
    </w:r>
    <w:r w:rsidR="00776AFF">
      <w:t>1</w:t>
    </w:r>
    <w:r w:rsidR="00957A78">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5C2F" w14:textId="77777777" w:rsidR="005A4BB8" w:rsidRDefault="005A4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76BFB"/>
    <w:multiLevelType w:val="hybridMultilevel"/>
    <w:tmpl w:val="8A32377A"/>
    <w:lvl w:ilvl="0" w:tplc="416E7194">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15:restartNumberingAfterBreak="0">
    <w:nsid w:val="06371204"/>
    <w:multiLevelType w:val="hybridMultilevel"/>
    <w:tmpl w:val="F752B3EC"/>
    <w:lvl w:ilvl="0" w:tplc="07F21EE0">
      <w:start w:val="2"/>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87348CD"/>
    <w:multiLevelType w:val="hybridMultilevel"/>
    <w:tmpl w:val="DA605064"/>
    <w:lvl w:ilvl="0" w:tplc="9F7490D2">
      <w:start w:val="1"/>
      <w:numFmt w:val="lowerRoman"/>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3873658C"/>
    <w:multiLevelType w:val="hybridMultilevel"/>
    <w:tmpl w:val="F08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D36D6"/>
    <w:multiLevelType w:val="hybridMultilevel"/>
    <w:tmpl w:val="9FA29714"/>
    <w:lvl w:ilvl="0" w:tplc="BD9479A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5FD06FC3"/>
    <w:multiLevelType w:val="hybridMultilevel"/>
    <w:tmpl w:val="9E1E6696"/>
    <w:lvl w:ilvl="0" w:tplc="416E7194">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51F124A"/>
    <w:multiLevelType w:val="hybridMultilevel"/>
    <w:tmpl w:val="91281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B1705C"/>
    <w:multiLevelType w:val="hybridMultilevel"/>
    <w:tmpl w:val="9BF218D0"/>
    <w:lvl w:ilvl="0" w:tplc="FDC89878">
      <w:start w:val="1"/>
      <w:numFmt w:val="lowerRoman"/>
      <w:lvlText w:val="(%1)"/>
      <w:lvlJc w:val="left"/>
      <w:pPr>
        <w:ind w:left="52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C900E3"/>
    <w:multiLevelType w:val="multilevel"/>
    <w:tmpl w:val="646871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8F35588"/>
    <w:multiLevelType w:val="hybridMultilevel"/>
    <w:tmpl w:val="0F080072"/>
    <w:lvl w:ilvl="0" w:tplc="B2F25F5C">
      <w:start w:val="1"/>
      <w:numFmt w:val="lowerRoman"/>
      <w:lvlText w:val="%1."/>
      <w:lvlJc w:val="center"/>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1"/>
  </w:num>
  <w:num w:numId="8">
    <w:abstractNumId w:val="3"/>
  </w:num>
  <w:num w:numId="9">
    <w:abstractNumId w:val="5"/>
  </w:num>
  <w:num w:numId="10">
    <w:abstractNumId w:val="2"/>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15"/>
    <w:rsid w:val="00000F65"/>
    <w:rsid w:val="000047A9"/>
    <w:rsid w:val="00010C82"/>
    <w:rsid w:val="0001631B"/>
    <w:rsid w:val="00017645"/>
    <w:rsid w:val="000241D7"/>
    <w:rsid w:val="00026C33"/>
    <w:rsid w:val="000273AA"/>
    <w:rsid w:val="00051298"/>
    <w:rsid w:val="00053E14"/>
    <w:rsid w:val="00060108"/>
    <w:rsid w:val="00067A00"/>
    <w:rsid w:val="00074029"/>
    <w:rsid w:val="00076982"/>
    <w:rsid w:val="00094A51"/>
    <w:rsid w:val="000957E6"/>
    <w:rsid w:val="000A6B5A"/>
    <w:rsid w:val="000B20E0"/>
    <w:rsid w:val="000D1812"/>
    <w:rsid w:val="000D55C4"/>
    <w:rsid w:val="000E5D24"/>
    <w:rsid w:val="000E6559"/>
    <w:rsid w:val="0010159D"/>
    <w:rsid w:val="00101C2A"/>
    <w:rsid w:val="001158D2"/>
    <w:rsid w:val="001238FC"/>
    <w:rsid w:val="00137D32"/>
    <w:rsid w:val="001460DF"/>
    <w:rsid w:val="00164115"/>
    <w:rsid w:val="00173B5A"/>
    <w:rsid w:val="00186B57"/>
    <w:rsid w:val="001A3729"/>
    <w:rsid w:val="001A4B5C"/>
    <w:rsid w:val="001B33BB"/>
    <w:rsid w:val="001E46D7"/>
    <w:rsid w:val="001F647E"/>
    <w:rsid w:val="00202311"/>
    <w:rsid w:val="00210226"/>
    <w:rsid w:val="00213675"/>
    <w:rsid w:val="00221F65"/>
    <w:rsid w:val="002254B1"/>
    <w:rsid w:val="002336CA"/>
    <w:rsid w:val="00240730"/>
    <w:rsid w:val="00240FCE"/>
    <w:rsid w:val="00244420"/>
    <w:rsid w:val="00246835"/>
    <w:rsid w:val="0024696D"/>
    <w:rsid w:val="00252D72"/>
    <w:rsid w:val="0026031B"/>
    <w:rsid w:val="00265A17"/>
    <w:rsid w:val="00265C0E"/>
    <w:rsid w:val="00266138"/>
    <w:rsid w:val="00273532"/>
    <w:rsid w:val="00285BE7"/>
    <w:rsid w:val="00291834"/>
    <w:rsid w:val="002C3720"/>
    <w:rsid w:val="002C572D"/>
    <w:rsid w:val="002D4E22"/>
    <w:rsid w:val="002D6556"/>
    <w:rsid w:val="002E6104"/>
    <w:rsid w:val="002F0835"/>
    <w:rsid w:val="0030227B"/>
    <w:rsid w:val="00325A9B"/>
    <w:rsid w:val="00352BB1"/>
    <w:rsid w:val="003560F6"/>
    <w:rsid w:val="00371197"/>
    <w:rsid w:val="00377C69"/>
    <w:rsid w:val="00377F4E"/>
    <w:rsid w:val="0039733F"/>
    <w:rsid w:val="003A18F9"/>
    <w:rsid w:val="003A5195"/>
    <w:rsid w:val="003B0416"/>
    <w:rsid w:val="003C10AE"/>
    <w:rsid w:val="003C35A9"/>
    <w:rsid w:val="003C6589"/>
    <w:rsid w:val="003D3707"/>
    <w:rsid w:val="003E4637"/>
    <w:rsid w:val="00422995"/>
    <w:rsid w:val="004255A7"/>
    <w:rsid w:val="00430796"/>
    <w:rsid w:val="00432CBB"/>
    <w:rsid w:val="00452B5D"/>
    <w:rsid w:val="00453CF7"/>
    <w:rsid w:val="00453E49"/>
    <w:rsid w:val="0047113E"/>
    <w:rsid w:val="00471DD0"/>
    <w:rsid w:val="00477802"/>
    <w:rsid w:val="004837DB"/>
    <w:rsid w:val="004838B9"/>
    <w:rsid w:val="004C6359"/>
    <w:rsid w:val="004D115D"/>
    <w:rsid w:val="004F2B41"/>
    <w:rsid w:val="004F3674"/>
    <w:rsid w:val="004F5690"/>
    <w:rsid w:val="00516D65"/>
    <w:rsid w:val="0052135F"/>
    <w:rsid w:val="00525972"/>
    <w:rsid w:val="005340EA"/>
    <w:rsid w:val="005341D1"/>
    <w:rsid w:val="00540D80"/>
    <w:rsid w:val="00552785"/>
    <w:rsid w:val="005663BA"/>
    <w:rsid w:val="00570F20"/>
    <w:rsid w:val="00575CE1"/>
    <w:rsid w:val="0057627A"/>
    <w:rsid w:val="00577B06"/>
    <w:rsid w:val="00586D03"/>
    <w:rsid w:val="00590111"/>
    <w:rsid w:val="005A3E43"/>
    <w:rsid w:val="005A4BB8"/>
    <w:rsid w:val="005B4DBE"/>
    <w:rsid w:val="005B5F5B"/>
    <w:rsid w:val="005C0411"/>
    <w:rsid w:val="005C2405"/>
    <w:rsid w:val="005C2CE9"/>
    <w:rsid w:val="005C600E"/>
    <w:rsid w:val="005C676A"/>
    <w:rsid w:val="005C6C1F"/>
    <w:rsid w:val="005D383A"/>
    <w:rsid w:val="005E4BC8"/>
    <w:rsid w:val="005E4C08"/>
    <w:rsid w:val="005F0ADF"/>
    <w:rsid w:val="005F47BB"/>
    <w:rsid w:val="00603A95"/>
    <w:rsid w:val="00631F7C"/>
    <w:rsid w:val="00642FA8"/>
    <w:rsid w:val="00647A07"/>
    <w:rsid w:val="00650256"/>
    <w:rsid w:val="00650E7B"/>
    <w:rsid w:val="00665AE0"/>
    <w:rsid w:val="0067507C"/>
    <w:rsid w:val="00677693"/>
    <w:rsid w:val="00690432"/>
    <w:rsid w:val="00690685"/>
    <w:rsid w:val="006937A2"/>
    <w:rsid w:val="00695656"/>
    <w:rsid w:val="006A1118"/>
    <w:rsid w:val="006B7C48"/>
    <w:rsid w:val="006C35C3"/>
    <w:rsid w:val="006D4826"/>
    <w:rsid w:val="006E0ED9"/>
    <w:rsid w:val="006E6C53"/>
    <w:rsid w:val="006F1207"/>
    <w:rsid w:val="006F796F"/>
    <w:rsid w:val="00700115"/>
    <w:rsid w:val="0071001B"/>
    <w:rsid w:val="00712F9E"/>
    <w:rsid w:val="00714EB2"/>
    <w:rsid w:val="00720043"/>
    <w:rsid w:val="00731BB1"/>
    <w:rsid w:val="00746E3E"/>
    <w:rsid w:val="0075369B"/>
    <w:rsid w:val="007548CC"/>
    <w:rsid w:val="00776AFF"/>
    <w:rsid w:val="00777A93"/>
    <w:rsid w:val="0078015A"/>
    <w:rsid w:val="00791FB9"/>
    <w:rsid w:val="007936F3"/>
    <w:rsid w:val="0079650F"/>
    <w:rsid w:val="007A4C5E"/>
    <w:rsid w:val="007B3E78"/>
    <w:rsid w:val="007C2E51"/>
    <w:rsid w:val="007D5F27"/>
    <w:rsid w:val="007E0AED"/>
    <w:rsid w:val="007E2252"/>
    <w:rsid w:val="007E5F66"/>
    <w:rsid w:val="00804912"/>
    <w:rsid w:val="008057F1"/>
    <w:rsid w:val="008330F8"/>
    <w:rsid w:val="00836280"/>
    <w:rsid w:val="0084448F"/>
    <w:rsid w:val="008523E9"/>
    <w:rsid w:val="008703CA"/>
    <w:rsid w:val="008904FF"/>
    <w:rsid w:val="008A28F8"/>
    <w:rsid w:val="008A2F02"/>
    <w:rsid w:val="008B2F28"/>
    <w:rsid w:val="008B5CA6"/>
    <w:rsid w:val="008C0CA5"/>
    <w:rsid w:val="008C727E"/>
    <w:rsid w:val="008C7CE3"/>
    <w:rsid w:val="008D66A4"/>
    <w:rsid w:val="009134E3"/>
    <w:rsid w:val="009216A2"/>
    <w:rsid w:val="00922DBB"/>
    <w:rsid w:val="00924FA7"/>
    <w:rsid w:val="00934FC4"/>
    <w:rsid w:val="00944B48"/>
    <w:rsid w:val="00955AA1"/>
    <w:rsid w:val="00957A78"/>
    <w:rsid w:val="00960684"/>
    <w:rsid w:val="009705A6"/>
    <w:rsid w:val="00975131"/>
    <w:rsid w:val="009808E5"/>
    <w:rsid w:val="00986D59"/>
    <w:rsid w:val="00994A56"/>
    <w:rsid w:val="009B059B"/>
    <w:rsid w:val="009B21CE"/>
    <w:rsid w:val="009C5BE9"/>
    <w:rsid w:val="009C72DB"/>
    <w:rsid w:val="009D2F1E"/>
    <w:rsid w:val="009E1573"/>
    <w:rsid w:val="009F75C6"/>
    <w:rsid w:val="00A00DE2"/>
    <w:rsid w:val="00A04628"/>
    <w:rsid w:val="00A104FE"/>
    <w:rsid w:val="00A11B2F"/>
    <w:rsid w:val="00A13D20"/>
    <w:rsid w:val="00A244FB"/>
    <w:rsid w:val="00A2562F"/>
    <w:rsid w:val="00A26F89"/>
    <w:rsid w:val="00A317FB"/>
    <w:rsid w:val="00A33995"/>
    <w:rsid w:val="00A35A5B"/>
    <w:rsid w:val="00A37290"/>
    <w:rsid w:val="00A37B0D"/>
    <w:rsid w:val="00A402D3"/>
    <w:rsid w:val="00A42268"/>
    <w:rsid w:val="00A43BB1"/>
    <w:rsid w:val="00A46358"/>
    <w:rsid w:val="00A5736B"/>
    <w:rsid w:val="00A579E8"/>
    <w:rsid w:val="00A64E59"/>
    <w:rsid w:val="00A77DC3"/>
    <w:rsid w:val="00A82A21"/>
    <w:rsid w:val="00A87156"/>
    <w:rsid w:val="00A94A0F"/>
    <w:rsid w:val="00AA5CA6"/>
    <w:rsid w:val="00AB194D"/>
    <w:rsid w:val="00AB5800"/>
    <w:rsid w:val="00AC2B41"/>
    <w:rsid w:val="00AC4819"/>
    <w:rsid w:val="00AC70C0"/>
    <w:rsid w:val="00AE28A5"/>
    <w:rsid w:val="00AE4666"/>
    <w:rsid w:val="00AE61B2"/>
    <w:rsid w:val="00AF6467"/>
    <w:rsid w:val="00B104D9"/>
    <w:rsid w:val="00B11660"/>
    <w:rsid w:val="00B15A36"/>
    <w:rsid w:val="00B17791"/>
    <w:rsid w:val="00B2584E"/>
    <w:rsid w:val="00B270CB"/>
    <w:rsid w:val="00B36D9A"/>
    <w:rsid w:val="00B37916"/>
    <w:rsid w:val="00B54FD9"/>
    <w:rsid w:val="00B5694B"/>
    <w:rsid w:val="00B62BC6"/>
    <w:rsid w:val="00B6302E"/>
    <w:rsid w:val="00B63EF3"/>
    <w:rsid w:val="00B64C6E"/>
    <w:rsid w:val="00B651BB"/>
    <w:rsid w:val="00B71E6F"/>
    <w:rsid w:val="00B801B0"/>
    <w:rsid w:val="00B82285"/>
    <w:rsid w:val="00B82EAD"/>
    <w:rsid w:val="00B84C89"/>
    <w:rsid w:val="00B85E6F"/>
    <w:rsid w:val="00BA3D77"/>
    <w:rsid w:val="00BB01E4"/>
    <w:rsid w:val="00BC10EC"/>
    <w:rsid w:val="00BD270C"/>
    <w:rsid w:val="00BE329F"/>
    <w:rsid w:val="00BE68D4"/>
    <w:rsid w:val="00BF261C"/>
    <w:rsid w:val="00BF6C5F"/>
    <w:rsid w:val="00BF7328"/>
    <w:rsid w:val="00C12195"/>
    <w:rsid w:val="00C17B49"/>
    <w:rsid w:val="00C2446B"/>
    <w:rsid w:val="00C37279"/>
    <w:rsid w:val="00C47D66"/>
    <w:rsid w:val="00C7135D"/>
    <w:rsid w:val="00C7259D"/>
    <w:rsid w:val="00C7459B"/>
    <w:rsid w:val="00C74E96"/>
    <w:rsid w:val="00C81840"/>
    <w:rsid w:val="00C8264B"/>
    <w:rsid w:val="00C83179"/>
    <w:rsid w:val="00C87F32"/>
    <w:rsid w:val="00C90326"/>
    <w:rsid w:val="00C91DF5"/>
    <w:rsid w:val="00C9223E"/>
    <w:rsid w:val="00C96CF5"/>
    <w:rsid w:val="00CA1BEB"/>
    <w:rsid w:val="00CA3B86"/>
    <w:rsid w:val="00CA50D4"/>
    <w:rsid w:val="00CD3626"/>
    <w:rsid w:val="00CD45E7"/>
    <w:rsid w:val="00CE7973"/>
    <w:rsid w:val="00D053AD"/>
    <w:rsid w:val="00D054C1"/>
    <w:rsid w:val="00D16F6F"/>
    <w:rsid w:val="00D27368"/>
    <w:rsid w:val="00D34AAC"/>
    <w:rsid w:val="00D5211C"/>
    <w:rsid w:val="00D526AE"/>
    <w:rsid w:val="00D64011"/>
    <w:rsid w:val="00D64DF9"/>
    <w:rsid w:val="00D6528B"/>
    <w:rsid w:val="00D662E4"/>
    <w:rsid w:val="00D913A1"/>
    <w:rsid w:val="00DA5B57"/>
    <w:rsid w:val="00DB3C76"/>
    <w:rsid w:val="00DC27A3"/>
    <w:rsid w:val="00DD07F6"/>
    <w:rsid w:val="00DD27D4"/>
    <w:rsid w:val="00DE354B"/>
    <w:rsid w:val="00E40B2C"/>
    <w:rsid w:val="00E46FDA"/>
    <w:rsid w:val="00E475F4"/>
    <w:rsid w:val="00E56F9E"/>
    <w:rsid w:val="00E60768"/>
    <w:rsid w:val="00E73A91"/>
    <w:rsid w:val="00E75541"/>
    <w:rsid w:val="00E83DCB"/>
    <w:rsid w:val="00E852AE"/>
    <w:rsid w:val="00E86488"/>
    <w:rsid w:val="00E91F05"/>
    <w:rsid w:val="00E9531C"/>
    <w:rsid w:val="00E95802"/>
    <w:rsid w:val="00EB4471"/>
    <w:rsid w:val="00EC4C12"/>
    <w:rsid w:val="00F1685D"/>
    <w:rsid w:val="00F31A5F"/>
    <w:rsid w:val="00F372EC"/>
    <w:rsid w:val="00F40245"/>
    <w:rsid w:val="00F708E9"/>
    <w:rsid w:val="00F75FFC"/>
    <w:rsid w:val="00F814A0"/>
    <w:rsid w:val="00FA5492"/>
    <w:rsid w:val="00FB3B54"/>
    <w:rsid w:val="00FC53B1"/>
    <w:rsid w:val="00FC6EEB"/>
    <w:rsid w:val="00FD63D6"/>
    <w:rsid w:val="00FF22E3"/>
    <w:rsid w:val="00FF36D5"/>
    <w:rsid w:val="00FF69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9F398"/>
  <w15:docId w15:val="{5A6F0AE5-A101-4BD3-A072-35BB8D44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15"/>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64115"/>
    <w:pPr>
      <w:spacing w:after="120"/>
      <w:ind w:left="1134" w:right="1134"/>
      <w:jc w:val="both"/>
    </w:pPr>
  </w:style>
  <w:style w:type="paragraph" w:customStyle="1" w:styleId="HMG">
    <w:name w:val="_ H __M_G"/>
    <w:basedOn w:val="Normal"/>
    <w:next w:val="Normal"/>
    <w:rsid w:val="0016411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6411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164115"/>
    <w:rPr>
      <w:rFonts w:ascii="Times New Roman" w:hAnsi="Times New Roman"/>
      <w:sz w:val="18"/>
      <w:vertAlign w:val="superscript"/>
    </w:rPr>
  </w:style>
  <w:style w:type="paragraph" w:styleId="Header">
    <w:name w:val="header"/>
    <w:aliases w:val="6_G"/>
    <w:basedOn w:val="Normal"/>
    <w:link w:val="HeaderChar"/>
    <w:rsid w:val="0016411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64115"/>
    <w:rPr>
      <w:rFonts w:ascii="Times New Roman" w:eastAsia="Times New Roman" w:hAnsi="Times New Roman" w:cs="Times New Roman"/>
      <w:b/>
      <w:sz w:val="18"/>
      <w:szCs w:val="20"/>
      <w:lang w:val="en-GB" w:eastAsia="en-US"/>
    </w:rPr>
  </w:style>
  <w:style w:type="paragraph" w:styleId="FootnoteText">
    <w:name w:val="footnote text"/>
    <w:aliases w:val="5_G"/>
    <w:basedOn w:val="Normal"/>
    <w:link w:val="FootnoteTextChar"/>
    <w:uiPriority w:val="99"/>
    <w:rsid w:val="0016411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164115"/>
    <w:rPr>
      <w:rFonts w:ascii="Times New Roman" w:eastAsia="Times New Roman" w:hAnsi="Times New Roman" w:cs="Times New Roman"/>
      <w:sz w:val="18"/>
      <w:szCs w:val="20"/>
      <w:lang w:val="en-GB" w:eastAsia="en-US"/>
    </w:rPr>
  </w:style>
  <w:style w:type="paragraph" w:customStyle="1" w:styleId="Bullet1G">
    <w:name w:val="_Bullet 1_G"/>
    <w:basedOn w:val="Normal"/>
    <w:rsid w:val="00164115"/>
    <w:pPr>
      <w:numPr>
        <w:numId w:val="1"/>
      </w:numPr>
      <w:spacing w:after="120"/>
      <w:ind w:right="1134"/>
      <w:jc w:val="both"/>
    </w:pPr>
  </w:style>
  <w:style w:type="paragraph" w:styleId="Footer">
    <w:name w:val="footer"/>
    <w:aliases w:val="3_G"/>
    <w:basedOn w:val="Normal"/>
    <w:link w:val="FooterChar"/>
    <w:rsid w:val="00164115"/>
    <w:pPr>
      <w:spacing w:line="240" w:lineRule="auto"/>
    </w:pPr>
    <w:rPr>
      <w:sz w:val="16"/>
    </w:rPr>
  </w:style>
  <w:style w:type="character" w:customStyle="1" w:styleId="FooterChar">
    <w:name w:val="Footer Char"/>
    <w:aliases w:val="3_G Char"/>
    <w:basedOn w:val="DefaultParagraphFont"/>
    <w:link w:val="Footer"/>
    <w:rsid w:val="00164115"/>
    <w:rPr>
      <w:rFonts w:ascii="Times New Roman" w:eastAsia="Times New Roman" w:hAnsi="Times New Roman" w:cs="Times New Roman"/>
      <w:sz w:val="16"/>
      <w:szCs w:val="20"/>
      <w:lang w:val="en-GB" w:eastAsia="en-US"/>
    </w:rPr>
  </w:style>
  <w:style w:type="paragraph" w:customStyle="1" w:styleId="H1G">
    <w:name w:val="_ H_1_G"/>
    <w:basedOn w:val="Normal"/>
    <w:next w:val="Normal"/>
    <w:rsid w:val="0016411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64115"/>
    <w:pPr>
      <w:keepNext/>
      <w:keepLines/>
      <w:tabs>
        <w:tab w:val="right" w:pos="851"/>
      </w:tabs>
      <w:spacing w:before="240" w:after="120" w:line="240" w:lineRule="exact"/>
      <w:ind w:left="1134" w:right="1134" w:hanging="1134"/>
    </w:pPr>
    <w:rPr>
      <w:b/>
    </w:rPr>
  </w:style>
  <w:style w:type="character" w:customStyle="1" w:styleId="HChGChar">
    <w:name w:val="_ H _Ch_G Char"/>
    <w:link w:val="HChG"/>
    <w:rsid w:val="00164115"/>
    <w:rPr>
      <w:rFonts w:ascii="Times New Roman" w:eastAsia="Times New Roman" w:hAnsi="Times New Roman" w:cs="Times New Roman"/>
      <w:b/>
      <w:sz w:val="28"/>
      <w:szCs w:val="20"/>
      <w:lang w:val="en-GB" w:eastAsia="en-US"/>
    </w:rPr>
  </w:style>
  <w:style w:type="character" w:customStyle="1" w:styleId="SingleTxtGChar">
    <w:name w:val="_ Single Txt_G Char"/>
    <w:link w:val="SingleTxtG"/>
    <w:qFormat/>
    <w:rsid w:val="00164115"/>
    <w:rPr>
      <w:rFonts w:ascii="Times New Roman" w:eastAsia="Times New Roman" w:hAnsi="Times New Roman" w:cs="Times New Roman"/>
      <w:sz w:val="20"/>
      <w:szCs w:val="20"/>
      <w:lang w:val="en-GB" w:eastAsia="en-US"/>
    </w:rPr>
  </w:style>
  <w:style w:type="character" w:styleId="CommentReference">
    <w:name w:val="annotation reference"/>
    <w:rsid w:val="00164115"/>
    <w:rPr>
      <w:sz w:val="6"/>
    </w:rPr>
  </w:style>
  <w:style w:type="paragraph" w:styleId="CommentText">
    <w:name w:val="annotation text"/>
    <w:basedOn w:val="Normal"/>
    <w:link w:val="CommentTextChar"/>
    <w:rsid w:val="00164115"/>
  </w:style>
  <w:style w:type="character" w:customStyle="1" w:styleId="CommentTextChar">
    <w:name w:val="Comment Text Char"/>
    <w:basedOn w:val="DefaultParagraphFont"/>
    <w:link w:val="CommentText"/>
    <w:rsid w:val="00164115"/>
    <w:rPr>
      <w:rFonts w:ascii="Times New Roman" w:eastAsia="Times New Roman" w:hAnsi="Times New Roman" w:cs="Times New Roman"/>
      <w:sz w:val="20"/>
      <w:szCs w:val="20"/>
      <w:lang w:val="en-GB" w:eastAsia="en-US"/>
    </w:rPr>
  </w:style>
  <w:style w:type="character" w:styleId="EndnoteReference">
    <w:name w:val="endnote reference"/>
    <w:aliases w:val="1_G"/>
    <w:basedOn w:val="FootnoteReference"/>
    <w:rsid w:val="00552785"/>
    <w:rPr>
      <w:rFonts w:ascii="Times New Roman" w:hAnsi="Times New Roman"/>
      <w:sz w:val="18"/>
      <w:vertAlign w:val="superscript"/>
    </w:rPr>
  </w:style>
  <w:style w:type="paragraph" w:styleId="BalloonText">
    <w:name w:val="Balloon Text"/>
    <w:basedOn w:val="Normal"/>
    <w:link w:val="BalloonTextChar"/>
    <w:uiPriority w:val="99"/>
    <w:semiHidden/>
    <w:unhideWhenUsed/>
    <w:rsid w:val="008D66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6A4"/>
    <w:rPr>
      <w:rFonts w:ascii="Tahoma" w:eastAsia="Times New Roma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B57"/>
    <w:pPr>
      <w:spacing w:line="240" w:lineRule="auto"/>
    </w:pPr>
    <w:rPr>
      <w:b/>
      <w:bCs/>
    </w:rPr>
  </w:style>
  <w:style w:type="character" w:customStyle="1" w:styleId="CommentSubjectChar">
    <w:name w:val="Comment Subject Char"/>
    <w:basedOn w:val="CommentTextChar"/>
    <w:link w:val="CommentSubject"/>
    <w:uiPriority w:val="99"/>
    <w:semiHidden/>
    <w:rsid w:val="00186B57"/>
    <w:rPr>
      <w:rFonts w:ascii="Times New Roman" w:eastAsia="Times New Roman" w:hAnsi="Times New Roman" w:cs="Times New Roman"/>
      <w:b/>
      <w:bCs/>
      <w:sz w:val="20"/>
      <w:szCs w:val="20"/>
      <w:lang w:val="en-GB" w:eastAsia="en-US"/>
    </w:rPr>
  </w:style>
  <w:style w:type="paragraph" w:customStyle="1" w:styleId="Default">
    <w:name w:val="Default"/>
    <w:rsid w:val="001F647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SingleTxtGCar">
    <w:name w:val="_ Single Txt_G Car"/>
    <w:rsid w:val="00AE28A5"/>
    <w:rPr>
      <w:lang w:eastAsia="en-US"/>
    </w:rPr>
  </w:style>
  <w:style w:type="character" w:customStyle="1" w:styleId="markedcontent">
    <w:name w:val="markedcontent"/>
    <w:basedOn w:val="DefaultParagraphFont"/>
    <w:rsid w:val="004838B9"/>
  </w:style>
  <w:style w:type="paragraph" w:styleId="ListParagraph">
    <w:name w:val="List Paragraph"/>
    <w:basedOn w:val="Normal"/>
    <w:uiPriority w:val="1"/>
    <w:qFormat/>
    <w:rsid w:val="00A77DC3"/>
    <w:pPr>
      <w:widowControl w:val="0"/>
      <w:suppressAutoHyphens w:val="0"/>
      <w:autoSpaceDE w:val="0"/>
      <w:autoSpaceDN w:val="0"/>
      <w:spacing w:line="240" w:lineRule="auto"/>
      <w:ind w:left="1632"/>
    </w:pPr>
    <w:rPr>
      <w:sz w:val="22"/>
      <w:szCs w:val="22"/>
      <w:lang w:val="en-US"/>
    </w:rPr>
  </w:style>
  <w:style w:type="character" w:styleId="Hyperlink">
    <w:name w:val="Hyperlink"/>
    <w:basedOn w:val="DefaultParagraphFont"/>
    <w:uiPriority w:val="99"/>
    <w:unhideWhenUsed/>
    <w:rsid w:val="000D1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9123">
      <w:bodyDiv w:val="1"/>
      <w:marLeft w:val="0"/>
      <w:marRight w:val="0"/>
      <w:marTop w:val="0"/>
      <w:marBottom w:val="0"/>
      <w:divBdr>
        <w:top w:val="none" w:sz="0" w:space="0" w:color="auto"/>
        <w:left w:val="none" w:sz="0" w:space="0" w:color="auto"/>
        <w:bottom w:val="none" w:sz="0" w:space="0" w:color="auto"/>
        <w:right w:val="none" w:sz="0" w:space="0" w:color="auto"/>
      </w:divBdr>
    </w:div>
    <w:div w:id="742527488">
      <w:bodyDiv w:val="1"/>
      <w:marLeft w:val="0"/>
      <w:marRight w:val="0"/>
      <w:marTop w:val="0"/>
      <w:marBottom w:val="0"/>
      <w:divBdr>
        <w:top w:val="none" w:sz="0" w:space="0" w:color="auto"/>
        <w:left w:val="none" w:sz="0" w:space="0" w:color="auto"/>
        <w:bottom w:val="none" w:sz="0" w:space="0" w:color="auto"/>
        <w:right w:val="none" w:sz="0" w:space="0" w:color="auto"/>
      </w:divBdr>
    </w:div>
    <w:div w:id="919565256">
      <w:bodyDiv w:val="1"/>
      <w:marLeft w:val="0"/>
      <w:marRight w:val="0"/>
      <w:marTop w:val="0"/>
      <w:marBottom w:val="0"/>
      <w:divBdr>
        <w:top w:val="none" w:sz="0" w:space="0" w:color="auto"/>
        <w:left w:val="none" w:sz="0" w:space="0" w:color="auto"/>
        <w:bottom w:val="none" w:sz="0" w:space="0" w:color="auto"/>
        <w:right w:val="none" w:sz="0" w:space="0" w:color="auto"/>
      </w:divBdr>
    </w:div>
    <w:div w:id="1173494522">
      <w:bodyDiv w:val="1"/>
      <w:marLeft w:val="0"/>
      <w:marRight w:val="0"/>
      <w:marTop w:val="0"/>
      <w:marBottom w:val="0"/>
      <w:divBdr>
        <w:top w:val="none" w:sz="0" w:space="0" w:color="auto"/>
        <w:left w:val="none" w:sz="0" w:space="0" w:color="auto"/>
        <w:bottom w:val="none" w:sz="0" w:space="0" w:color="auto"/>
        <w:right w:val="none" w:sz="0" w:space="0" w:color="auto"/>
      </w:divBdr>
    </w:div>
    <w:div w:id="1772898245">
      <w:bodyDiv w:val="1"/>
      <w:marLeft w:val="0"/>
      <w:marRight w:val="0"/>
      <w:marTop w:val="0"/>
      <w:marBottom w:val="0"/>
      <w:divBdr>
        <w:top w:val="none" w:sz="0" w:space="0" w:color="auto"/>
        <w:left w:val="none" w:sz="0" w:space="0" w:color="auto"/>
        <w:bottom w:val="none" w:sz="0" w:space="0" w:color="auto"/>
        <w:right w:val="none" w:sz="0" w:space="0" w:color="auto"/>
      </w:divBdr>
    </w:div>
    <w:div w:id="18324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CELEX%3A32008R1272" TargetMode="External"/><Relationship Id="rId2" Type="http://schemas.openxmlformats.org/officeDocument/2006/relationships/hyperlink" Target="https://eur-lex.europa.eu/legal-content/EN/TXT/?uri=COM%3A2020%3A667%3AFIN" TargetMode="External"/><Relationship Id="rId1" Type="http://schemas.openxmlformats.org/officeDocument/2006/relationships/hyperlink" Target="https://ec.europa.eu/info/strategy/priorities-2019-2024/european-green-deal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76F5BDE-9A9C-413F-A079-E52097D30AEC}">
  <ds:schemaRefs>
    <ds:schemaRef ds:uri="http://schemas.openxmlformats.org/officeDocument/2006/bibliography"/>
  </ds:schemaRefs>
</ds:datastoreItem>
</file>

<file path=customXml/itemProps2.xml><?xml version="1.0" encoding="utf-8"?>
<ds:datastoreItem xmlns:ds="http://schemas.openxmlformats.org/officeDocument/2006/customXml" ds:itemID="{CD6EFD2F-48DB-4F9B-963F-32E955601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DD5FE-3F03-4B8E-9DDE-3D89A9DADD3C}">
  <ds:schemaRefs>
    <ds:schemaRef ds:uri="http://schemas.microsoft.com/sharepoint/v3/contenttype/forms"/>
  </ds:schemaRefs>
</ds:datastoreItem>
</file>

<file path=customXml/itemProps4.xml><?xml version="1.0" encoding="utf-8"?>
<ds:datastoreItem xmlns:ds="http://schemas.openxmlformats.org/officeDocument/2006/customXml" ds:itemID="{DAF962D5-BF50-4CDA-B94A-32275336C1C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986</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G Negash</dc:creator>
  <cp:lastModifiedBy>Rosa Garcia Couto</cp:lastModifiedBy>
  <cp:revision>26</cp:revision>
  <cp:lastPrinted>2022-06-21T09:49:00Z</cp:lastPrinted>
  <dcterms:created xsi:type="dcterms:W3CDTF">2022-06-22T14:22:00Z</dcterms:created>
  <dcterms:modified xsi:type="dcterms:W3CDTF">2022-06-22T14:44:00Z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