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2D1005" w14:paraId="3EEA5169" w14:textId="77777777" w:rsidTr="00EE7E6D">
        <w:trPr>
          <w:cantSplit/>
          <w:trHeight w:hRule="exact" w:val="913"/>
        </w:trPr>
        <w:tc>
          <w:tcPr>
            <w:tcW w:w="9735" w:type="dxa"/>
            <w:tcBorders>
              <w:bottom w:val="single" w:sz="4" w:space="0" w:color="auto"/>
            </w:tcBorders>
            <w:vAlign w:val="bottom"/>
          </w:tcPr>
          <w:p w14:paraId="737A8918" w14:textId="17335DA2" w:rsidR="0099001C" w:rsidRPr="002D1005" w:rsidRDefault="0099001C" w:rsidP="00BF400F">
            <w:pPr>
              <w:ind w:right="96"/>
              <w:jc w:val="right"/>
              <w:rPr>
                <w:b/>
                <w:sz w:val="40"/>
                <w:szCs w:val="40"/>
                <w:highlight w:val="yellow"/>
              </w:rPr>
            </w:pPr>
            <w:r w:rsidRPr="00AD6198">
              <w:rPr>
                <w:b/>
                <w:sz w:val="40"/>
                <w:szCs w:val="40"/>
              </w:rPr>
              <w:t>UN/SCEGHS/</w:t>
            </w:r>
            <w:r w:rsidR="00802916" w:rsidRPr="00AD6198">
              <w:rPr>
                <w:b/>
                <w:sz w:val="40"/>
                <w:szCs w:val="40"/>
              </w:rPr>
              <w:t>4</w:t>
            </w:r>
            <w:r w:rsidR="00062FE6" w:rsidRPr="00AD6198">
              <w:rPr>
                <w:b/>
                <w:sz w:val="40"/>
                <w:szCs w:val="40"/>
              </w:rPr>
              <w:t>2</w:t>
            </w:r>
            <w:r w:rsidRPr="00AD6198">
              <w:rPr>
                <w:b/>
                <w:sz w:val="40"/>
                <w:szCs w:val="40"/>
              </w:rPr>
              <w:t>/INF.</w:t>
            </w:r>
            <w:r w:rsidR="007A1AF5" w:rsidRPr="00AD6198">
              <w:rPr>
                <w:b/>
                <w:sz w:val="40"/>
                <w:szCs w:val="40"/>
              </w:rPr>
              <w:t>1</w:t>
            </w:r>
            <w:r w:rsidR="003956BB">
              <w:rPr>
                <w:b/>
                <w:sz w:val="40"/>
                <w:szCs w:val="40"/>
              </w:rPr>
              <w:t>6</w:t>
            </w:r>
          </w:p>
        </w:tc>
      </w:tr>
      <w:tr w:rsidR="0099001C" w14:paraId="0CF18C10" w14:textId="77777777" w:rsidTr="0080653A">
        <w:trPr>
          <w:cantSplit/>
          <w:trHeight w:hRule="exact" w:val="3639"/>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6D0E0435" w:rsidR="00965932" w:rsidRDefault="00085D2B" w:rsidP="00965932">
            <w:pPr>
              <w:tabs>
                <w:tab w:val="left" w:pos="7230"/>
                <w:tab w:val="right" w:pos="9300"/>
              </w:tabs>
              <w:spacing w:before="120"/>
              <w:rPr>
                <w:b/>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3956BB">
              <w:rPr>
                <w:b/>
                <w:lang w:val="en-US"/>
              </w:rPr>
              <w:t>2</w:t>
            </w:r>
            <w:r w:rsidR="00E94075">
              <w:rPr>
                <w:b/>
                <w:lang w:val="en-US"/>
              </w:rPr>
              <w:t>2</w:t>
            </w:r>
            <w:r w:rsidR="006E3197" w:rsidRPr="00AD6198">
              <w:rPr>
                <w:b/>
                <w:lang w:val="en-US"/>
              </w:rPr>
              <w:t xml:space="preserve"> </w:t>
            </w:r>
            <w:r w:rsidR="00062FE6" w:rsidRPr="00AD6198">
              <w:rPr>
                <w:b/>
                <w:lang w:val="en-US"/>
              </w:rPr>
              <w:t>June 2022</w:t>
            </w:r>
          </w:p>
          <w:p w14:paraId="4FA8EFAD" w14:textId="77777777" w:rsidR="00BD13EB" w:rsidRDefault="00BD13EB" w:rsidP="00BD13EB">
            <w:pPr>
              <w:tabs>
                <w:tab w:val="left" w:pos="7230"/>
                <w:tab w:val="right" w:pos="9300"/>
              </w:tabs>
              <w:spacing w:before="120"/>
              <w:jc w:val="right"/>
              <w:rPr>
                <w:b/>
                <w:lang w:val="en-US"/>
              </w:rPr>
            </w:pPr>
          </w:p>
          <w:p w14:paraId="4A0871C0" w14:textId="6BA00376" w:rsidR="00965932" w:rsidRPr="008D513D" w:rsidRDefault="00802916" w:rsidP="00965932">
            <w:pPr>
              <w:jc w:val="both"/>
            </w:pPr>
            <w:r w:rsidRPr="008D513D">
              <w:rPr>
                <w:b/>
              </w:rPr>
              <w:t>Fort</w:t>
            </w:r>
            <w:r w:rsidR="007043A6" w:rsidRPr="008D513D">
              <w:rPr>
                <w:b/>
              </w:rPr>
              <w:t>y-</w:t>
            </w:r>
            <w:r w:rsidR="00062FE6" w:rsidRPr="008D513D">
              <w:rPr>
                <w:b/>
              </w:rPr>
              <w:t xml:space="preserve">second </w:t>
            </w:r>
            <w:r w:rsidR="00965932" w:rsidRPr="008D513D">
              <w:rPr>
                <w:b/>
              </w:rPr>
              <w:t>session</w:t>
            </w:r>
            <w:r w:rsidR="00965932" w:rsidRPr="008D513D">
              <w:t xml:space="preserve"> </w:t>
            </w:r>
          </w:p>
          <w:p w14:paraId="2EE88CE4" w14:textId="6D7928B5" w:rsidR="00EE7E6D" w:rsidRPr="008D513D" w:rsidRDefault="001772DB" w:rsidP="000A48A1">
            <w:pPr>
              <w:spacing w:before="40"/>
              <w:rPr>
                <w:b/>
                <w:bCs/>
              </w:rPr>
            </w:pPr>
            <w:r w:rsidRPr="008D513D">
              <w:t>Geneva, 6-8 July 2022</w:t>
            </w:r>
            <w:r w:rsidR="000A48A1" w:rsidRPr="008D513D">
              <w:br/>
            </w:r>
            <w:r w:rsidR="00EE7E6D" w:rsidRPr="008D513D">
              <w:t xml:space="preserve">Item </w:t>
            </w:r>
            <w:r w:rsidR="00337F26" w:rsidRPr="008D513D">
              <w:t>2 (</w:t>
            </w:r>
            <w:r w:rsidR="00786A3B">
              <w:t>c)</w:t>
            </w:r>
            <w:r w:rsidR="00815255" w:rsidRPr="008D513D">
              <w:t xml:space="preserve"> </w:t>
            </w:r>
            <w:r w:rsidR="00EE7E6D" w:rsidRPr="008D513D">
              <w:t>of the provisional agenda</w:t>
            </w:r>
          </w:p>
          <w:p w14:paraId="18EB2B88" w14:textId="77777777" w:rsidR="00A07DC2" w:rsidRDefault="0080653A" w:rsidP="00A07DC2">
            <w:pPr>
              <w:rPr>
                <w:b/>
                <w:bCs/>
              </w:rPr>
            </w:pPr>
            <w:r w:rsidRPr="0080653A">
              <w:rPr>
                <w:b/>
                <w:bCs/>
              </w:rPr>
              <w:t xml:space="preserve">Work on the Globally Harmonized System of Classification </w:t>
            </w:r>
          </w:p>
          <w:p w14:paraId="1E885C91" w14:textId="77777777" w:rsidR="005326D7" w:rsidRDefault="0080653A" w:rsidP="00A07DC2">
            <w:pPr>
              <w:rPr>
                <w:b/>
                <w:bCs/>
              </w:rPr>
            </w:pPr>
            <w:r w:rsidRPr="0080653A">
              <w:rPr>
                <w:b/>
                <w:bCs/>
              </w:rPr>
              <w:t>and Labelling of Chemicals</w:t>
            </w:r>
            <w:r w:rsidR="00882806" w:rsidRPr="008D513D">
              <w:rPr>
                <w:b/>
                <w:bCs/>
              </w:rPr>
              <w:t>:</w:t>
            </w:r>
            <w:r w:rsidR="00A07DC2">
              <w:rPr>
                <w:b/>
                <w:bCs/>
              </w:rPr>
              <w:t xml:space="preserve"> </w:t>
            </w:r>
            <w:r w:rsidR="005326D7" w:rsidRPr="005326D7">
              <w:rPr>
                <w:b/>
                <w:bCs/>
              </w:rPr>
              <w:t xml:space="preserve">Use of non-animal </w:t>
            </w:r>
          </w:p>
          <w:p w14:paraId="29FA3332" w14:textId="3C9AED24" w:rsidR="00882806" w:rsidRDefault="005326D7" w:rsidP="00A07DC2">
            <w:pPr>
              <w:rPr>
                <w:b/>
                <w:bCs/>
              </w:rPr>
            </w:pPr>
            <w:r w:rsidRPr="005326D7">
              <w:rPr>
                <w:b/>
                <w:bCs/>
              </w:rPr>
              <w:t>testing methods for classification of health hazards</w:t>
            </w:r>
          </w:p>
          <w:p w14:paraId="4DA34DEE" w14:textId="1C1342E6" w:rsidR="00D36906" w:rsidRPr="00D36906" w:rsidRDefault="00D36906" w:rsidP="00B13801">
            <w:pPr>
              <w:spacing w:line="240" w:lineRule="exact"/>
              <w:rPr>
                <w:b/>
                <w:bCs/>
              </w:rPr>
            </w:pPr>
          </w:p>
        </w:tc>
      </w:tr>
    </w:tbl>
    <w:p w14:paraId="1DEB4653" w14:textId="77777777" w:rsidR="00786A3B" w:rsidRPr="004768CC" w:rsidRDefault="00786A3B" w:rsidP="00786A3B">
      <w:pPr>
        <w:pStyle w:val="HChG"/>
        <w:ind w:right="521"/>
        <w:rPr>
          <w:szCs w:val="28"/>
        </w:rPr>
      </w:pPr>
      <w:r w:rsidRPr="009E7ABD">
        <w:rPr>
          <w:rFonts w:eastAsia="MS Mincho"/>
          <w:lang w:val="en-US" w:eastAsia="ja-JP"/>
        </w:rPr>
        <w:tab/>
      </w:r>
      <w:r>
        <w:rPr>
          <w:rFonts w:eastAsia="MS Mincho"/>
          <w:lang w:val="en-US" w:eastAsia="ja-JP"/>
        </w:rPr>
        <w:tab/>
      </w:r>
      <w:r w:rsidRPr="002D4870">
        <w:rPr>
          <w:szCs w:val="28"/>
        </w:rPr>
        <w:t>Use of non-animal testing methods for classification of health hazards</w:t>
      </w:r>
      <w:r>
        <w:rPr>
          <w:szCs w:val="28"/>
        </w:rPr>
        <w:t xml:space="preserve">: Status report </w:t>
      </w:r>
    </w:p>
    <w:p w14:paraId="65F59320" w14:textId="77777777" w:rsidR="00786A3B" w:rsidRDefault="00786A3B" w:rsidP="00786A3B">
      <w:pPr>
        <w:pStyle w:val="H1G"/>
        <w:ind w:right="521"/>
      </w:pPr>
      <w:r>
        <w:tab/>
      </w:r>
      <w:r>
        <w:tab/>
      </w:r>
      <w:r w:rsidRPr="00AE4DC1">
        <w:t xml:space="preserve">Transmitted by </w:t>
      </w:r>
      <w:r w:rsidRPr="00AE4DC1">
        <w:rPr>
          <w:lang w:eastAsia="ja-JP"/>
        </w:rPr>
        <w:t>the expert</w:t>
      </w:r>
      <w:r>
        <w:rPr>
          <w:lang w:eastAsia="ja-JP"/>
        </w:rPr>
        <w:t>s</w:t>
      </w:r>
      <w:r w:rsidRPr="00AE4DC1">
        <w:rPr>
          <w:lang w:eastAsia="ja-JP"/>
        </w:rPr>
        <w:t xml:space="preserve"> </w:t>
      </w:r>
      <w:r w:rsidRPr="00AE4DC1">
        <w:t xml:space="preserve">from the United </w:t>
      </w:r>
      <w:r w:rsidRPr="0064644C">
        <w:t>Kingdom</w:t>
      </w:r>
      <w:r>
        <w:t xml:space="preserve"> and the Netherlands</w:t>
      </w:r>
      <w:r w:rsidRPr="00AE4DC1">
        <w:t xml:space="preserve"> </w:t>
      </w:r>
      <w:r w:rsidRPr="00AE4DC1">
        <w:rPr>
          <w:lang w:eastAsia="de-DE"/>
        </w:rPr>
        <w:t xml:space="preserve">on behalf of the </w:t>
      </w:r>
      <w:r w:rsidRPr="00F32B41">
        <w:t>informal</w:t>
      </w:r>
      <w:r w:rsidRPr="00AE4DC1">
        <w:rPr>
          <w:lang w:eastAsia="de-DE"/>
        </w:rPr>
        <w:t xml:space="preserve"> </w:t>
      </w:r>
      <w:r>
        <w:rPr>
          <w:lang w:eastAsia="de-DE"/>
        </w:rPr>
        <w:t>working</w:t>
      </w:r>
      <w:r w:rsidRPr="00AE4DC1">
        <w:rPr>
          <w:lang w:eastAsia="de-DE"/>
        </w:rPr>
        <w:t xml:space="preserve"> </w:t>
      </w:r>
      <w:r w:rsidRPr="0097163C">
        <w:t>group</w:t>
      </w:r>
    </w:p>
    <w:p w14:paraId="191A1C94" w14:textId="77777777" w:rsidR="00786A3B" w:rsidRDefault="00786A3B" w:rsidP="00786A3B">
      <w:pPr>
        <w:pStyle w:val="HChG"/>
        <w:ind w:right="521"/>
      </w:pPr>
      <w:r>
        <w:tab/>
      </w:r>
      <w:r>
        <w:tab/>
        <w:t>Introduction</w:t>
      </w:r>
    </w:p>
    <w:p w14:paraId="19C7071A" w14:textId="1E0B5CED" w:rsidR="00786A3B" w:rsidRDefault="00786A3B" w:rsidP="00786A3B">
      <w:pPr>
        <w:pStyle w:val="SingleTxtG"/>
        <w:tabs>
          <w:tab w:val="left" w:pos="1701"/>
        </w:tabs>
        <w:ind w:right="521"/>
      </w:pPr>
      <w:r>
        <w:t>1.</w:t>
      </w:r>
      <w:r>
        <w:tab/>
        <w:t xml:space="preserve">This informal document provides an update on the work performed by the </w:t>
      </w:r>
      <w:r w:rsidR="00BF7F4E">
        <w:t>i</w:t>
      </w:r>
      <w:r>
        <w:t xml:space="preserve">nformal </w:t>
      </w:r>
      <w:r w:rsidR="00BF7F4E">
        <w:t>w</w:t>
      </w:r>
      <w:r>
        <w:t xml:space="preserve">orking </w:t>
      </w:r>
      <w:r w:rsidR="00BF7F4E">
        <w:t>g</w:t>
      </w:r>
      <w:r>
        <w:t xml:space="preserve">roup </w:t>
      </w:r>
      <w:r>
        <w:rPr>
          <w:szCs w:val="24"/>
          <w:lang w:eastAsia="de-DE"/>
        </w:rPr>
        <w:t xml:space="preserve">on “Use of non-animal testing methods for classification of health hazards” </w:t>
      </w:r>
      <w:r>
        <w:t>since the last update provided to the Sub-Committee at the forty-first session in December 2021.</w:t>
      </w:r>
    </w:p>
    <w:p w14:paraId="03681FCE" w14:textId="77777777" w:rsidR="00786A3B" w:rsidRDefault="00786A3B" w:rsidP="00786A3B">
      <w:pPr>
        <w:pStyle w:val="HChG"/>
        <w:ind w:right="521"/>
        <w:rPr>
          <w:highlight w:val="lightGray"/>
        </w:rPr>
      </w:pPr>
      <w:r>
        <w:tab/>
      </w:r>
      <w:r>
        <w:tab/>
        <w:t>Background</w:t>
      </w:r>
    </w:p>
    <w:p w14:paraId="4C98CD85" w14:textId="77777777" w:rsidR="00786A3B" w:rsidRDefault="00786A3B" w:rsidP="00786A3B">
      <w:pPr>
        <w:pStyle w:val="SingleTxtG"/>
        <w:tabs>
          <w:tab w:val="left" w:pos="1701"/>
        </w:tabs>
        <w:ind w:right="521"/>
      </w:pPr>
      <w:r w:rsidRPr="0010697D">
        <w:rPr>
          <w:bCs/>
          <w:color w:val="000000"/>
          <w:spacing w:val="-4"/>
        </w:rPr>
        <w:t>2.</w:t>
      </w:r>
      <w:r w:rsidRPr="0010697D">
        <w:rPr>
          <w:bCs/>
          <w:color w:val="000000"/>
          <w:spacing w:val="-4"/>
        </w:rPr>
        <w:tab/>
      </w:r>
      <w:r>
        <w:t>At the thirty-ninth session,</w:t>
      </w:r>
      <w:r w:rsidRPr="00087DCD">
        <w:t xml:space="preserve"> </w:t>
      </w:r>
      <w:r>
        <w:t>t</w:t>
      </w:r>
      <w:r w:rsidRPr="00087DCD">
        <w:t xml:space="preserve">he Sub-Committee agreed to keep the work on the use of non-animal testing methods for classification of health </w:t>
      </w:r>
      <w:r>
        <w:t xml:space="preserve">and environmental </w:t>
      </w:r>
      <w:r w:rsidRPr="00087DCD">
        <w:t>hazard</w:t>
      </w:r>
      <w:r>
        <w:t xml:space="preserve"> classe</w:t>
      </w:r>
      <w:r w:rsidRPr="00087DCD">
        <w:t>s on its programme of work for the 20</w:t>
      </w:r>
      <w:r>
        <w:t>21</w:t>
      </w:r>
      <w:r w:rsidRPr="00087DCD">
        <w:t>-202</w:t>
      </w:r>
      <w:r>
        <w:t>2</w:t>
      </w:r>
      <w:r w:rsidRPr="00087DCD">
        <w:t xml:space="preserve"> biennium</w:t>
      </w:r>
      <w:r>
        <w:rPr>
          <w:rStyle w:val="FootnoteReference"/>
        </w:rPr>
        <w:footnoteReference w:id="2"/>
      </w:r>
      <w:r>
        <w:t xml:space="preserve"> </w:t>
      </w:r>
      <w:r w:rsidRPr="00112F8C">
        <w:t>and update</w:t>
      </w:r>
      <w:r>
        <w:t>s</w:t>
      </w:r>
      <w:r w:rsidRPr="00112F8C">
        <w:t xml:space="preserve"> on the progress of the work</w:t>
      </w:r>
      <w:r>
        <w:t xml:space="preserve"> were provided to </w:t>
      </w:r>
      <w:r w:rsidRPr="00112F8C">
        <w:t>the Sub-Committee</w:t>
      </w:r>
      <w:r w:rsidRPr="00C06984">
        <w:t xml:space="preserve"> </w:t>
      </w:r>
      <w:r w:rsidRPr="00112F8C">
        <w:t xml:space="preserve">at the </w:t>
      </w:r>
      <w:r>
        <w:t xml:space="preserve">fortieth and </w:t>
      </w:r>
      <w:r w:rsidRPr="00B16F0B">
        <w:t>fort</w:t>
      </w:r>
      <w:r>
        <w:t>y-first</w:t>
      </w:r>
      <w:r w:rsidRPr="00112F8C">
        <w:t xml:space="preserve"> session</w:t>
      </w:r>
      <w:r>
        <w:t>s.</w:t>
      </w:r>
      <w:r>
        <w:rPr>
          <w:rStyle w:val="FootnoteReference"/>
        </w:rPr>
        <w:footnoteReference w:id="3"/>
      </w:r>
    </w:p>
    <w:p w14:paraId="1D113D30" w14:textId="77777777" w:rsidR="00786A3B" w:rsidRDefault="00786A3B" w:rsidP="00786A3B">
      <w:pPr>
        <w:pStyle w:val="SingleTxtG"/>
        <w:tabs>
          <w:tab w:val="left" w:pos="1701"/>
        </w:tabs>
        <w:ind w:right="521"/>
      </w:pPr>
      <w:r>
        <w:t>3</w:t>
      </w:r>
      <w:r w:rsidRPr="00FD6FD0">
        <w:t>.</w:t>
      </w:r>
      <w:r w:rsidRPr="00FD6FD0">
        <w:tab/>
        <w:t xml:space="preserve">The </w:t>
      </w:r>
      <w:r>
        <w:t>informal w</w:t>
      </w:r>
      <w:r w:rsidRPr="00FD6FD0">
        <w:t xml:space="preserve">orking </w:t>
      </w:r>
      <w:r>
        <w:t>g</w:t>
      </w:r>
      <w:r w:rsidRPr="00FD6FD0">
        <w:t xml:space="preserve">roup presently has approximately </w:t>
      </w:r>
      <w:r>
        <w:t>6</w:t>
      </w:r>
      <w:r w:rsidRPr="00FD6FD0">
        <w:t xml:space="preserve">0 members, reflecting the importance of, and interest in, this work. Its membership includes experts with specialised knowledge of test methods and their application to classification, and experts on </w:t>
      </w:r>
      <w:r>
        <w:t>n</w:t>
      </w:r>
      <w:r w:rsidRPr="00FD6FD0">
        <w:t xml:space="preserve">ational legislation that implements GHS. Discussions are often lively and detailed, but overall are propelled by a strong desire to make progress on the </w:t>
      </w:r>
      <w:r>
        <w:t>informal w</w:t>
      </w:r>
      <w:r w:rsidRPr="00FD6FD0">
        <w:t xml:space="preserve">orking </w:t>
      </w:r>
      <w:r>
        <w:t>g</w:t>
      </w:r>
      <w:r w:rsidRPr="00FD6FD0">
        <w:t>roup’s mandate and ensure that non-animal test methods are consistently incorporated in the GHS in a way that reflects their growing importance and scientific relevance, whilst recognising their limitations.</w:t>
      </w:r>
    </w:p>
    <w:p w14:paraId="3965140F" w14:textId="77777777" w:rsidR="00786A3B" w:rsidRDefault="00786A3B" w:rsidP="00786A3B">
      <w:pPr>
        <w:pStyle w:val="HChG"/>
        <w:ind w:right="521"/>
      </w:pPr>
      <w:r>
        <w:tab/>
      </w:r>
      <w:r>
        <w:tab/>
        <w:t xml:space="preserve">Status report </w:t>
      </w:r>
    </w:p>
    <w:p w14:paraId="75BF5112" w14:textId="3DC94873" w:rsidR="00786A3B" w:rsidRDefault="00786A3B" w:rsidP="00786A3B">
      <w:pPr>
        <w:pStyle w:val="SingleTxtG"/>
        <w:tabs>
          <w:tab w:val="left" w:pos="1701"/>
        </w:tabs>
        <w:ind w:right="521"/>
      </w:pPr>
      <w:r>
        <w:t xml:space="preserve">4. </w:t>
      </w:r>
      <w:r>
        <w:tab/>
        <w:t xml:space="preserve">Since the last update to the Sub-Committee in December 2021, the informal working group has continued to work hard on the revision of Chapter 3.4 for skin sensitization for the inclusion of </w:t>
      </w:r>
      <w:r>
        <w:rPr>
          <w:szCs w:val="24"/>
          <w:lang w:eastAsia="de-DE"/>
        </w:rPr>
        <w:t>non-animal testing methods</w:t>
      </w:r>
      <w:r>
        <w:t xml:space="preserve"> via correspondence, </w:t>
      </w:r>
      <w:r w:rsidRPr="00F2554B">
        <w:t>virtual</w:t>
      </w:r>
      <w:r>
        <w:t xml:space="preserve"> meetings (13 January 2022; 3 March 2022; 12 April 2022; and 9 June 2022) and at a face-to-face informal group meeting that will be held during the forty-second session</w:t>
      </w:r>
      <w:r w:rsidRPr="00F51F48">
        <w:t xml:space="preserve"> </w:t>
      </w:r>
      <w:r>
        <w:t xml:space="preserve">in July 2022. After each meeting the Netherlands and the United Kingdom, the joint leads, with the assistance of </w:t>
      </w:r>
      <w:r w:rsidR="003A6F49">
        <w:t>the Joint Research Centre (</w:t>
      </w:r>
      <w:r>
        <w:t>JRC</w:t>
      </w:r>
      <w:r w:rsidR="003A6F49">
        <w:t>)</w:t>
      </w:r>
      <w:r>
        <w:t xml:space="preserve"> have revised the draft text of </w:t>
      </w:r>
      <w:r>
        <w:lastRenderedPageBreak/>
        <w:t>Chapter</w:t>
      </w:r>
      <w:r w:rsidR="00C44200">
        <w:t> </w:t>
      </w:r>
      <w:r>
        <w:t xml:space="preserve">3.4 and prepared papers on specific topics to take forward the discussions, </w:t>
      </w:r>
      <w:proofErr w:type="gramStart"/>
      <w:r>
        <w:t>taking into account</w:t>
      </w:r>
      <w:proofErr w:type="gramEnd"/>
      <w:r>
        <w:t xml:space="preserve"> written comments and information on specific topics provided by the participants.</w:t>
      </w:r>
    </w:p>
    <w:p w14:paraId="479626A2" w14:textId="22C3099D" w:rsidR="00786A3B" w:rsidRDefault="00786A3B" w:rsidP="00786A3B">
      <w:pPr>
        <w:pStyle w:val="SingleTxtG"/>
        <w:tabs>
          <w:tab w:val="left" w:pos="1701"/>
        </w:tabs>
        <w:ind w:right="521"/>
      </w:pPr>
      <w:r>
        <w:t>5.</w:t>
      </w:r>
      <w:r>
        <w:tab/>
        <w:t>The working draft (Version 5; 17 May 2022) that was considered by the working group during their virtual meeting on 9 June 2022 is provided in the Annex of this document.  Comments received from members during the June 2022 meeting have not yet been incorporated into this draft. New text relative to the 9</w:t>
      </w:r>
      <w:r w:rsidRPr="00977D6E">
        <w:rPr>
          <w:vertAlign w:val="superscript"/>
        </w:rPr>
        <w:t>th</w:t>
      </w:r>
      <w:r>
        <w:t xml:space="preserve"> </w:t>
      </w:r>
      <w:r w:rsidR="00F97C71">
        <w:t>r</w:t>
      </w:r>
      <w:r>
        <w:t xml:space="preserve">evised </w:t>
      </w:r>
      <w:r w:rsidR="00F97C71">
        <w:t>e</w:t>
      </w:r>
      <w:r>
        <w:t xml:space="preserve">dition of the GHS is shown in blue; text on which there is on-going discussions is shown in red; </w:t>
      </w:r>
      <w:r w:rsidRPr="00BD641A">
        <w:t>for clarity deleted text is not shown. This is</w:t>
      </w:r>
      <w:r>
        <w:t xml:space="preserve"> still a work in progress and the wording of some sections has not yet been finally discussed by the informal working group. This working draft is presented so the Sub-Committee can see what has been achieved so far, and steer the working group as it considers appropriate, </w:t>
      </w:r>
      <w:proofErr w:type="gramStart"/>
      <w:r>
        <w:t>in particular with</w:t>
      </w:r>
      <w:proofErr w:type="gramEnd"/>
      <w:r>
        <w:t xml:space="preserve"> a view to discussing whether and, if so, how the revised Chapter 3.4 should be processed further to achieve adoption by the </w:t>
      </w:r>
      <w:r w:rsidR="00BF7F4E">
        <w:br/>
      </w:r>
      <w:r>
        <w:t>Sub-Committee.</w:t>
      </w:r>
    </w:p>
    <w:p w14:paraId="6635ACDD" w14:textId="77777777" w:rsidR="00786A3B" w:rsidRDefault="00786A3B" w:rsidP="00786A3B">
      <w:pPr>
        <w:pStyle w:val="HChG"/>
        <w:ind w:right="521" w:firstLine="0"/>
        <w:rPr>
          <w:lang w:val="en-AU"/>
        </w:rPr>
      </w:pPr>
      <w:r>
        <w:rPr>
          <w:lang w:val="en-AU"/>
        </w:rPr>
        <w:t>On-going work</w:t>
      </w:r>
    </w:p>
    <w:p w14:paraId="343586DB" w14:textId="77777777" w:rsidR="00786A3B" w:rsidRDefault="00786A3B" w:rsidP="00786A3B">
      <w:pPr>
        <w:pStyle w:val="SingleTxtG"/>
        <w:tabs>
          <w:tab w:val="left" w:pos="1701"/>
        </w:tabs>
        <w:ind w:right="521"/>
      </w:pPr>
      <w:r>
        <w:t>6.</w:t>
      </w:r>
      <w:r>
        <w:tab/>
        <w:t xml:space="preserve">The informal working group will continue to work hard on resolving the outstanding issues and the revision of Chapter 3.4 during its next meeting on 6 July 2022 followed, if necessary, by further virtual meetings. There is tentative hope that it will be possible to finalise the revision of Chapter 3.4 in time for adoption by the Sub-Committee in the current biennium. </w:t>
      </w:r>
    </w:p>
    <w:p w14:paraId="048360F8" w14:textId="77777777" w:rsidR="00786A3B" w:rsidRDefault="00786A3B" w:rsidP="00786A3B">
      <w:pPr>
        <w:pStyle w:val="SingleTxtG"/>
        <w:tabs>
          <w:tab w:val="left" w:pos="1701"/>
        </w:tabs>
        <w:ind w:right="521"/>
      </w:pPr>
      <w:r>
        <w:t>7.</w:t>
      </w:r>
      <w:r>
        <w:tab/>
        <w:t>The Sub-Committee is invited to note the progress of the revision of Chapter 3.4 (as provided in the Annex of this document) and the issues outlined in this informal document</w:t>
      </w:r>
      <w:r w:rsidRPr="00014BD9">
        <w:t>.</w:t>
      </w:r>
    </w:p>
    <w:p w14:paraId="3F2BC2AA" w14:textId="23A0346C" w:rsidR="00530929" w:rsidRDefault="00530929">
      <w:pPr>
        <w:suppressAutoHyphens w:val="0"/>
        <w:spacing w:line="240" w:lineRule="auto"/>
      </w:pPr>
      <w:r>
        <w:br w:type="page"/>
      </w:r>
    </w:p>
    <w:p w14:paraId="20AF3EC9" w14:textId="77777777" w:rsidR="00F01F35" w:rsidRDefault="00F01F35" w:rsidP="000D5A91">
      <w:pPr>
        <w:pStyle w:val="HChG"/>
        <w:ind w:right="237"/>
      </w:pPr>
      <w:r w:rsidRPr="004768CC">
        <w:t>Annex</w:t>
      </w:r>
      <w:r>
        <w:t xml:space="preserve"> </w:t>
      </w:r>
    </w:p>
    <w:p w14:paraId="7E085F03" w14:textId="77777777" w:rsidR="00F01F35" w:rsidRPr="000834DC" w:rsidRDefault="00F01F35" w:rsidP="00F01F35">
      <w:pPr>
        <w:pStyle w:val="HChG"/>
        <w:ind w:right="237"/>
      </w:pPr>
      <w:r>
        <w:tab/>
      </w:r>
      <w:r>
        <w:tab/>
        <w:t>Working draft</w:t>
      </w:r>
      <w:r w:rsidRPr="000834DC">
        <w:t xml:space="preserve"> </w:t>
      </w:r>
      <w:r>
        <w:t xml:space="preserve">of Chapter 3.4 (Version 5; 17 May 2022) </w:t>
      </w:r>
    </w:p>
    <w:p w14:paraId="2231E68F" w14:textId="77777777" w:rsidR="00F01F35" w:rsidRPr="00727396" w:rsidRDefault="00F01F35" w:rsidP="00F01F35">
      <w:pPr>
        <w:ind w:left="1134"/>
        <w:jc w:val="both"/>
        <w:rPr>
          <w:lang w:eastAsia="fr-FR"/>
        </w:rPr>
      </w:pPr>
      <w:r w:rsidRPr="00727396">
        <w:rPr>
          <w:lang w:eastAsia="fr-FR"/>
        </w:rPr>
        <w:t>Black text is from the current Chapter 3.4 in the 9</w:t>
      </w:r>
      <w:r w:rsidRPr="00727396">
        <w:rPr>
          <w:vertAlign w:val="superscript"/>
          <w:lang w:eastAsia="fr-FR"/>
        </w:rPr>
        <w:t>th</w:t>
      </w:r>
      <w:r w:rsidRPr="00727396">
        <w:rPr>
          <w:lang w:eastAsia="fr-FR"/>
        </w:rPr>
        <w:t xml:space="preserve"> Revision of the GHS.</w:t>
      </w:r>
    </w:p>
    <w:p w14:paraId="6F66C826" w14:textId="77777777" w:rsidR="00F01F35" w:rsidRPr="00727396" w:rsidRDefault="00F01F35" w:rsidP="00F01F35">
      <w:pPr>
        <w:ind w:left="1134"/>
        <w:jc w:val="both"/>
        <w:rPr>
          <w:color w:val="1F497D" w:themeColor="text2"/>
          <w:lang w:eastAsia="fr-FR"/>
        </w:rPr>
      </w:pPr>
      <w:r w:rsidRPr="00727396">
        <w:rPr>
          <w:color w:val="1F497D" w:themeColor="text2"/>
          <w:lang w:eastAsia="fr-FR"/>
        </w:rPr>
        <w:t>Blue text is new in this draft chapter, as agreed by the working group.</w:t>
      </w:r>
    </w:p>
    <w:p w14:paraId="55194F97" w14:textId="77777777" w:rsidR="00F01F35" w:rsidRPr="00727396" w:rsidRDefault="00F01F35" w:rsidP="00F01F35">
      <w:pPr>
        <w:ind w:left="1134"/>
        <w:jc w:val="both"/>
        <w:rPr>
          <w:color w:val="FF0000"/>
          <w:lang w:eastAsia="fr-FR"/>
        </w:rPr>
      </w:pPr>
      <w:r w:rsidRPr="00727396">
        <w:rPr>
          <w:color w:val="FF0000"/>
          <w:lang w:eastAsia="fr-FR"/>
        </w:rPr>
        <w:t>Red text requires further discussion.</w:t>
      </w:r>
    </w:p>
    <w:p w14:paraId="470F4260" w14:textId="77777777" w:rsidR="00F01F35" w:rsidRPr="005E7A9F" w:rsidRDefault="00F01F35" w:rsidP="00F01F35">
      <w:pPr>
        <w:ind w:left="1134"/>
        <w:rPr>
          <w:color w:val="FF0000"/>
          <w:lang w:eastAsia="zh-CN"/>
        </w:rPr>
      </w:pPr>
      <w:r w:rsidRPr="00727396">
        <w:rPr>
          <w:color w:val="FF0000"/>
          <w:lang w:eastAsia="zh-CN"/>
        </w:rPr>
        <w:t>Deleted text from previous versions of the draft chapter 3.4 are</w:t>
      </w:r>
      <w:r w:rsidRPr="005E7A9F">
        <w:rPr>
          <w:color w:val="FF0000"/>
          <w:lang w:eastAsia="zh-CN"/>
        </w:rPr>
        <w:t xml:space="preserve"> shown in red with strike through</w:t>
      </w:r>
      <w:r>
        <w:rPr>
          <w:color w:val="FF0000"/>
          <w:lang w:eastAsia="zh-CN"/>
        </w:rPr>
        <w:t>.</w:t>
      </w:r>
      <w:r w:rsidRPr="005E7A9F">
        <w:rPr>
          <w:color w:val="FF0000"/>
          <w:lang w:eastAsia="zh-CN"/>
        </w:rPr>
        <w:t xml:space="preserve"> </w:t>
      </w:r>
    </w:p>
    <w:p w14:paraId="2F7233A5" w14:textId="77777777" w:rsidR="00F01F35" w:rsidRPr="00727396" w:rsidRDefault="00F01F35" w:rsidP="00F01F35">
      <w:pPr>
        <w:ind w:left="1134"/>
        <w:rPr>
          <w:lang w:eastAsia="zh-CN"/>
        </w:rPr>
      </w:pPr>
      <w:r w:rsidRPr="005E7A9F">
        <w:rPr>
          <w:lang w:eastAsia="zh-CN"/>
        </w:rPr>
        <w:t>Deleted original text is shown in black with strike-through</w:t>
      </w:r>
      <w:r>
        <w:rPr>
          <w:lang w:eastAsia="zh-CN"/>
        </w:rPr>
        <w:t>.</w:t>
      </w:r>
      <w:r w:rsidRPr="00727396">
        <w:rPr>
          <w:lang w:eastAsia="zh-CN"/>
        </w:rPr>
        <w:t xml:space="preserve"> </w:t>
      </w:r>
    </w:p>
    <w:p w14:paraId="4B340174" w14:textId="77777777" w:rsidR="00F01F35" w:rsidRDefault="00F01F35" w:rsidP="00F01F35">
      <w:pPr>
        <w:jc w:val="both"/>
        <w:rPr>
          <w:color w:val="FF0000"/>
          <w:sz w:val="16"/>
          <w:szCs w:val="16"/>
          <w:lang w:eastAsia="fr-FR"/>
        </w:rPr>
      </w:pPr>
    </w:p>
    <w:p w14:paraId="2528A80B" w14:textId="77777777" w:rsidR="00F01F35" w:rsidRPr="009B16C7" w:rsidRDefault="00F01F35" w:rsidP="00F01F35">
      <w:pPr>
        <w:pStyle w:val="Heading2"/>
        <w:jc w:val="center"/>
        <w:rPr>
          <w:b/>
          <w:bCs/>
        </w:rPr>
      </w:pPr>
      <w:r>
        <w:rPr>
          <w:b/>
          <w:bCs/>
        </w:rPr>
        <w:t>“</w:t>
      </w:r>
      <w:r w:rsidRPr="009B16C7">
        <w:rPr>
          <w:b/>
          <w:bCs/>
        </w:rPr>
        <w:t>CHAPTER 3.</w:t>
      </w:r>
      <w:r>
        <w:rPr>
          <w:b/>
          <w:bCs/>
        </w:rPr>
        <w:t>4</w:t>
      </w:r>
    </w:p>
    <w:p w14:paraId="23C36CDD" w14:textId="77777777" w:rsidR="00F01F35" w:rsidRPr="000A3D5F" w:rsidRDefault="00F01F35" w:rsidP="00F01F35">
      <w:pPr>
        <w:pStyle w:val="HChG"/>
        <w:tabs>
          <w:tab w:val="clear" w:pos="851"/>
        </w:tabs>
        <w:spacing w:before="0" w:after="0" w:line="240" w:lineRule="auto"/>
        <w:ind w:left="0" w:right="0" w:firstLine="0"/>
        <w:jc w:val="center"/>
        <w:rPr>
          <w:sz w:val="20"/>
          <w:vertAlign w:val="superscript"/>
        </w:rPr>
      </w:pPr>
      <w:r w:rsidRPr="000A3D5F">
        <w:rPr>
          <w:sz w:val="20"/>
        </w:rPr>
        <w:t>RESPIRATORY OR SKIN SENSITIZATION</w:t>
      </w:r>
    </w:p>
    <w:p w14:paraId="1B341CF9" w14:textId="77777777" w:rsidR="00F01F35" w:rsidRDefault="00F01F35" w:rsidP="00F01F35">
      <w:pPr>
        <w:pStyle w:val="SingleTxtG"/>
        <w:tabs>
          <w:tab w:val="left" w:pos="1701"/>
        </w:tabs>
        <w:ind w:right="237"/>
      </w:pPr>
    </w:p>
    <w:p w14:paraId="39484942" w14:textId="77777777" w:rsidR="00F01F35" w:rsidRPr="00D53BB6" w:rsidRDefault="00F01F35" w:rsidP="00F01F35">
      <w:pPr>
        <w:pStyle w:val="GHSHeading3"/>
        <w:tabs>
          <w:tab w:val="clear" w:pos="1418"/>
        </w:tabs>
        <w:spacing w:before="480" w:after="240"/>
        <w:ind w:left="1418" w:hanging="1418"/>
        <w:rPr>
          <w:sz w:val="20"/>
          <w:szCs w:val="20"/>
        </w:rPr>
      </w:pPr>
      <w:r w:rsidRPr="00D53BB6">
        <w:rPr>
          <w:sz w:val="20"/>
          <w:szCs w:val="20"/>
        </w:rPr>
        <w:t>3.4.1</w:t>
      </w:r>
      <w:r w:rsidRPr="00D53BB6">
        <w:rPr>
          <w:sz w:val="20"/>
          <w:szCs w:val="20"/>
        </w:rPr>
        <w:tab/>
        <w:t>Definitions and general considerations</w:t>
      </w:r>
    </w:p>
    <w:p w14:paraId="252F49C9" w14:textId="77777777" w:rsidR="00F01F35" w:rsidRPr="00D53BB6" w:rsidRDefault="00F01F35" w:rsidP="00F01F35">
      <w:pPr>
        <w:keepNext/>
        <w:keepLines/>
        <w:tabs>
          <w:tab w:val="left" w:pos="1418"/>
        </w:tabs>
        <w:spacing w:after="240"/>
      </w:pPr>
      <w:r w:rsidRPr="00D53BB6">
        <w:t>3.4.1.1</w:t>
      </w:r>
      <w:r w:rsidRPr="00D53BB6">
        <w:tab/>
      </w:r>
      <w:r w:rsidRPr="00D53BB6">
        <w:rPr>
          <w:i/>
        </w:rPr>
        <w:t>Respiratory sensitization</w:t>
      </w:r>
      <w:r w:rsidRPr="00D53BB6">
        <w:t xml:space="preserve"> refers to hypersensitivity of the airways occurring after inhalation of a substance or a mixture.</w:t>
      </w:r>
    </w:p>
    <w:p w14:paraId="222E7193" w14:textId="77777777" w:rsidR="00F01F35" w:rsidRPr="00D53BB6" w:rsidRDefault="00F01F35" w:rsidP="00F01F35">
      <w:pPr>
        <w:pStyle w:val="GHS1stline"/>
      </w:pPr>
      <w:r w:rsidRPr="00D53BB6">
        <w:rPr>
          <w:i/>
        </w:rPr>
        <w:t>Skin sensitization</w:t>
      </w:r>
      <w:r w:rsidRPr="00D53BB6">
        <w:t xml:space="preserve"> refers to an allergic response occurring after skin contact with a substance or a mixture.</w:t>
      </w:r>
    </w:p>
    <w:p w14:paraId="6AC7C7CD" w14:textId="77777777" w:rsidR="00F01F35" w:rsidRPr="00D53BB6" w:rsidRDefault="00F01F35" w:rsidP="00F01F35">
      <w:pPr>
        <w:keepNext/>
        <w:keepLines/>
        <w:tabs>
          <w:tab w:val="left" w:pos="1418"/>
        </w:tabs>
        <w:spacing w:after="240"/>
        <w:jc w:val="both"/>
      </w:pPr>
      <w:r w:rsidRPr="00D53BB6">
        <w:t>3.4.1.2</w:t>
      </w:r>
      <w:r w:rsidRPr="00D53BB6">
        <w:tab/>
        <w:t xml:space="preserve">For the purpose of this chapter, sensitization includes two phases: the first phase is induction of specialized immunological memory in an individual by exposure to an allergen. The second phase is elicitation, </w:t>
      </w:r>
      <w:proofErr w:type="gramStart"/>
      <w:r w:rsidRPr="00D53BB6">
        <w:t>i.e.</w:t>
      </w:r>
      <w:proofErr w:type="gramEnd"/>
      <w:r w:rsidRPr="00D53BB6">
        <w:t xml:space="preserve"> production of a cell-mediated or antibody-mediated allergic response by exposure of a sensitized individual to an allergen. </w:t>
      </w:r>
    </w:p>
    <w:p w14:paraId="0D48F48B" w14:textId="77777777" w:rsidR="00F01F35" w:rsidRPr="00D53BB6" w:rsidRDefault="00F01F35" w:rsidP="00F01F35">
      <w:pPr>
        <w:pStyle w:val="GHSBodyText"/>
        <w:rPr>
          <w:sz w:val="20"/>
        </w:rPr>
      </w:pPr>
      <w:r w:rsidRPr="00D53BB6">
        <w:rPr>
          <w:sz w:val="20"/>
        </w:rPr>
        <w:t>3.4.1.3</w:t>
      </w:r>
      <w:r w:rsidRPr="00D53BB6">
        <w:rPr>
          <w:sz w:val="20"/>
        </w:rPr>
        <w:tab/>
        <w:t xml:space="preserve">For respiratory sensitization, the pattern of induction followed by elicitation phases is </w:t>
      </w:r>
      <w:proofErr w:type="gramStart"/>
      <w:r w:rsidRPr="00D53BB6">
        <w:rPr>
          <w:sz w:val="20"/>
        </w:rPr>
        <w:t>shared in common</w:t>
      </w:r>
      <w:proofErr w:type="gramEnd"/>
      <w:r w:rsidRPr="00D53BB6">
        <w:rPr>
          <w:sz w:val="20"/>
        </w:rPr>
        <w:t xml:space="preserve"> with skin sensitization. For skin sensitization, an induction phase is required in which the immune system learns to react; clinical symptoms can then arise when subsequent exposure is sufficient to elicit a visible skin reaction (elicitation phase). </w:t>
      </w:r>
      <w:proofErr w:type="gramStart"/>
      <w:r w:rsidRPr="00D53BB6">
        <w:rPr>
          <w:sz w:val="20"/>
        </w:rPr>
        <w:t>As a consequence</w:t>
      </w:r>
      <w:proofErr w:type="gramEnd"/>
      <w:r w:rsidRPr="00D53BB6">
        <w:rPr>
          <w:sz w:val="20"/>
        </w:rPr>
        <w:t xml:space="preserve">, predictive tests usually follow this pattern in which there is an induction phase, the response to which is measured by a standardized elicitation phase, typically involving a patch test. The local lymph node assay is the exception, directly measuring the induction response. Evidence of skin sensitization in humans normally is assessed by a diagnostic patch test. </w:t>
      </w:r>
    </w:p>
    <w:p w14:paraId="42DA2FB8" w14:textId="77777777" w:rsidR="00F01F35" w:rsidRPr="00D53BB6" w:rsidRDefault="00F01F35" w:rsidP="00F01F35">
      <w:pPr>
        <w:pStyle w:val="GHSBodyText"/>
        <w:rPr>
          <w:sz w:val="20"/>
        </w:rPr>
      </w:pPr>
      <w:r w:rsidRPr="00D53BB6">
        <w:rPr>
          <w:sz w:val="20"/>
        </w:rPr>
        <w:t>3.4.1.4</w:t>
      </w:r>
      <w:r w:rsidRPr="00D53BB6">
        <w:rPr>
          <w:sz w:val="20"/>
        </w:rPr>
        <w:tab/>
        <w:t>Usually, for both skin and respiratory sensitization, lower levels are necessary for elicitation than are required for induction. Provisions for alerting sensitized individuals to the presence of a particular sensitizer in a mixture can be found in 3.4.4.2.</w:t>
      </w:r>
    </w:p>
    <w:p w14:paraId="47657AAA" w14:textId="77777777" w:rsidR="00F01F35" w:rsidRPr="00D53BB6" w:rsidRDefault="00F01F35" w:rsidP="00F01F35">
      <w:pPr>
        <w:pStyle w:val="GHSBodyText"/>
        <w:rPr>
          <w:sz w:val="20"/>
        </w:rPr>
      </w:pPr>
      <w:r w:rsidRPr="00D53BB6">
        <w:rPr>
          <w:sz w:val="20"/>
        </w:rPr>
        <w:t>3.4.1.5</w:t>
      </w:r>
      <w:r w:rsidRPr="00D53BB6">
        <w:rPr>
          <w:sz w:val="20"/>
        </w:rPr>
        <w:tab/>
        <w:t>The hazard class “respiratory or skin sensitization” is differentiated into:</w:t>
      </w:r>
    </w:p>
    <w:p w14:paraId="1B1F96EA" w14:textId="77777777" w:rsidR="00F01F35" w:rsidRPr="00D53BB6" w:rsidRDefault="00F01F35" w:rsidP="00F01F35">
      <w:pPr>
        <w:pStyle w:val="GHSSubparas1"/>
        <w:rPr>
          <w:szCs w:val="20"/>
        </w:rPr>
      </w:pPr>
      <w:r w:rsidRPr="00D53BB6">
        <w:rPr>
          <w:szCs w:val="20"/>
        </w:rPr>
        <w:t>(a)</w:t>
      </w:r>
      <w:r w:rsidRPr="00D53BB6">
        <w:rPr>
          <w:szCs w:val="20"/>
        </w:rPr>
        <w:tab/>
        <w:t>Respiratory sensitization; and</w:t>
      </w:r>
    </w:p>
    <w:p w14:paraId="25ED499B" w14:textId="77777777" w:rsidR="00F01F35" w:rsidRPr="00D53BB6" w:rsidRDefault="00F01F35" w:rsidP="00F01F35">
      <w:pPr>
        <w:pStyle w:val="GHSSubparas1"/>
        <w:rPr>
          <w:szCs w:val="20"/>
        </w:rPr>
      </w:pPr>
      <w:r w:rsidRPr="00D53BB6">
        <w:rPr>
          <w:szCs w:val="20"/>
        </w:rPr>
        <w:t>(b)</w:t>
      </w:r>
      <w:r w:rsidRPr="00D53BB6">
        <w:rPr>
          <w:szCs w:val="20"/>
        </w:rPr>
        <w:tab/>
        <w:t>Skin sensitization</w:t>
      </w:r>
    </w:p>
    <w:p w14:paraId="1B2D746F" w14:textId="77777777" w:rsidR="00F01F35" w:rsidRPr="00D53BB6" w:rsidRDefault="00F01F35" w:rsidP="00F01F35">
      <w:pPr>
        <w:pStyle w:val="GHSHeading3"/>
        <w:tabs>
          <w:tab w:val="clear" w:pos="1418"/>
        </w:tabs>
        <w:spacing w:after="240"/>
        <w:ind w:left="1418" w:hanging="1418"/>
        <w:rPr>
          <w:sz w:val="20"/>
          <w:szCs w:val="20"/>
        </w:rPr>
      </w:pPr>
      <w:r w:rsidRPr="00D53BB6">
        <w:rPr>
          <w:sz w:val="20"/>
          <w:szCs w:val="20"/>
        </w:rPr>
        <w:t>3.4.2</w:t>
      </w:r>
      <w:r w:rsidRPr="00D53BB6">
        <w:rPr>
          <w:sz w:val="20"/>
          <w:szCs w:val="20"/>
        </w:rPr>
        <w:tab/>
        <w:t>Classification criteria for substances</w:t>
      </w:r>
    </w:p>
    <w:p w14:paraId="39D897D9" w14:textId="77777777" w:rsidR="00F01F35" w:rsidRPr="00D53BB6" w:rsidRDefault="00F01F35" w:rsidP="00F01F35">
      <w:pPr>
        <w:pStyle w:val="StyleGHSHeading410pt"/>
        <w:rPr>
          <w:szCs w:val="20"/>
        </w:rPr>
      </w:pPr>
      <w:r w:rsidRPr="00D53BB6">
        <w:rPr>
          <w:szCs w:val="20"/>
        </w:rPr>
        <w:t>3.4.2.1</w:t>
      </w:r>
      <w:r w:rsidRPr="00D53BB6">
        <w:rPr>
          <w:szCs w:val="20"/>
        </w:rPr>
        <w:tab/>
      </w:r>
      <w:r w:rsidRPr="00D53BB6">
        <w:rPr>
          <w:i/>
          <w:szCs w:val="20"/>
        </w:rPr>
        <w:t>Respiratory sensitizers</w:t>
      </w:r>
    </w:p>
    <w:p w14:paraId="45462B49" w14:textId="77777777" w:rsidR="00F01F35" w:rsidRPr="00D53BB6" w:rsidRDefault="00F01F35" w:rsidP="00F01F35">
      <w:pPr>
        <w:pStyle w:val="GHSHeading5"/>
        <w:tabs>
          <w:tab w:val="clear" w:pos="1985"/>
          <w:tab w:val="clear" w:pos="2552"/>
          <w:tab w:val="clear" w:pos="3119"/>
          <w:tab w:val="clear" w:pos="3686"/>
        </w:tabs>
        <w:spacing w:after="240"/>
        <w:rPr>
          <w:color w:val="FF0000"/>
          <w:sz w:val="20"/>
          <w:szCs w:val="20"/>
        </w:rPr>
      </w:pPr>
      <w:r w:rsidRPr="00D53BB6">
        <w:rPr>
          <w:color w:val="FF0000"/>
          <w:sz w:val="20"/>
          <w:szCs w:val="20"/>
        </w:rPr>
        <w:t>For clarity these paragraphs are removed but remain unchanged.</w:t>
      </w:r>
    </w:p>
    <w:p w14:paraId="2FF765FD" w14:textId="77777777" w:rsidR="00F01F35" w:rsidRPr="00D53BB6" w:rsidRDefault="00F01F35" w:rsidP="00F01F35">
      <w:pPr>
        <w:pStyle w:val="StyleGHSHeading410pt"/>
        <w:rPr>
          <w:szCs w:val="20"/>
        </w:rPr>
      </w:pPr>
      <w:r w:rsidRPr="00D53BB6">
        <w:rPr>
          <w:szCs w:val="20"/>
        </w:rPr>
        <w:t>3.4.2.2</w:t>
      </w:r>
      <w:r w:rsidRPr="00D53BB6">
        <w:rPr>
          <w:szCs w:val="20"/>
        </w:rPr>
        <w:tab/>
      </w:r>
      <w:r w:rsidRPr="00D53BB6">
        <w:rPr>
          <w:i/>
          <w:iCs/>
          <w:szCs w:val="20"/>
        </w:rPr>
        <w:t>Skin sensitizers</w:t>
      </w:r>
    </w:p>
    <w:p w14:paraId="411065EA" w14:textId="77777777" w:rsidR="00F01F35" w:rsidRPr="00D53BB6" w:rsidRDefault="00F01F35" w:rsidP="00F01F35">
      <w:pPr>
        <w:pStyle w:val="GHSHeading5"/>
        <w:widowControl/>
        <w:tabs>
          <w:tab w:val="clear" w:pos="1985"/>
          <w:tab w:val="clear" w:pos="2552"/>
          <w:tab w:val="clear" w:pos="3119"/>
          <w:tab w:val="clear" w:pos="3686"/>
        </w:tabs>
        <w:spacing w:after="240"/>
        <w:rPr>
          <w:sz w:val="20"/>
          <w:szCs w:val="20"/>
        </w:rPr>
      </w:pPr>
      <w:r w:rsidRPr="00D53BB6">
        <w:rPr>
          <w:sz w:val="20"/>
          <w:szCs w:val="20"/>
        </w:rPr>
        <w:t>3.4.2.2.1</w:t>
      </w:r>
      <w:r w:rsidRPr="00D53BB6">
        <w:rPr>
          <w:sz w:val="20"/>
          <w:szCs w:val="20"/>
        </w:rPr>
        <w:tab/>
      </w:r>
      <w:r w:rsidRPr="00D53BB6">
        <w:rPr>
          <w:i/>
          <w:iCs/>
          <w:sz w:val="20"/>
          <w:szCs w:val="20"/>
        </w:rPr>
        <w:t>Hazard categories</w:t>
      </w:r>
    </w:p>
    <w:p w14:paraId="2D229508" w14:textId="77777777" w:rsidR="00F01F35" w:rsidRPr="00D53BB6" w:rsidRDefault="00F01F35" w:rsidP="00F01F35">
      <w:pPr>
        <w:pStyle w:val="GHStext"/>
        <w:rPr>
          <w:szCs w:val="20"/>
          <w:lang w:val="en-GB"/>
        </w:rPr>
      </w:pPr>
      <w:r w:rsidRPr="00D53BB6">
        <w:rPr>
          <w:szCs w:val="20"/>
          <w:lang w:val="en-GB"/>
        </w:rPr>
        <w:t>3.4.2.2.1.1</w:t>
      </w:r>
      <w:r w:rsidRPr="00D53BB6">
        <w:rPr>
          <w:szCs w:val="20"/>
          <w:lang w:val="en-GB"/>
        </w:rPr>
        <w:tab/>
        <w:t xml:space="preserve">Skin sensitizers shall be classified in Category 1 where sub-categorization is not required by a competent authority or where data are not sufficient for sub-categorization. </w:t>
      </w:r>
    </w:p>
    <w:p w14:paraId="22BC1146" w14:textId="77777777" w:rsidR="00F01F35" w:rsidRDefault="00F01F35" w:rsidP="00F01F35">
      <w:pPr>
        <w:pStyle w:val="GHStext"/>
        <w:rPr>
          <w:lang w:val="en-GB"/>
        </w:rPr>
      </w:pPr>
      <w:r w:rsidRPr="00402D4B">
        <w:rPr>
          <w:lang w:val="en-GB"/>
        </w:rPr>
        <w:t>3.4.2.2.1.2</w:t>
      </w:r>
      <w:r w:rsidRPr="00402D4B">
        <w:rPr>
          <w:lang w:val="en-GB"/>
        </w:rPr>
        <w:tab/>
        <w:t>Where data are sufficient and where required by a competent authority, a refined evaluation according to 3.4.2.2.1.</w:t>
      </w:r>
      <w:r w:rsidRPr="007B42B8">
        <w:rPr>
          <w:color w:val="FF0000"/>
          <w:lang w:val="en-GB"/>
        </w:rPr>
        <w:t>5</w:t>
      </w:r>
      <w:r w:rsidRPr="00402D4B">
        <w:rPr>
          <w:lang w:val="en-GB"/>
        </w:rPr>
        <w:t xml:space="preserve"> allows the allocation of skin sensitizers into sub-category 1A, strong sensitizers, or sub-category 1B for other skin sensitizers.</w:t>
      </w:r>
    </w:p>
    <w:p w14:paraId="23EF7B34" w14:textId="77777777" w:rsidR="00F01F35" w:rsidRPr="002233B3" w:rsidRDefault="00F01F35" w:rsidP="00F01F35">
      <w:pPr>
        <w:pStyle w:val="GHStext"/>
        <w:rPr>
          <w:color w:val="4F81BD" w:themeColor="accent1"/>
          <w:lang w:val="en-GB"/>
        </w:rPr>
      </w:pPr>
      <w:r w:rsidRPr="002233B3">
        <w:rPr>
          <w:color w:val="4F81BD" w:themeColor="accent1"/>
          <w:lang w:val="en-GB"/>
        </w:rPr>
        <w:t xml:space="preserve">3.4.2.2.1.3 </w:t>
      </w:r>
      <w:r w:rsidRPr="002233B3">
        <w:rPr>
          <w:color w:val="4F81BD" w:themeColor="accent1"/>
          <w:lang w:val="en-GB"/>
        </w:rPr>
        <w:tab/>
        <w:t xml:space="preserve">For classification of skin sensitisers, all available and relevant information is collected and its quality in terms of adequacy and reliability is assessed. Classification should be based on data/results generated using methods and/or defined approaches that are validated according to international procedures. These include both OECD Guidelines and </w:t>
      </w:r>
      <w:r w:rsidRPr="00C26E18">
        <w:rPr>
          <w:color w:val="FF0000"/>
          <w:lang w:val="en-GB"/>
        </w:rPr>
        <w:t>equivalent</w:t>
      </w:r>
      <w:r w:rsidRPr="002233B3">
        <w:rPr>
          <w:color w:val="4F81BD" w:themeColor="accent1"/>
          <w:lang w:val="en-GB"/>
        </w:rPr>
        <w:t xml:space="preserve"> methods/defined approaches (see 1.3.2.4.3). Sections 3.4.2.2.2 to 3.4.2.2.6 provide classification criteria for the different types of information that may be available.</w:t>
      </w:r>
    </w:p>
    <w:p w14:paraId="35564C63" w14:textId="77777777" w:rsidR="00F01F35" w:rsidRPr="002233B3" w:rsidRDefault="00F01F35" w:rsidP="00F01F35">
      <w:pPr>
        <w:pStyle w:val="GHStext"/>
        <w:rPr>
          <w:color w:val="4F81BD" w:themeColor="accent1"/>
          <w:lang w:val="en-GB"/>
        </w:rPr>
      </w:pPr>
      <w:r w:rsidRPr="002233B3">
        <w:rPr>
          <w:color w:val="4F81BD" w:themeColor="accent1"/>
          <w:lang w:val="en-GB"/>
        </w:rPr>
        <w:t xml:space="preserve">3.4.2.2.1.4 </w:t>
      </w:r>
      <w:r w:rsidRPr="002233B3">
        <w:rPr>
          <w:color w:val="4F81BD" w:themeColor="accent1"/>
          <w:lang w:val="en-GB"/>
        </w:rPr>
        <w:tab/>
        <w:t xml:space="preserve">A tiered approach (see 3.4.2.2.7) organizes the available information on skin sensitisation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is made </w:t>
      </w:r>
      <w:proofErr w:type="gramStart"/>
      <w:r w:rsidRPr="002233B3">
        <w:rPr>
          <w:color w:val="4F81BD" w:themeColor="accent1"/>
          <w:lang w:val="en-GB"/>
        </w:rPr>
        <w:t>on the basis of</w:t>
      </w:r>
      <w:proofErr w:type="gramEnd"/>
      <w:r w:rsidRPr="002233B3">
        <w:rPr>
          <w:color w:val="4F81BD" w:themeColor="accent1"/>
          <w:lang w:val="en-GB"/>
        </w:rPr>
        <w:t xml:space="preserve"> weight-of-evidence within that tier. In some cases where information from different tiers gives inconsistent and/or conflicting results (see 3.4.2.2.7.7) or where data are insufficient to conclude on the classification, an overall weight of evidence assessment is used (see 3.4.2.2.7.6).  </w:t>
      </w:r>
    </w:p>
    <w:p w14:paraId="4ABD4B47" w14:textId="77777777" w:rsidR="00F01F35" w:rsidRPr="00781D8D" w:rsidRDefault="00F01F35" w:rsidP="00F01F35">
      <w:pPr>
        <w:pStyle w:val="GHStext"/>
        <w:rPr>
          <w:color w:val="4F81BD" w:themeColor="accent1"/>
        </w:rPr>
      </w:pPr>
      <w:r w:rsidRPr="00781D8D">
        <w:rPr>
          <w:color w:val="4F81BD" w:themeColor="accent1"/>
        </w:rPr>
        <w:t xml:space="preserve">3.4.2.2.1.5 </w:t>
      </w:r>
      <w:r w:rsidRPr="00781D8D">
        <w:rPr>
          <w:color w:val="4F81BD" w:themeColor="accent1"/>
        </w:rPr>
        <w:tab/>
      </w:r>
      <w:proofErr w:type="spellStart"/>
      <w:r w:rsidRPr="00781D8D">
        <w:rPr>
          <w:color w:val="4F81BD" w:themeColor="accent1"/>
        </w:rPr>
        <w:t>Guidance</w:t>
      </w:r>
      <w:proofErr w:type="spellEnd"/>
      <w:r w:rsidRPr="00781D8D">
        <w:rPr>
          <w:color w:val="4F81BD" w:themeColor="accent1"/>
        </w:rPr>
        <w:t xml:space="preserve"> </w:t>
      </w:r>
      <w:proofErr w:type="spellStart"/>
      <w:r w:rsidRPr="00781D8D">
        <w:rPr>
          <w:color w:val="4F81BD" w:themeColor="accent1"/>
        </w:rPr>
        <w:t>on</w:t>
      </w:r>
      <w:proofErr w:type="spellEnd"/>
      <w:r w:rsidRPr="00781D8D">
        <w:rPr>
          <w:color w:val="4F81BD" w:themeColor="accent1"/>
        </w:rPr>
        <w:t xml:space="preserve"> </w:t>
      </w:r>
      <w:proofErr w:type="spellStart"/>
      <w:r w:rsidRPr="00781D8D">
        <w:rPr>
          <w:color w:val="4F81BD" w:themeColor="accent1"/>
        </w:rPr>
        <w:t>the</w:t>
      </w:r>
      <w:proofErr w:type="spellEnd"/>
      <w:r w:rsidRPr="00781D8D">
        <w:rPr>
          <w:color w:val="4F81BD" w:themeColor="accent1"/>
        </w:rPr>
        <w:t xml:space="preserve"> </w:t>
      </w:r>
      <w:proofErr w:type="spellStart"/>
      <w:r w:rsidRPr="00781D8D">
        <w:rPr>
          <w:color w:val="4F81BD" w:themeColor="accent1"/>
        </w:rPr>
        <w:t>interpretation</w:t>
      </w:r>
      <w:proofErr w:type="spellEnd"/>
      <w:r w:rsidRPr="00781D8D">
        <w:rPr>
          <w:color w:val="4F81BD" w:themeColor="accent1"/>
        </w:rPr>
        <w:t xml:space="preserve"> </w:t>
      </w:r>
      <w:proofErr w:type="spellStart"/>
      <w:r w:rsidRPr="00781D8D">
        <w:rPr>
          <w:color w:val="4F81BD" w:themeColor="accent1"/>
        </w:rPr>
        <w:t>of</w:t>
      </w:r>
      <w:proofErr w:type="spellEnd"/>
      <w:r w:rsidRPr="00781D8D">
        <w:rPr>
          <w:color w:val="4F81BD" w:themeColor="accent1"/>
        </w:rPr>
        <w:t xml:space="preserve"> </w:t>
      </w:r>
      <w:proofErr w:type="spellStart"/>
      <w:r w:rsidRPr="00781D8D">
        <w:rPr>
          <w:color w:val="4F81BD" w:themeColor="accent1"/>
        </w:rPr>
        <w:t>criteria</w:t>
      </w:r>
      <w:proofErr w:type="spellEnd"/>
      <w:r w:rsidRPr="00781D8D">
        <w:rPr>
          <w:color w:val="4F81BD" w:themeColor="accent1"/>
        </w:rPr>
        <w:t xml:space="preserve"> and </w:t>
      </w:r>
      <w:proofErr w:type="spellStart"/>
      <w:r w:rsidRPr="00781D8D">
        <w:rPr>
          <w:color w:val="4F81BD" w:themeColor="accent1"/>
        </w:rPr>
        <w:t>references</w:t>
      </w:r>
      <w:proofErr w:type="spellEnd"/>
      <w:r w:rsidRPr="00781D8D">
        <w:rPr>
          <w:color w:val="4F81BD" w:themeColor="accent1"/>
        </w:rPr>
        <w:t xml:space="preserve"> </w:t>
      </w:r>
      <w:proofErr w:type="spellStart"/>
      <w:r w:rsidRPr="00781D8D">
        <w:rPr>
          <w:color w:val="4F81BD" w:themeColor="accent1"/>
        </w:rPr>
        <w:t>to</w:t>
      </w:r>
      <w:proofErr w:type="spellEnd"/>
      <w:r w:rsidRPr="00781D8D">
        <w:rPr>
          <w:color w:val="4F81BD" w:themeColor="accent1"/>
        </w:rPr>
        <w:t xml:space="preserve"> </w:t>
      </w:r>
      <w:proofErr w:type="spellStart"/>
      <w:r w:rsidRPr="00781D8D">
        <w:rPr>
          <w:color w:val="4F81BD" w:themeColor="accent1"/>
        </w:rPr>
        <w:t>relevant</w:t>
      </w:r>
      <w:proofErr w:type="spellEnd"/>
      <w:r w:rsidRPr="00781D8D">
        <w:rPr>
          <w:color w:val="4F81BD" w:themeColor="accent1"/>
        </w:rPr>
        <w:t xml:space="preserve"> </w:t>
      </w:r>
      <w:proofErr w:type="spellStart"/>
      <w:r w:rsidRPr="00781D8D">
        <w:rPr>
          <w:color w:val="4F81BD" w:themeColor="accent1"/>
        </w:rPr>
        <w:t>guidance</w:t>
      </w:r>
      <w:proofErr w:type="spellEnd"/>
      <w:r w:rsidRPr="00781D8D">
        <w:rPr>
          <w:color w:val="4F81BD" w:themeColor="accent1"/>
        </w:rPr>
        <w:t xml:space="preserve"> </w:t>
      </w:r>
      <w:proofErr w:type="spellStart"/>
      <w:r w:rsidRPr="00781D8D">
        <w:rPr>
          <w:color w:val="4F81BD" w:themeColor="accent1"/>
        </w:rPr>
        <w:t>documents</w:t>
      </w:r>
      <w:proofErr w:type="spellEnd"/>
      <w:r w:rsidRPr="00781D8D">
        <w:rPr>
          <w:color w:val="4F81BD" w:themeColor="accent1"/>
        </w:rPr>
        <w:t xml:space="preserve"> are </w:t>
      </w:r>
      <w:proofErr w:type="spellStart"/>
      <w:r w:rsidRPr="00781D8D">
        <w:rPr>
          <w:color w:val="4F81BD" w:themeColor="accent1"/>
        </w:rPr>
        <w:t>provided</w:t>
      </w:r>
      <w:proofErr w:type="spellEnd"/>
      <w:r w:rsidRPr="00781D8D">
        <w:rPr>
          <w:color w:val="4F81BD" w:themeColor="accent1"/>
        </w:rPr>
        <w:t xml:space="preserve"> in 3.4.5.3.</w:t>
      </w:r>
    </w:p>
    <w:p w14:paraId="5AFDD069" w14:textId="77777777" w:rsidR="00F01F35" w:rsidRPr="000708E8" w:rsidRDefault="00F01F35" w:rsidP="00F01F35">
      <w:pPr>
        <w:keepNext/>
        <w:keepLines/>
        <w:spacing w:before="240" w:after="200"/>
        <w:ind w:left="1418" w:hanging="1418"/>
        <w:rPr>
          <w:i/>
          <w:color w:val="FF0000"/>
        </w:rPr>
      </w:pPr>
      <w:r w:rsidRPr="00402D4B">
        <w:t>3.4.2.2.2</w:t>
      </w:r>
      <w:r w:rsidRPr="00402D4B">
        <w:tab/>
      </w:r>
      <w:r w:rsidRPr="00781D8D">
        <w:rPr>
          <w:b/>
          <w:bCs/>
          <w:i/>
          <w:iCs/>
          <w:color w:val="4F81BD" w:themeColor="accent1"/>
        </w:rPr>
        <w:t>Classification based on human data</w:t>
      </w:r>
      <w:r w:rsidRPr="00781D8D">
        <w:rPr>
          <w:b/>
          <w:bCs/>
          <w:i/>
          <w:strike/>
          <w:color w:val="4F81BD" w:themeColor="accent1"/>
        </w:rPr>
        <w:t xml:space="preserve"> </w:t>
      </w:r>
      <w:r w:rsidRPr="00781D8D">
        <w:rPr>
          <w:b/>
          <w:bCs/>
          <w:i/>
          <w:color w:val="4F81BD" w:themeColor="accent1"/>
        </w:rPr>
        <w:t>(Tier 1 in Figure 3.4.1)</w:t>
      </w:r>
    </w:p>
    <w:p w14:paraId="56314261" w14:textId="77777777" w:rsidR="00F01F35" w:rsidRPr="00402D4B" w:rsidRDefault="00F01F35" w:rsidP="00F01F35">
      <w:pPr>
        <w:keepNext/>
        <w:keepLines/>
        <w:spacing w:before="240" w:after="200"/>
        <w:ind w:left="1418" w:hanging="1418"/>
        <w:jc w:val="both"/>
      </w:pPr>
      <w:r>
        <w:rPr>
          <w:color w:val="FF0000"/>
        </w:rPr>
        <w:t>3.4.2.2.2.1</w:t>
      </w:r>
      <w:r>
        <w:tab/>
      </w:r>
      <w:r w:rsidRPr="00781D8D">
        <w:rPr>
          <w:color w:val="4F81BD" w:themeColor="accent1"/>
        </w:rPr>
        <w:t>A substance is classified as a skin sensitizer in category 1 if there is evidence in humans that the substance can lead to sensitization by skin contact in a substantial number of persons.</w:t>
      </w:r>
    </w:p>
    <w:p w14:paraId="3ACC7534" w14:textId="77777777" w:rsidR="00F01F35" w:rsidRPr="00402D4B" w:rsidRDefault="00F01F35" w:rsidP="00F01F35">
      <w:pPr>
        <w:keepNext/>
        <w:keepLines/>
        <w:spacing w:after="200"/>
        <w:ind w:left="1418" w:hanging="1418"/>
      </w:pPr>
      <w:r w:rsidRPr="00402D4B">
        <w:t>3.4.2.2.2.</w:t>
      </w:r>
      <w:r w:rsidRPr="00673BBD">
        <w:rPr>
          <w:color w:val="FF0000"/>
        </w:rPr>
        <w:t>2</w:t>
      </w:r>
      <w:r w:rsidRPr="00402D4B">
        <w:tab/>
      </w:r>
      <w:r w:rsidRPr="00781D8D">
        <w:rPr>
          <w:color w:val="4F81BD" w:themeColor="accent1"/>
        </w:rPr>
        <w:t>Substances showing a high frequency of occurrence in humans, can be presumed to have the potential to produce significant sensitization and are classified in category 1A</w:t>
      </w:r>
      <w:r>
        <w:rPr>
          <w:color w:val="4F81BD" w:themeColor="accent1"/>
        </w:rPr>
        <w:t xml:space="preserve">. </w:t>
      </w:r>
      <w:r w:rsidRPr="00781D8D">
        <w:rPr>
          <w:color w:val="4F81BD" w:themeColor="accent1"/>
        </w:rPr>
        <w:t>Severity of reaction may also be considered</w:t>
      </w:r>
      <w:r w:rsidRPr="00400958">
        <w:rPr>
          <w:color w:val="0070C0"/>
        </w:rPr>
        <w:t>.</w:t>
      </w:r>
      <w:r w:rsidRPr="00416AA7">
        <w:rPr>
          <w:color w:val="FF0000"/>
        </w:rPr>
        <w:t xml:space="preserve"> </w:t>
      </w:r>
      <w:r w:rsidRPr="00402D4B">
        <w:t>Human evidence for sub-category 1A can include:</w:t>
      </w:r>
    </w:p>
    <w:p w14:paraId="50B9304B" w14:textId="77777777" w:rsidR="00F01F35" w:rsidRPr="00402D4B" w:rsidRDefault="00F01F35" w:rsidP="00F01F35">
      <w:pPr>
        <w:pStyle w:val="GHSSubparas1"/>
        <w:keepNext/>
        <w:keepLines/>
      </w:pPr>
      <w:r w:rsidRPr="00402D4B">
        <w:t>(a)</w:t>
      </w:r>
      <w:r w:rsidRPr="00402D4B">
        <w:tab/>
        <w:t>positive responses at ≤ 500 µg/cm</w:t>
      </w:r>
      <w:r w:rsidRPr="00402D4B">
        <w:rPr>
          <w:vertAlign w:val="superscript"/>
        </w:rPr>
        <w:t>2</w:t>
      </w:r>
      <w:r w:rsidRPr="00402D4B">
        <w:t xml:space="preserve"> (HRIPT, HMT – induction threshold</w:t>
      </w:r>
      <w:proofErr w:type="gramStart"/>
      <w:r w:rsidRPr="00402D4B">
        <w:t>);</w:t>
      </w:r>
      <w:proofErr w:type="gramEnd"/>
      <w:r w:rsidRPr="00402D4B">
        <w:t xml:space="preserve"> </w:t>
      </w:r>
    </w:p>
    <w:p w14:paraId="6B7E965E" w14:textId="77777777" w:rsidR="00F01F35" w:rsidRPr="00402D4B" w:rsidRDefault="00F01F35" w:rsidP="00F01F35">
      <w:pPr>
        <w:pStyle w:val="GHSSubparas1"/>
        <w:keepNext/>
        <w:keepLines/>
      </w:pPr>
      <w:r w:rsidRPr="00402D4B">
        <w:t>(b)</w:t>
      </w:r>
      <w:r w:rsidRPr="00402D4B">
        <w:tab/>
        <w:t xml:space="preserve">diagnostic patch test data where there is a relatively high and substantial incidence of reactions in a defined population in relation to relatively low </w:t>
      </w:r>
      <w:proofErr w:type="gramStart"/>
      <w:r w:rsidRPr="00402D4B">
        <w:t>exposure;</w:t>
      </w:r>
      <w:proofErr w:type="gramEnd"/>
    </w:p>
    <w:p w14:paraId="725B8E47" w14:textId="77777777" w:rsidR="00F01F35" w:rsidRPr="00402D4B" w:rsidRDefault="00F01F35" w:rsidP="00F01F35">
      <w:pPr>
        <w:pStyle w:val="GHSSubparas1"/>
        <w:keepNext/>
        <w:keepLines/>
      </w:pPr>
      <w:r w:rsidRPr="00402D4B">
        <w:t>(c)</w:t>
      </w:r>
      <w:r w:rsidRPr="00402D4B">
        <w:tab/>
        <w:t>other epidemiological evidence where there is a relatively high and substantial incidence of allergic contact dermatitis in relation to relatively low exposure.</w:t>
      </w:r>
    </w:p>
    <w:p w14:paraId="3D6E3CFE" w14:textId="77777777" w:rsidR="00F01F35" w:rsidRPr="00402D4B" w:rsidRDefault="00F01F35" w:rsidP="00F01F35">
      <w:pPr>
        <w:keepNext/>
        <w:keepLines/>
        <w:spacing w:after="200"/>
        <w:ind w:left="1418" w:hanging="1418"/>
        <w:jc w:val="both"/>
      </w:pPr>
      <w:r w:rsidRPr="00402D4B">
        <w:t>3.4.2.2.2.</w:t>
      </w:r>
      <w:r>
        <w:rPr>
          <w:color w:val="FF0000"/>
        </w:rPr>
        <w:t>3</w:t>
      </w:r>
      <w:r w:rsidRPr="00402D4B">
        <w:tab/>
      </w:r>
      <w:r w:rsidRPr="00781D8D">
        <w:rPr>
          <w:color w:val="4F81BD" w:themeColor="accent1"/>
        </w:rPr>
        <w:t xml:space="preserve">Substances showing a low to moderate frequency of occurrence in humans can be presumed to have the potential to produce sensitization and are classified in category 1B. Severity of reaction may also be considered. </w:t>
      </w:r>
      <w:r w:rsidRPr="00402D4B">
        <w:t>Human evidence for sub-category 1B can include:</w:t>
      </w:r>
    </w:p>
    <w:p w14:paraId="4926B836" w14:textId="77777777" w:rsidR="00F01F35" w:rsidRPr="00402D4B" w:rsidRDefault="00F01F35" w:rsidP="00F01F35">
      <w:pPr>
        <w:pStyle w:val="GHSSubparas1"/>
        <w:keepNext/>
        <w:keepLines/>
      </w:pPr>
      <w:r w:rsidRPr="00402D4B">
        <w:t>(a)</w:t>
      </w:r>
      <w:r w:rsidRPr="00402D4B">
        <w:tab/>
        <w:t>positive responses at &gt; 500 µg/cm</w:t>
      </w:r>
      <w:r w:rsidRPr="00402D4B">
        <w:rPr>
          <w:vertAlign w:val="superscript"/>
        </w:rPr>
        <w:t>2</w:t>
      </w:r>
      <w:r w:rsidRPr="00402D4B">
        <w:t xml:space="preserve"> (HRIPT, HMT – induction threshold</w:t>
      </w:r>
      <w:proofErr w:type="gramStart"/>
      <w:r w:rsidRPr="00402D4B">
        <w:t>);</w:t>
      </w:r>
      <w:proofErr w:type="gramEnd"/>
      <w:r w:rsidRPr="00402D4B">
        <w:t xml:space="preserve"> </w:t>
      </w:r>
    </w:p>
    <w:p w14:paraId="6D75C495" w14:textId="77777777" w:rsidR="00F01F35" w:rsidRPr="00402D4B" w:rsidRDefault="00F01F35" w:rsidP="00F01F35">
      <w:pPr>
        <w:pStyle w:val="GHSSubparas1"/>
        <w:keepNext/>
        <w:keepLines/>
      </w:pPr>
      <w:r w:rsidRPr="00402D4B">
        <w:t>(b)</w:t>
      </w:r>
      <w:r w:rsidRPr="00402D4B">
        <w:tab/>
        <w:t xml:space="preserve">diagnostic patch test data where there is a relatively low but substantial incidence of reactions in a defined population in relation to relatively high </w:t>
      </w:r>
      <w:proofErr w:type="gramStart"/>
      <w:r w:rsidRPr="00402D4B">
        <w:t>exposure;</w:t>
      </w:r>
      <w:proofErr w:type="gramEnd"/>
    </w:p>
    <w:p w14:paraId="5A038795" w14:textId="77777777" w:rsidR="00F01F35" w:rsidRPr="00402D4B" w:rsidRDefault="00F01F35" w:rsidP="00F01F35">
      <w:pPr>
        <w:pStyle w:val="GHSSubparas1"/>
      </w:pPr>
      <w:r w:rsidRPr="00402D4B">
        <w:t>(c)</w:t>
      </w:r>
      <w:r w:rsidRPr="00402D4B">
        <w:tab/>
        <w:t>other epidemiological evidence where there is a relatively low but substantial incidence of allergic contact dermatitis in relation to relatively high exposure.</w:t>
      </w:r>
    </w:p>
    <w:p w14:paraId="547537EB" w14:textId="77777777" w:rsidR="00F01F35" w:rsidRPr="003A6F2D" w:rsidRDefault="00F01F35" w:rsidP="00F01F35">
      <w:pPr>
        <w:pStyle w:val="GHSHeading5"/>
        <w:keepNext w:val="0"/>
        <w:keepLines w:val="0"/>
        <w:tabs>
          <w:tab w:val="clear" w:pos="1985"/>
          <w:tab w:val="clear" w:pos="2552"/>
          <w:tab w:val="clear" w:pos="3119"/>
          <w:tab w:val="clear" w:pos="3686"/>
        </w:tabs>
        <w:spacing w:after="200"/>
        <w:rPr>
          <w:sz w:val="20"/>
          <w:szCs w:val="20"/>
        </w:rPr>
      </w:pPr>
      <w:r w:rsidRPr="00402D4B">
        <w:rPr>
          <w:sz w:val="20"/>
          <w:szCs w:val="20"/>
        </w:rPr>
        <w:t>3.4.2.2.3</w:t>
      </w:r>
      <w:r w:rsidRPr="00402D4B">
        <w:rPr>
          <w:sz w:val="20"/>
          <w:szCs w:val="20"/>
        </w:rPr>
        <w:tab/>
      </w:r>
      <w:r w:rsidRPr="00781D8D">
        <w:rPr>
          <w:b/>
          <w:bCs/>
          <w:i/>
          <w:iCs/>
          <w:color w:val="4F81BD" w:themeColor="accent1"/>
          <w:sz w:val="20"/>
          <w:szCs w:val="20"/>
        </w:rPr>
        <w:t>Classification based on standa</w:t>
      </w:r>
      <w:r>
        <w:rPr>
          <w:b/>
          <w:bCs/>
          <w:i/>
          <w:iCs/>
          <w:color w:val="4F81BD" w:themeColor="accent1"/>
          <w:sz w:val="20"/>
          <w:szCs w:val="20"/>
        </w:rPr>
        <w:t>rd</w:t>
      </w:r>
      <w:r w:rsidRPr="00781D8D">
        <w:rPr>
          <w:b/>
          <w:bCs/>
          <w:i/>
          <w:iCs/>
          <w:color w:val="4F81BD" w:themeColor="accent1"/>
          <w:sz w:val="20"/>
          <w:szCs w:val="20"/>
        </w:rPr>
        <w:t xml:space="preserve"> animal data (Tier 1 in Figure 3.4.1)</w:t>
      </w:r>
    </w:p>
    <w:p w14:paraId="2FEF1594" w14:textId="2FEA5535" w:rsidR="00F01F35" w:rsidRPr="00402D4B" w:rsidRDefault="00F01F35" w:rsidP="00F01F35">
      <w:pPr>
        <w:tabs>
          <w:tab w:val="left" w:pos="1418"/>
        </w:tabs>
        <w:spacing w:after="200"/>
        <w:jc w:val="both"/>
      </w:pPr>
      <w:r w:rsidRPr="00402D4B">
        <w:t>3.4.2.2.3.1</w:t>
      </w:r>
      <w:r w:rsidRPr="00402D4B">
        <w:tab/>
      </w:r>
      <w:r w:rsidRPr="00781D8D">
        <w:rPr>
          <w:color w:val="4F81BD" w:themeColor="accent1"/>
        </w:rPr>
        <w:t xml:space="preserve">A substance is classified as a skin sensitizer if there are positive results from an appropriate animal test. </w:t>
      </w:r>
      <w:r w:rsidRPr="00402D4B">
        <w:t>For Category 1, when an adjuvant type test method for skin sensitization is used, a response of at least 30</w:t>
      </w:r>
      <w:r>
        <w:t> </w:t>
      </w:r>
      <w:r w:rsidRPr="00402D4B">
        <w:t xml:space="preserve">% of the animals is considered as positive. For a non-adjuvant Guinea pig test </w:t>
      </w:r>
      <w:proofErr w:type="gramStart"/>
      <w:r w:rsidRPr="00402D4B">
        <w:t>method</w:t>
      </w:r>
      <w:proofErr w:type="gramEnd"/>
      <w:r w:rsidRPr="00402D4B">
        <w:t xml:space="preserve"> a response of at least 15</w:t>
      </w:r>
      <w:r>
        <w:t> </w:t>
      </w:r>
      <w:r w:rsidRPr="00402D4B">
        <w:t xml:space="preserve">% of the animals is considered positive.  For Category 1, a stimulation index of three or more is considered a positive response in the local lymph node assay. Test methods for skin sensitization are described in the OECD Guideline 406 (the Guinea Pig Maximisation test and the Buehler guinea pig test) </w:t>
      </w:r>
      <w:r w:rsidRPr="00402D4B">
        <w:rPr>
          <w:spacing w:val="-2"/>
        </w:rPr>
        <w:t>and Guideline 429 (Local Lymph Node Assay)</w:t>
      </w:r>
      <w:r w:rsidRPr="00402D4B">
        <w:t xml:space="preserve">. Other methods may be used </w:t>
      </w:r>
      <w:proofErr w:type="gramStart"/>
      <w:r w:rsidRPr="00402D4B">
        <w:t>provided that</w:t>
      </w:r>
      <w:proofErr w:type="gramEnd"/>
      <w:r w:rsidRPr="00402D4B">
        <w:t xml:space="preserve"> they are well-validated and scientific justification is given. </w:t>
      </w:r>
      <w:proofErr w:type="gramStart"/>
      <w:r w:rsidRPr="00402D4B">
        <w:t>The Mouse Ear Swelling Test (MEST),</w:t>
      </w:r>
      <w:proofErr w:type="gramEnd"/>
      <w:r w:rsidRPr="00402D4B">
        <w:t xml:space="preserve"> appears to be a reliable screening test to detect moderate to strong sensitizers, and can be used as a first stage in the assessment of skin sensitization potential.</w:t>
      </w:r>
    </w:p>
    <w:p w14:paraId="021B9521" w14:textId="77777777" w:rsidR="00F01F35" w:rsidRPr="00402D4B" w:rsidRDefault="00F01F35" w:rsidP="00F01F35">
      <w:pPr>
        <w:tabs>
          <w:tab w:val="left" w:pos="1418"/>
        </w:tabs>
        <w:spacing w:after="160"/>
        <w:jc w:val="both"/>
      </w:pPr>
      <w:r w:rsidRPr="00402D4B">
        <w:t>3.4.2.2.3.2</w:t>
      </w:r>
      <w:r w:rsidRPr="00402D4B">
        <w:tab/>
      </w:r>
      <w:r w:rsidRPr="00781D8D">
        <w:rPr>
          <w:color w:val="4F81BD" w:themeColor="accent1"/>
        </w:rPr>
        <w:t xml:space="preserve">Substances showing a high potency in animals, can be presumed to have the potential to produce significant sensitization in humans and are classified in category 1A. </w:t>
      </w:r>
      <w:r>
        <w:t>Severity of reactions may also be considered</w:t>
      </w:r>
      <w:r w:rsidRPr="002A0D37">
        <w:t xml:space="preserve">. </w:t>
      </w:r>
      <w:r w:rsidRPr="00402D4B">
        <w:t>Animal test results for sub-category 1A can include data with values indicated in Table 3.4.3 below:</w:t>
      </w:r>
    </w:p>
    <w:p w14:paraId="7734B59A" w14:textId="77777777" w:rsidR="00F01F35" w:rsidRPr="00402D4B" w:rsidRDefault="00F01F35" w:rsidP="00F01F35">
      <w:pPr>
        <w:tabs>
          <w:tab w:val="left" w:pos="1418"/>
        </w:tabs>
        <w:spacing w:after="160"/>
        <w:jc w:val="center"/>
      </w:pPr>
      <w:r w:rsidRPr="00402D4B">
        <w:rPr>
          <w:b/>
          <w:bCs/>
        </w:rPr>
        <w:t>Table 3.4.3:  Animal test results for sub-category 1A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6644"/>
      </w:tblGrid>
      <w:tr w:rsidR="00F01F35" w:rsidRPr="00402D4B" w14:paraId="2AB70E9A" w14:textId="77777777" w:rsidTr="0069132F">
        <w:tc>
          <w:tcPr>
            <w:tcW w:w="2880" w:type="dxa"/>
          </w:tcPr>
          <w:p w14:paraId="3C27D201" w14:textId="77777777" w:rsidR="00F01F35" w:rsidRPr="00402D4B" w:rsidRDefault="00F01F35" w:rsidP="0069132F">
            <w:pPr>
              <w:spacing w:before="20" w:after="20"/>
              <w:rPr>
                <w:b/>
                <w:bCs/>
              </w:rPr>
            </w:pPr>
            <w:r w:rsidRPr="00402D4B">
              <w:rPr>
                <w:b/>
                <w:bCs/>
              </w:rPr>
              <w:t>Assay</w:t>
            </w:r>
          </w:p>
        </w:tc>
        <w:tc>
          <w:tcPr>
            <w:tcW w:w="6660" w:type="dxa"/>
          </w:tcPr>
          <w:p w14:paraId="5EB040E9" w14:textId="77777777" w:rsidR="00F01F35" w:rsidRPr="00402D4B" w:rsidRDefault="00F01F35" w:rsidP="0069132F">
            <w:pPr>
              <w:spacing w:before="20" w:after="20"/>
              <w:jc w:val="center"/>
              <w:rPr>
                <w:b/>
                <w:bCs/>
              </w:rPr>
            </w:pPr>
            <w:r w:rsidRPr="00402D4B">
              <w:rPr>
                <w:b/>
                <w:bCs/>
              </w:rPr>
              <w:t>Criteria</w:t>
            </w:r>
          </w:p>
        </w:tc>
      </w:tr>
      <w:tr w:rsidR="00F01F35" w:rsidRPr="00402D4B" w14:paraId="66B37D65" w14:textId="77777777" w:rsidTr="0069132F">
        <w:tc>
          <w:tcPr>
            <w:tcW w:w="2880" w:type="dxa"/>
          </w:tcPr>
          <w:p w14:paraId="4BB7E942" w14:textId="77777777" w:rsidR="00F01F35" w:rsidRPr="00402D4B" w:rsidRDefault="00F01F35" w:rsidP="0069132F">
            <w:pPr>
              <w:spacing w:before="20" w:after="20"/>
            </w:pPr>
            <w:r w:rsidRPr="00402D4B">
              <w:t>Local lymph node assay</w:t>
            </w:r>
          </w:p>
        </w:tc>
        <w:tc>
          <w:tcPr>
            <w:tcW w:w="6660" w:type="dxa"/>
          </w:tcPr>
          <w:p w14:paraId="697C7578" w14:textId="77777777" w:rsidR="00F01F35" w:rsidRPr="00402D4B" w:rsidRDefault="00F01F35" w:rsidP="0069132F">
            <w:pPr>
              <w:spacing w:before="20" w:after="20"/>
            </w:pPr>
            <w:r w:rsidRPr="00402D4B">
              <w:t xml:space="preserve">EC3 value </w:t>
            </w:r>
            <w:r w:rsidRPr="00402D4B">
              <w:sym w:font="Symbol" w:char="F0A3"/>
            </w:r>
            <w:r w:rsidRPr="00402D4B">
              <w:t> 2</w:t>
            </w:r>
            <w:r>
              <w:t> </w:t>
            </w:r>
            <w:r w:rsidRPr="00402D4B">
              <w:t>%</w:t>
            </w:r>
          </w:p>
        </w:tc>
      </w:tr>
      <w:tr w:rsidR="00F01F35" w:rsidRPr="00402D4B" w14:paraId="17B48D36" w14:textId="77777777" w:rsidTr="0069132F">
        <w:trPr>
          <w:trHeight w:val="502"/>
        </w:trPr>
        <w:tc>
          <w:tcPr>
            <w:tcW w:w="2880" w:type="dxa"/>
          </w:tcPr>
          <w:p w14:paraId="0EDE6EC0" w14:textId="77777777" w:rsidR="00F01F35" w:rsidRPr="00402D4B" w:rsidRDefault="00F01F35" w:rsidP="0069132F">
            <w:pPr>
              <w:spacing w:before="20" w:after="20"/>
            </w:pPr>
            <w:r w:rsidRPr="00402D4B">
              <w:t>Guinea pig maximisation test</w:t>
            </w:r>
          </w:p>
        </w:tc>
        <w:tc>
          <w:tcPr>
            <w:tcW w:w="6660" w:type="dxa"/>
          </w:tcPr>
          <w:p w14:paraId="064B742D" w14:textId="77777777" w:rsidR="00F01F35" w:rsidRPr="00402D4B" w:rsidRDefault="00F01F35" w:rsidP="0069132F">
            <w:pPr>
              <w:spacing w:before="20" w:after="20"/>
            </w:pPr>
            <w:r w:rsidRPr="00402D4B">
              <w:sym w:font="Symbol" w:char="F0B3"/>
            </w:r>
            <w:r w:rsidRPr="00402D4B">
              <w:t xml:space="preserve"> 30</w:t>
            </w:r>
            <w:r>
              <w:t> </w:t>
            </w:r>
            <w:r w:rsidRPr="00402D4B">
              <w:t xml:space="preserve">% responding at </w:t>
            </w:r>
            <w:r w:rsidRPr="00402D4B">
              <w:sym w:font="Symbol" w:char="F0A3"/>
            </w:r>
            <w:r w:rsidRPr="00402D4B">
              <w:t xml:space="preserve"> 0.1</w:t>
            </w:r>
            <w:r>
              <w:t> </w:t>
            </w:r>
            <w:r w:rsidRPr="00402D4B">
              <w:t xml:space="preserve">% intradermal induction dose </w:t>
            </w:r>
            <w:r w:rsidRPr="00402D4B">
              <w:rPr>
                <w:u w:val="single"/>
              </w:rPr>
              <w:t>or</w:t>
            </w:r>
            <w:r w:rsidRPr="00402D4B">
              <w:rPr>
                <w:u w:val="single"/>
              </w:rPr>
              <w:br/>
            </w:r>
            <w:r w:rsidRPr="00402D4B">
              <w:sym w:font="Symbol" w:char="F0B3"/>
            </w:r>
            <w:r w:rsidRPr="00402D4B">
              <w:t xml:space="preserve"> 60</w:t>
            </w:r>
            <w:r>
              <w:t> </w:t>
            </w:r>
            <w:r w:rsidRPr="00402D4B">
              <w:t>% responding at &gt;</w:t>
            </w:r>
            <w:r>
              <w:t> </w:t>
            </w:r>
            <w:r w:rsidRPr="00402D4B">
              <w:t>0.1</w:t>
            </w:r>
            <w:r>
              <w:t> </w:t>
            </w:r>
            <w:r w:rsidRPr="00402D4B">
              <w:t xml:space="preserve">% to </w:t>
            </w:r>
            <w:r w:rsidRPr="00402D4B">
              <w:sym w:font="Symbol" w:char="F0A3"/>
            </w:r>
            <w:r>
              <w:t> </w:t>
            </w:r>
            <w:r w:rsidRPr="00402D4B">
              <w:t>1</w:t>
            </w:r>
            <w:r>
              <w:t> </w:t>
            </w:r>
            <w:r w:rsidRPr="00402D4B">
              <w:t>% intradermal induction dose</w:t>
            </w:r>
          </w:p>
        </w:tc>
      </w:tr>
      <w:tr w:rsidR="00F01F35" w:rsidRPr="00402D4B" w14:paraId="4761F967" w14:textId="77777777" w:rsidTr="0069132F">
        <w:tc>
          <w:tcPr>
            <w:tcW w:w="2880" w:type="dxa"/>
          </w:tcPr>
          <w:p w14:paraId="049A0033" w14:textId="77777777" w:rsidR="00F01F35" w:rsidRPr="00402D4B" w:rsidRDefault="00F01F35" w:rsidP="0069132F">
            <w:pPr>
              <w:spacing w:before="20" w:after="20"/>
            </w:pPr>
            <w:r w:rsidRPr="00402D4B">
              <w:t>Buehler assay</w:t>
            </w:r>
          </w:p>
        </w:tc>
        <w:tc>
          <w:tcPr>
            <w:tcW w:w="6660" w:type="dxa"/>
          </w:tcPr>
          <w:p w14:paraId="2306651E" w14:textId="77777777" w:rsidR="00F01F35" w:rsidRPr="00402D4B" w:rsidRDefault="00F01F35" w:rsidP="0069132F">
            <w:pPr>
              <w:spacing w:before="20" w:after="20"/>
            </w:pPr>
            <w:r w:rsidRPr="00402D4B">
              <w:sym w:font="Symbol" w:char="F0B3"/>
            </w:r>
            <w:r w:rsidRPr="00402D4B">
              <w:t>15</w:t>
            </w:r>
            <w:r>
              <w:t> </w:t>
            </w:r>
            <w:r w:rsidRPr="00402D4B">
              <w:t xml:space="preserve">% responding at </w:t>
            </w:r>
            <w:r w:rsidRPr="00402D4B">
              <w:sym w:font="Symbol" w:char="F0A3"/>
            </w:r>
            <w:r>
              <w:t> </w:t>
            </w:r>
            <w:r w:rsidRPr="00402D4B">
              <w:t>0.2</w:t>
            </w:r>
            <w:r>
              <w:t> </w:t>
            </w:r>
            <w:r w:rsidRPr="00402D4B">
              <w:t xml:space="preserve">% topical induction dose </w:t>
            </w:r>
            <w:r w:rsidRPr="00402D4B">
              <w:rPr>
                <w:u w:val="single"/>
              </w:rPr>
              <w:t>or</w:t>
            </w:r>
            <w:r w:rsidRPr="00402D4B">
              <w:rPr>
                <w:u w:val="single"/>
              </w:rPr>
              <w:br/>
            </w:r>
            <w:r w:rsidRPr="00402D4B">
              <w:sym w:font="Symbol" w:char="F0B3"/>
            </w:r>
            <w:r w:rsidRPr="00402D4B">
              <w:t xml:space="preserve"> 60</w:t>
            </w:r>
            <w:r>
              <w:t> </w:t>
            </w:r>
            <w:r w:rsidRPr="00402D4B">
              <w:t>% responding at &gt;</w:t>
            </w:r>
            <w:r>
              <w:t> </w:t>
            </w:r>
            <w:r w:rsidRPr="00402D4B">
              <w:t>0.2</w:t>
            </w:r>
            <w:r>
              <w:t> </w:t>
            </w:r>
            <w:r w:rsidRPr="00402D4B">
              <w:t xml:space="preserve">% to </w:t>
            </w:r>
            <w:r w:rsidRPr="00402D4B">
              <w:sym w:font="Symbol" w:char="F0A3"/>
            </w:r>
            <w:r>
              <w:t> </w:t>
            </w:r>
            <w:r w:rsidRPr="00402D4B">
              <w:t>20</w:t>
            </w:r>
            <w:r>
              <w:t> </w:t>
            </w:r>
            <w:r w:rsidRPr="00402D4B">
              <w:t>% topical induction dose</w:t>
            </w:r>
          </w:p>
        </w:tc>
      </w:tr>
    </w:tbl>
    <w:p w14:paraId="14A9C587" w14:textId="77777777" w:rsidR="00F01F35" w:rsidRPr="00402D4B" w:rsidRDefault="00F01F35" w:rsidP="00F01F35">
      <w:pPr>
        <w:tabs>
          <w:tab w:val="left" w:pos="1418"/>
        </w:tabs>
        <w:spacing w:before="200" w:after="160"/>
        <w:jc w:val="both"/>
      </w:pPr>
      <w:r w:rsidRPr="00402D4B">
        <w:t>3.4.2.2.3.3</w:t>
      </w:r>
      <w:r w:rsidRPr="00402D4B">
        <w:tab/>
      </w:r>
      <w:r w:rsidRPr="00781D8D">
        <w:rPr>
          <w:color w:val="4F81BD" w:themeColor="accent1"/>
        </w:rPr>
        <w:t xml:space="preserve">Substances showing a low to moderate potency in animals can be presumed to have the potential to produce sensitization in humans and are classified in category 1B. </w:t>
      </w:r>
      <w:r w:rsidRPr="00E23DF0">
        <w:t xml:space="preserve">Severity of reaction may also be considered. </w:t>
      </w:r>
      <w:r w:rsidRPr="00402D4B">
        <w:rPr>
          <w:spacing w:val="-4"/>
        </w:rPr>
        <w:t>Animal test results for sub-category 1B can include data with values indicated in Table 3.4.4 below:</w:t>
      </w:r>
    </w:p>
    <w:p w14:paraId="500B8F1A" w14:textId="77777777" w:rsidR="00F01F35" w:rsidRPr="00402D4B" w:rsidRDefault="00F01F35" w:rsidP="00F01F35">
      <w:pPr>
        <w:keepNext/>
        <w:keepLines/>
        <w:spacing w:after="160"/>
        <w:jc w:val="center"/>
        <w:rPr>
          <w:b/>
          <w:bCs/>
        </w:rPr>
      </w:pPr>
      <w:r w:rsidRPr="00402D4B">
        <w:rPr>
          <w:b/>
          <w:bCs/>
        </w:rPr>
        <w:t>Table 3.4.4:  Animal test results for sub-category 1B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734"/>
      </w:tblGrid>
      <w:tr w:rsidR="00F01F35" w:rsidRPr="00402D4B" w14:paraId="66A6CB5F" w14:textId="77777777" w:rsidTr="0069132F">
        <w:tc>
          <w:tcPr>
            <w:tcW w:w="2790" w:type="dxa"/>
          </w:tcPr>
          <w:p w14:paraId="667DC816" w14:textId="77777777" w:rsidR="00F01F35" w:rsidRPr="00402D4B" w:rsidRDefault="00F01F35" w:rsidP="0069132F">
            <w:pPr>
              <w:keepNext/>
              <w:keepLines/>
              <w:spacing w:before="20" w:after="20"/>
              <w:rPr>
                <w:b/>
                <w:bCs/>
              </w:rPr>
            </w:pPr>
            <w:r w:rsidRPr="00402D4B">
              <w:rPr>
                <w:b/>
                <w:bCs/>
              </w:rPr>
              <w:t>Assay</w:t>
            </w:r>
          </w:p>
        </w:tc>
        <w:tc>
          <w:tcPr>
            <w:tcW w:w="6750" w:type="dxa"/>
          </w:tcPr>
          <w:p w14:paraId="0271E690" w14:textId="77777777" w:rsidR="00F01F35" w:rsidRPr="00402D4B" w:rsidRDefault="00F01F35" w:rsidP="0069132F">
            <w:pPr>
              <w:keepNext/>
              <w:keepLines/>
              <w:spacing w:before="20" w:after="20"/>
              <w:jc w:val="center"/>
              <w:rPr>
                <w:b/>
                <w:bCs/>
              </w:rPr>
            </w:pPr>
            <w:r w:rsidRPr="00402D4B">
              <w:rPr>
                <w:b/>
                <w:bCs/>
              </w:rPr>
              <w:t>Criteria</w:t>
            </w:r>
          </w:p>
        </w:tc>
      </w:tr>
      <w:tr w:rsidR="00F01F35" w:rsidRPr="00402D4B" w14:paraId="14F624A9" w14:textId="77777777" w:rsidTr="0069132F">
        <w:tc>
          <w:tcPr>
            <w:tcW w:w="2790" w:type="dxa"/>
          </w:tcPr>
          <w:p w14:paraId="27D4EA09" w14:textId="77777777" w:rsidR="00F01F35" w:rsidRPr="00402D4B" w:rsidRDefault="00F01F35" w:rsidP="0069132F">
            <w:pPr>
              <w:keepNext/>
              <w:keepLines/>
              <w:spacing w:before="20" w:after="20"/>
            </w:pPr>
            <w:r w:rsidRPr="00402D4B">
              <w:t>Local lymph node assay</w:t>
            </w:r>
          </w:p>
        </w:tc>
        <w:tc>
          <w:tcPr>
            <w:tcW w:w="6750" w:type="dxa"/>
          </w:tcPr>
          <w:p w14:paraId="2E2322AD" w14:textId="77777777" w:rsidR="00F01F35" w:rsidRPr="00402D4B" w:rsidRDefault="00F01F35" w:rsidP="0069132F">
            <w:pPr>
              <w:keepNext/>
              <w:keepLines/>
              <w:spacing w:before="20" w:after="20"/>
            </w:pPr>
            <w:r w:rsidRPr="00402D4B">
              <w:t>EC3 value &gt; 2</w:t>
            </w:r>
            <w:r>
              <w:t> </w:t>
            </w:r>
            <w:r w:rsidRPr="00402D4B">
              <w:t>%</w:t>
            </w:r>
          </w:p>
        </w:tc>
      </w:tr>
      <w:tr w:rsidR="00F01F35" w:rsidRPr="00402D4B" w14:paraId="6861F9C8" w14:textId="77777777" w:rsidTr="0069132F">
        <w:trPr>
          <w:trHeight w:val="423"/>
        </w:trPr>
        <w:tc>
          <w:tcPr>
            <w:tcW w:w="2790" w:type="dxa"/>
          </w:tcPr>
          <w:p w14:paraId="41E92AC1" w14:textId="77777777" w:rsidR="00F01F35" w:rsidRPr="00402D4B" w:rsidRDefault="00F01F35" w:rsidP="0069132F">
            <w:pPr>
              <w:spacing w:before="20" w:after="20"/>
            </w:pPr>
            <w:r w:rsidRPr="00402D4B">
              <w:t>Guinea pig maximisation test</w:t>
            </w:r>
          </w:p>
        </w:tc>
        <w:tc>
          <w:tcPr>
            <w:tcW w:w="6750" w:type="dxa"/>
          </w:tcPr>
          <w:p w14:paraId="291A1345" w14:textId="77777777" w:rsidR="00F01F35" w:rsidRPr="00402D4B" w:rsidRDefault="00F01F35" w:rsidP="0069132F">
            <w:pPr>
              <w:spacing w:before="20" w:after="20"/>
            </w:pPr>
            <w:r w:rsidRPr="00402D4B">
              <w:sym w:font="Symbol" w:char="F0B3"/>
            </w:r>
            <w:r w:rsidRPr="00402D4B">
              <w:t> 30</w:t>
            </w:r>
            <w:r>
              <w:t> </w:t>
            </w:r>
            <w:r w:rsidRPr="00402D4B">
              <w:t>% to &lt; 60</w:t>
            </w:r>
            <w:r>
              <w:t> </w:t>
            </w:r>
            <w:r w:rsidRPr="00402D4B">
              <w:t>% responding at &gt; 0.1</w:t>
            </w:r>
            <w:r>
              <w:t> </w:t>
            </w:r>
            <w:r w:rsidRPr="00402D4B">
              <w:t xml:space="preserve">% to </w:t>
            </w:r>
            <w:r w:rsidRPr="00402D4B">
              <w:sym w:font="Symbol" w:char="F0A3"/>
            </w:r>
            <w:r>
              <w:t> </w:t>
            </w:r>
            <w:r w:rsidRPr="00402D4B">
              <w:t>1</w:t>
            </w:r>
            <w:r>
              <w:t> </w:t>
            </w:r>
            <w:r w:rsidRPr="00402D4B">
              <w:t>% intradermal induction dose or</w:t>
            </w:r>
            <w:r w:rsidRPr="00402D4B">
              <w:br/>
            </w:r>
            <w:r w:rsidRPr="00402D4B">
              <w:sym w:font="Symbol" w:char="F0B3"/>
            </w:r>
            <w:r w:rsidRPr="00402D4B">
              <w:t> 30</w:t>
            </w:r>
            <w:r>
              <w:t> </w:t>
            </w:r>
            <w:r w:rsidRPr="00402D4B">
              <w:t>% responding at &gt; 1</w:t>
            </w:r>
            <w:r>
              <w:t> </w:t>
            </w:r>
            <w:r w:rsidRPr="00402D4B">
              <w:t>% intradermal induction dose</w:t>
            </w:r>
          </w:p>
        </w:tc>
      </w:tr>
      <w:tr w:rsidR="00F01F35" w:rsidRPr="00402D4B" w14:paraId="6927019E" w14:textId="77777777" w:rsidTr="0069132F">
        <w:tc>
          <w:tcPr>
            <w:tcW w:w="2790" w:type="dxa"/>
          </w:tcPr>
          <w:p w14:paraId="11B864F2" w14:textId="77777777" w:rsidR="00F01F35" w:rsidRPr="00402D4B" w:rsidRDefault="00F01F35" w:rsidP="0069132F">
            <w:pPr>
              <w:spacing w:before="20" w:after="20"/>
            </w:pPr>
            <w:r w:rsidRPr="00402D4B">
              <w:t>Buehler assay</w:t>
            </w:r>
          </w:p>
        </w:tc>
        <w:tc>
          <w:tcPr>
            <w:tcW w:w="6750" w:type="dxa"/>
          </w:tcPr>
          <w:p w14:paraId="6A0551FB" w14:textId="77777777" w:rsidR="00F01F35" w:rsidRPr="00402D4B" w:rsidRDefault="00F01F35" w:rsidP="0069132F">
            <w:pPr>
              <w:spacing w:before="20" w:after="20"/>
            </w:pPr>
            <w:r w:rsidRPr="00402D4B">
              <w:sym w:font="Symbol" w:char="F0B3"/>
            </w:r>
            <w:r w:rsidRPr="00402D4B">
              <w:t> 15</w:t>
            </w:r>
            <w:r>
              <w:t> </w:t>
            </w:r>
            <w:r w:rsidRPr="00402D4B">
              <w:t>% to &lt; 60</w:t>
            </w:r>
            <w:r>
              <w:t> </w:t>
            </w:r>
            <w:r w:rsidRPr="00402D4B">
              <w:t>% responding at &gt; 0.2</w:t>
            </w:r>
            <w:r>
              <w:t> </w:t>
            </w:r>
            <w:r w:rsidRPr="00402D4B">
              <w:t>% to ≤</w:t>
            </w:r>
            <w:r>
              <w:t> </w:t>
            </w:r>
            <w:r w:rsidRPr="00402D4B">
              <w:t>20</w:t>
            </w:r>
            <w:r>
              <w:t> </w:t>
            </w:r>
            <w:r w:rsidRPr="00402D4B">
              <w:t>% topical induction dose or</w:t>
            </w:r>
            <w:r w:rsidRPr="00402D4B">
              <w:br/>
            </w:r>
            <w:r w:rsidRPr="00402D4B">
              <w:sym w:font="Symbol" w:char="F0B3"/>
            </w:r>
            <w:r w:rsidRPr="00402D4B">
              <w:t> 15</w:t>
            </w:r>
            <w:r>
              <w:t> </w:t>
            </w:r>
            <w:r w:rsidRPr="00402D4B">
              <w:t>% responding at &gt; 20</w:t>
            </w:r>
            <w:r>
              <w:t> </w:t>
            </w:r>
            <w:r w:rsidRPr="00402D4B">
              <w:t>% topical induction dose</w:t>
            </w:r>
          </w:p>
        </w:tc>
      </w:tr>
    </w:tbl>
    <w:p w14:paraId="00D56667" w14:textId="77777777" w:rsidR="00F01F35" w:rsidRPr="00781D8D" w:rsidRDefault="00F01F35" w:rsidP="00F01F35">
      <w:pPr>
        <w:pStyle w:val="GHSHeading5"/>
        <w:widowControl/>
        <w:tabs>
          <w:tab w:val="clear" w:pos="1418"/>
          <w:tab w:val="clear" w:pos="1985"/>
          <w:tab w:val="clear" w:pos="2552"/>
          <w:tab w:val="clear" w:pos="3119"/>
          <w:tab w:val="clear" w:pos="3686"/>
        </w:tabs>
        <w:spacing w:before="240" w:after="240"/>
        <w:ind w:left="1418" w:hanging="1418"/>
        <w:rPr>
          <w:color w:val="4F81BD" w:themeColor="accent1"/>
          <w:sz w:val="20"/>
          <w:szCs w:val="20"/>
        </w:rPr>
      </w:pPr>
      <w:r w:rsidRPr="00781D8D">
        <w:rPr>
          <w:color w:val="4F81BD" w:themeColor="accent1"/>
          <w:sz w:val="20"/>
          <w:szCs w:val="20"/>
        </w:rPr>
        <w:t>3.4.2.2.4</w:t>
      </w:r>
      <w:r w:rsidRPr="00781D8D">
        <w:rPr>
          <w:color w:val="4F81BD" w:themeColor="accent1"/>
          <w:sz w:val="20"/>
          <w:szCs w:val="20"/>
        </w:rPr>
        <w:tab/>
      </w:r>
      <w:r w:rsidRPr="00781D8D">
        <w:rPr>
          <w:b/>
          <w:i/>
          <w:color w:val="4F81BD" w:themeColor="accent1"/>
          <w:sz w:val="20"/>
          <w:szCs w:val="20"/>
        </w:rPr>
        <w:t>Classification based on defined approaches (Tier 1 or Tier 2 in Figure 3.4.1)</w:t>
      </w:r>
    </w:p>
    <w:p w14:paraId="15C61FD0" w14:textId="77777777" w:rsidR="00F01F35" w:rsidRPr="00781D8D" w:rsidRDefault="00F01F35" w:rsidP="00F01F35">
      <w:pPr>
        <w:pStyle w:val="Default"/>
        <w:tabs>
          <w:tab w:val="left" w:pos="1418"/>
          <w:tab w:val="left" w:pos="2268"/>
        </w:tabs>
        <w:spacing w:after="240"/>
        <w:ind w:right="119"/>
        <w:jc w:val="both"/>
        <w:rPr>
          <w:color w:val="4F81BD" w:themeColor="accent1"/>
          <w:sz w:val="20"/>
          <w:szCs w:val="20"/>
          <w:lang w:val="en-GB"/>
        </w:rPr>
      </w:pPr>
      <w:r w:rsidRPr="00781D8D">
        <w:rPr>
          <w:color w:val="4F81BD" w:themeColor="accent1"/>
          <w:sz w:val="20"/>
          <w:szCs w:val="20"/>
          <w:lang w:val="en-GB"/>
        </w:rPr>
        <w:t>3.4.2.2.4.1</w:t>
      </w:r>
      <w:r w:rsidRPr="00781D8D">
        <w:rPr>
          <w:color w:val="4F81BD" w:themeColor="accent1"/>
          <w:sz w:val="20"/>
          <w:szCs w:val="20"/>
          <w:lang w:val="en-GB"/>
        </w:rPr>
        <w:tab/>
        <w:t>Defined approaches consist of a rule-based combination of data obtained from a predefined set of different information sources (</w:t>
      </w:r>
      <w:proofErr w:type="gramStart"/>
      <w:r w:rsidRPr="00781D8D">
        <w:rPr>
          <w:color w:val="4F81BD" w:themeColor="accent1"/>
          <w:sz w:val="20"/>
          <w:szCs w:val="20"/>
          <w:lang w:val="en-GB"/>
        </w:rPr>
        <w:t>e.g.</w:t>
      </w:r>
      <w:proofErr w:type="gramEnd"/>
      <w:r w:rsidRPr="00781D8D">
        <w:rPr>
          <w:color w:val="4F81BD" w:themeColor="accent1"/>
          <w:sz w:val="20"/>
          <w:szCs w:val="20"/>
          <w:lang w:val="en-GB"/>
        </w:rPr>
        <w:t xml:space="preserve"> </w:t>
      </w:r>
      <w:r w:rsidRPr="00781D8D">
        <w:rPr>
          <w:i/>
          <w:color w:val="4F81BD" w:themeColor="accent1"/>
          <w:sz w:val="20"/>
          <w:szCs w:val="20"/>
          <w:lang w:val="en-GB"/>
        </w:rPr>
        <w:t xml:space="preserve">in </w:t>
      </w:r>
      <w:proofErr w:type="spellStart"/>
      <w:r w:rsidRPr="00781D8D">
        <w:rPr>
          <w:i/>
          <w:color w:val="4F81BD" w:themeColor="accent1"/>
          <w:sz w:val="20"/>
          <w:szCs w:val="20"/>
          <w:lang w:val="en-GB"/>
        </w:rPr>
        <w:t>chemico</w:t>
      </w:r>
      <w:proofErr w:type="spellEnd"/>
      <w:r w:rsidRPr="00781D8D">
        <w:rPr>
          <w:i/>
          <w:color w:val="4F81BD" w:themeColor="accent1"/>
          <w:sz w:val="20"/>
          <w:szCs w:val="20"/>
          <w:lang w:val="en-GB"/>
        </w:rPr>
        <w:t xml:space="preserve"> </w:t>
      </w:r>
      <w:r w:rsidRPr="00781D8D">
        <w:rPr>
          <w:color w:val="4F81BD" w:themeColor="accent1"/>
          <w:sz w:val="20"/>
          <w:szCs w:val="20"/>
          <w:lang w:val="en-GB"/>
        </w:rPr>
        <w:t>methods</w:t>
      </w:r>
      <w:r w:rsidRPr="00781D8D">
        <w:rPr>
          <w:i/>
          <w:iCs/>
          <w:color w:val="4F81BD" w:themeColor="accent1"/>
          <w:sz w:val="20"/>
          <w:szCs w:val="20"/>
          <w:lang w:val="en-GB"/>
        </w:rPr>
        <w:t xml:space="preserve">, in vitro </w:t>
      </w:r>
      <w:r w:rsidRPr="00781D8D">
        <w:rPr>
          <w:color w:val="4F81BD" w:themeColor="accent1"/>
          <w:sz w:val="20"/>
          <w:szCs w:val="20"/>
          <w:lang w:val="en-GB"/>
        </w:rPr>
        <w:t xml:space="preserve">methods, </w:t>
      </w:r>
      <w:proofErr w:type="spellStart"/>
      <w:r w:rsidRPr="00781D8D">
        <w:rPr>
          <w:color w:val="4F81BD" w:themeColor="accent1"/>
          <w:sz w:val="20"/>
          <w:szCs w:val="20"/>
          <w:lang w:val="en-GB"/>
        </w:rPr>
        <w:t>physico</w:t>
      </w:r>
      <w:proofErr w:type="spellEnd"/>
      <w:r w:rsidRPr="00781D8D">
        <w:rPr>
          <w:color w:val="4F81BD" w:themeColor="accent1"/>
          <w:sz w:val="20"/>
          <w:szCs w:val="20"/>
          <w:lang w:val="en-GB"/>
        </w:rPr>
        <w:t xml:space="preserve">-chemical properties, non-test methods). It is recognized that most single </w:t>
      </w:r>
      <w:r w:rsidRPr="00781D8D">
        <w:rPr>
          <w:iCs/>
          <w:color w:val="4F81BD" w:themeColor="accent1"/>
          <w:sz w:val="20"/>
          <w:szCs w:val="20"/>
          <w:lang w:val="en-GB"/>
        </w:rPr>
        <w:t>non animal</w:t>
      </w:r>
      <w:r w:rsidRPr="00781D8D">
        <w:rPr>
          <w:color w:val="4F81BD" w:themeColor="accent1"/>
          <w:sz w:val="20"/>
          <w:szCs w:val="20"/>
          <w:lang w:val="en-GB"/>
        </w:rPr>
        <w:t xml:space="preserve"> methods are not able to replace </w:t>
      </w:r>
      <w:r w:rsidRPr="00781D8D">
        <w:rPr>
          <w:i/>
          <w:color w:val="4F81BD" w:themeColor="accent1"/>
          <w:sz w:val="20"/>
          <w:szCs w:val="20"/>
          <w:lang w:val="en-GB"/>
        </w:rPr>
        <w:t>in vivo</w:t>
      </w:r>
      <w:r w:rsidRPr="00781D8D">
        <w:rPr>
          <w:color w:val="4F81BD" w:themeColor="accent1"/>
          <w:sz w:val="20"/>
          <w:szCs w:val="20"/>
          <w:lang w:val="en-GB"/>
        </w:rPr>
        <w:t xml:space="preserve"> methods fully for most regulatory endpoints. Thus, defined approaches can be useful strategies of combining data for classifying substances and mixtures. Results obtained with a defined approach validated according to internat</w:t>
      </w:r>
      <w:r>
        <w:rPr>
          <w:color w:val="4F81BD" w:themeColor="accent1"/>
          <w:sz w:val="20"/>
          <w:szCs w:val="20"/>
          <w:lang w:val="en-GB"/>
        </w:rPr>
        <w:t xml:space="preserve">ional procedures, such as OECD </w:t>
      </w:r>
      <w:r w:rsidRPr="00781D8D">
        <w:rPr>
          <w:color w:val="4F81BD" w:themeColor="accent1"/>
          <w:sz w:val="20"/>
          <w:szCs w:val="20"/>
          <w:lang w:val="en-GB"/>
        </w:rPr>
        <w:t xml:space="preserve">Guideline 497 or an </w:t>
      </w:r>
      <w:r w:rsidRPr="00D220C7">
        <w:rPr>
          <w:color w:val="FF0000"/>
          <w:sz w:val="20"/>
          <w:szCs w:val="20"/>
          <w:lang w:val="en-GB"/>
        </w:rPr>
        <w:t>equivalent</w:t>
      </w:r>
      <w:r w:rsidRPr="00781D8D">
        <w:rPr>
          <w:color w:val="4F81BD" w:themeColor="accent1"/>
          <w:sz w:val="20"/>
          <w:szCs w:val="20"/>
          <w:lang w:val="en-GB"/>
        </w:rPr>
        <w:t xml:space="preserve"> approach, are conclusive for classification for skin sensitisation if the criteria of the defined approach are fulfilled (see Table 3.4.6)</w:t>
      </w:r>
      <w:r w:rsidRPr="00781D8D">
        <w:rPr>
          <w:rStyle w:val="FootnoteReference"/>
          <w:color w:val="4F81BD" w:themeColor="accent1"/>
        </w:rPr>
        <w:footnoteReference w:id="4"/>
      </w:r>
      <w:r w:rsidRPr="00781D8D">
        <w:rPr>
          <w:color w:val="4F81BD" w:themeColor="accent1"/>
          <w:sz w:val="20"/>
          <w:szCs w:val="20"/>
          <w:lang w:val="en-GB"/>
        </w:rPr>
        <w:t xml:space="preserve">. </w:t>
      </w:r>
      <w:r w:rsidRPr="00781D8D">
        <w:rPr>
          <w:iCs/>
          <w:color w:val="4F81BD" w:themeColor="accent1"/>
          <w:sz w:val="20"/>
          <w:szCs w:val="20"/>
          <w:lang w:val="en-GB"/>
        </w:rPr>
        <w:t>D</w:t>
      </w:r>
      <w:r w:rsidRPr="00781D8D">
        <w:rPr>
          <w:color w:val="4F81BD" w:themeColor="accent1"/>
          <w:sz w:val="20"/>
          <w:szCs w:val="20"/>
          <w:lang w:val="en-GB"/>
        </w:rPr>
        <w:t>ata from a defined approach can only be used for classification when the tested substance is within the applicability domain of the defined approach used. Additional limitations described in the published literature should also be taken into consideration.</w:t>
      </w:r>
    </w:p>
    <w:p w14:paraId="6CBF3059" w14:textId="77777777" w:rsidR="00F01F35" w:rsidRPr="00781D8D" w:rsidRDefault="00F01F35" w:rsidP="00F01F35">
      <w:pPr>
        <w:pStyle w:val="Default"/>
        <w:tabs>
          <w:tab w:val="left" w:pos="1418"/>
          <w:tab w:val="left" w:pos="2268"/>
        </w:tabs>
        <w:spacing w:after="240"/>
        <w:ind w:right="119"/>
        <w:jc w:val="both"/>
        <w:rPr>
          <w:color w:val="4F81BD" w:themeColor="accent1"/>
          <w:sz w:val="20"/>
          <w:szCs w:val="20"/>
          <w:lang w:val="en-GB"/>
        </w:rPr>
      </w:pPr>
      <w:r w:rsidRPr="00781D8D">
        <w:rPr>
          <w:color w:val="4F81BD" w:themeColor="accent1"/>
          <w:sz w:val="20"/>
          <w:szCs w:val="20"/>
          <w:lang w:val="en-GB"/>
        </w:rPr>
        <w:t>3.4.2.2.4.2</w:t>
      </w:r>
      <w:r w:rsidRPr="00781D8D">
        <w:rPr>
          <w:color w:val="4F81BD" w:themeColor="accent1"/>
          <w:sz w:val="20"/>
          <w:szCs w:val="20"/>
          <w:lang w:val="en-GB"/>
        </w:rPr>
        <w:tab/>
        <w:t xml:space="preserve">Where the results from defined approaches are assigned a level of confidence as for example in OECD Guideline 497, a low confidence outcome of a defined approach cannot be used on its own to classify but may be considered </w:t>
      </w:r>
      <w:r w:rsidRPr="00547AAF">
        <w:rPr>
          <w:color w:val="4F81BD" w:themeColor="accent1"/>
          <w:sz w:val="20"/>
          <w:szCs w:val="20"/>
          <w:lang w:val="en-GB"/>
        </w:rPr>
        <w:t xml:space="preserve">in combination with other data </w:t>
      </w:r>
      <w:r>
        <w:rPr>
          <w:color w:val="4F81BD" w:themeColor="accent1"/>
          <w:sz w:val="20"/>
          <w:szCs w:val="20"/>
          <w:lang w:val="en-GB"/>
        </w:rPr>
        <w:t>in</w:t>
      </w:r>
      <w:r w:rsidRPr="00781D8D">
        <w:rPr>
          <w:color w:val="4F81BD" w:themeColor="accent1"/>
          <w:sz w:val="20"/>
          <w:szCs w:val="20"/>
          <w:lang w:val="en-GB"/>
        </w:rPr>
        <w:t xml:space="preserve"> Tier 2.</w:t>
      </w:r>
    </w:p>
    <w:p w14:paraId="397067BF" w14:textId="77777777" w:rsidR="00696A5B" w:rsidRPr="00507A9A" w:rsidRDefault="00696A5B" w:rsidP="0063521D">
      <w:pPr>
        <w:pStyle w:val="GHSHeading5"/>
        <w:keepNext w:val="0"/>
        <w:keepLines w:val="0"/>
        <w:widowControl/>
        <w:tabs>
          <w:tab w:val="clear" w:pos="1418"/>
          <w:tab w:val="clear" w:pos="1985"/>
          <w:tab w:val="clear" w:pos="2552"/>
          <w:tab w:val="clear" w:pos="3119"/>
          <w:tab w:val="clear" w:pos="3686"/>
        </w:tabs>
        <w:spacing w:before="240" w:after="240"/>
        <w:ind w:left="1418" w:hanging="1418"/>
        <w:rPr>
          <w:color w:val="4F81BD" w:themeColor="accent1"/>
          <w:sz w:val="20"/>
          <w:szCs w:val="20"/>
        </w:rPr>
      </w:pPr>
      <w:r w:rsidRPr="00507A9A">
        <w:rPr>
          <w:color w:val="4F81BD" w:themeColor="accent1"/>
          <w:sz w:val="20"/>
          <w:szCs w:val="20"/>
        </w:rPr>
        <w:t>3.4.2.2.5</w:t>
      </w:r>
      <w:r w:rsidRPr="00507A9A">
        <w:rPr>
          <w:color w:val="4F81BD" w:themeColor="accent1"/>
          <w:sz w:val="20"/>
          <w:szCs w:val="20"/>
        </w:rPr>
        <w:tab/>
      </w:r>
      <w:r w:rsidRPr="00507A9A">
        <w:rPr>
          <w:b/>
          <w:i/>
          <w:color w:val="4F81BD" w:themeColor="accent1"/>
          <w:sz w:val="20"/>
          <w:szCs w:val="20"/>
        </w:rPr>
        <w:t xml:space="preserve">Classification based on in </w:t>
      </w:r>
      <w:proofErr w:type="spellStart"/>
      <w:r w:rsidRPr="00507A9A">
        <w:rPr>
          <w:b/>
          <w:i/>
          <w:color w:val="4F81BD" w:themeColor="accent1"/>
          <w:sz w:val="20"/>
          <w:szCs w:val="20"/>
        </w:rPr>
        <w:t>chemico</w:t>
      </w:r>
      <w:proofErr w:type="spellEnd"/>
      <w:r w:rsidRPr="00507A9A">
        <w:rPr>
          <w:b/>
          <w:i/>
          <w:color w:val="4F81BD" w:themeColor="accent1"/>
          <w:sz w:val="20"/>
          <w:szCs w:val="20"/>
        </w:rPr>
        <w:t>/in vitro data (Tier 1 or Tier 2 in Figure 3.4.1)</w:t>
      </w:r>
    </w:p>
    <w:p w14:paraId="2848D804" w14:textId="77777777" w:rsidR="00696A5B" w:rsidRPr="00484725" w:rsidRDefault="00696A5B" w:rsidP="0063521D">
      <w:pPr>
        <w:pStyle w:val="GHSHeading5"/>
        <w:keepNext w:val="0"/>
        <w:keepLines w:val="0"/>
        <w:spacing w:before="240" w:after="240"/>
        <w:rPr>
          <w:color w:val="FF0000"/>
          <w:sz w:val="20"/>
          <w:szCs w:val="20"/>
        </w:rPr>
      </w:pPr>
      <w:r w:rsidRPr="00484725">
        <w:rPr>
          <w:color w:val="FF0000"/>
          <w:sz w:val="20"/>
          <w:szCs w:val="20"/>
        </w:rPr>
        <w:t>3.4.2.2.5.1</w:t>
      </w:r>
      <w:r w:rsidRPr="00484725">
        <w:rPr>
          <w:color w:val="FF0000"/>
          <w:sz w:val="20"/>
          <w:szCs w:val="20"/>
        </w:rPr>
        <w:tab/>
        <w:t xml:space="preserve">The currently available </w:t>
      </w:r>
      <w:r w:rsidRPr="00484725">
        <w:rPr>
          <w:i/>
          <w:iCs/>
          <w:color w:val="FF0000"/>
          <w:sz w:val="20"/>
          <w:szCs w:val="20"/>
        </w:rPr>
        <w:t xml:space="preserve">in </w:t>
      </w:r>
      <w:proofErr w:type="spellStart"/>
      <w:r w:rsidRPr="00484725">
        <w:rPr>
          <w:i/>
          <w:iCs/>
          <w:color w:val="FF0000"/>
          <w:sz w:val="20"/>
          <w:szCs w:val="20"/>
        </w:rPr>
        <w:t>chemico</w:t>
      </w:r>
      <w:proofErr w:type="spellEnd"/>
      <w:r>
        <w:rPr>
          <w:i/>
          <w:iCs/>
          <w:color w:val="FF0000"/>
          <w:sz w:val="20"/>
          <w:szCs w:val="20"/>
        </w:rPr>
        <w:t>/</w:t>
      </w:r>
      <w:r w:rsidRPr="00484725">
        <w:rPr>
          <w:i/>
          <w:iCs/>
          <w:color w:val="FF0000"/>
          <w:sz w:val="20"/>
          <w:szCs w:val="20"/>
        </w:rPr>
        <w:t xml:space="preserve">in vitro </w:t>
      </w:r>
      <w:r w:rsidRPr="00484725">
        <w:rPr>
          <w:color w:val="FF0000"/>
          <w:sz w:val="20"/>
          <w:szCs w:val="20"/>
        </w:rPr>
        <w:t>methods address specific biological mechanisms leading to the acquisition of skin sensiti</w:t>
      </w:r>
      <w:r>
        <w:rPr>
          <w:color w:val="FF0000"/>
          <w:sz w:val="20"/>
          <w:szCs w:val="20"/>
        </w:rPr>
        <w:t>z</w:t>
      </w:r>
      <w:r w:rsidRPr="00484725">
        <w:rPr>
          <w:color w:val="FF0000"/>
          <w:sz w:val="20"/>
          <w:szCs w:val="20"/>
        </w:rPr>
        <w:t>ation</w:t>
      </w:r>
      <w:r>
        <w:rPr>
          <w:color w:val="FF0000"/>
          <w:sz w:val="20"/>
          <w:szCs w:val="20"/>
        </w:rPr>
        <w:t xml:space="preserve"> as defined in the </w:t>
      </w:r>
      <w:r w:rsidRPr="00484725">
        <w:rPr>
          <w:color w:val="FF0000"/>
          <w:sz w:val="20"/>
          <w:szCs w:val="20"/>
        </w:rPr>
        <w:t xml:space="preserve">OECD </w:t>
      </w:r>
      <w:r>
        <w:rPr>
          <w:color w:val="FF0000"/>
          <w:sz w:val="20"/>
          <w:szCs w:val="20"/>
        </w:rPr>
        <w:t xml:space="preserve">Adverse Outcome </w:t>
      </w:r>
      <w:r w:rsidRPr="004C3432">
        <w:rPr>
          <w:color w:val="FF0000"/>
          <w:sz w:val="20"/>
          <w:szCs w:val="20"/>
        </w:rPr>
        <w:t>Pathway for Skin Sensitisation</w:t>
      </w:r>
      <w:r w:rsidRPr="00484725">
        <w:rPr>
          <w:color w:val="FF0000"/>
          <w:sz w:val="20"/>
          <w:szCs w:val="20"/>
        </w:rPr>
        <w:t xml:space="preserve">. Individual </w:t>
      </w:r>
      <w:r>
        <w:rPr>
          <w:color w:val="FF0000"/>
          <w:sz w:val="20"/>
          <w:szCs w:val="20"/>
        </w:rPr>
        <w:t xml:space="preserve">test </w:t>
      </w:r>
      <w:r w:rsidRPr="00484725">
        <w:rPr>
          <w:color w:val="FF0000"/>
          <w:sz w:val="20"/>
          <w:szCs w:val="20"/>
        </w:rPr>
        <w:t xml:space="preserve">methods that are validated </w:t>
      </w:r>
      <w:r>
        <w:rPr>
          <w:color w:val="FF0000"/>
          <w:sz w:val="20"/>
          <w:szCs w:val="20"/>
        </w:rPr>
        <w:t>according to international procedures and are accepted</w:t>
      </w:r>
      <w:r w:rsidRPr="00484725">
        <w:rPr>
          <w:color w:val="FF0000"/>
          <w:sz w:val="20"/>
          <w:szCs w:val="20"/>
        </w:rPr>
        <w:t xml:space="preserve"> as stand-alone methods</w:t>
      </w:r>
      <w:r>
        <w:rPr>
          <w:color w:val="FF0000"/>
          <w:sz w:val="20"/>
          <w:szCs w:val="20"/>
        </w:rPr>
        <w:t xml:space="preserve">, </w:t>
      </w:r>
      <w:r w:rsidRPr="00484725">
        <w:rPr>
          <w:color w:val="FF0000"/>
          <w:sz w:val="20"/>
          <w:szCs w:val="20"/>
        </w:rPr>
        <w:t>can be used to conclude on the classification</w:t>
      </w:r>
      <w:r>
        <w:rPr>
          <w:color w:val="FF0000"/>
          <w:sz w:val="20"/>
          <w:szCs w:val="20"/>
        </w:rPr>
        <w:t xml:space="preserve"> in Tier 1</w:t>
      </w:r>
      <w:r w:rsidRPr="00484725">
        <w:rPr>
          <w:color w:val="FF0000"/>
          <w:sz w:val="20"/>
          <w:szCs w:val="20"/>
        </w:rPr>
        <w:t xml:space="preserve">. </w:t>
      </w:r>
      <w:r>
        <w:rPr>
          <w:color w:val="FF0000"/>
          <w:sz w:val="20"/>
          <w:szCs w:val="20"/>
        </w:rPr>
        <w:t>A competent authority may decide which methods and classification criteria, if any, can be used to conclude on the classification in Tier 1. The guidance in 3.4.5.3.5 provides information on the currently available methods in OECD TG 442C.</w:t>
      </w:r>
    </w:p>
    <w:p w14:paraId="0D93CBD3" w14:textId="77777777" w:rsidR="00696A5B" w:rsidRPr="00484725" w:rsidRDefault="00696A5B" w:rsidP="0063521D">
      <w:pPr>
        <w:pStyle w:val="GHSHeading5"/>
        <w:keepNext w:val="0"/>
        <w:keepLines w:val="0"/>
        <w:widowControl/>
        <w:tabs>
          <w:tab w:val="clear" w:pos="1418"/>
          <w:tab w:val="clear" w:pos="1985"/>
          <w:tab w:val="clear" w:pos="2552"/>
          <w:tab w:val="clear" w:pos="3119"/>
          <w:tab w:val="clear" w:pos="3686"/>
        </w:tabs>
        <w:spacing w:before="240" w:after="240"/>
        <w:rPr>
          <w:color w:val="FF0000"/>
          <w:sz w:val="20"/>
          <w:szCs w:val="20"/>
        </w:rPr>
      </w:pPr>
      <w:r w:rsidRPr="00484725">
        <w:rPr>
          <w:color w:val="FF0000"/>
          <w:sz w:val="20"/>
          <w:szCs w:val="20"/>
        </w:rPr>
        <w:t>3.4.2.2.5.2</w:t>
      </w:r>
      <w:r w:rsidRPr="00484725">
        <w:rPr>
          <w:color w:val="FF0000"/>
          <w:sz w:val="20"/>
          <w:szCs w:val="20"/>
        </w:rPr>
        <w:tab/>
        <w:t>Other non</w:t>
      </w:r>
      <w:r>
        <w:rPr>
          <w:color w:val="FF0000"/>
          <w:sz w:val="20"/>
          <w:szCs w:val="20"/>
        </w:rPr>
        <w:t>-</w:t>
      </w:r>
      <w:r w:rsidRPr="00484725">
        <w:rPr>
          <w:color w:val="FF0000"/>
          <w:sz w:val="20"/>
          <w:szCs w:val="20"/>
        </w:rPr>
        <w:t xml:space="preserve">stand-alone </w:t>
      </w:r>
      <w:r w:rsidRPr="00DD103C">
        <w:rPr>
          <w:i/>
          <w:color w:val="FF0000"/>
          <w:sz w:val="20"/>
          <w:szCs w:val="20"/>
        </w:rPr>
        <w:t>in</w:t>
      </w:r>
      <w:r w:rsidRPr="00484725">
        <w:rPr>
          <w:color w:val="FF0000"/>
          <w:sz w:val="20"/>
          <w:szCs w:val="20"/>
        </w:rPr>
        <w:t xml:space="preserve"> </w:t>
      </w:r>
      <w:proofErr w:type="spellStart"/>
      <w:r w:rsidRPr="00484725">
        <w:rPr>
          <w:i/>
          <w:iCs/>
          <w:color w:val="FF0000"/>
          <w:sz w:val="20"/>
          <w:szCs w:val="20"/>
        </w:rPr>
        <w:t>chemico</w:t>
      </w:r>
      <w:proofErr w:type="spellEnd"/>
      <w:r w:rsidRPr="00484725">
        <w:rPr>
          <w:i/>
          <w:iCs/>
          <w:color w:val="FF0000"/>
          <w:sz w:val="20"/>
          <w:szCs w:val="20"/>
        </w:rPr>
        <w:t>/in vitro</w:t>
      </w:r>
      <w:r w:rsidRPr="00484725">
        <w:rPr>
          <w:color w:val="FF0000"/>
          <w:sz w:val="20"/>
          <w:szCs w:val="20"/>
        </w:rPr>
        <w:t xml:space="preserve"> methods that are validated </w:t>
      </w:r>
      <w:r>
        <w:rPr>
          <w:color w:val="FF0000"/>
          <w:sz w:val="20"/>
          <w:szCs w:val="20"/>
        </w:rPr>
        <w:t xml:space="preserve">according to international procedures </w:t>
      </w:r>
      <w:r w:rsidRPr="00484725">
        <w:rPr>
          <w:color w:val="FF0000"/>
          <w:sz w:val="20"/>
          <w:szCs w:val="20"/>
        </w:rPr>
        <w:t xml:space="preserve">such as OECD </w:t>
      </w:r>
      <w:r w:rsidRPr="005100A0">
        <w:rPr>
          <w:color w:val="FF0000"/>
          <w:sz w:val="20"/>
          <w:szCs w:val="20"/>
        </w:rPr>
        <w:t>Test Guidelines 442C, 442D and 442E</w:t>
      </w:r>
      <w:r>
        <w:rPr>
          <w:color w:val="FF0000"/>
          <w:sz w:val="20"/>
          <w:szCs w:val="20"/>
        </w:rPr>
        <w:t>,</w:t>
      </w:r>
      <w:r w:rsidRPr="005100A0">
        <w:rPr>
          <w:color w:val="FF0000"/>
          <w:sz w:val="20"/>
          <w:szCs w:val="20"/>
        </w:rPr>
        <w:t xml:space="preserve"> </w:t>
      </w:r>
      <w:r>
        <w:rPr>
          <w:color w:val="FF0000"/>
          <w:sz w:val="20"/>
          <w:szCs w:val="20"/>
        </w:rPr>
        <w:t xml:space="preserve">are accepted as supportive evidence and </w:t>
      </w:r>
      <w:r w:rsidRPr="00484725">
        <w:rPr>
          <w:color w:val="FF0000"/>
          <w:sz w:val="20"/>
          <w:szCs w:val="20"/>
        </w:rPr>
        <w:t xml:space="preserve">should </w:t>
      </w:r>
      <w:r>
        <w:rPr>
          <w:color w:val="FF0000"/>
          <w:sz w:val="20"/>
          <w:szCs w:val="20"/>
        </w:rPr>
        <w:t xml:space="preserve">within Tier 1 </w:t>
      </w:r>
      <w:r w:rsidRPr="00484725">
        <w:rPr>
          <w:color w:val="FF0000"/>
          <w:sz w:val="20"/>
          <w:szCs w:val="20"/>
        </w:rPr>
        <w:t xml:space="preserve">only be used in combination with other types of </w:t>
      </w:r>
      <w:r>
        <w:rPr>
          <w:color w:val="FF0000"/>
          <w:sz w:val="20"/>
          <w:szCs w:val="20"/>
        </w:rPr>
        <w:t>data.</w:t>
      </w:r>
      <w:r w:rsidRPr="00484725">
        <w:rPr>
          <w:color w:val="FF0000"/>
          <w:sz w:val="20"/>
          <w:szCs w:val="20"/>
        </w:rPr>
        <w:t xml:space="preserve"> </w:t>
      </w:r>
      <w:r w:rsidRPr="00CF78C1">
        <w:rPr>
          <w:strike/>
          <w:color w:val="FF0000"/>
          <w:sz w:val="20"/>
          <w:szCs w:val="20"/>
        </w:rPr>
        <w:t xml:space="preserve">preferably </w:t>
      </w:r>
      <w:bookmarkStart w:id="0" w:name="_Hlk87885915"/>
      <w:r w:rsidRPr="0033266D">
        <w:rPr>
          <w:color w:val="FF0000"/>
          <w:sz w:val="20"/>
          <w:szCs w:val="20"/>
        </w:rPr>
        <w:t>in defined approaches</w:t>
      </w:r>
      <w:r w:rsidRPr="00CF78C1">
        <w:rPr>
          <w:strike/>
          <w:color w:val="FF0000"/>
          <w:sz w:val="20"/>
          <w:szCs w:val="20"/>
        </w:rPr>
        <w:t xml:space="preserve"> or alternatively in a weight-of-evidence assessment</w:t>
      </w:r>
      <w:bookmarkEnd w:id="0"/>
      <w:r w:rsidRPr="00CF78C1">
        <w:rPr>
          <w:strike/>
          <w:color w:val="FF0000"/>
          <w:sz w:val="20"/>
          <w:szCs w:val="20"/>
        </w:rPr>
        <w:t xml:space="preserve"> in subsequent tiers</w:t>
      </w:r>
      <w:r w:rsidRPr="009E1A2F">
        <w:rPr>
          <w:color w:val="FF0000"/>
          <w:sz w:val="20"/>
          <w:szCs w:val="20"/>
        </w:rPr>
        <w:t>.</w:t>
      </w:r>
      <w:r w:rsidRPr="009E1A2F">
        <w:rPr>
          <w:snapToGrid/>
          <w:color w:val="FF0000"/>
          <w:sz w:val="20"/>
          <w:szCs w:val="20"/>
        </w:rPr>
        <w:t xml:space="preserve"> </w:t>
      </w:r>
      <w:r w:rsidRPr="005100A0">
        <w:rPr>
          <w:color w:val="FF0000"/>
          <w:sz w:val="20"/>
          <w:szCs w:val="20"/>
        </w:rPr>
        <w:t>When already considered within a defined approach</w:t>
      </w:r>
      <w:r>
        <w:rPr>
          <w:color w:val="FF0000"/>
          <w:sz w:val="20"/>
          <w:szCs w:val="20"/>
        </w:rPr>
        <w:t xml:space="preserve"> in Tier 1</w:t>
      </w:r>
      <w:r w:rsidRPr="005100A0">
        <w:rPr>
          <w:color w:val="FF0000"/>
          <w:sz w:val="20"/>
          <w:szCs w:val="20"/>
        </w:rPr>
        <w:t xml:space="preserve">, non-stand-alone </w:t>
      </w:r>
      <w:r w:rsidRPr="00DD103C">
        <w:rPr>
          <w:i/>
          <w:color w:val="FF0000"/>
          <w:sz w:val="20"/>
          <w:szCs w:val="20"/>
        </w:rPr>
        <w:t>in</w:t>
      </w:r>
      <w:r w:rsidRPr="005100A0">
        <w:rPr>
          <w:color w:val="FF0000"/>
          <w:sz w:val="20"/>
          <w:szCs w:val="20"/>
        </w:rPr>
        <w:t xml:space="preserve"> </w:t>
      </w:r>
      <w:proofErr w:type="spellStart"/>
      <w:r w:rsidRPr="005100A0">
        <w:rPr>
          <w:i/>
          <w:iCs/>
          <w:color w:val="FF0000"/>
          <w:sz w:val="20"/>
          <w:szCs w:val="20"/>
        </w:rPr>
        <w:t>chemico</w:t>
      </w:r>
      <w:proofErr w:type="spellEnd"/>
      <w:r w:rsidRPr="005100A0">
        <w:rPr>
          <w:i/>
          <w:iCs/>
          <w:color w:val="FF0000"/>
          <w:sz w:val="20"/>
          <w:szCs w:val="20"/>
        </w:rPr>
        <w:t>/in vitro</w:t>
      </w:r>
      <w:r w:rsidRPr="005100A0">
        <w:rPr>
          <w:color w:val="FF0000"/>
          <w:sz w:val="20"/>
          <w:szCs w:val="20"/>
        </w:rPr>
        <w:t xml:space="preserve"> methods should not be considered as an additional l</w:t>
      </w:r>
      <w:r>
        <w:rPr>
          <w:color w:val="FF0000"/>
          <w:sz w:val="20"/>
          <w:szCs w:val="20"/>
        </w:rPr>
        <w:t>ine of evidence in subsequent Tiers (see 3.4.2.2.7.4</w:t>
      </w:r>
      <w:r w:rsidRPr="005100A0">
        <w:rPr>
          <w:color w:val="FF0000"/>
          <w:sz w:val="20"/>
          <w:szCs w:val="20"/>
        </w:rPr>
        <w:t xml:space="preserve">). </w:t>
      </w:r>
      <w:r w:rsidRPr="00484725">
        <w:rPr>
          <w:color w:val="FF0000"/>
          <w:sz w:val="20"/>
          <w:szCs w:val="20"/>
        </w:rPr>
        <w:t xml:space="preserve"> </w:t>
      </w:r>
      <w:r w:rsidRPr="005100A0">
        <w:rPr>
          <w:strike/>
          <w:color w:val="FF0000"/>
          <w:sz w:val="20"/>
          <w:szCs w:val="20"/>
        </w:rPr>
        <w:t>However,</w:t>
      </w:r>
      <w:r>
        <w:rPr>
          <w:color w:val="FF0000"/>
          <w:sz w:val="20"/>
          <w:szCs w:val="20"/>
        </w:rPr>
        <w:t xml:space="preserve"> </w:t>
      </w:r>
      <w:proofErr w:type="gramStart"/>
      <w:r>
        <w:rPr>
          <w:color w:val="FF0000"/>
          <w:sz w:val="20"/>
          <w:szCs w:val="20"/>
        </w:rPr>
        <w:t>W</w:t>
      </w:r>
      <w:r w:rsidRPr="00484725">
        <w:rPr>
          <w:color w:val="FF0000"/>
          <w:sz w:val="20"/>
          <w:szCs w:val="20"/>
        </w:rPr>
        <w:t>here</w:t>
      </w:r>
      <w:proofErr w:type="gramEnd"/>
      <w:r w:rsidRPr="00484725">
        <w:rPr>
          <w:color w:val="FF0000"/>
          <w:sz w:val="20"/>
          <w:szCs w:val="20"/>
        </w:rPr>
        <w:t xml:space="preserve"> </w:t>
      </w:r>
      <w:r>
        <w:rPr>
          <w:color w:val="FF0000"/>
          <w:sz w:val="20"/>
          <w:szCs w:val="20"/>
        </w:rPr>
        <w:t xml:space="preserve">non-stand alone </w:t>
      </w:r>
      <w:r w:rsidRPr="003F2248">
        <w:rPr>
          <w:i/>
          <w:color w:val="FF0000"/>
          <w:sz w:val="20"/>
          <w:szCs w:val="20"/>
        </w:rPr>
        <w:t>in</w:t>
      </w:r>
      <w:r>
        <w:rPr>
          <w:color w:val="FF0000"/>
          <w:sz w:val="20"/>
          <w:szCs w:val="20"/>
        </w:rPr>
        <w:t xml:space="preserve"> </w:t>
      </w:r>
      <w:proofErr w:type="spellStart"/>
      <w:r w:rsidRPr="009D1DA4">
        <w:rPr>
          <w:i/>
          <w:iCs/>
          <w:color w:val="FF0000"/>
          <w:sz w:val="20"/>
          <w:szCs w:val="20"/>
        </w:rPr>
        <w:t>chemico</w:t>
      </w:r>
      <w:proofErr w:type="spellEnd"/>
      <w:r w:rsidRPr="009D1DA4">
        <w:rPr>
          <w:i/>
          <w:iCs/>
          <w:color w:val="FF0000"/>
          <w:sz w:val="20"/>
          <w:szCs w:val="20"/>
        </w:rPr>
        <w:t>/in vitro</w:t>
      </w:r>
      <w:r>
        <w:rPr>
          <w:color w:val="FF0000"/>
          <w:sz w:val="20"/>
          <w:szCs w:val="20"/>
        </w:rPr>
        <w:t xml:space="preserve"> data is available and it is not used in define approaches within Tier1 they should be used in combination with other data in a weight-of evidence in Tier 2 or in an overall weigh-of-evidence in Tier 3. In case </w:t>
      </w:r>
      <w:r w:rsidRPr="00245136">
        <w:rPr>
          <w:color w:val="FF0000"/>
          <w:sz w:val="20"/>
          <w:szCs w:val="20"/>
        </w:rPr>
        <w:t xml:space="preserve">a positive result from a non-stand-alone </w:t>
      </w:r>
      <w:r w:rsidRPr="00245136">
        <w:rPr>
          <w:i/>
          <w:color w:val="FF0000"/>
          <w:sz w:val="20"/>
          <w:szCs w:val="20"/>
        </w:rPr>
        <w:t>in</w:t>
      </w:r>
      <w:r w:rsidRPr="00245136">
        <w:rPr>
          <w:color w:val="FF0000"/>
          <w:sz w:val="20"/>
          <w:szCs w:val="20"/>
        </w:rPr>
        <w:t xml:space="preserve"> </w:t>
      </w:r>
      <w:proofErr w:type="spellStart"/>
      <w:r w:rsidRPr="00245136">
        <w:rPr>
          <w:i/>
          <w:iCs/>
          <w:color w:val="FF0000"/>
          <w:sz w:val="20"/>
          <w:szCs w:val="20"/>
        </w:rPr>
        <w:t>chemico</w:t>
      </w:r>
      <w:proofErr w:type="spellEnd"/>
      <w:r w:rsidRPr="00245136">
        <w:rPr>
          <w:i/>
          <w:iCs/>
          <w:color w:val="FF0000"/>
          <w:sz w:val="20"/>
          <w:szCs w:val="20"/>
        </w:rPr>
        <w:t>/in vitro</w:t>
      </w:r>
      <w:r w:rsidRPr="00245136">
        <w:rPr>
          <w:color w:val="FF0000"/>
          <w:sz w:val="20"/>
          <w:szCs w:val="20"/>
        </w:rPr>
        <w:t xml:space="preserve"> method validated according to international procedures </w:t>
      </w:r>
      <w:r>
        <w:rPr>
          <w:color w:val="FF0000"/>
          <w:sz w:val="20"/>
          <w:szCs w:val="20"/>
        </w:rPr>
        <w:t xml:space="preserve">is the only evidence available, this can be used </w:t>
      </w:r>
      <w:r w:rsidRPr="00484725">
        <w:rPr>
          <w:color w:val="FF0000"/>
          <w:sz w:val="20"/>
          <w:szCs w:val="20"/>
        </w:rPr>
        <w:t>to classify into category 1.</w:t>
      </w:r>
    </w:p>
    <w:p w14:paraId="79FF243B" w14:textId="77777777" w:rsidR="00696A5B" w:rsidRPr="00484725" w:rsidRDefault="00696A5B" w:rsidP="0063521D">
      <w:pPr>
        <w:pStyle w:val="Default"/>
        <w:tabs>
          <w:tab w:val="left" w:pos="1418"/>
          <w:tab w:val="left" w:pos="2268"/>
        </w:tabs>
        <w:spacing w:after="240"/>
        <w:ind w:right="119"/>
        <w:jc w:val="both"/>
        <w:rPr>
          <w:color w:val="FF0000"/>
          <w:sz w:val="20"/>
          <w:szCs w:val="20"/>
          <w:lang w:val="en-GB"/>
        </w:rPr>
      </w:pPr>
      <w:r w:rsidRPr="00484725">
        <w:rPr>
          <w:color w:val="FF0000"/>
          <w:sz w:val="20"/>
          <w:szCs w:val="20"/>
          <w:lang w:val="en-GB"/>
        </w:rPr>
        <w:t>3.4.2.2.5.3</w:t>
      </w:r>
      <w:r w:rsidRPr="00484725">
        <w:rPr>
          <w:color w:val="FF0000"/>
          <w:sz w:val="20"/>
          <w:szCs w:val="20"/>
          <w:lang w:val="en-GB"/>
        </w:rPr>
        <w:tab/>
        <w:t xml:space="preserve">Other validated </w:t>
      </w:r>
      <w:r w:rsidRPr="00484725">
        <w:rPr>
          <w:i/>
          <w:iCs/>
          <w:color w:val="FF0000"/>
          <w:sz w:val="20"/>
          <w:szCs w:val="20"/>
          <w:lang w:val="en-GB"/>
        </w:rPr>
        <w:t xml:space="preserve">in </w:t>
      </w:r>
      <w:proofErr w:type="spellStart"/>
      <w:r w:rsidRPr="00484725">
        <w:rPr>
          <w:i/>
          <w:iCs/>
          <w:color w:val="FF0000"/>
          <w:sz w:val="20"/>
          <w:szCs w:val="20"/>
          <w:lang w:val="en-GB"/>
        </w:rPr>
        <w:t>chemico</w:t>
      </w:r>
      <w:proofErr w:type="spellEnd"/>
      <w:r w:rsidRPr="00484725">
        <w:rPr>
          <w:i/>
          <w:iCs/>
          <w:color w:val="FF0000"/>
          <w:sz w:val="20"/>
          <w:szCs w:val="20"/>
          <w:lang w:val="en-GB"/>
        </w:rPr>
        <w:t xml:space="preserve">/in vitro </w:t>
      </w:r>
      <w:r w:rsidRPr="00484725">
        <w:rPr>
          <w:color w:val="FF0000"/>
          <w:sz w:val="20"/>
          <w:szCs w:val="20"/>
          <w:lang w:val="en-GB"/>
        </w:rPr>
        <w:t>test methods accepted by some competent authorities are described in 3.4.5.</w:t>
      </w:r>
      <w:r>
        <w:rPr>
          <w:color w:val="FF0000"/>
          <w:sz w:val="20"/>
          <w:szCs w:val="20"/>
          <w:lang w:val="en-GB"/>
        </w:rPr>
        <w:t>3.6.1</w:t>
      </w:r>
      <w:r w:rsidRPr="00484725">
        <w:rPr>
          <w:rStyle w:val="FootnoteReference"/>
          <w:color w:val="FF0000"/>
          <w:szCs w:val="20"/>
        </w:rPr>
        <w:footnoteReference w:id="5"/>
      </w:r>
      <w:r w:rsidRPr="00484725">
        <w:rPr>
          <w:color w:val="FF0000"/>
          <w:sz w:val="20"/>
          <w:szCs w:val="20"/>
          <w:lang w:val="en-GB"/>
        </w:rPr>
        <w:t>. A competent authority may decide which classification criteria, if any, should be applied for these test methods to conclude on classification</w:t>
      </w:r>
      <w:r>
        <w:rPr>
          <w:color w:val="FF0000"/>
          <w:sz w:val="20"/>
          <w:szCs w:val="20"/>
          <w:lang w:val="en-GB"/>
        </w:rPr>
        <w:t>.</w:t>
      </w:r>
      <w:r w:rsidRPr="00484725">
        <w:rPr>
          <w:color w:val="FF0000"/>
          <w:sz w:val="20"/>
          <w:szCs w:val="20"/>
          <w:lang w:val="en-GB"/>
        </w:rPr>
        <w:t xml:space="preserve"> </w:t>
      </w:r>
    </w:p>
    <w:p w14:paraId="4C1DEFAE" w14:textId="77777777" w:rsidR="00696A5B" w:rsidRPr="00A54505" w:rsidRDefault="00696A5B" w:rsidP="0063521D">
      <w:pPr>
        <w:pStyle w:val="Default"/>
        <w:tabs>
          <w:tab w:val="left" w:pos="1418"/>
          <w:tab w:val="left" w:pos="2268"/>
        </w:tabs>
        <w:spacing w:after="240"/>
        <w:ind w:right="119"/>
        <w:jc w:val="both"/>
        <w:rPr>
          <w:color w:val="4F81BD" w:themeColor="accent1"/>
          <w:sz w:val="20"/>
          <w:szCs w:val="20"/>
          <w:lang w:val="en-GB"/>
        </w:rPr>
      </w:pPr>
      <w:r w:rsidRPr="00A54505">
        <w:rPr>
          <w:color w:val="4F81BD" w:themeColor="accent1"/>
          <w:sz w:val="20"/>
          <w:szCs w:val="20"/>
          <w:lang w:val="en-GB"/>
        </w:rPr>
        <w:t>3.4.2.2.5.</w:t>
      </w:r>
      <w:r w:rsidRPr="00A54505">
        <w:rPr>
          <w:strike/>
          <w:color w:val="4F81BD" w:themeColor="accent1"/>
          <w:sz w:val="20"/>
          <w:szCs w:val="20"/>
          <w:lang w:val="en-GB"/>
        </w:rPr>
        <w:t>3</w:t>
      </w:r>
      <w:r w:rsidRPr="00A54505">
        <w:rPr>
          <w:color w:val="4F81BD" w:themeColor="accent1"/>
          <w:sz w:val="20"/>
          <w:szCs w:val="20"/>
          <w:lang w:val="en-GB"/>
        </w:rPr>
        <w:t>.4</w:t>
      </w:r>
      <w:r w:rsidRPr="00A54505">
        <w:rPr>
          <w:color w:val="4F81BD" w:themeColor="accent1"/>
          <w:sz w:val="20"/>
          <w:szCs w:val="20"/>
          <w:lang w:val="en-GB"/>
        </w:rPr>
        <w:tab/>
      </w:r>
      <w:r w:rsidRPr="00A54505">
        <w:rPr>
          <w:i/>
          <w:iCs/>
          <w:color w:val="4F81BD" w:themeColor="accent1"/>
          <w:sz w:val="20"/>
          <w:szCs w:val="20"/>
          <w:lang w:val="en-GB"/>
        </w:rPr>
        <w:t xml:space="preserve">In </w:t>
      </w:r>
      <w:proofErr w:type="spellStart"/>
      <w:r w:rsidRPr="00A54505">
        <w:rPr>
          <w:i/>
          <w:iCs/>
          <w:color w:val="4F81BD" w:themeColor="accent1"/>
          <w:sz w:val="20"/>
          <w:szCs w:val="20"/>
          <w:lang w:val="en-GB"/>
        </w:rPr>
        <w:t>chemico</w:t>
      </w:r>
      <w:proofErr w:type="spellEnd"/>
      <w:r w:rsidRPr="00A54505">
        <w:rPr>
          <w:i/>
          <w:iCs/>
          <w:color w:val="4F81BD" w:themeColor="accent1"/>
          <w:sz w:val="20"/>
          <w:szCs w:val="20"/>
          <w:lang w:val="en-GB"/>
        </w:rPr>
        <w:t xml:space="preserve">/in vitro </w:t>
      </w:r>
      <w:r w:rsidRPr="00A54505">
        <w:rPr>
          <w:color w:val="4F81BD" w:themeColor="accent1"/>
          <w:sz w:val="20"/>
          <w:szCs w:val="20"/>
          <w:lang w:val="en-GB"/>
        </w:rPr>
        <w:t>data can only be used for classification when the tested substance is within the applicability domain of the test method(s) used. Additional limitations described in the published literature should also be taken into consideration.</w:t>
      </w:r>
    </w:p>
    <w:p w14:paraId="3380D6FB" w14:textId="77777777" w:rsidR="00696A5B" w:rsidRPr="004C3B32" w:rsidRDefault="00696A5B" w:rsidP="0063521D">
      <w:pPr>
        <w:pStyle w:val="GHSHeading5"/>
        <w:keepNext w:val="0"/>
        <w:keepLines w:val="0"/>
        <w:widowControl/>
        <w:tabs>
          <w:tab w:val="clear" w:pos="1418"/>
          <w:tab w:val="clear" w:pos="1985"/>
          <w:tab w:val="clear" w:pos="2552"/>
          <w:tab w:val="clear" w:pos="3119"/>
          <w:tab w:val="clear" w:pos="3686"/>
        </w:tabs>
        <w:spacing w:before="240" w:after="240"/>
        <w:ind w:left="1418" w:hanging="1418"/>
        <w:rPr>
          <w:color w:val="4F81BD" w:themeColor="accent1"/>
          <w:sz w:val="20"/>
          <w:szCs w:val="20"/>
        </w:rPr>
      </w:pPr>
      <w:r w:rsidRPr="004C3B32">
        <w:rPr>
          <w:color w:val="4F81BD" w:themeColor="accent1"/>
          <w:sz w:val="20"/>
          <w:szCs w:val="20"/>
        </w:rPr>
        <w:t>3.4.2.2.6</w:t>
      </w:r>
      <w:r w:rsidRPr="004C3B32">
        <w:rPr>
          <w:color w:val="4F81BD" w:themeColor="accent1"/>
          <w:sz w:val="20"/>
          <w:szCs w:val="20"/>
        </w:rPr>
        <w:tab/>
      </w:r>
      <w:r w:rsidRPr="004C3B32">
        <w:rPr>
          <w:b/>
          <w:bCs/>
          <w:i/>
          <w:iCs/>
          <w:color w:val="4F81BD" w:themeColor="accent1"/>
          <w:sz w:val="20"/>
          <w:szCs w:val="20"/>
        </w:rPr>
        <w:t>Classification based on non-test methods (Tier 2 in Figure 3.4.1)</w:t>
      </w:r>
    </w:p>
    <w:p w14:paraId="70C41CD1" w14:textId="77777777" w:rsidR="00696A5B" w:rsidRPr="004C3B32" w:rsidRDefault="00696A5B" w:rsidP="0063521D">
      <w:pPr>
        <w:pStyle w:val="GHSHeading5"/>
        <w:keepNext w:val="0"/>
        <w:keepLines w:val="0"/>
        <w:spacing w:before="240" w:after="240"/>
        <w:rPr>
          <w:color w:val="4F81BD" w:themeColor="accent1"/>
        </w:rPr>
      </w:pPr>
      <w:r w:rsidRPr="004C3B32">
        <w:rPr>
          <w:color w:val="4F81BD" w:themeColor="accent1"/>
          <w:sz w:val="20"/>
          <w:szCs w:val="20"/>
        </w:rPr>
        <w:t>3.4.2.2.6.1</w:t>
      </w:r>
      <w:r w:rsidRPr="004C3B32">
        <w:rPr>
          <w:color w:val="4F81BD" w:themeColor="accent1"/>
          <w:sz w:val="20"/>
          <w:szCs w:val="20"/>
        </w:rPr>
        <w:tab/>
        <w:t>Classification, including the conclusion not classified, can be based on non-test methods, with due consideration of reliability and applicability, on a case-by-case basis. Specific non-test methods may also be used in a defined approach. When already considered within a defined approach, these specific non-test methods should not be considered as an additional line of evidence (see 3.4.2.2.7.4). Non-test methods include computer models predicting qualitative structure activity relationships (structural alerts, SAR) or quantitative structure-activity relationships (QSARs), computer expert systems, and read-across using analogue and category approaches.</w:t>
      </w:r>
      <w:r w:rsidRPr="004C3B32">
        <w:rPr>
          <w:color w:val="4F81BD" w:themeColor="accent1"/>
        </w:rPr>
        <w:t xml:space="preserve"> </w:t>
      </w:r>
    </w:p>
    <w:p w14:paraId="2E9282A0" w14:textId="77777777" w:rsidR="00696A5B" w:rsidRPr="00484725" w:rsidRDefault="00696A5B" w:rsidP="0063521D">
      <w:pPr>
        <w:pStyle w:val="GHSHeading5"/>
        <w:keepNext w:val="0"/>
        <w:keepLines w:val="0"/>
        <w:spacing w:before="240" w:after="240"/>
        <w:rPr>
          <w:color w:val="FF0000"/>
          <w:sz w:val="20"/>
          <w:szCs w:val="20"/>
        </w:rPr>
      </w:pPr>
      <w:r w:rsidRPr="00484725">
        <w:rPr>
          <w:color w:val="FF0000"/>
          <w:sz w:val="20"/>
          <w:szCs w:val="20"/>
        </w:rPr>
        <w:t xml:space="preserve">3.4.2.2.6.2 </w:t>
      </w:r>
      <w:r w:rsidRPr="00484725">
        <w:rPr>
          <w:color w:val="FF0000"/>
          <w:sz w:val="20"/>
          <w:szCs w:val="20"/>
        </w:rPr>
        <w:tab/>
        <w:t>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w:t>
      </w:r>
      <w:r w:rsidRPr="005100A0">
        <w:rPr>
          <w:color w:val="FF0000"/>
          <w:sz w:val="20"/>
          <w:szCs w:val="20"/>
        </w:rPr>
        <w:t xml:space="preserve"> For conclusions on no classification from read-across the adequacy and robustness of the scientific reasoning and of the supporting evidence should be well substantiated and</w:t>
      </w:r>
      <w:r>
        <w:rPr>
          <w:color w:val="FF0000"/>
          <w:sz w:val="20"/>
          <w:szCs w:val="20"/>
        </w:rPr>
        <w:t xml:space="preserve"> normally</w:t>
      </w:r>
      <w:r w:rsidRPr="005100A0">
        <w:rPr>
          <w:color w:val="FF0000"/>
          <w:sz w:val="20"/>
          <w:szCs w:val="20"/>
        </w:rPr>
        <w:t xml:space="preserve"> requires multiple negative substances with good structural and physical (related to </w:t>
      </w:r>
      <w:proofErr w:type="spellStart"/>
      <w:r w:rsidRPr="005100A0">
        <w:rPr>
          <w:color w:val="FF0000"/>
          <w:sz w:val="20"/>
          <w:szCs w:val="20"/>
        </w:rPr>
        <w:t>toxicokinetics</w:t>
      </w:r>
      <w:proofErr w:type="spellEnd"/>
      <w:r w:rsidRPr="005100A0">
        <w:rPr>
          <w:color w:val="FF0000"/>
          <w:sz w:val="20"/>
          <w:szCs w:val="20"/>
        </w:rPr>
        <w:t xml:space="preserve">) similarity to the substance being classified </w:t>
      </w:r>
      <w:r w:rsidRPr="00687CBA">
        <w:rPr>
          <w:strike/>
          <w:color w:val="FF0000"/>
          <w:sz w:val="20"/>
          <w:szCs w:val="20"/>
        </w:rPr>
        <w:t xml:space="preserve">and </w:t>
      </w:r>
      <w:proofErr w:type="gramStart"/>
      <w:r w:rsidRPr="00687CBA">
        <w:rPr>
          <w:strike/>
          <w:color w:val="FF0000"/>
          <w:sz w:val="20"/>
          <w:szCs w:val="20"/>
        </w:rPr>
        <w:t>the</w:t>
      </w:r>
      <w:r w:rsidRPr="005100A0">
        <w:rPr>
          <w:color w:val="FF0000"/>
          <w:sz w:val="20"/>
          <w:szCs w:val="20"/>
        </w:rPr>
        <w:t xml:space="preserve"> </w:t>
      </w:r>
      <w:r>
        <w:rPr>
          <w:color w:val="FF0000"/>
          <w:sz w:val="20"/>
          <w:szCs w:val="20"/>
        </w:rPr>
        <w:t>as well as</w:t>
      </w:r>
      <w:proofErr w:type="gramEnd"/>
      <w:r>
        <w:rPr>
          <w:color w:val="FF0000"/>
          <w:sz w:val="20"/>
          <w:szCs w:val="20"/>
        </w:rPr>
        <w:t xml:space="preserve"> a clear </w:t>
      </w:r>
      <w:r w:rsidRPr="005100A0">
        <w:rPr>
          <w:color w:val="FF0000"/>
          <w:sz w:val="20"/>
          <w:szCs w:val="20"/>
        </w:rPr>
        <w:t>absence of positive substances with good structural and physical similarity to the substance being classified.</w:t>
      </w:r>
      <w:r w:rsidRPr="00484725">
        <w:rPr>
          <w:color w:val="FF0000"/>
          <w:sz w:val="20"/>
          <w:szCs w:val="20"/>
        </w:rPr>
        <w:t xml:space="preserve"> </w:t>
      </w:r>
    </w:p>
    <w:p w14:paraId="261AA319" w14:textId="08ADE7B0" w:rsidR="00696A5B" w:rsidRPr="00EE42D3" w:rsidRDefault="00696A5B" w:rsidP="00EE42D3">
      <w:pPr>
        <w:pStyle w:val="GHSHeading5"/>
        <w:keepNext w:val="0"/>
        <w:keepLines w:val="0"/>
        <w:spacing w:before="240" w:after="240"/>
        <w:rPr>
          <w:color w:val="FF0000"/>
          <w:sz w:val="20"/>
          <w:szCs w:val="20"/>
        </w:rPr>
      </w:pPr>
      <w:r w:rsidRPr="00484725">
        <w:rPr>
          <w:color w:val="FF0000"/>
          <w:sz w:val="20"/>
          <w:szCs w:val="20"/>
        </w:rPr>
        <w:t xml:space="preserve">3.4.2.2.6.3 </w:t>
      </w:r>
      <w:r w:rsidRPr="00484725">
        <w:rPr>
          <w:color w:val="FF0000"/>
          <w:sz w:val="20"/>
          <w:szCs w:val="20"/>
        </w:rPr>
        <w:tab/>
        <w:t>Classification based on (Q)SARs requires sufficient data and validation of the model. The validity of the computer models and the prediction should be assessed using internationally recognised principles for the validation of (Q)SARs. With respect to reliability, lack of alerts in a SAR or expert system is not sufficient evidence for no classification.</w:t>
      </w:r>
      <w:r w:rsidRPr="005100A0">
        <w:rPr>
          <w:snapToGrid/>
          <w:color w:val="FF0000"/>
          <w:sz w:val="20"/>
          <w:szCs w:val="20"/>
        </w:rPr>
        <w:t xml:space="preserve"> </w:t>
      </w:r>
      <w:r w:rsidRPr="005100A0">
        <w:rPr>
          <w:color w:val="FF0000"/>
          <w:sz w:val="20"/>
          <w:szCs w:val="20"/>
        </w:rPr>
        <w:t>For conclusions on no classification from (Q)SARs the adequacy and robustness of the scientific reasoning and of the supporting evidence should be well substantiated and</w:t>
      </w:r>
      <w:r>
        <w:rPr>
          <w:color w:val="FF0000"/>
          <w:sz w:val="20"/>
          <w:szCs w:val="20"/>
        </w:rPr>
        <w:t xml:space="preserve"> normally</w:t>
      </w:r>
      <w:r w:rsidRPr="005100A0">
        <w:rPr>
          <w:color w:val="FF0000"/>
          <w:sz w:val="20"/>
          <w:szCs w:val="20"/>
        </w:rPr>
        <w:t xml:space="preserve"> requires multiple negative substances with good structural and physical (related to </w:t>
      </w:r>
      <w:proofErr w:type="spellStart"/>
      <w:r w:rsidRPr="005100A0">
        <w:rPr>
          <w:color w:val="FF0000"/>
          <w:sz w:val="20"/>
          <w:szCs w:val="20"/>
        </w:rPr>
        <w:t>toxicokinetics</w:t>
      </w:r>
      <w:proofErr w:type="spellEnd"/>
      <w:r w:rsidRPr="005100A0">
        <w:rPr>
          <w:color w:val="FF0000"/>
          <w:sz w:val="20"/>
          <w:szCs w:val="20"/>
        </w:rPr>
        <w:t xml:space="preserve">) similarity to the substance being classified, </w:t>
      </w:r>
      <w:r w:rsidRPr="00F01755">
        <w:rPr>
          <w:strike/>
          <w:color w:val="FF0000"/>
          <w:sz w:val="20"/>
          <w:szCs w:val="20"/>
        </w:rPr>
        <w:t>show</w:t>
      </w:r>
      <w:r w:rsidRPr="005100A0">
        <w:rPr>
          <w:color w:val="FF0000"/>
          <w:sz w:val="20"/>
          <w:szCs w:val="20"/>
        </w:rPr>
        <w:t xml:space="preserve"> </w:t>
      </w:r>
      <w:r>
        <w:rPr>
          <w:color w:val="FF0000"/>
          <w:sz w:val="20"/>
          <w:szCs w:val="20"/>
        </w:rPr>
        <w:t xml:space="preserve">as well as </w:t>
      </w:r>
      <w:r w:rsidRPr="005100A0">
        <w:rPr>
          <w:color w:val="FF0000"/>
          <w:sz w:val="20"/>
          <w:szCs w:val="20"/>
        </w:rPr>
        <w:t xml:space="preserve">a clear </w:t>
      </w:r>
      <w:r w:rsidRPr="00C2141A">
        <w:rPr>
          <w:strike/>
          <w:color w:val="FF0000"/>
          <w:sz w:val="20"/>
          <w:szCs w:val="20"/>
        </w:rPr>
        <w:t xml:space="preserve">and the </w:t>
      </w:r>
      <w:r w:rsidRPr="005100A0">
        <w:rPr>
          <w:color w:val="FF0000"/>
          <w:sz w:val="20"/>
          <w:szCs w:val="20"/>
        </w:rPr>
        <w:t>absence of positive substances with good structural and physical similarity to the substance being classified.</w:t>
      </w:r>
    </w:p>
    <w:p w14:paraId="66EFB04D" w14:textId="77777777" w:rsidR="00696A5B" w:rsidRDefault="00696A5B" w:rsidP="0063521D">
      <w:pPr>
        <w:pStyle w:val="GHSHeading5"/>
        <w:keepNext w:val="0"/>
        <w:keepLines w:val="0"/>
        <w:widowControl/>
        <w:tabs>
          <w:tab w:val="clear" w:pos="1418"/>
          <w:tab w:val="clear" w:pos="1985"/>
          <w:tab w:val="clear" w:pos="2552"/>
          <w:tab w:val="clear" w:pos="3119"/>
          <w:tab w:val="clear" w:pos="3686"/>
        </w:tabs>
        <w:spacing w:before="240" w:after="240"/>
        <w:ind w:left="1418" w:hanging="1418"/>
        <w:rPr>
          <w:strike/>
          <w:color w:val="FF0000"/>
          <w:sz w:val="20"/>
          <w:szCs w:val="20"/>
        </w:rPr>
      </w:pPr>
      <w:r w:rsidRPr="00402D4B">
        <w:rPr>
          <w:sz w:val="20"/>
          <w:szCs w:val="20"/>
        </w:rPr>
        <w:t>3.4.2.2.</w:t>
      </w:r>
      <w:r w:rsidRPr="00484725">
        <w:rPr>
          <w:color w:val="FF0000"/>
          <w:sz w:val="20"/>
          <w:szCs w:val="20"/>
        </w:rPr>
        <w:t>7</w:t>
      </w:r>
      <w:r>
        <w:rPr>
          <w:sz w:val="20"/>
          <w:szCs w:val="20"/>
        </w:rPr>
        <w:tab/>
      </w:r>
      <w:r w:rsidRPr="00781D8D">
        <w:rPr>
          <w:b/>
          <w:i/>
          <w:color w:val="4F81BD" w:themeColor="accent1"/>
          <w:sz w:val="20"/>
          <w:szCs w:val="20"/>
        </w:rPr>
        <w:t>Classification in a tiered approach</w:t>
      </w:r>
      <w:r w:rsidRPr="00781D8D">
        <w:rPr>
          <w:color w:val="4F81BD" w:themeColor="accent1"/>
          <w:sz w:val="20"/>
          <w:szCs w:val="20"/>
        </w:rPr>
        <w:t xml:space="preserve"> </w:t>
      </w:r>
      <w:r w:rsidRPr="00781D8D">
        <w:rPr>
          <w:b/>
          <w:bCs/>
          <w:i/>
          <w:iCs/>
          <w:color w:val="4F81BD" w:themeColor="accent1"/>
          <w:sz w:val="20"/>
          <w:szCs w:val="20"/>
        </w:rPr>
        <w:t>(Figure 3.4.1)</w:t>
      </w:r>
      <w:r w:rsidRPr="00781D8D">
        <w:rPr>
          <w:strike/>
          <w:color w:val="4F81BD" w:themeColor="accent1"/>
          <w:sz w:val="20"/>
          <w:szCs w:val="20"/>
        </w:rPr>
        <w:t xml:space="preserve"> </w:t>
      </w:r>
    </w:p>
    <w:p w14:paraId="144B58FC" w14:textId="77777777" w:rsidR="00696A5B" w:rsidRPr="00402D4B" w:rsidRDefault="00696A5B" w:rsidP="0063521D">
      <w:pPr>
        <w:pStyle w:val="GHSHeading5"/>
        <w:keepNext w:val="0"/>
        <w:keepLines w:val="0"/>
        <w:widowControl/>
        <w:tabs>
          <w:tab w:val="clear" w:pos="1418"/>
          <w:tab w:val="clear" w:pos="1985"/>
          <w:tab w:val="clear" w:pos="2552"/>
          <w:tab w:val="clear" w:pos="3119"/>
          <w:tab w:val="clear" w:pos="3686"/>
        </w:tabs>
        <w:spacing w:before="240" w:after="240"/>
        <w:ind w:left="1418" w:hanging="1418"/>
        <w:rPr>
          <w:sz w:val="20"/>
          <w:szCs w:val="20"/>
        </w:rPr>
      </w:pPr>
      <w:r w:rsidRPr="0095469E">
        <w:rPr>
          <w:sz w:val="20"/>
          <w:szCs w:val="20"/>
        </w:rPr>
        <w:t>3.4.2.2.</w:t>
      </w:r>
      <w:r w:rsidRPr="0095469E">
        <w:rPr>
          <w:color w:val="FF0000"/>
          <w:sz w:val="20"/>
          <w:szCs w:val="20"/>
        </w:rPr>
        <w:t>7</w:t>
      </w:r>
      <w:r w:rsidRPr="0095469E">
        <w:rPr>
          <w:sz w:val="20"/>
          <w:szCs w:val="20"/>
        </w:rPr>
        <w:t>.1</w:t>
      </w:r>
      <w:r>
        <w:rPr>
          <w:sz w:val="20"/>
          <w:szCs w:val="20"/>
        </w:rPr>
        <w:tab/>
      </w:r>
      <w:r w:rsidRPr="00781D8D">
        <w:rPr>
          <w:color w:val="4F81BD" w:themeColor="accent1"/>
          <w:sz w:val="20"/>
          <w:szCs w:val="20"/>
        </w:rPr>
        <w:t>All available and relevant information of sufficient quality should be considered according to the tiered approach (Figure 3.4.1).</w:t>
      </w:r>
    </w:p>
    <w:p w14:paraId="29A17B50" w14:textId="77777777" w:rsidR="00696A5B" w:rsidRPr="00402D4B" w:rsidRDefault="00696A5B" w:rsidP="0063521D">
      <w:pPr>
        <w:tabs>
          <w:tab w:val="left" w:pos="1418"/>
        </w:tabs>
        <w:spacing w:before="120" w:after="240"/>
        <w:ind w:left="1418" w:hanging="1418"/>
        <w:jc w:val="both"/>
      </w:pPr>
      <w:r w:rsidRPr="00402D4B">
        <w:t>3.4.2.2.</w:t>
      </w:r>
      <w:r w:rsidRPr="00484725">
        <w:rPr>
          <w:color w:val="FF0000"/>
        </w:rPr>
        <w:t>7</w:t>
      </w:r>
      <w:r w:rsidRPr="00402D4B">
        <w:t>.</w:t>
      </w:r>
      <w:r w:rsidRPr="0095469E">
        <w:rPr>
          <w:color w:val="FF0000"/>
        </w:rPr>
        <w:t>2</w:t>
      </w:r>
      <w:r w:rsidRPr="00402D4B">
        <w:tab/>
      </w:r>
      <w:r w:rsidRPr="0095469E">
        <w:t>For classification of a substance, evidence</w:t>
      </w:r>
      <w:r>
        <w:t xml:space="preserve"> </w:t>
      </w:r>
      <w:r w:rsidRPr="00781D8D">
        <w:rPr>
          <w:color w:val="4F81BD" w:themeColor="accent1"/>
        </w:rPr>
        <w:t xml:space="preserve">in Tier 1 may </w:t>
      </w:r>
      <w:r w:rsidRPr="0095469E">
        <w:t xml:space="preserve">include any or </w:t>
      </w:r>
      <w:proofErr w:type="gramStart"/>
      <w:r w:rsidRPr="0095469E">
        <w:t>all of</w:t>
      </w:r>
      <w:proofErr w:type="gramEnd"/>
      <w:r w:rsidRPr="0095469E">
        <w:t xml:space="preserve"> the following</w:t>
      </w:r>
      <w:r>
        <w:t xml:space="preserve"> </w:t>
      </w:r>
      <w:r w:rsidRPr="00781D8D">
        <w:rPr>
          <w:color w:val="4F81BD" w:themeColor="accent1"/>
        </w:rPr>
        <w:t xml:space="preserve">lines of evidence. </w:t>
      </w:r>
      <w:r w:rsidRPr="00781D8D">
        <w:rPr>
          <w:bCs/>
          <w:color w:val="4F81BD" w:themeColor="accent1"/>
        </w:rPr>
        <w:t>Where information from data within Tier 1 is inconsistent and/or conflicting, the conclusion is determined</w:t>
      </w:r>
      <w:r w:rsidRPr="00A1113B">
        <w:rPr>
          <w:color w:val="FF0000"/>
        </w:rPr>
        <w:t xml:space="preserve"> </w:t>
      </w:r>
      <w:r w:rsidRPr="0095469E">
        <w:t>using a weight of evidence approach:</w:t>
      </w:r>
      <w:r w:rsidRPr="0095469E">
        <w:rPr>
          <w:color w:val="FF0000"/>
        </w:rPr>
        <w:t xml:space="preserve"> </w:t>
      </w:r>
    </w:p>
    <w:p w14:paraId="330475A5" w14:textId="77777777" w:rsidR="00696A5B" w:rsidRPr="00E25335" w:rsidRDefault="00696A5B" w:rsidP="0063521D">
      <w:pPr>
        <w:pStyle w:val="GHSSubparas1"/>
        <w:rPr>
          <w:color w:val="FF0000"/>
        </w:rPr>
      </w:pPr>
      <w:r w:rsidRPr="00402D4B">
        <w:t>(a)</w:t>
      </w:r>
      <w:r w:rsidRPr="00402D4B">
        <w:tab/>
      </w:r>
      <w:r w:rsidRPr="002021DF">
        <w:rPr>
          <w:strike/>
        </w:rPr>
        <w:t xml:space="preserve">Positive </w:t>
      </w:r>
      <w:r>
        <w:t>D</w:t>
      </w:r>
      <w:r w:rsidRPr="00402D4B">
        <w:t xml:space="preserve">ata from </w:t>
      </w:r>
      <w:r w:rsidRPr="00E25335">
        <w:rPr>
          <w:strike/>
          <w:color w:val="FF0000"/>
        </w:rPr>
        <w:t>well-run</w:t>
      </w:r>
      <w:r w:rsidRPr="004A4463">
        <w:rPr>
          <w:color w:val="FF0000"/>
        </w:rPr>
        <w:t xml:space="preserve"> </w:t>
      </w:r>
      <w:r>
        <w:rPr>
          <w:color w:val="FF0000"/>
        </w:rPr>
        <w:t xml:space="preserve">clinical/experimental studies (e.g., predictive </w:t>
      </w:r>
      <w:r w:rsidRPr="00402D4B">
        <w:t>patch testing</w:t>
      </w:r>
      <w:r>
        <w:t xml:space="preserve">, </w:t>
      </w:r>
      <w:r w:rsidRPr="00E25335">
        <w:rPr>
          <w:color w:val="FF0000"/>
        </w:rPr>
        <w:t>HRIPT, HMT</w:t>
      </w:r>
      <w:r>
        <w:rPr>
          <w:color w:val="FF0000"/>
        </w:rPr>
        <w:t>),</w:t>
      </w:r>
      <w:r w:rsidRPr="00E25335">
        <w:t xml:space="preserve"> </w:t>
      </w:r>
      <w:r w:rsidRPr="00E25335">
        <w:rPr>
          <w:strike/>
          <w:color w:val="FF0000"/>
        </w:rPr>
        <w:t>(with large sample size)</w:t>
      </w:r>
      <w:r w:rsidRPr="00E25335">
        <w:rPr>
          <w:strike/>
          <w:color w:val="000000" w:themeColor="text1"/>
        </w:rPr>
        <w:t>,</w:t>
      </w:r>
      <w:r w:rsidRPr="00E011E9">
        <w:rPr>
          <w:color w:val="000000" w:themeColor="text1"/>
        </w:rPr>
        <w:t xml:space="preserve"> </w:t>
      </w:r>
      <w:r w:rsidRPr="00402D4B">
        <w:t>normally obtained in more than one dermatology clinic</w:t>
      </w:r>
      <w:r>
        <w:t xml:space="preserve"> </w:t>
      </w:r>
      <w:r w:rsidRPr="00E25335">
        <w:rPr>
          <w:strike/>
          <w:color w:val="FF0000"/>
        </w:rPr>
        <w:t>(e.g.)</w:t>
      </w:r>
      <w:r>
        <w:rPr>
          <w:color w:val="FF0000"/>
        </w:rPr>
        <w:t xml:space="preserve"> (see Chapter 1.3. paragraph 1.3.2.4.7,</w:t>
      </w:r>
      <w:r w:rsidRPr="00E25335">
        <w:rPr>
          <w:color w:val="FF0000"/>
        </w:rPr>
        <w:t xml:space="preserve"> see criteria in 3.4.2.2.2.1(a) and 3.4.2.2.2.2.(a) and guidance 3.4.5.3.2</w:t>
      </w:r>
      <w:proofErr w:type="gramStart"/>
      <w:r>
        <w:rPr>
          <w:color w:val="FF0000"/>
        </w:rPr>
        <w:t>)</w:t>
      </w:r>
      <w:r w:rsidRPr="00E25335">
        <w:rPr>
          <w:color w:val="FF0000"/>
        </w:rPr>
        <w:t>;</w:t>
      </w:r>
      <w:proofErr w:type="gramEnd"/>
    </w:p>
    <w:p w14:paraId="4D21FCA7" w14:textId="77777777" w:rsidR="00696A5B" w:rsidRPr="00402D4B" w:rsidRDefault="00696A5B" w:rsidP="0063521D">
      <w:pPr>
        <w:pStyle w:val="GHSSubparas1"/>
      </w:pPr>
      <w:r w:rsidRPr="00402D4B">
        <w:t>(b)</w:t>
      </w:r>
      <w:r w:rsidRPr="00402D4B">
        <w:tab/>
        <w:t xml:space="preserve">Epidemiological studies </w:t>
      </w:r>
      <w:r>
        <w:rPr>
          <w:color w:val="FF0000"/>
        </w:rPr>
        <w:t xml:space="preserve">(e.g., case control studies, prospective studies including data obtained by diagnostic patch testing) </w:t>
      </w:r>
      <w:r w:rsidRPr="00402D4B">
        <w:t>showing allergic contact dermatitis caused by the substance</w:t>
      </w:r>
      <w:r>
        <w:t xml:space="preserve"> </w:t>
      </w:r>
      <w:r w:rsidRPr="00FC5677">
        <w:rPr>
          <w:color w:val="FF0000"/>
        </w:rPr>
        <w:t>(see C</w:t>
      </w:r>
      <w:r>
        <w:rPr>
          <w:color w:val="FF0000"/>
        </w:rPr>
        <w:t>hapter 1.3. paragraph 1.3.2.4.7, criteria in 3.4.2.2.2.1(b) and (c), 3.4.2.2.2.2(b) and (c), and guidance 3.4.5.3.2)</w:t>
      </w:r>
      <w:r w:rsidRPr="00FC5677">
        <w:rPr>
          <w:color w:val="000000" w:themeColor="text1"/>
        </w:rPr>
        <w:t xml:space="preserve">; </w:t>
      </w:r>
      <w:r w:rsidRPr="00FC5677">
        <w:rPr>
          <w:strike/>
        </w:rPr>
        <w:t xml:space="preserve">Situations in which a high proportion of those exposed exhibit characteristic symptoms are to be looked at with special concern, even if the number of cases is </w:t>
      </w:r>
      <w:proofErr w:type="gramStart"/>
      <w:r w:rsidRPr="00FC5677">
        <w:rPr>
          <w:strike/>
        </w:rPr>
        <w:t>small;</w:t>
      </w:r>
      <w:proofErr w:type="gramEnd"/>
    </w:p>
    <w:p w14:paraId="2BE677F9" w14:textId="77777777" w:rsidR="00696A5B" w:rsidRPr="00402D4B" w:rsidRDefault="00696A5B" w:rsidP="0063521D">
      <w:pPr>
        <w:pStyle w:val="GHSSubparas1"/>
      </w:pPr>
      <w:r w:rsidRPr="00402D4B">
        <w:t>(c)</w:t>
      </w:r>
      <w:r w:rsidRPr="00402D4B">
        <w:tab/>
      </w:r>
      <w:r>
        <w:t>D</w:t>
      </w:r>
      <w:r w:rsidRPr="00402D4B">
        <w:t>ata from appropriate animal studies</w:t>
      </w:r>
      <w:r>
        <w:t xml:space="preserve"> </w:t>
      </w:r>
      <w:r>
        <w:rPr>
          <w:color w:val="FF0000"/>
        </w:rPr>
        <w:t>(see criteria in 3.4.2.2.3, and guidance 3.4.5.3.3.</w:t>
      </w:r>
      <w:proofErr w:type="gramStart"/>
      <w:r>
        <w:rPr>
          <w:color w:val="FF0000"/>
        </w:rPr>
        <w:t>)</w:t>
      </w:r>
      <w:r w:rsidRPr="00402D4B">
        <w:t>;</w:t>
      </w:r>
      <w:proofErr w:type="gramEnd"/>
    </w:p>
    <w:p w14:paraId="4395551D" w14:textId="77777777" w:rsidR="00696A5B" w:rsidRPr="005B478B" w:rsidRDefault="00696A5B" w:rsidP="0063521D">
      <w:pPr>
        <w:pStyle w:val="GHSSubparas1"/>
        <w:rPr>
          <w:strike/>
        </w:rPr>
      </w:pPr>
      <w:r w:rsidRPr="005B478B">
        <w:rPr>
          <w:strike/>
        </w:rPr>
        <w:t>(d)</w:t>
      </w:r>
      <w:r w:rsidRPr="005B478B">
        <w:rPr>
          <w:strike/>
        </w:rPr>
        <w:tab/>
        <w:t>Positive data from experimental studies in humans (see Chapter 1.3, paragraph 1.3.2.4.7</w:t>
      </w:r>
      <w:proofErr w:type="gramStart"/>
      <w:r w:rsidRPr="005B478B">
        <w:rPr>
          <w:strike/>
        </w:rPr>
        <w:t>);</w:t>
      </w:r>
      <w:proofErr w:type="gramEnd"/>
    </w:p>
    <w:p w14:paraId="52EF0237" w14:textId="77777777" w:rsidR="00696A5B" w:rsidRDefault="00696A5B" w:rsidP="0063521D">
      <w:pPr>
        <w:pStyle w:val="GHSSubparas1"/>
      </w:pPr>
      <w:r w:rsidRPr="00402D4B">
        <w:t>(</w:t>
      </w:r>
      <w:r w:rsidRPr="00EB5215">
        <w:rPr>
          <w:strike/>
        </w:rPr>
        <w:t>e</w:t>
      </w:r>
      <w:r w:rsidRPr="00EB5215">
        <w:rPr>
          <w:color w:val="C00000"/>
        </w:rPr>
        <w:t>d</w:t>
      </w:r>
      <w:r w:rsidRPr="00402D4B">
        <w:t>)</w:t>
      </w:r>
      <w:r w:rsidRPr="00402D4B">
        <w:tab/>
        <w:t>Well documented episodes of allergic contact dermatitis, normally obtained in more than one dermatology clinic</w:t>
      </w:r>
      <w:r>
        <w:t xml:space="preserve"> </w:t>
      </w:r>
      <w:r w:rsidRPr="009F7024">
        <w:rPr>
          <w:strike/>
          <w:color w:val="FF0000"/>
          <w:szCs w:val="20"/>
        </w:rPr>
        <w:t>(generally small sample size)</w:t>
      </w:r>
      <w:r>
        <w:rPr>
          <w:color w:val="FF0000"/>
          <w:szCs w:val="20"/>
        </w:rPr>
        <w:t>, c</w:t>
      </w:r>
      <w:r w:rsidRPr="002F5948">
        <w:rPr>
          <w:color w:val="FF0000"/>
          <w:szCs w:val="20"/>
        </w:rPr>
        <w:t>ase studies in which a high proportion of those exposed exhibit characteristic symptoms are to be looked at with special concern, even if the number of cases is small (see paragraph 3.4.5.3.2)</w:t>
      </w:r>
      <w:r>
        <w:rPr>
          <w:color w:val="FF0000"/>
          <w:szCs w:val="20"/>
        </w:rPr>
        <w:t>, data obtained from clinical or diagnostic studies, case histories (</w:t>
      </w:r>
      <w:r>
        <w:t>s</w:t>
      </w:r>
      <w:r w:rsidRPr="00402D4B">
        <w:t>everity of reaction may also be considered</w:t>
      </w:r>
      <w:proofErr w:type="gramStart"/>
      <w:r>
        <w:t>);</w:t>
      </w:r>
      <w:proofErr w:type="gramEnd"/>
    </w:p>
    <w:p w14:paraId="3634D92A" w14:textId="77777777" w:rsidR="00696A5B" w:rsidRPr="009F7024" w:rsidRDefault="00696A5B" w:rsidP="0063521D">
      <w:pPr>
        <w:pStyle w:val="GHSSubparas1"/>
        <w:rPr>
          <w:color w:val="FF0000"/>
        </w:rPr>
      </w:pPr>
      <w:r w:rsidRPr="00F33C8B">
        <w:rPr>
          <w:color w:val="FF0000"/>
        </w:rPr>
        <w:t>(</w:t>
      </w:r>
      <w:proofErr w:type="spellStart"/>
      <w:r w:rsidRPr="00EB5215">
        <w:rPr>
          <w:strike/>
          <w:color w:val="FF0000"/>
        </w:rPr>
        <w:t>g</w:t>
      </w:r>
      <w:r>
        <w:rPr>
          <w:color w:val="FF0000"/>
        </w:rPr>
        <w:t>e</w:t>
      </w:r>
      <w:proofErr w:type="spellEnd"/>
      <w:r w:rsidRPr="00F33C8B">
        <w:rPr>
          <w:color w:val="FF0000"/>
        </w:rPr>
        <w:t>)</w:t>
      </w:r>
      <w:r w:rsidRPr="00F33C8B">
        <w:rPr>
          <w:color w:val="FF0000"/>
        </w:rPr>
        <w:tab/>
      </w:r>
      <w:r w:rsidRPr="00A1113B">
        <w:rPr>
          <w:strike/>
          <w:color w:val="FF0000"/>
        </w:rPr>
        <w:t>Positive</w:t>
      </w:r>
      <w:r w:rsidRPr="00F33C8B">
        <w:rPr>
          <w:color w:val="FF0000"/>
        </w:rPr>
        <w:t xml:space="preserve"> </w:t>
      </w:r>
      <w:r>
        <w:rPr>
          <w:color w:val="FF0000"/>
        </w:rPr>
        <w:t>D</w:t>
      </w:r>
      <w:r w:rsidRPr="00F33C8B">
        <w:rPr>
          <w:color w:val="FF0000"/>
        </w:rPr>
        <w:t xml:space="preserve">ata from </w:t>
      </w:r>
      <w:r>
        <w:rPr>
          <w:color w:val="FF0000"/>
        </w:rPr>
        <w:t>d</w:t>
      </w:r>
      <w:r w:rsidRPr="00F33C8B">
        <w:rPr>
          <w:color w:val="FF0000"/>
        </w:rPr>
        <w:t xml:space="preserve">efined </w:t>
      </w:r>
      <w:r>
        <w:rPr>
          <w:color w:val="FF0000"/>
        </w:rPr>
        <w:t>a</w:t>
      </w:r>
      <w:r w:rsidRPr="00F33C8B">
        <w:rPr>
          <w:color w:val="FF0000"/>
        </w:rPr>
        <w:t>pproaches</w:t>
      </w:r>
      <w:r>
        <w:rPr>
          <w:color w:val="FF0000"/>
        </w:rPr>
        <w:t xml:space="preserve"> validated according to international procedures</w:t>
      </w:r>
      <w:r w:rsidRPr="009F7024">
        <w:rPr>
          <w:color w:val="FF0000"/>
        </w:rPr>
        <w:t xml:space="preserve"> </w:t>
      </w:r>
      <w:r>
        <w:rPr>
          <w:color w:val="FF0000"/>
        </w:rPr>
        <w:t>(see 3.4.2.2.4, guidance3.4.5.3.4, and Table 3.4.7</w:t>
      </w:r>
      <w:proofErr w:type="gramStart"/>
      <w:r>
        <w:rPr>
          <w:color w:val="FF0000"/>
        </w:rPr>
        <w:t>);</w:t>
      </w:r>
      <w:proofErr w:type="gramEnd"/>
    </w:p>
    <w:p w14:paraId="247BEA4A" w14:textId="77777777" w:rsidR="00696A5B" w:rsidRPr="00F33C8B" w:rsidRDefault="00696A5B" w:rsidP="0063521D">
      <w:pPr>
        <w:pStyle w:val="GHSSubparas1"/>
        <w:rPr>
          <w:color w:val="FF0000"/>
        </w:rPr>
      </w:pPr>
      <w:r w:rsidRPr="00F33C8B">
        <w:rPr>
          <w:color w:val="FF0000"/>
        </w:rPr>
        <w:t>(</w:t>
      </w:r>
      <w:r w:rsidRPr="00B4692E">
        <w:rPr>
          <w:strike/>
          <w:color w:val="FF0000"/>
        </w:rPr>
        <w:t>h</w:t>
      </w:r>
      <w:r>
        <w:rPr>
          <w:color w:val="FF0000"/>
        </w:rPr>
        <w:t>f</w:t>
      </w:r>
      <w:r w:rsidRPr="00F33C8B">
        <w:rPr>
          <w:color w:val="FF0000"/>
        </w:rPr>
        <w:t>)</w:t>
      </w:r>
      <w:r w:rsidRPr="00F33C8B">
        <w:rPr>
          <w:color w:val="FF0000"/>
        </w:rPr>
        <w:tab/>
      </w:r>
      <w:r w:rsidRPr="00A1113B">
        <w:rPr>
          <w:strike/>
          <w:color w:val="FF0000"/>
        </w:rPr>
        <w:t>Positive</w:t>
      </w:r>
      <w:r w:rsidRPr="00F33C8B">
        <w:rPr>
          <w:color w:val="FF0000"/>
        </w:rPr>
        <w:t xml:space="preserve"> </w:t>
      </w:r>
      <w:r>
        <w:rPr>
          <w:color w:val="FF0000"/>
        </w:rPr>
        <w:t>D</w:t>
      </w:r>
      <w:r w:rsidRPr="00F33C8B">
        <w:rPr>
          <w:color w:val="FF0000"/>
        </w:rPr>
        <w:t xml:space="preserve">ata from stand-alone in </w:t>
      </w:r>
      <w:proofErr w:type="spellStart"/>
      <w:r w:rsidRPr="00F33C8B">
        <w:rPr>
          <w:i/>
          <w:iCs/>
          <w:color w:val="FF0000"/>
        </w:rPr>
        <w:t>chemico</w:t>
      </w:r>
      <w:proofErr w:type="spellEnd"/>
      <w:r w:rsidRPr="00F33C8B">
        <w:rPr>
          <w:i/>
          <w:iCs/>
          <w:color w:val="FF0000"/>
        </w:rPr>
        <w:t>/in vitro</w:t>
      </w:r>
      <w:r w:rsidRPr="00F33C8B">
        <w:rPr>
          <w:color w:val="FF0000"/>
        </w:rPr>
        <w:t xml:space="preserve"> methods</w:t>
      </w:r>
      <w:r>
        <w:rPr>
          <w:color w:val="FF0000"/>
        </w:rPr>
        <w:t xml:space="preserve"> validated according to international procedures (see 3.4.2.2.5, guidance 3.4.5.3.5, and Table 3.4.8).</w:t>
      </w:r>
    </w:p>
    <w:p w14:paraId="40D7DE0B" w14:textId="77777777" w:rsidR="00696A5B" w:rsidRPr="003F417C" w:rsidRDefault="00696A5B" w:rsidP="0063521D">
      <w:pPr>
        <w:tabs>
          <w:tab w:val="left" w:pos="1418"/>
        </w:tabs>
        <w:spacing w:after="240"/>
        <w:jc w:val="both"/>
        <w:rPr>
          <w:color w:val="4F81BD" w:themeColor="accent1"/>
        </w:rPr>
      </w:pPr>
      <w:r w:rsidRPr="003F417C">
        <w:rPr>
          <w:color w:val="4F81BD" w:themeColor="accent1"/>
        </w:rPr>
        <w:t xml:space="preserve">3.4.2.2.7.3 </w:t>
      </w:r>
      <w:r>
        <w:rPr>
          <w:color w:val="4F81BD" w:themeColor="accent1"/>
        </w:rPr>
        <w:tab/>
      </w:r>
      <w:r w:rsidRPr="003F417C">
        <w:rPr>
          <w:color w:val="4F81BD" w:themeColor="accent1"/>
        </w:rPr>
        <w:t>In case a definitive conclusion on classification, including sub-categorization where required by a competent authority, cannot be derived from Tier 1, additional lines of evidence shall be considered in a weight-of-evidence in Tier 2. These may include:</w:t>
      </w:r>
    </w:p>
    <w:p w14:paraId="346E1893" w14:textId="77777777" w:rsidR="00696A5B" w:rsidRPr="003F417C" w:rsidRDefault="00696A5B" w:rsidP="0063521D">
      <w:pPr>
        <w:numPr>
          <w:ilvl w:val="0"/>
          <w:numId w:val="29"/>
        </w:numPr>
        <w:tabs>
          <w:tab w:val="left" w:pos="1418"/>
        </w:tabs>
        <w:suppressAutoHyphens w:val="0"/>
        <w:spacing w:after="240" w:line="240" w:lineRule="auto"/>
        <w:jc w:val="both"/>
        <w:rPr>
          <w:bCs/>
          <w:color w:val="4F81BD" w:themeColor="accent1"/>
        </w:rPr>
      </w:pPr>
      <w:r w:rsidRPr="003F417C">
        <w:rPr>
          <w:bCs/>
          <w:color w:val="4F81BD" w:themeColor="accent1"/>
        </w:rPr>
        <w:t xml:space="preserve">Data from non-stand alone in </w:t>
      </w:r>
      <w:proofErr w:type="spellStart"/>
      <w:r w:rsidRPr="003F417C">
        <w:rPr>
          <w:bCs/>
          <w:i/>
          <w:iCs/>
          <w:color w:val="4F81BD" w:themeColor="accent1"/>
        </w:rPr>
        <w:t>chemico</w:t>
      </w:r>
      <w:proofErr w:type="spellEnd"/>
      <w:r w:rsidRPr="003F417C">
        <w:rPr>
          <w:bCs/>
          <w:i/>
          <w:iCs/>
          <w:color w:val="4F81BD" w:themeColor="accent1"/>
        </w:rPr>
        <w:t>/in vitro</w:t>
      </w:r>
      <w:r w:rsidRPr="003F417C">
        <w:rPr>
          <w:bCs/>
          <w:color w:val="4F81BD" w:themeColor="accent1"/>
        </w:rPr>
        <w:t xml:space="preserve"> methods (see 3.4.2.2.5 and 3.4.5.3.5)</w:t>
      </w:r>
    </w:p>
    <w:p w14:paraId="7EB18B4D" w14:textId="77777777" w:rsidR="00696A5B" w:rsidRPr="003F417C" w:rsidRDefault="00696A5B" w:rsidP="0063521D">
      <w:pPr>
        <w:numPr>
          <w:ilvl w:val="0"/>
          <w:numId w:val="29"/>
        </w:numPr>
        <w:tabs>
          <w:tab w:val="left" w:pos="1418"/>
        </w:tabs>
        <w:suppressAutoHyphens w:val="0"/>
        <w:spacing w:after="240" w:line="240" w:lineRule="auto"/>
        <w:jc w:val="both"/>
        <w:rPr>
          <w:bCs/>
          <w:color w:val="4F81BD" w:themeColor="accent1"/>
        </w:rPr>
      </w:pPr>
      <w:r w:rsidRPr="003F417C">
        <w:rPr>
          <w:bCs/>
          <w:color w:val="4F81BD" w:themeColor="accent1"/>
        </w:rPr>
        <w:t>Data from non-test methods (see 3.2.2.2.6)</w:t>
      </w:r>
    </w:p>
    <w:p w14:paraId="7C3A093F" w14:textId="77777777" w:rsidR="00696A5B" w:rsidRPr="003F417C" w:rsidRDefault="00696A5B" w:rsidP="0063521D">
      <w:pPr>
        <w:numPr>
          <w:ilvl w:val="0"/>
          <w:numId w:val="29"/>
        </w:numPr>
        <w:tabs>
          <w:tab w:val="left" w:pos="1418"/>
        </w:tabs>
        <w:suppressAutoHyphens w:val="0"/>
        <w:spacing w:after="240" w:line="240" w:lineRule="auto"/>
        <w:jc w:val="both"/>
        <w:rPr>
          <w:bCs/>
          <w:color w:val="4F81BD" w:themeColor="accent1"/>
        </w:rPr>
      </w:pPr>
      <w:r w:rsidRPr="003F417C">
        <w:rPr>
          <w:bCs/>
          <w:color w:val="4F81BD" w:themeColor="accent1"/>
        </w:rPr>
        <w:t xml:space="preserve">Low confidence/inconclusive results from defined approaches (see </w:t>
      </w:r>
      <w:r w:rsidRPr="003F417C">
        <w:rPr>
          <w:color w:val="4F81BD" w:themeColor="accent1"/>
        </w:rPr>
        <w:t>3.4.2.2.4.2</w:t>
      </w:r>
      <w:r w:rsidRPr="003F417C">
        <w:rPr>
          <w:bCs/>
          <w:color w:val="4F81BD" w:themeColor="accent1"/>
        </w:rPr>
        <w:t>)</w:t>
      </w:r>
    </w:p>
    <w:p w14:paraId="5981B4E4" w14:textId="77777777" w:rsidR="00696A5B" w:rsidRPr="00082EE5" w:rsidRDefault="00696A5B" w:rsidP="0063521D">
      <w:pPr>
        <w:tabs>
          <w:tab w:val="left" w:pos="1418"/>
        </w:tabs>
        <w:spacing w:after="240"/>
        <w:rPr>
          <w:color w:val="4F81BD" w:themeColor="accent1"/>
        </w:rPr>
      </w:pPr>
      <w:r w:rsidRPr="00082EE5">
        <w:rPr>
          <w:color w:val="4F81BD" w:themeColor="accent1"/>
        </w:rPr>
        <w:t xml:space="preserve">3.4.2.2.7.4 </w:t>
      </w:r>
      <w:r>
        <w:rPr>
          <w:color w:val="4F81BD" w:themeColor="accent1"/>
        </w:rPr>
        <w:tab/>
      </w:r>
      <w:r w:rsidRPr="00082EE5">
        <w:rPr>
          <w:color w:val="4F81BD" w:themeColor="accent1"/>
        </w:rPr>
        <w:t xml:space="preserve">Evidence from non-stand alone </w:t>
      </w:r>
      <w:r w:rsidRPr="00082EE5">
        <w:rPr>
          <w:i/>
          <w:iCs/>
          <w:color w:val="4F81BD" w:themeColor="accent1"/>
        </w:rPr>
        <w:t xml:space="preserve">in </w:t>
      </w:r>
      <w:proofErr w:type="spellStart"/>
      <w:r w:rsidRPr="00082EE5">
        <w:rPr>
          <w:i/>
          <w:iCs/>
          <w:color w:val="4F81BD" w:themeColor="accent1"/>
        </w:rPr>
        <w:t>chemico</w:t>
      </w:r>
      <w:proofErr w:type="spellEnd"/>
      <w:r w:rsidRPr="00082EE5">
        <w:rPr>
          <w:i/>
          <w:iCs/>
          <w:color w:val="4F81BD" w:themeColor="accent1"/>
        </w:rPr>
        <w:t>/in vitro</w:t>
      </w:r>
      <w:r w:rsidRPr="00082EE5">
        <w:rPr>
          <w:color w:val="4F81BD" w:themeColor="accent1"/>
        </w:rPr>
        <w:t xml:space="preserve"> methods and from non-test methods should not be considered at this stage if this data is already used in a defined approach under 3.4.2.2.7.2 with a conclusive result. </w:t>
      </w:r>
    </w:p>
    <w:p w14:paraId="6005642B" w14:textId="77777777" w:rsidR="00696A5B" w:rsidRPr="004F39C7" w:rsidRDefault="00696A5B" w:rsidP="0063521D">
      <w:pPr>
        <w:tabs>
          <w:tab w:val="left" w:pos="1418"/>
        </w:tabs>
        <w:spacing w:after="240"/>
        <w:rPr>
          <w:iCs/>
          <w:color w:val="FF0000"/>
        </w:rPr>
      </w:pPr>
      <w:r w:rsidRPr="004F39C7">
        <w:rPr>
          <w:iCs/>
          <w:color w:val="FF0000"/>
        </w:rPr>
        <w:t>3.4.2.2.7.</w:t>
      </w:r>
      <w:r>
        <w:rPr>
          <w:iCs/>
          <w:color w:val="FF0000"/>
        </w:rPr>
        <w:t>5</w:t>
      </w:r>
      <w:r w:rsidRPr="004F39C7">
        <w:rPr>
          <w:iCs/>
          <w:color w:val="FF0000"/>
        </w:rPr>
        <w:t xml:space="preserve"> </w:t>
      </w:r>
      <w:r>
        <w:rPr>
          <w:iCs/>
          <w:color w:val="FF0000"/>
        </w:rPr>
        <w:tab/>
      </w:r>
      <w:r w:rsidRPr="00A1113B">
        <w:rPr>
          <w:iCs/>
          <w:color w:val="FF0000"/>
        </w:rPr>
        <w:t xml:space="preserve">Individual non-stand alone </w:t>
      </w:r>
      <w:r w:rsidRPr="00D26DCE">
        <w:rPr>
          <w:i/>
          <w:iCs/>
          <w:strike/>
          <w:color w:val="FF0000"/>
        </w:rPr>
        <w:t>in vitro/</w:t>
      </w:r>
      <w:r w:rsidRPr="004C3432">
        <w:rPr>
          <w:i/>
          <w:iCs/>
          <w:color w:val="FF0000"/>
        </w:rPr>
        <w:t xml:space="preserve">in </w:t>
      </w:r>
      <w:proofErr w:type="spellStart"/>
      <w:r w:rsidRPr="004C3432">
        <w:rPr>
          <w:i/>
          <w:iCs/>
          <w:color w:val="FF0000"/>
        </w:rPr>
        <w:t>chemico</w:t>
      </w:r>
      <w:proofErr w:type="spellEnd"/>
      <w:r>
        <w:rPr>
          <w:i/>
          <w:iCs/>
          <w:color w:val="FF0000"/>
        </w:rPr>
        <w:t>/in vitro</w:t>
      </w:r>
      <w:r w:rsidRPr="00A1113B">
        <w:rPr>
          <w:iCs/>
          <w:color w:val="FF0000"/>
        </w:rPr>
        <w:t xml:space="preserve"> methods validated according to international procedures, non-test methods (including read-across) and low confidence/inconclusive data from defined approaches can </w:t>
      </w:r>
      <w:r>
        <w:rPr>
          <w:iCs/>
          <w:color w:val="FF0000"/>
        </w:rPr>
        <w:t xml:space="preserve">be </w:t>
      </w:r>
      <w:r w:rsidRPr="00A1113B">
        <w:rPr>
          <w:iCs/>
          <w:color w:val="FF0000"/>
        </w:rPr>
        <w:t>ap</w:t>
      </w:r>
      <w:r>
        <w:rPr>
          <w:iCs/>
          <w:color w:val="FF0000"/>
        </w:rPr>
        <w:t>p</w:t>
      </w:r>
      <w:r w:rsidRPr="00A1113B">
        <w:rPr>
          <w:iCs/>
          <w:color w:val="FF0000"/>
        </w:rPr>
        <w:t>l</w:t>
      </w:r>
      <w:r>
        <w:rPr>
          <w:iCs/>
          <w:color w:val="FF0000"/>
        </w:rPr>
        <w:t>ied</w:t>
      </w:r>
      <w:r w:rsidRPr="00A1113B">
        <w:rPr>
          <w:iCs/>
          <w:color w:val="FF0000"/>
        </w:rPr>
        <w:t xml:space="preserve"> in a weight-of</w:t>
      </w:r>
      <w:r>
        <w:rPr>
          <w:iCs/>
          <w:color w:val="FF0000"/>
        </w:rPr>
        <w:t>-</w:t>
      </w:r>
      <w:r w:rsidRPr="00A1113B">
        <w:rPr>
          <w:iCs/>
          <w:color w:val="FF0000"/>
        </w:rPr>
        <w:t>evidence assessment together with inconclusive data from</w:t>
      </w:r>
      <w:r w:rsidRPr="002144A3">
        <w:rPr>
          <w:iCs/>
          <w:strike/>
          <w:color w:val="FF0000"/>
        </w:rPr>
        <w:t xml:space="preserve"> the </w:t>
      </w:r>
      <w:r w:rsidRPr="00A1113B">
        <w:rPr>
          <w:iCs/>
          <w:color w:val="FF0000"/>
        </w:rPr>
        <w:t xml:space="preserve">Tier </w:t>
      </w:r>
      <w:r>
        <w:rPr>
          <w:iCs/>
          <w:color w:val="FF0000"/>
        </w:rPr>
        <w:t xml:space="preserve">1 </w:t>
      </w:r>
      <w:r w:rsidRPr="00A1113B">
        <w:rPr>
          <w:iCs/>
          <w:color w:val="FF0000"/>
        </w:rPr>
        <w:t>and should be used in this second Tier because they can usually not be used as stand-alone (</w:t>
      </w:r>
      <w:proofErr w:type="gramStart"/>
      <w:r w:rsidRPr="00A1113B">
        <w:rPr>
          <w:iCs/>
          <w:color w:val="FF0000"/>
        </w:rPr>
        <w:t>with the exception of</w:t>
      </w:r>
      <w:proofErr w:type="gramEnd"/>
      <w:r w:rsidRPr="00A1113B">
        <w:rPr>
          <w:iCs/>
          <w:color w:val="FF0000"/>
        </w:rPr>
        <w:t xml:space="preserve"> good quality read across). However, a </w:t>
      </w:r>
      <w:r>
        <w:rPr>
          <w:iCs/>
          <w:color w:val="FF0000"/>
        </w:rPr>
        <w:t xml:space="preserve">competent authority may decide that a </w:t>
      </w:r>
      <w:r w:rsidRPr="00A1113B">
        <w:rPr>
          <w:iCs/>
          <w:color w:val="FF0000"/>
        </w:rPr>
        <w:t xml:space="preserve">positive result with one of these </w:t>
      </w:r>
      <w:r>
        <w:rPr>
          <w:iCs/>
          <w:color w:val="FF0000"/>
        </w:rPr>
        <w:t>non-</w:t>
      </w:r>
      <w:proofErr w:type="spellStart"/>
      <w:r w:rsidRPr="008512F1">
        <w:rPr>
          <w:iCs/>
          <w:strike/>
          <w:color w:val="FF0000"/>
        </w:rPr>
        <w:t>test</w:t>
      </w:r>
      <w:r>
        <w:rPr>
          <w:iCs/>
          <w:color w:val="FF0000"/>
        </w:rPr>
        <w:t>stand</w:t>
      </w:r>
      <w:proofErr w:type="spellEnd"/>
      <w:r>
        <w:rPr>
          <w:iCs/>
          <w:color w:val="FF0000"/>
        </w:rPr>
        <w:t xml:space="preserve"> alone in </w:t>
      </w:r>
      <w:proofErr w:type="spellStart"/>
      <w:r>
        <w:rPr>
          <w:iCs/>
          <w:color w:val="FF0000"/>
        </w:rPr>
        <w:t>chemico</w:t>
      </w:r>
      <w:proofErr w:type="spellEnd"/>
      <w:r>
        <w:rPr>
          <w:iCs/>
          <w:color w:val="FF0000"/>
        </w:rPr>
        <w:t xml:space="preserve">/in vitro </w:t>
      </w:r>
      <w:r w:rsidRPr="00A1113B">
        <w:rPr>
          <w:iCs/>
          <w:color w:val="FF0000"/>
        </w:rPr>
        <w:t>methods</w:t>
      </w:r>
      <w:r>
        <w:rPr>
          <w:iCs/>
          <w:color w:val="FF0000"/>
        </w:rPr>
        <w:t xml:space="preserve">, </w:t>
      </w:r>
      <w:r w:rsidRPr="00D640D1">
        <w:rPr>
          <w:iCs/>
          <w:strike/>
          <w:color w:val="FF0000"/>
        </w:rPr>
        <w:t>in the absence of contradicting results from other methods</w:t>
      </w:r>
      <w:r>
        <w:rPr>
          <w:iCs/>
          <w:color w:val="FF0000"/>
        </w:rPr>
        <w:t xml:space="preserve">, </w:t>
      </w:r>
      <w:r w:rsidRPr="00A1113B">
        <w:rPr>
          <w:iCs/>
          <w:color w:val="FF0000"/>
        </w:rPr>
        <w:t>may be used on its own to classify</w:t>
      </w:r>
      <w:r>
        <w:rPr>
          <w:iCs/>
          <w:color w:val="FF0000"/>
        </w:rPr>
        <w:t xml:space="preserve"> in category 1</w:t>
      </w:r>
      <w:r w:rsidRPr="00A1113B">
        <w:rPr>
          <w:iCs/>
          <w:color w:val="FF0000"/>
        </w:rPr>
        <w:t>.</w:t>
      </w:r>
    </w:p>
    <w:p w14:paraId="49E0C18D" w14:textId="77777777" w:rsidR="00696A5B" w:rsidRPr="00210979" w:rsidRDefault="00696A5B" w:rsidP="0063521D">
      <w:pPr>
        <w:tabs>
          <w:tab w:val="left" w:pos="1418"/>
        </w:tabs>
        <w:spacing w:after="240"/>
        <w:rPr>
          <w:strike/>
          <w:color w:val="000000"/>
        </w:rPr>
      </w:pPr>
      <w:r w:rsidRPr="00402D4B">
        <w:t>3.4.2.2.</w:t>
      </w:r>
      <w:r w:rsidRPr="00F33C8B">
        <w:rPr>
          <w:color w:val="FF0000"/>
        </w:rPr>
        <w:t>7</w:t>
      </w:r>
      <w:r w:rsidRPr="00402D4B">
        <w:t>.</w:t>
      </w:r>
      <w:r>
        <w:rPr>
          <w:color w:val="FF0000"/>
        </w:rPr>
        <w:t xml:space="preserve">6 </w:t>
      </w:r>
      <w:r w:rsidRPr="00402D4B">
        <w:tab/>
      </w:r>
      <w:r w:rsidRPr="00210979">
        <w:rPr>
          <w:color w:val="FF0000"/>
        </w:rPr>
        <w:t xml:space="preserve">In case a definitive conclusion on classification </w:t>
      </w:r>
      <w:r w:rsidRPr="00F9787B">
        <w:rPr>
          <w:strike/>
          <w:color w:val="FF0000"/>
        </w:rPr>
        <w:t>or no classification</w:t>
      </w:r>
      <w:r>
        <w:rPr>
          <w:strike/>
          <w:color w:val="FF0000"/>
        </w:rPr>
        <w:t xml:space="preserve"> </w:t>
      </w:r>
      <w:r>
        <w:rPr>
          <w:color w:val="FF0000"/>
        </w:rPr>
        <w:t>including sub-categorization</w:t>
      </w:r>
      <w:r w:rsidRPr="00210979">
        <w:rPr>
          <w:color w:val="FF0000"/>
        </w:rPr>
        <w:t xml:space="preserve"> where required by a competent authority</w:t>
      </w:r>
      <w:r>
        <w:rPr>
          <w:color w:val="FF0000"/>
        </w:rPr>
        <w:t>,</w:t>
      </w:r>
      <w:r w:rsidRPr="00210979">
        <w:rPr>
          <w:color w:val="FF0000"/>
        </w:rPr>
        <w:t xml:space="preserve"> </w:t>
      </w:r>
      <w:r w:rsidRPr="008313C7">
        <w:rPr>
          <w:strike/>
          <w:color w:val="FF0000"/>
        </w:rPr>
        <w:t>classification into sub-categories 1A or 1B</w:t>
      </w:r>
      <w:r>
        <w:rPr>
          <w:color w:val="FF0000"/>
        </w:rPr>
        <w:t xml:space="preserve"> cannot be derived from the</w:t>
      </w:r>
      <w:r w:rsidRPr="00210979">
        <w:rPr>
          <w:color w:val="FF0000"/>
        </w:rPr>
        <w:t xml:space="preserve"> previous tiers, an overall weight-of-evidence assessment using expert judgment </w:t>
      </w:r>
      <w:r>
        <w:rPr>
          <w:color w:val="FF0000"/>
        </w:rPr>
        <w:t>should be used.</w:t>
      </w:r>
      <w:r w:rsidRPr="00ED4A38">
        <w:rPr>
          <w:strike/>
          <w:color w:val="FF0000"/>
        </w:rPr>
        <w:t>is indicated</w:t>
      </w:r>
      <w:r w:rsidRPr="00210979">
        <w:rPr>
          <w:strike/>
          <w:color w:val="FF0000"/>
        </w:rPr>
        <w:t xml:space="preserve"> </w:t>
      </w:r>
      <w:r w:rsidRPr="00210979">
        <w:rPr>
          <w:strike/>
        </w:rPr>
        <w:t>If none of the above-mentioned conditions are met, the substance need not be classified as a skin sensitizer. However,</w:t>
      </w:r>
      <w:r w:rsidRPr="00402D4B">
        <w:t xml:space="preserve"> </w:t>
      </w:r>
      <w:r w:rsidRPr="00210979">
        <w:rPr>
          <w:color w:val="FF0000"/>
        </w:rPr>
        <w:t xml:space="preserve">that may include </w:t>
      </w:r>
      <w:r w:rsidRPr="00402D4B">
        <w:t>a combination of two or more indicators of skin sensitization as listed below</w:t>
      </w:r>
      <w:r>
        <w:rPr>
          <w:color w:val="FF0000"/>
        </w:rPr>
        <w:t>.</w:t>
      </w:r>
      <w:r w:rsidRPr="00402D4B">
        <w:t xml:space="preserve"> </w:t>
      </w:r>
      <w:r w:rsidRPr="00210979">
        <w:rPr>
          <w:strike/>
        </w:rPr>
        <w:t xml:space="preserve">may alter the </w:t>
      </w:r>
      <w:r w:rsidRPr="00210979">
        <w:rPr>
          <w:strike/>
          <w:color w:val="000000"/>
        </w:rPr>
        <w:t>decision. This shall be considered on a case-by-case basis.</w:t>
      </w:r>
    </w:p>
    <w:p w14:paraId="4E6E28B2" w14:textId="77777777" w:rsidR="00696A5B" w:rsidRPr="00402D4B" w:rsidRDefault="00696A5B" w:rsidP="0063521D">
      <w:pPr>
        <w:pStyle w:val="GHSSubparas1"/>
      </w:pPr>
      <w:r w:rsidRPr="00402D4B">
        <w:t>(a)</w:t>
      </w:r>
      <w:r w:rsidRPr="00402D4B">
        <w:tab/>
        <w:t xml:space="preserve">Isolated episodes of allergic contact </w:t>
      </w:r>
      <w:proofErr w:type="gramStart"/>
      <w:r w:rsidRPr="00402D4B">
        <w:t>dermatitis;</w:t>
      </w:r>
      <w:proofErr w:type="gramEnd"/>
    </w:p>
    <w:p w14:paraId="731C12C5" w14:textId="77777777" w:rsidR="00696A5B" w:rsidRPr="00402D4B" w:rsidRDefault="00696A5B" w:rsidP="0063521D">
      <w:pPr>
        <w:pStyle w:val="GHSSubparas1"/>
      </w:pPr>
      <w:r w:rsidRPr="00402D4B">
        <w:t>(b)</w:t>
      </w:r>
      <w:r w:rsidRPr="00402D4B">
        <w:tab/>
        <w:t xml:space="preserve">Epidemiological studies of limited power, </w:t>
      </w:r>
      <w:proofErr w:type="gramStart"/>
      <w:r w:rsidRPr="00402D4B">
        <w:t>e.g.</w:t>
      </w:r>
      <w:proofErr w:type="gramEnd"/>
      <w:r w:rsidRPr="00402D4B">
        <w:t xml:space="preserve"> where chance, bias or confounders have not been ruled out fully with reasonable confidence;</w:t>
      </w:r>
    </w:p>
    <w:p w14:paraId="1709152B" w14:textId="77777777" w:rsidR="00696A5B" w:rsidRPr="00210979" w:rsidRDefault="00696A5B" w:rsidP="0063521D">
      <w:pPr>
        <w:pStyle w:val="GHSSubparas1"/>
      </w:pPr>
      <w:r w:rsidRPr="00210979">
        <w:t>(c)</w:t>
      </w:r>
      <w:r w:rsidRPr="00210979">
        <w:tab/>
        <w:t xml:space="preserve">Data from animal tests, performed according to existing guidelines, which do not meet the criteria for a positive result described in 3.4.2.2.3, but which are sufficiently close to the limit to be considered </w:t>
      </w:r>
      <w:proofErr w:type="gramStart"/>
      <w:r w:rsidRPr="00210979">
        <w:t>significant;</w:t>
      </w:r>
      <w:proofErr w:type="gramEnd"/>
    </w:p>
    <w:p w14:paraId="527DC100" w14:textId="77777777" w:rsidR="00696A5B" w:rsidRDefault="00696A5B" w:rsidP="0063521D">
      <w:pPr>
        <w:pStyle w:val="GHSSubparas1"/>
      </w:pPr>
      <w:r w:rsidRPr="00210979">
        <w:rPr>
          <w:color w:val="auto"/>
        </w:rPr>
        <w:t>(d)</w:t>
      </w:r>
      <w:r w:rsidRPr="00402D4B">
        <w:tab/>
      </w:r>
      <w:r w:rsidRPr="00210979">
        <w:rPr>
          <w:strike/>
        </w:rPr>
        <w:t xml:space="preserve">Positive </w:t>
      </w:r>
      <w:r w:rsidRPr="00402D4B">
        <w:t xml:space="preserve">data from non-standard </w:t>
      </w:r>
      <w:proofErr w:type="gramStart"/>
      <w:r w:rsidRPr="00402D4B">
        <w:t>methods;</w:t>
      </w:r>
      <w:proofErr w:type="gramEnd"/>
    </w:p>
    <w:p w14:paraId="3D62078C" w14:textId="77777777" w:rsidR="00696A5B" w:rsidRPr="00402D4B" w:rsidRDefault="00696A5B" w:rsidP="0063521D">
      <w:pPr>
        <w:pStyle w:val="GHSSubparas1"/>
      </w:pPr>
      <w:r w:rsidRPr="00402D4B">
        <w:t>(e)</w:t>
      </w:r>
      <w:r w:rsidRPr="00402D4B">
        <w:tab/>
      </w:r>
      <w:r w:rsidRPr="00CA636D">
        <w:rPr>
          <w:strike/>
          <w:color w:val="FF0000"/>
        </w:rPr>
        <w:t>Positive results from close structural analogues.</w:t>
      </w:r>
    </w:p>
    <w:p w14:paraId="74C86AEF" w14:textId="77777777" w:rsidR="00696A5B" w:rsidRPr="00402D4B" w:rsidRDefault="00696A5B" w:rsidP="0063521D">
      <w:pPr>
        <w:pStyle w:val="GHSSubparas1"/>
      </w:pPr>
    </w:p>
    <w:p w14:paraId="47BB544D" w14:textId="77777777" w:rsidR="00696A5B" w:rsidRDefault="00696A5B" w:rsidP="0063521D">
      <w:pPr>
        <w:autoSpaceDE w:val="0"/>
        <w:autoSpaceDN w:val="0"/>
        <w:adjustRightInd w:val="0"/>
        <w:jc w:val="both"/>
        <w:rPr>
          <w:b/>
          <w:bCs/>
          <w:color w:val="FF0000"/>
        </w:rPr>
      </w:pPr>
      <w:r w:rsidRPr="00290286">
        <w:rPr>
          <w:color w:val="FF0000"/>
        </w:rPr>
        <w:t xml:space="preserve">3.4.2.2.7.7 </w:t>
      </w:r>
      <w:r w:rsidRPr="00290286">
        <w:rPr>
          <w:color w:val="FF0000"/>
        </w:rPr>
        <w:tab/>
      </w:r>
      <w:r w:rsidRPr="00A72D64">
        <w:rPr>
          <w:color w:val="4F81BD" w:themeColor="accent1"/>
        </w:rPr>
        <w:t>Where information from the various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assessment (</w:t>
      </w:r>
      <w:proofErr w:type="gramStart"/>
      <w:r w:rsidRPr="00A72D64">
        <w:rPr>
          <w:color w:val="4F81BD" w:themeColor="accent1"/>
        </w:rPr>
        <w:t>i.e.</w:t>
      </w:r>
      <w:proofErr w:type="gramEnd"/>
      <w:r w:rsidRPr="00A72D64">
        <w:rPr>
          <w:color w:val="4F81BD" w:themeColor="accent1"/>
        </w:rPr>
        <w:t xml:space="preserve"> in Tier 3). </w:t>
      </w:r>
      <w:r w:rsidRPr="00E34231">
        <w:rPr>
          <w:color w:val="FF0000"/>
        </w:rPr>
        <w:t>For example</w:t>
      </w:r>
      <w:r w:rsidRPr="002144A3">
        <w:rPr>
          <w:color w:val="FF0000"/>
        </w:rPr>
        <w:t xml:space="preserve">, </w:t>
      </w:r>
      <w:r w:rsidRPr="00E34231">
        <w:rPr>
          <w:color w:val="FF0000"/>
        </w:rPr>
        <w:t>having consulted the guidance in 3.4.5.3 as appropriate</w:t>
      </w:r>
      <w:r w:rsidRPr="002144A3">
        <w:rPr>
          <w:color w:val="FF0000"/>
        </w:rPr>
        <w:t xml:space="preserve">, </w:t>
      </w:r>
      <w:r w:rsidRPr="00DD103C">
        <w:rPr>
          <w:rFonts w:eastAsiaTheme="minorEastAsia"/>
          <w:color w:val="FF0000"/>
          <w:lang w:eastAsia="zh-CN"/>
        </w:rPr>
        <w:t>classifiers concerned with a negative result for skin sensitisation in a Buehler</w:t>
      </w:r>
      <w:r w:rsidRPr="00DD103C">
        <w:rPr>
          <w:rFonts w:eastAsiaTheme="minorEastAsia"/>
          <w:i/>
          <w:iCs/>
          <w:color w:val="FF0000"/>
          <w:lang w:eastAsia="zh-CN"/>
        </w:rPr>
        <w:t xml:space="preserve"> </w:t>
      </w:r>
      <w:r w:rsidRPr="00DD103C">
        <w:rPr>
          <w:rFonts w:eastAsiaTheme="minorEastAsia"/>
          <w:color w:val="FF0000"/>
          <w:lang w:eastAsia="zh-CN"/>
        </w:rPr>
        <w:t>study when there is a clear positive result in humans for very similar substances (from read across) would utilise an overall weight of evidence approach.</w:t>
      </w:r>
    </w:p>
    <w:p w14:paraId="789DE303" w14:textId="77777777" w:rsidR="00696A5B" w:rsidRPr="003B2F7A" w:rsidRDefault="00696A5B" w:rsidP="0063521D">
      <w:pPr>
        <w:autoSpaceDE w:val="0"/>
        <w:autoSpaceDN w:val="0"/>
        <w:adjustRightInd w:val="0"/>
        <w:rPr>
          <w:b/>
          <w:bCs/>
          <w:color w:val="FF0000"/>
        </w:rPr>
      </w:pPr>
    </w:p>
    <w:p w14:paraId="5C1AF083" w14:textId="77777777" w:rsidR="00696A5B" w:rsidRPr="00290286" w:rsidRDefault="00696A5B" w:rsidP="0063521D">
      <w:pPr>
        <w:pStyle w:val="GHSHeading5"/>
        <w:keepNext w:val="0"/>
        <w:keepLines w:val="0"/>
        <w:tabs>
          <w:tab w:val="clear" w:pos="1985"/>
          <w:tab w:val="clear" w:pos="2552"/>
          <w:tab w:val="clear" w:pos="3119"/>
          <w:tab w:val="clear" w:pos="3686"/>
        </w:tabs>
        <w:spacing w:after="240"/>
        <w:rPr>
          <w:sz w:val="20"/>
          <w:szCs w:val="20"/>
        </w:rPr>
      </w:pPr>
      <w:r w:rsidRPr="00290286">
        <w:rPr>
          <w:sz w:val="20"/>
          <w:szCs w:val="20"/>
        </w:rPr>
        <w:t>3.4.2.2.</w:t>
      </w:r>
      <w:r w:rsidRPr="00290286">
        <w:rPr>
          <w:color w:val="FF0000"/>
          <w:sz w:val="20"/>
          <w:szCs w:val="20"/>
        </w:rPr>
        <w:t>7.</w:t>
      </w:r>
      <w:r w:rsidRPr="00395F64">
        <w:rPr>
          <w:strike/>
          <w:color w:val="FF0000"/>
          <w:sz w:val="20"/>
          <w:szCs w:val="20"/>
        </w:rPr>
        <w:t>7</w:t>
      </w:r>
      <w:r w:rsidRPr="00395F64">
        <w:rPr>
          <w:color w:val="FF0000"/>
          <w:sz w:val="20"/>
          <w:szCs w:val="20"/>
        </w:rPr>
        <w:t>8</w:t>
      </w:r>
      <w:r w:rsidRPr="00290286">
        <w:rPr>
          <w:sz w:val="20"/>
          <w:szCs w:val="20"/>
        </w:rPr>
        <w:tab/>
      </w:r>
      <w:r w:rsidRPr="00290286">
        <w:rPr>
          <w:iCs/>
          <w:sz w:val="20"/>
          <w:szCs w:val="20"/>
        </w:rPr>
        <w:t>Immunological contact urticaria</w:t>
      </w:r>
    </w:p>
    <w:p w14:paraId="1089A656" w14:textId="77777777" w:rsidR="00696A5B" w:rsidRPr="00402D4B" w:rsidRDefault="00696A5B" w:rsidP="0063521D">
      <w:pPr>
        <w:pStyle w:val="GHS1stline"/>
      </w:pPr>
      <w:r w:rsidRPr="00402D4B">
        <w:t>Substances meeting the criteria for classification as respiratory sensitizers may in addition cause immunological contact urticaria. Consideration should be given to classifying these substances also as skin sensitizers. Substances which cause immunological contact urticaria without meeting the criteria</w:t>
      </w:r>
      <w:r w:rsidRPr="00402D4B">
        <w:rPr>
          <w:b/>
        </w:rPr>
        <w:t xml:space="preserve"> </w:t>
      </w:r>
      <w:r w:rsidRPr="00402D4B">
        <w:t>for</w:t>
      </w:r>
      <w:r w:rsidRPr="00402D4B">
        <w:rPr>
          <w:b/>
        </w:rPr>
        <w:t xml:space="preserve"> </w:t>
      </w:r>
      <w:r w:rsidRPr="00402D4B">
        <w:t>respiratory sensitizers</w:t>
      </w:r>
      <w:r w:rsidRPr="00402D4B">
        <w:rPr>
          <w:b/>
        </w:rPr>
        <w:t xml:space="preserve"> </w:t>
      </w:r>
      <w:r w:rsidRPr="00402D4B">
        <w:t>should also be considered for classification as skin sensitizers.</w:t>
      </w:r>
    </w:p>
    <w:p w14:paraId="651727CB" w14:textId="0BBEF56E" w:rsidR="00887D87" w:rsidRDefault="00696A5B" w:rsidP="0063521D">
      <w:pPr>
        <w:spacing w:before="240"/>
      </w:pPr>
      <w:r w:rsidRPr="00402D4B">
        <w:t xml:space="preserve">There is no recognized animal model available to identify substances which cause immunological contact urticaria. Therefore, classification will normally be based on human evidence which will be </w:t>
      </w:r>
      <w:proofErr w:type="gramStart"/>
      <w:r w:rsidRPr="00402D4B">
        <w:t>similar to</w:t>
      </w:r>
      <w:proofErr w:type="gramEnd"/>
      <w:r w:rsidRPr="00402D4B">
        <w:t xml:space="preserve"> that for skin sensitization.</w:t>
      </w:r>
    </w:p>
    <w:p w14:paraId="600FCDB5" w14:textId="77777777" w:rsidR="00CD3C6C" w:rsidRPr="006E7457" w:rsidRDefault="00CD3C6C" w:rsidP="00CD3C6C">
      <w:pPr>
        <w:spacing w:before="240" w:after="200" w:line="276" w:lineRule="auto"/>
        <w:rPr>
          <w:b/>
          <w:bCs/>
          <w:color w:val="4F81BD" w:themeColor="accent1"/>
        </w:rPr>
      </w:pPr>
      <w:r w:rsidRPr="006E7457">
        <w:rPr>
          <w:b/>
          <w:bCs/>
          <w:color w:val="4F81BD" w:themeColor="accent1"/>
        </w:rPr>
        <w:t xml:space="preserve">Figure 3.4.1: Application of the tiered approach for skin </w:t>
      </w:r>
      <w:proofErr w:type="spellStart"/>
      <w:r w:rsidRPr="006E7457">
        <w:rPr>
          <w:b/>
          <w:bCs/>
          <w:color w:val="4F81BD" w:themeColor="accent1"/>
        </w:rPr>
        <w:t>sensitization</w:t>
      </w:r>
      <w:r w:rsidRPr="006E7457">
        <w:rPr>
          <w:b/>
          <w:bCs/>
          <w:color w:val="4F81BD" w:themeColor="accent1"/>
          <w:vertAlign w:val="superscript"/>
        </w:rPr>
        <w:t>a</w:t>
      </w:r>
      <w:proofErr w:type="spellEnd"/>
    </w:p>
    <w:p w14:paraId="07E2987B" w14:textId="77777777" w:rsidR="009A5C6B" w:rsidRPr="006E7457" w:rsidRDefault="009A5C6B" w:rsidP="009A5C6B">
      <w:pPr>
        <w:spacing w:after="200" w:line="276" w:lineRule="auto"/>
        <w:rPr>
          <w:color w:val="4F81BD" w:themeColor="accent1"/>
        </w:rPr>
      </w:pPr>
      <w:r w:rsidRPr="006E7457">
        <w:rPr>
          <w:noProof/>
          <w:color w:val="4F81BD" w:themeColor="accent1"/>
          <w:lang w:eastAsia="en-GB"/>
        </w:rPr>
        <mc:AlternateContent>
          <mc:Choice Requires="wps">
            <w:drawing>
              <wp:anchor distT="0" distB="0" distL="114300" distR="114300" simplePos="0" relativeHeight="251658253" behindDoc="0" locked="0" layoutInCell="1" allowOverlap="1" wp14:anchorId="70A45538" wp14:editId="6B664817">
                <wp:simplePos x="0" y="0"/>
                <wp:positionH relativeFrom="margin">
                  <wp:posOffset>5071110</wp:posOffset>
                </wp:positionH>
                <wp:positionV relativeFrom="paragraph">
                  <wp:posOffset>224155</wp:posOffset>
                </wp:positionV>
                <wp:extent cx="1417320" cy="4876800"/>
                <wp:effectExtent l="0" t="0" r="11430" b="19050"/>
                <wp:wrapNone/>
                <wp:docPr id="25" name="Casella di testo 25"/>
                <wp:cNvGraphicFramePr/>
                <a:graphic xmlns:a="http://schemas.openxmlformats.org/drawingml/2006/main">
                  <a:graphicData uri="http://schemas.microsoft.com/office/word/2010/wordprocessingShape">
                    <wps:wsp>
                      <wps:cNvSpPr txBox="1"/>
                      <wps:spPr>
                        <a:xfrm>
                          <a:off x="0" y="0"/>
                          <a:ext cx="1417320" cy="4876800"/>
                        </a:xfrm>
                        <a:prstGeom prst="rect">
                          <a:avLst/>
                        </a:prstGeom>
                        <a:solidFill>
                          <a:sysClr val="window" lastClr="FFFFFF"/>
                        </a:solidFill>
                        <a:ln w="6350">
                          <a:solidFill>
                            <a:prstClr val="black"/>
                          </a:solidFill>
                        </a:ln>
                      </wps:spPr>
                      <wps:txbx>
                        <w:txbxContent>
                          <w:p w14:paraId="6B366442" w14:textId="77777777" w:rsidR="009A5C6B" w:rsidRDefault="009A5C6B" w:rsidP="009A5C6B">
                            <w:pPr>
                              <w:jc w:val="center"/>
                            </w:pPr>
                          </w:p>
                          <w:p w14:paraId="20B11EDB" w14:textId="77777777" w:rsidR="009A5C6B" w:rsidRDefault="009A5C6B" w:rsidP="009A5C6B">
                            <w:pPr>
                              <w:jc w:val="center"/>
                            </w:pPr>
                          </w:p>
                          <w:p w14:paraId="45F97A2B" w14:textId="77777777" w:rsidR="009A5C6B" w:rsidRDefault="009A5C6B" w:rsidP="009A5C6B">
                            <w:pPr>
                              <w:jc w:val="center"/>
                            </w:pPr>
                          </w:p>
                          <w:p w14:paraId="0ED0AFD2" w14:textId="77777777" w:rsidR="009A5C6B" w:rsidRDefault="009A5C6B" w:rsidP="009A5C6B">
                            <w:pPr>
                              <w:rPr>
                                <w:color w:val="FF0000"/>
                              </w:rPr>
                            </w:pPr>
                          </w:p>
                          <w:p w14:paraId="76F5C9DA" w14:textId="77777777" w:rsidR="009A5C6B" w:rsidRDefault="009A5C6B" w:rsidP="009A5C6B">
                            <w:pPr>
                              <w:jc w:val="center"/>
                              <w:rPr>
                                <w:color w:val="FF0000"/>
                              </w:rPr>
                            </w:pPr>
                          </w:p>
                          <w:p w14:paraId="4E4DA3BC" w14:textId="77777777" w:rsidR="009A5C6B" w:rsidRDefault="009A5C6B" w:rsidP="009A5C6B">
                            <w:pPr>
                              <w:rPr>
                                <w:color w:val="FF0000"/>
                              </w:rPr>
                            </w:pPr>
                          </w:p>
                          <w:p w14:paraId="138F40BC" w14:textId="77777777" w:rsidR="009A5C6B" w:rsidRPr="006E7457" w:rsidRDefault="009A5C6B" w:rsidP="009A5C6B">
                            <w:pPr>
                              <w:rPr>
                                <w:color w:val="4F81BD" w:themeColor="accent1"/>
                              </w:rPr>
                            </w:pPr>
                            <w:r w:rsidRPr="006E7457">
                              <w:rPr>
                                <w:color w:val="4F81BD" w:themeColor="accent1"/>
                              </w:rPr>
                              <w:t>Assess consistency with lower Tiers (see 3.4.2.2.7.7):</w:t>
                            </w:r>
                          </w:p>
                          <w:p w14:paraId="79B3332D" w14:textId="77777777" w:rsidR="009A5C6B" w:rsidRPr="006E7457" w:rsidRDefault="009A5C6B" w:rsidP="009A5C6B">
                            <w:pPr>
                              <w:pStyle w:val="ListParagraph"/>
                              <w:numPr>
                                <w:ilvl w:val="0"/>
                                <w:numId w:val="30"/>
                              </w:numPr>
                              <w:suppressAutoHyphens w:val="0"/>
                              <w:spacing w:line="240" w:lineRule="auto"/>
                              <w:ind w:left="284" w:hanging="284"/>
                              <w:rPr>
                                <w:color w:val="4F81BD" w:themeColor="accent1"/>
                              </w:rPr>
                            </w:pPr>
                            <w:r w:rsidRPr="006E7457">
                              <w:rPr>
                                <w:color w:val="4F81BD" w:themeColor="accent1"/>
                              </w:rPr>
                              <w:t>If lower tier data suggest stricter classification and there is concern of misclassification go to Tier 3.</w:t>
                            </w:r>
                          </w:p>
                          <w:p w14:paraId="6ABF3F1B" w14:textId="77777777" w:rsidR="009A5C6B" w:rsidRPr="006E7457" w:rsidRDefault="009A5C6B" w:rsidP="009A5C6B">
                            <w:pPr>
                              <w:pStyle w:val="ListParagraph"/>
                              <w:ind w:left="284"/>
                              <w:rPr>
                                <w:color w:val="4F81BD" w:themeColor="accent1"/>
                              </w:rPr>
                            </w:pPr>
                          </w:p>
                          <w:p w14:paraId="45E4CF17" w14:textId="77777777" w:rsidR="009A5C6B" w:rsidRPr="006E7457" w:rsidRDefault="009A5C6B" w:rsidP="009A5C6B">
                            <w:pPr>
                              <w:pStyle w:val="ListParagraph"/>
                              <w:numPr>
                                <w:ilvl w:val="0"/>
                                <w:numId w:val="30"/>
                              </w:numPr>
                              <w:suppressAutoHyphens w:val="0"/>
                              <w:spacing w:line="240" w:lineRule="auto"/>
                              <w:ind w:left="284" w:hanging="284"/>
                              <w:rPr>
                                <w:color w:val="4F81BD" w:themeColor="accent1"/>
                              </w:rPr>
                            </w:pPr>
                            <w:r w:rsidRPr="006E7457">
                              <w:rPr>
                                <w:color w:val="4F81BD" w:themeColor="accent1"/>
                              </w:rPr>
                              <w:t xml:space="preserve">Otherwise conclude on classification based on the highest conclusive Tier. </w:t>
                            </w:r>
                          </w:p>
                          <w:p w14:paraId="75E98EDA" w14:textId="77777777" w:rsidR="009A5C6B" w:rsidRPr="00E441F2" w:rsidRDefault="009A5C6B" w:rsidP="009A5C6B">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45538" id="_x0000_t202" coordsize="21600,21600" o:spt="202" path="m,l,21600r21600,l21600,xe">
                <v:stroke joinstyle="miter"/>
                <v:path gradientshapeok="t" o:connecttype="rect"/>
              </v:shapetype>
              <v:shape id="Casella di testo 25" o:spid="_x0000_s1026" type="#_x0000_t202" style="position:absolute;margin-left:399.3pt;margin-top:17.65pt;width:111.6pt;height:384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GVXQIAAL0EAAAOAAAAZHJzL2Uyb0RvYy54bWysVMluGzEMvRfoPwi6N2M7dhYj48B14KJA&#10;kARIipxljcYWqhFVSfaM+/V9kpdsPRX1QaZE8pF8JOfqumsM2ygfNNmS9096nCkrqdJ2WfIfT/Mv&#10;F5yFKGwlDFlV8q0K/Hry+dNV68ZqQCsylfIMIDaMW1fyVYxuXBRBrlQjwgk5ZaGsyTci4uqXReVF&#10;C/TGFINe76xoyVfOk1Qh4PVmp+STjF/XSsb7ug4qMlNy5Bbz6fO5SGcxuRLjpRdupeU+DfEPWTRC&#10;WwQ9Qt2IKNja6w9QjZaeAtXxRFJTUF1rqXINqKbfe1fN40o4lWsBOcEdaQr/D1bebR4801XJByPO&#10;rGjQo5kIyhjBKs2iCpEYVOCpdWEM80cHh9h9pQ79PrwHPKbyu9o36R+FMejB+PbIsuoik8lp2D8/&#10;HUAloRtenJ9d9HIfihd350P8pqhhSSi5Rxszu2JzGyJSgenBJEULZHQ118bkyzbMjGcbgY5jUCpq&#10;OTMiRDyWfJ5/KWtAvHEzlrUlPzsd9XKkN7oU64i5MEL+/IgAPGMBm1jasZGk2C26PXULqrZgztNu&#10;BoOTcw3cW6T2IDyGDoxgkeI9jtoQkqG9xNmK/O+/vSd7zAK0nLUY4pKHX2vhFSr+bjEll/3hME19&#10;vgxH54l1/1qzeK2x62ZGYK2PlXUyi8k+moNYe2qesW/TFBUqYSVilzwexFncrRb2VarpNBthzp2I&#10;t/bRyQSdWpT4fOqehXf7BkfMxh0dxl2M3/V5Z5s8LU3XkWqdhyARvGN1zzt2JDd2v89pCV/fs9XL&#10;V2fyBwAA//8DAFBLAwQUAAYACAAAACEAnj0/ct4AAAALAQAADwAAAGRycy9kb3ducmV2LnhtbEyP&#10;wU7DMBBE70j8g7VI3KjTRpQ0ZFMhJI4IkXKAm2sviSFeR7Gbhn497gmOq32aeVNtZ9eLicZgPSMs&#10;FxkIYu2N5Rbhbfd0U4AIUbFRvWdC+KEA2/ryolKl8Ud+pamJrUghHEqF0MU4lFIG3ZFTYeEH4vT7&#10;9KNTMZ1jK82ojinc9XKVZWvplOXU0KmBHjvS383BIRh+96w/7PPJcqPt5vRSfOkJ8fpqfrgHEWmO&#10;fzCc9ZM61Mlp7w9sgugR7jbFOqEI+W0O4gxkq2Uas0cosjwHWVfy/4b6FwAA//8DAFBLAQItABQA&#10;BgAIAAAAIQC2gziS/gAAAOEBAAATAAAAAAAAAAAAAAAAAAAAAABbQ29udGVudF9UeXBlc10ueG1s&#10;UEsBAi0AFAAGAAgAAAAhADj9If/WAAAAlAEAAAsAAAAAAAAAAAAAAAAALwEAAF9yZWxzLy5yZWxz&#10;UEsBAi0AFAAGAAgAAAAhAB/uoZVdAgAAvQQAAA4AAAAAAAAAAAAAAAAALgIAAGRycy9lMm9Eb2Mu&#10;eG1sUEsBAi0AFAAGAAgAAAAhAJ49P3LeAAAACwEAAA8AAAAAAAAAAAAAAAAAtwQAAGRycy9kb3du&#10;cmV2LnhtbFBLBQYAAAAABAAEAPMAAADCBQAAAAA=&#10;" fillcolor="window" strokeweight=".5pt">
                <v:textbox>
                  <w:txbxContent>
                    <w:p w14:paraId="6B366442" w14:textId="77777777" w:rsidR="009A5C6B" w:rsidRDefault="009A5C6B" w:rsidP="009A5C6B">
                      <w:pPr>
                        <w:jc w:val="center"/>
                      </w:pPr>
                    </w:p>
                    <w:p w14:paraId="20B11EDB" w14:textId="77777777" w:rsidR="009A5C6B" w:rsidRDefault="009A5C6B" w:rsidP="009A5C6B">
                      <w:pPr>
                        <w:jc w:val="center"/>
                      </w:pPr>
                    </w:p>
                    <w:p w14:paraId="45F97A2B" w14:textId="77777777" w:rsidR="009A5C6B" w:rsidRDefault="009A5C6B" w:rsidP="009A5C6B">
                      <w:pPr>
                        <w:jc w:val="center"/>
                      </w:pPr>
                    </w:p>
                    <w:p w14:paraId="0ED0AFD2" w14:textId="77777777" w:rsidR="009A5C6B" w:rsidRDefault="009A5C6B" w:rsidP="009A5C6B">
                      <w:pPr>
                        <w:rPr>
                          <w:color w:val="FF0000"/>
                        </w:rPr>
                      </w:pPr>
                    </w:p>
                    <w:p w14:paraId="76F5C9DA" w14:textId="77777777" w:rsidR="009A5C6B" w:rsidRDefault="009A5C6B" w:rsidP="009A5C6B">
                      <w:pPr>
                        <w:jc w:val="center"/>
                        <w:rPr>
                          <w:color w:val="FF0000"/>
                        </w:rPr>
                      </w:pPr>
                    </w:p>
                    <w:p w14:paraId="4E4DA3BC" w14:textId="77777777" w:rsidR="009A5C6B" w:rsidRDefault="009A5C6B" w:rsidP="009A5C6B">
                      <w:pPr>
                        <w:rPr>
                          <w:color w:val="FF0000"/>
                        </w:rPr>
                      </w:pPr>
                    </w:p>
                    <w:p w14:paraId="138F40BC" w14:textId="77777777" w:rsidR="009A5C6B" w:rsidRPr="006E7457" w:rsidRDefault="009A5C6B" w:rsidP="009A5C6B">
                      <w:pPr>
                        <w:rPr>
                          <w:color w:val="4F81BD" w:themeColor="accent1"/>
                        </w:rPr>
                      </w:pPr>
                      <w:r w:rsidRPr="006E7457">
                        <w:rPr>
                          <w:color w:val="4F81BD" w:themeColor="accent1"/>
                        </w:rPr>
                        <w:t>Assess consistency with lower Tiers (see 3.4.2.2.7.7):</w:t>
                      </w:r>
                    </w:p>
                    <w:p w14:paraId="79B3332D" w14:textId="77777777" w:rsidR="009A5C6B" w:rsidRPr="006E7457" w:rsidRDefault="009A5C6B" w:rsidP="009A5C6B">
                      <w:pPr>
                        <w:pStyle w:val="ListParagraph"/>
                        <w:numPr>
                          <w:ilvl w:val="0"/>
                          <w:numId w:val="30"/>
                        </w:numPr>
                        <w:suppressAutoHyphens w:val="0"/>
                        <w:spacing w:line="240" w:lineRule="auto"/>
                        <w:ind w:left="284" w:hanging="284"/>
                        <w:rPr>
                          <w:color w:val="4F81BD" w:themeColor="accent1"/>
                        </w:rPr>
                      </w:pPr>
                      <w:r w:rsidRPr="006E7457">
                        <w:rPr>
                          <w:color w:val="4F81BD" w:themeColor="accent1"/>
                        </w:rPr>
                        <w:t>If lower tier data suggest stricter classification and there is concern of misclassification go to Tier 3.</w:t>
                      </w:r>
                    </w:p>
                    <w:p w14:paraId="6ABF3F1B" w14:textId="77777777" w:rsidR="009A5C6B" w:rsidRPr="006E7457" w:rsidRDefault="009A5C6B" w:rsidP="009A5C6B">
                      <w:pPr>
                        <w:pStyle w:val="ListParagraph"/>
                        <w:ind w:left="284"/>
                        <w:rPr>
                          <w:color w:val="4F81BD" w:themeColor="accent1"/>
                        </w:rPr>
                      </w:pPr>
                    </w:p>
                    <w:p w14:paraId="45E4CF17" w14:textId="77777777" w:rsidR="009A5C6B" w:rsidRPr="006E7457" w:rsidRDefault="009A5C6B" w:rsidP="009A5C6B">
                      <w:pPr>
                        <w:pStyle w:val="ListParagraph"/>
                        <w:numPr>
                          <w:ilvl w:val="0"/>
                          <w:numId w:val="30"/>
                        </w:numPr>
                        <w:suppressAutoHyphens w:val="0"/>
                        <w:spacing w:line="240" w:lineRule="auto"/>
                        <w:ind w:left="284" w:hanging="284"/>
                        <w:rPr>
                          <w:color w:val="4F81BD" w:themeColor="accent1"/>
                        </w:rPr>
                      </w:pPr>
                      <w:r w:rsidRPr="006E7457">
                        <w:rPr>
                          <w:color w:val="4F81BD" w:themeColor="accent1"/>
                        </w:rPr>
                        <w:t xml:space="preserve">Otherwise conclude on classification based on the highest conclusive Tier. </w:t>
                      </w:r>
                    </w:p>
                    <w:p w14:paraId="75E98EDA" w14:textId="77777777" w:rsidR="009A5C6B" w:rsidRPr="00E441F2" w:rsidRDefault="009A5C6B" w:rsidP="009A5C6B">
                      <w:pPr>
                        <w:jc w:val="center"/>
                        <w:rPr>
                          <w:color w:val="FF0000"/>
                        </w:rPr>
                      </w:pPr>
                    </w:p>
                  </w:txbxContent>
                </v:textbox>
                <w10:wrap anchorx="margin"/>
              </v:shape>
            </w:pict>
          </mc:Fallback>
        </mc:AlternateContent>
      </w:r>
      <w:r w:rsidRPr="006E7457">
        <w:rPr>
          <w:noProof/>
          <w:color w:val="4F81BD" w:themeColor="accent1"/>
          <w:lang w:eastAsia="en-GB"/>
        </w:rPr>
        <mc:AlternateContent>
          <mc:Choice Requires="wps">
            <w:drawing>
              <wp:anchor distT="45720" distB="45720" distL="114300" distR="114300" simplePos="0" relativeHeight="251658242" behindDoc="0" locked="0" layoutInCell="1" allowOverlap="1" wp14:anchorId="4DE89935" wp14:editId="6F4A7405">
                <wp:simplePos x="0" y="0"/>
                <wp:positionH relativeFrom="column">
                  <wp:posOffset>-346710</wp:posOffset>
                </wp:positionH>
                <wp:positionV relativeFrom="paragraph">
                  <wp:posOffset>200025</wp:posOffset>
                </wp:positionV>
                <wp:extent cx="4442460" cy="1404620"/>
                <wp:effectExtent l="0" t="0" r="15240" b="1778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404620"/>
                        </a:xfrm>
                        <a:prstGeom prst="rect">
                          <a:avLst/>
                        </a:prstGeom>
                        <a:solidFill>
                          <a:srgbClr val="FFFFFF"/>
                        </a:solidFill>
                        <a:ln w="9525">
                          <a:solidFill>
                            <a:srgbClr val="000000"/>
                          </a:solidFill>
                          <a:miter lim="800000"/>
                          <a:headEnd/>
                          <a:tailEnd/>
                        </a:ln>
                      </wps:spPr>
                      <wps:txbx>
                        <w:txbxContent>
                          <w:p w14:paraId="34DBC85B" w14:textId="77777777" w:rsidR="009A5C6B" w:rsidRPr="006E7457" w:rsidRDefault="009A5C6B" w:rsidP="009A5C6B">
                            <w:pPr>
                              <w:jc w:val="center"/>
                              <w:rPr>
                                <w:b/>
                                <w:bCs/>
                                <w:color w:val="4F81BD" w:themeColor="accent1"/>
                              </w:rPr>
                            </w:pPr>
                            <w:r w:rsidRPr="006E7457">
                              <w:rPr>
                                <w:b/>
                                <w:bCs/>
                                <w:color w:val="4F81BD" w:themeColor="accent1"/>
                              </w:rPr>
                              <w:t>Tier 1</w:t>
                            </w:r>
                          </w:p>
                          <w:p w14:paraId="6EA221D3" w14:textId="77777777" w:rsidR="009A5C6B" w:rsidRPr="006E7457" w:rsidRDefault="009A5C6B" w:rsidP="009A5C6B">
                            <w:pPr>
                              <w:jc w:val="center"/>
                              <w:rPr>
                                <w:color w:val="4F81BD" w:themeColor="accent1"/>
                              </w:rPr>
                            </w:pPr>
                            <w:r w:rsidRPr="006E7457">
                              <w:rPr>
                                <w:color w:val="4F81BD" w:themeColor="accent1"/>
                              </w:rPr>
                              <w:t xml:space="preserve">Classification based on </w:t>
                            </w:r>
                            <w:r w:rsidRPr="006E7457">
                              <w:rPr>
                                <w:b/>
                                <w:bCs/>
                                <w:color w:val="4F81BD" w:themeColor="accent1"/>
                              </w:rPr>
                              <w:t>human data</w:t>
                            </w:r>
                            <w:r w:rsidRPr="006E7457">
                              <w:rPr>
                                <w:color w:val="4F81BD" w:themeColor="accent1"/>
                              </w:rPr>
                              <w:t xml:space="preserve"> (see 3.4.2.2.2)</w:t>
                            </w:r>
                          </w:p>
                          <w:p w14:paraId="5CF88287"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standard animal data</w:t>
                            </w:r>
                            <w:r w:rsidRPr="006E7457">
                              <w:rPr>
                                <w:color w:val="4F81BD" w:themeColor="accent1"/>
                              </w:rPr>
                              <w:t xml:space="preserve"> (see 3.4.2.2.3)</w:t>
                            </w:r>
                          </w:p>
                          <w:p w14:paraId="44B45E04"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defined approaches</w:t>
                            </w:r>
                            <w:r w:rsidRPr="006E7457">
                              <w:rPr>
                                <w:color w:val="4F81BD" w:themeColor="accent1"/>
                              </w:rPr>
                              <w:t xml:space="preserve"> (see 3.4.2.2.4)</w:t>
                            </w:r>
                          </w:p>
                          <w:p w14:paraId="5687ABA6"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 xml:space="preserve">stand-alone </w:t>
                            </w:r>
                            <w:r w:rsidRPr="006E7457">
                              <w:rPr>
                                <w:b/>
                                <w:bCs/>
                                <w:i/>
                                <w:iCs/>
                                <w:color w:val="4F81BD" w:themeColor="accent1"/>
                              </w:rPr>
                              <w:t>in chemico/in vitro</w:t>
                            </w:r>
                            <w:r w:rsidRPr="006E7457">
                              <w:rPr>
                                <w:b/>
                                <w:bCs/>
                                <w:color w:val="4F81BD" w:themeColor="accent1"/>
                              </w:rPr>
                              <w:t xml:space="preserve"> methods</w:t>
                            </w:r>
                            <w:r w:rsidRPr="006E7457">
                              <w:rPr>
                                <w:color w:val="4F81BD" w:themeColor="accent1"/>
                              </w:rPr>
                              <w:t xml:space="preserve"> (see 3.4.2.2.5)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89935" id="Casella di testo 2" o:spid="_x0000_s1027" type="#_x0000_t202" style="position:absolute;margin-left:-27.3pt;margin-top:15.75pt;width:349.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nALQIAAFYEAAAOAAAAZHJzL2Uyb0RvYy54bWysVM1u2zAMvg/YOwi6L04MJ22NOEWXLsOA&#10;7gfo9gCMLMfCZFGTlNjZ04+S0zTotsswHwRSJD+RH0kvb4dOs4N0XqGp+Gwy5UwagbUyu4p/+7p5&#10;c82ZD2Bq0GhkxY/S89vV61fL3pYyxxZ1LR0jEOPL3la8DcGWWeZFKzvwE7TSkLFB10Eg1e2y2kFP&#10;6J3O8ul0kfXoautQSO/p9n408lXCbxopwuem8TIwXXHKLaTTpXMbz2y1hHLnwLZKnNKAf8iiA2Xo&#10;0TPUPQRge6d+g+qUcOixCROBXYZNo4RMNVA1s+mLah5bsDLVQuR4e6bJ/z9Y8enwxTFVVzyfXXFm&#10;oKMmrcFLrYHVigXpA7I88tRbX5L7o6WAMLzFgfqdavb2AcV3zwyuWzA7eecc9q2EmvKcxcjsInTE&#10;8RFk23/Emp6DfcAENDSuiyQSLYzQqV/Hc4/kEJigy6Io8mJBJkG2WTEtFnnqYgblU7h1PryX2LEo&#10;VNzRECR4ODz4ENOB8sklvuZRq3qjtE6K223X2rED0MBs0pcqeOGmDesrfjPP5yMDf4WYpu9PEJ0K&#10;NPladRW/PjtBGXl7Z+o0lwGUHmVKWZsTkZG7kcUwbIfUu8RyJHmL9ZGYdTgOOi0mCS26n5z1NOQV&#10;9z/24CRn+oOh7tzMiiJuRVKK+RVRydylZXtpASMIquKBs1Fch7RJiTd7R13cqMTvcyanlGl4E+2n&#10;RYvbcaknr+ffweoXAAAA//8DAFBLAwQUAAYACAAAACEAOTCR9t8AAAAKAQAADwAAAGRycy9kb3du&#10;cmV2LnhtbEyPwU7DMBBE70j8g7VIXKrWaVoHFLKpoFJPnBrK3Y2XJCJeh9ht07/HnOhxtU8zb4rN&#10;ZHtxptF3jhGWiwQEce1Mxw3C4WM3fwbhg2aje8eEcCUPm/L+rtC5cRfe07kKjYgh7HON0IYw5FL6&#10;uiWr/cINxPH35UarQzzHRppRX2K47WWaJJm0uuPY0OqBti3V39XJImQ/1Wr2/mlmvL/u3sbaKrM9&#10;KMTHh+n1BUSgKfzD8Kcf1aGMTkd3YuNFjzBX6yyiCKulAhGBbK3iuCNCqtInkGUhbyeUvwAAAP//&#10;AwBQSwECLQAUAAYACAAAACEAtoM4kv4AAADhAQAAEwAAAAAAAAAAAAAAAAAAAAAAW0NvbnRlbnRf&#10;VHlwZXNdLnhtbFBLAQItABQABgAIAAAAIQA4/SH/1gAAAJQBAAALAAAAAAAAAAAAAAAAAC8BAABf&#10;cmVscy8ucmVsc1BLAQItABQABgAIAAAAIQBlDcnALQIAAFYEAAAOAAAAAAAAAAAAAAAAAC4CAABk&#10;cnMvZTJvRG9jLnhtbFBLAQItABQABgAIAAAAIQA5MJH23wAAAAoBAAAPAAAAAAAAAAAAAAAAAIcE&#10;AABkcnMvZG93bnJldi54bWxQSwUGAAAAAAQABADzAAAAkwUAAAAA&#10;">
                <v:textbox style="mso-fit-shape-to-text:t">
                  <w:txbxContent>
                    <w:p w14:paraId="34DBC85B" w14:textId="77777777" w:rsidR="009A5C6B" w:rsidRPr="006E7457" w:rsidRDefault="009A5C6B" w:rsidP="009A5C6B">
                      <w:pPr>
                        <w:jc w:val="center"/>
                        <w:rPr>
                          <w:b/>
                          <w:bCs/>
                          <w:color w:val="4F81BD" w:themeColor="accent1"/>
                        </w:rPr>
                      </w:pPr>
                      <w:r w:rsidRPr="006E7457">
                        <w:rPr>
                          <w:b/>
                          <w:bCs/>
                          <w:color w:val="4F81BD" w:themeColor="accent1"/>
                        </w:rPr>
                        <w:t>Tier 1</w:t>
                      </w:r>
                    </w:p>
                    <w:p w14:paraId="6EA221D3" w14:textId="77777777" w:rsidR="009A5C6B" w:rsidRPr="006E7457" w:rsidRDefault="009A5C6B" w:rsidP="009A5C6B">
                      <w:pPr>
                        <w:jc w:val="center"/>
                        <w:rPr>
                          <w:color w:val="4F81BD" w:themeColor="accent1"/>
                        </w:rPr>
                      </w:pPr>
                      <w:r w:rsidRPr="006E7457">
                        <w:rPr>
                          <w:color w:val="4F81BD" w:themeColor="accent1"/>
                        </w:rPr>
                        <w:t xml:space="preserve">Classification based on </w:t>
                      </w:r>
                      <w:r w:rsidRPr="006E7457">
                        <w:rPr>
                          <w:b/>
                          <w:bCs/>
                          <w:color w:val="4F81BD" w:themeColor="accent1"/>
                        </w:rPr>
                        <w:t>human data</w:t>
                      </w:r>
                      <w:r w:rsidRPr="006E7457">
                        <w:rPr>
                          <w:color w:val="4F81BD" w:themeColor="accent1"/>
                        </w:rPr>
                        <w:t xml:space="preserve"> (see 3.4.2.2.2)</w:t>
                      </w:r>
                    </w:p>
                    <w:p w14:paraId="5CF88287"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standard animal data</w:t>
                      </w:r>
                      <w:r w:rsidRPr="006E7457">
                        <w:rPr>
                          <w:color w:val="4F81BD" w:themeColor="accent1"/>
                        </w:rPr>
                        <w:t xml:space="preserve"> (see 3.4.2.2.3)</w:t>
                      </w:r>
                    </w:p>
                    <w:p w14:paraId="44B45E04"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defined approaches</w:t>
                      </w:r>
                      <w:r w:rsidRPr="006E7457">
                        <w:rPr>
                          <w:color w:val="4F81BD" w:themeColor="accent1"/>
                        </w:rPr>
                        <w:t xml:space="preserve"> (see 3.4.2.2.4)</w:t>
                      </w:r>
                    </w:p>
                    <w:p w14:paraId="5687ABA6"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 xml:space="preserve">stand-alone </w:t>
                      </w:r>
                      <w:r w:rsidRPr="006E7457">
                        <w:rPr>
                          <w:b/>
                          <w:bCs/>
                          <w:i/>
                          <w:iCs/>
                          <w:color w:val="4F81BD" w:themeColor="accent1"/>
                        </w:rPr>
                        <w:t>in chemico/in vitro</w:t>
                      </w:r>
                      <w:r w:rsidRPr="006E7457">
                        <w:rPr>
                          <w:b/>
                          <w:bCs/>
                          <w:color w:val="4F81BD" w:themeColor="accent1"/>
                        </w:rPr>
                        <w:t xml:space="preserve"> methods</w:t>
                      </w:r>
                      <w:r w:rsidRPr="006E7457">
                        <w:rPr>
                          <w:color w:val="4F81BD" w:themeColor="accent1"/>
                        </w:rPr>
                        <w:t xml:space="preserve"> (see 3.4.2.2.5)</w:t>
                      </w:r>
                    </w:p>
                  </w:txbxContent>
                </v:textbox>
                <w10:wrap type="square"/>
              </v:shape>
            </w:pict>
          </mc:Fallback>
        </mc:AlternateContent>
      </w:r>
    </w:p>
    <w:p w14:paraId="1B006B19" w14:textId="77777777" w:rsidR="009A5C6B" w:rsidRPr="006E7457" w:rsidRDefault="009A5C6B" w:rsidP="009A5C6B">
      <w:pPr>
        <w:spacing w:after="200" w:line="276" w:lineRule="auto"/>
        <w:rPr>
          <w:color w:val="4F81BD" w:themeColor="accent1"/>
        </w:rPr>
      </w:pPr>
      <w:r w:rsidRPr="006E7457">
        <w:rPr>
          <w:noProof/>
          <w:color w:val="4F81BD" w:themeColor="accent1"/>
          <w:lang w:eastAsia="en-GB"/>
        </w:rPr>
        <mc:AlternateContent>
          <mc:Choice Requires="wps">
            <w:drawing>
              <wp:anchor distT="0" distB="0" distL="114300" distR="114300" simplePos="0" relativeHeight="251658257" behindDoc="1" locked="0" layoutInCell="1" allowOverlap="1" wp14:anchorId="1651E7FE" wp14:editId="5F3DBEA2">
                <wp:simplePos x="0" y="0"/>
                <wp:positionH relativeFrom="page">
                  <wp:posOffset>1905000</wp:posOffset>
                </wp:positionH>
                <wp:positionV relativeFrom="paragraph">
                  <wp:posOffset>4128135</wp:posOffset>
                </wp:positionV>
                <wp:extent cx="1577340" cy="457200"/>
                <wp:effectExtent l="0" t="0" r="3810" b="0"/>
                <wp:wrapNone/>
                <wp:docPr id="9" name="Casella di testo 9"/>
                <wp:cNvGraphicFramePr/>
                <a:graphic xmlns:a="http://schemas.openxmlformats.org/drawingml/2006/main">
                  <a:graphicData uri="http://schemas.microsoft.com/office/word/2010/wordprocessingShape">
                    <wps:wsp>
                      <wps:cNvSpPr txBox="1"/>
                      <wps:spPr>
                        <a:xfrm>
                          <a:off x="0" y="0"/>
                          <a:ext cx="1577340" cy="457200"/>
                        </a:xfrm>
                        <a:prstGeom prst="rect">
                          <a:avLst/>
                        </a:prstGeom>
                        <a:solidFill>
                          <a:schemeClr val="lt1"/>
                        </a:solidFill>
                        <a:ln w="6350">
                          <a:noFill/>
                        </a:ln>
                      </wps:spPr>
                      <wps:txbx>
                        <w:txbxContent>
                          <w:p w14:paraId="41D09EF9" w14:textId="77777777" w:rsidR="009A5C6B" w:rsidRPr="006E7457" w:rsidRDefault="009A5C6B" w:rsidP="009A5C6B">
                            <w:pPr>
                              <w:jc w:val="center"/>
                              <w:rPr>
                                <w:color w:val="4F81BD" w:themeColor="accent1"/>
                              </w:rPr>
                            </w:pPr>
                            <w:r w:rsidRPr="006E7457">
                              <w:rPr>
                                <w:color w:val="4F81BD" w:themeColor="accent1"/>
                              </w:rPr>
                              <w:t>No data or inconclusive</w:t>
                            </w:r>
                            <w:r w:rsidRPr="006E7457">
                              <w:rPr>
                                <w:color w:val="4F81BD" w:themeColor="accent1"/>
                                <w:vertAlign w:val="superscript"/>
                              </w:rPr>
                              <w:t>b</w:t>
                            </w:r>
                          </w:p>
                          <w:p w14:paraId="7B6F93BD" w14:textId="77777777" w:rsidR="009A5C6B" w:rsidRPr="00693A3C" w:rsidRDefault="009A5C6B" w:rsidP="009A5C6B">
                            <w:pPr>
                              <w:jc w:val="center"/>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1E7FE" id="Casella di testo 9" o:spid="_x0000_s1028" type="#_x0000_t202" style="position:absolute;margin-left:150pt;margin-top:325.05pt;width:124.2pt;height:36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XRwIAAIgEAAAOAAAAZHJzL2Uyb0RvYy54bWysVFFv2jAQfp+0/2D5fQQotCMiVIyKaRJq&#10;K9Gpz8ZxwJLj8+yDhP36nR2grNvTtBfn7Dt/vvu+u0zv29qwg/JBgy34oNfnTFkJpbbbgn9/WX76&#10;zFlAYUthwKqCH1Xg97OPH6aNy9UQdmBK5RmB2JA3ruA7RJdnWZA7VYvQA6csOSvwtUDa+m1WetEQ&#10;em2yYb9/mzXgS+dBqhDo9KFz8lnCryol8amqgkJmCk65YVp9WjdxzWZTkW+9cDstT2mIf8iiFtrS&#10;oxeoB4GC7b3+A6rW0kOACnsS6gyqSkuVaqBqBv131ax3wqlUC5ET3IWm8P9g5ePh2TNdFnzCmRU1&#10;SbQQQRkjWKkZqoDAJpGlxoWcgteOwrH9Ai2pfT4PdBiLbytfxy+VxchPfB8vHKsWmYyXxnd3NyNy&#10;SfKNxnckYoTJ3m47H/CrgppFo+CeNEzUisMqYBd6DomPBTC6XGpj0ib2jVoYzw6CFDeYciTw36KM&#10;ZU3Bb2/G/QRsIV7vkI2lXGKtXU3RwnbTJoaG53o3UB6JBg9dOwUnl5pyXYmAz8JT/1B5NBP4REtl&#10;gN6Ck8XZDvzPv53HeJKVvJw11I8FDz/2wivOzDdLgk8Go8gapk3ijTN/7dlce+y+XgARMKDpczKZ&#10;dNmjOZuVh/qVRmceXyWXsJLeLjiezQV2U0KjJ9V8noKoZZ3AlV07GaEj4VGJl/ZVeHeSC0noRzh3&#10;rsjfqdbFxpsW5nuESidJI88dqyf6qd1TU5xGM87T9T5Fvf1AZr8AAAD//wMAUEsDBBQABgAIAAAA&#10;IQCiGptg4wAAAAsBAAAPAAAAZHJzL2Rvd25yZXYueG1sTI/NTsMwEITvSLyDtUhcELWTNG0V4lQI&#10;8SP1RtOCuLnxkkTE6yh2k/D2mBMcRzOa+SbfzqZjIw6utSQhWghgSJXVLdUSDuXT7QaY84q06iyh&#10;hG90sC0uL3KVaTvRK457X7NQQi5TEhrv+4xzVzVolFvYHil4n3Ywygc51FwPagrlpuOxECtuVEth&#10;oVE9PjRYfe3PRsLHTf2+c/PzcUrSpH98Gcv1my6lvL6a7++AeZz9Xxh+8QM6FIHpZM+kHeskJEKE&#10;L17CKhURsJBIl5slsJOEdRxHwIuc//9Q/AAAAP//AwBQSwECLQAUAAYACAAAACEAtoM4kv4AAADh&#10;AQAAEwAAAAAAAAAAAAAAAAAAAAAAW0NvbnRlbnRfVHlwZXNdLnhtbFBLAQItABQABgAIAAAAIQA4&#10;/SH/1gAAAJQBAAALAAAAAAAAAAAAAAAAAC8BAABfcmVscy8ucmVsc1BLAQItABQABgAIAAAAIQA+&#10;XRCXRwIAAIgEAAAOAAAAAAAAAAAAAAAAAC4CAABkcnMvZTJvRG9jLnhtbFBLAQItABQABgAIAAAA&#10;IQCiGptg4wAAAAsBAAAPAAAAAAAAAAAAAAAAAKEEAABkcnMvZG93bnJldi54bWxQSwUGAAAAAAQA&#10;BADzAAAAsQUAAAAA&#10;" fillcolor="white [3201]" stroked="f" strokeweight=".5pt">
                <v:textbox>
                  <w:txbxContent>
                    <w:p w14:paraId="41D09EF9" w14:textId="77777777" w:rsidR="009A5C6B" w:rsidRPr="006E7457" w:rsidRDefault="009A5C6B" w:rsidP="009A5C6B">
                      <w:pPr>
                        <w:jc w:val="center"/>
                        <w:rPr>
                          <w:color w:val="4F81BD" w:themeColor="accent1"/>
                        </w:rPr>
                      </w:pPr>
                      <w:r w:rsidRPr="006E7457">
                        <w:rPr>
                          <w:color w:val="4F81BD" w:themeColor="accent1"/>
                        </w:rPr>
                        <w:t>No data or inconclusive</w:t>
                      </w:r>
                      <w:r w:rsidRPr="006E7457">
                        <w:rPr>
                          <w:color w:val="4F81BD" w:themeColor="accent1"/>
                          <w:vertAlign w:val="superscript"/>
                        </w:rPr>
                        <w:t>b</w:t>
                      </w:r>
                    </w:p>
                    <w:p w14:paraId="7B6F93BD" w14:textId="77777777" w:rsidR="009A5C6B" w:rsidRPr="00693A3C" w:rsidRDefault="009A5C6B" w:rsidP="009A5C6B">
                      <w:pPr>
                        <w:jc w:val="center"/>
                        <w:rPr>
                          <w:color w:val="4F81BD" w:themeColor="accent1"/>
                        </w:rPr>
                      </w:pPr>
                    </w:p>
                  </w:txbxContent>
                </v:textbox>
                <w10:wrap anchorx="page"/>
              </v:shape>
            </w:pict>
          </mc:Fallback>
        </mc:AlternateContent>
      </w:r>
      <w:r w:rsidRPr="006E7457">
        <w:rPr>
          <w:noProof/>
          <w:color w:val="4F81BD" w:themeColor="accent1"/>
          <w:lang w:eastAsia="en-GB"/>
        </w:rPr>
        <mc:AlternateContent>
          <mc:Choice Requires="wps">
            <w:drawing>
              <wp:anchor distT="0" distB="0" distL="114300" distR="114300" simplePos="0" relativeHeight="251658244" behindDoc="1" locked="0" layoutInCell="1" allowOverlap="1" wp14:anchorId="5EC73201" wp14:editId="1AD63272">
                <wp:simplePos x="0" y="0"/>
                <wp:positionH relativeFrom="margin">
                  <wp:posOffset>537210</wp:posOffset>
                </wp:positionH>
                <wp:positionV relativeFrom="paragraph">
                  <wp:posOffset>1034415</wp:posOffset>
                </wp:positionV>
                <wp:extent cx="2827020" cy="4572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827020" cy="457200"/>
                        </a:xfrm>
                        <a:prstGeom prst="rect">
                          <a:avLst/>
                        </a:prstGeom>
                        <a:solidFill>
                          <a:schemeClr val="lt1"/>
                        </a:solidFill>
                        <a:ln w="6350">
                          <a:noFill/>
                        </a:ln>
                      </wps:spPr>
                      <wps:txbx>
                        <w:txbxContent>
                          <w:p w14:paraId="134FFB85" w14:textId="77777777" w:rsidR="009A5C6B" w:rsidRPr="006E7457" w:rsidRDefault="009A5C6B" w:rsidP="009A5C6B">
                            <w:pPr>
                              <w:jc w:val="center"/>
                              <w:rPr>
                                <w:color w:val="4F81BD" w:themeColor="accent1"/>
                              </w:rPr>
                            </w:pPr>
                            <w:bookmarkStart w:id="1" w:name="_Hlk90656178"/>
                            <w:bookmarkStart w:id="2" w:name="_Hlk90656179"/>
                            <w:bookmarkStart w:id="3" w:name="_Hlk90656180"/>
                            <w:bookmarkStart w:id="4" w:name="_Hlk90656181"/>
                            <w:r w:rsidRPr="006E7457">
                              <w:rPr>
                                <w:color w:val="4F81BD" w:themeColor="accent1"/>
                              </w:rPr>
                              <w:t>No</w:t>
                            </w:r>
                            <w:r w:rsidRPr="002A3AFC">
                              <w:rPr>
                                <w:color w:val="FF0000"/>
                              </w:rPr>
                              <w:t xml:space="preserve"> </w:t>
                            </w:r>
                            <w:r w:rsidRPr="006E7457">
                              <w:rPr>
                                <w:color w:val="4F81BD" w:themeColor="accent1"/>
                              </w:rPr>
                              <w:t>data or inconclusive</w:t>
                            </w:r>
                            <w:bookmarkEnd w:id="1"/>
                            <w:bookmarkEnd w:id="2"/>
                            <w:bookmarkEnd w:id="3"/>
                            <w:bookmarkEnd w:id="4"/>
                            <w:r w:rsidRPr="006E7457">
                              <w:rPr>
                                <w:color w:val="4F81BD" w:themeColor="accent1"/>
                                <w:vertAlign w:val="super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73201" id="Casella di testo 4" o:spid="_x0000_s1029" type="#_x0000_t202" style="position:absolute;margin-left:42.3pt;margin-top:81.45pt;width:222.6pt;height:3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8SAIAAIgEAAAOAAAAZHJzL2Uyb0RvYy54bWysVE1v2zAMvQ/YfxB0X5yk6ceMOEWWIsOA&#10;oC2QDj0rshwLkEVNYmJnv36UnKRZt9Owi0yJ1BP5HunpfdcYtlc+aLAFHw2GnCkrodR2W/DvL8tP&#10;d5wFFLYUBqwq+EEFfj/7+GHaulyNoQZTKs8IxIa8dQWvEV2eZUHWqhFhAE5ZclbgG4G09dus9KIl&#10;9MZk4+HwJmvBl86DVCHQ6UPv5LOEX1VK4lNVBYXMFJxyw7T6tG7ims2mIt964Wotj2mIf8iiEdrS&#10;o2eoB4GC7bz+A6rR0kOACgcSmgyqSkuVaqBqRsN31axr4VSqhcgJ7kxT+H+w8nH/7JkuCz7hzIqG&#10;JFqIoIwRrNQMVUBgk8hS60JOwWtH4dh9gY7UPp0HOozFd5Vv4pfKYuQnvg9njlWHTNLh+G58OxyT&#10;S5Jvcn1LIkaY7O228wG/KmhYNAruScNErdivAvahp5D4WACjy6U2Jm1i36iF8WwvSHGDKUcC/y3K&#10;WNYW/ObqepiALcTrPbKxlEusta8pWthtusTQ1aneDZQHosFD307ByaWmXFci4LPw1D9UHs0EPtFS&#10;GaC34GhxVoP/+bfzGE+ykpezlvqx4OHHTnjFmflmSfDPo8kkNnDaJN4485eezaXH7poFEAEjmj4n&#10;k0mXPZqTWXloXml05vFVcgkr6e2C48lcYD8lNHpSzecpiFrWCVzZtZMROhIelXjpXoV3R7mQhH6E&#10;U+eK/J1qfWy8aWG+Q6h0kjTy3LN6pJ/aPTXFcTTjPF3uU9TbD2T2CwAA//8DAFBLAwQUAAYACAAA&#10;ACEA7uacf+IAAAAKAQAADwAAAGRycy9kb3ducmV2LnhtbEyPTU+DQBCG7yb+h82YeDF2EdpakKUx&#10;Rm3izeJHvG3ZEYjsLGG3gP/e8aTHmXnyzvPm29l2YsTBt44UXC0iEEiVMy3VCl7Kh8sNCB80Gd05&#10;QgXf6GFbnJ7kOjNuomcc96EWHEI+0wqaEPpMSl81aLVfuB6Jb59usDrwONTSDHricNvJOIrW0uqW&#10;+EOje7xrsPraH62Cj4v6/cnPj69Tskr6+91YXr+ZUqnzs/n2BkTAOfzB8KvP6lCw08EdyXjRKdgs&#10;10zyfh2nIBhYxSl3OSiIk2UKssjl/wrFDwAAAP//AwBQSwECLQAUAAYACAAAACEAtoM4kv4AAADh&#10;AQAAEwAAAAAAAAAAAAAAAAAAAAAAW0NvbnRlbnRfVHlwZXNdLnhtbFBLAQItABQABgAIAAAAIQA4&#10;/SH/1gAAAJQBAAALAAAAAAAAAAAAAAAAAC8BAABfcmVscy8ucmVsc1BLAQItABQABgAIAAAAIQCm&#10;WRN8SAIAAIgEAAAOAAAAAAAAAAAAAAAAAC4CAABkcnMvZTJvRG9jLnhtbFBLAQItABQABgAIAAAA&#10;IQDu5px/4gAAAAoBAAAPAAAAAAAAAAAAAAAAAKIEAABkcnMvZG93bnJldi54bWxQSwUGAAAAAAQA&#10;BADzAAAAsQUAAAAA&#10;" fillcolor="white [3201]" stroked="f" strokeweight=".5pt">
                <v:textbox>
                  <w:txbxContent>
                    <w:p w14:paraId="134FFB85" w14:textId="77777777" w:rsidR="009A5C6B" w:rsidRPr="006E7457" w:rsidRDefault="009A5C6B" w:rsidP="009A5C6B">
                      <w:pPr>
                        <w:jc w:val="center"/>
                        <w:rPr>
                          <w:color w:val="4F81BD" w:themeColor="accent1"/>
                        </w:rPr>
                      </w:pPr>
                      <w:bookmarkStart w:id="5" w:name="_Hlk90656178"/>
                      <w:bookmarkStart w:id="6" w:name="_Hlk90656179"/>
                      <w:bookmarkStart w:id="7" w:name="_Hlk90656180"/>
                      <w:bookmarkStart w:id="8" w:name="_Hlk90656181"/>
                      <w:r w:rsidRPr="006E7457">
                        <w:rPr>
                          <w:color w:val="4F81BD" w:themeColor="accent1"/>
                        </w:rPr>
                        <w:t>No</w:t>
                      </w:r>
                      <w:r w:rsidRPr="002A3AFC">
                        <w:rPr>
                          <w:color w:val="FF0000"/>
                        </w:rPr>
                        <w:t xml:space="preserve"> </w:t>
                      </w:r>
                      <w:r w:rsidRPr="006E7457">
                        <w:rPr>
                          <w:color w:val="4F81BD" w:themeColor="accent1"/>
                        </w:rPr>
                        <w:t>data or inconclusive</w:t>
                      </w:r>
                      <w:bookmarkEnd w:id="5"/>
                      <w:bookmarkEnd w:id="6"/>
                      <w:bookmarkEnd w:id="7"/>
                      <w:bookmarkEnd w:id="8"/>
                      <w:r w:rsidRPr="006E7457">
                        <w:rPr>
                          <w:color w:val="4F81BD" w:themeColor="accent1"/>
                          <w:vertAlign w:val="superscript"/>
                        </w:rPr>
                        <w:t>b</w:t>
                      </w:r>
                    </w:p>
                  </w:txbxContent>
                </v:textbox>
                <w10:wrap anchorx="margin"/>
              </v:shape>
            </w:pict>
          </mc:Fallback>
        </mc:AlternateContent>
      </w:r>
      <w:r w:rsidRPr="006E7457">
        <w:rPr>
          <w:noProof/>
          <w:color w:val="4F81BD" w:themeColor="accent1"/>
          <w:lang w:eastAsia="en-GB"/>
        </w:rPr>
        <mc:AlternateContent>
          <mc:Choice Requires="wps">
            <w:drawing>
              <wp:anchor distT="0" distB="0" distL="114300" distR="114300" simplePos="0" relativeHeight="251658254" behindDoc="0" locked="0" layoutInCell="1" allowOverlap="1" wp14:anchorId="265A1057" wp14:editId="683193AC">
                <wp:simplePos x="0" y="0"/>
                <wp:positionH relativeFrom="column">
                  <wp:posOffset>1873885</wp:posOffset>
                </wp:positionH>
                <wp:positionV relativeFrom="paragraph">
                  <wp:posOffset>1019810</wp:posOffset>
                </wp:positionV>
                <wp:extent cx="0" cy="390525"/>
                <wp:effectExtent l="76200" t="0" r="57150" b="47625"/>
                <wp:wrapNone/>
                <wp:docPr id="36" name="Connettore 2 36"/>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95141B" id="_x0000_t32" coordsize="21600,21600" o:spt="32" o:oned="t" path="m,l21600,21600e" filled="f">
                <v:path arrowok="t" fillok="f" o:connecttype="none"/>
                <o:lock v:ext="edit" shapetype="t"/>
              </v:shapetype>
              <v:shape id="Connettore 2 36" o:spid="_x0000_s1026" type="#_x0000_t32" style="position:absolute;margin-left:147.55pt;margin-top:80.3pt;width:0;height:30.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6czgEAAPUDAAAOAAAAZHJzL2Uyb0RvYy54bWysU9uO0zAQfUfiHyy/06Rd7QqqpvvQBV4Q&#10;VLB8gNcZJ5Z803jo5e8ZO20WAUIC8TKJ7TlnzhyPN/cn78QBMNsYOrlctFJA0LG3Yejk18d3r15L&#10;kUmFXrkYoJNnyPJ++/LF5pjWsIpjdD2gYJKQ18fUyZEorZsm6xG8youYIPChiegV8RKHpkd1ZHbv&#10;mlXb3jXHiH3CqCFn3n2YDuW28hsDmj4Zk4GE6yRroxqxxqcSm+1GrQdUabT6IkP9gwqvbOCiM9WD&#10;IiW+of2FyluNMUdDCx19E42xGmoP3M2y/ambL6NKUHthc3Kabcr/j1Z/POxR2L6TN3dSBOX5jnYx&#10;BCCKCGIleJs9Oqa85tRd2ONlldMeS8Mng758uRVxqr6eZ1/hREJPm5p3b960t6vbQtc84xJmeg/R&#10;i/LTyUyo7DBS1aBZw7Laqg4fMk3AK6AUdaFEUta9Db2gc2L1hFaFwcGlTklpivxJcP2js4MJ/hkM&#10;N88SpzJ17GDnUBwUD4zSGgItZybOLjBjnZuBbdX3R+Alv0ChjuTfgGdErRwDzWBvQ8TfVafTVbKZ&#10;8q8OTH0XC55if65XWa3h2ap3cnkHZXh/XFf482vdfgcAAP//AwBQSwMEFAAGAAgAAAAhAH0F3IPd&#10;AAAACwEAAA8AAABkcnMvZG93bnJldi54bWxMj81OwzAQhO9IvIO1SNyoExciGuJU5U/qsbRcenPj&#10;JYmI15HttuHtWcQBbrs7o9lvquXkBnHCEHtPGvJZBgKp8banVsP77vXmHkRMhqwZPKGGL4ywrC8v&#10;KlNaf6Y3PG1TKziEYmk0dCmNpZSx6dCZOPMjEmsfPjiTeA2ttMGcOdwNUmVZIZ3piT90ZsSnDpvP&#10;7dFpeNys3ep5Hyacz19u47Tzipq11tdX0+oBRMIp/ZnhB5/RoWamgz+SjWLQoBZ3OVtZKLICBDt+&#10;LwcelMpB1pX836H+BgAA//8DAFBLAQItABQABgAIAAAAIQC2gziS/gAAAOEBAAATAAAAAAAAAAAA&#10;AAAAAAAAAABbQ29udGVudF9UeXBlc10ueG1sUEsBAi0AFAAGAAgAAAAhADj9If/WAAAAlAEAAAsA&#10;AAAAAAAAAAAAAAAALwEAAF9yZWxzLy5yZWxzUEsBAi0AFAAGAAgAAAAhAOfOrpzOAQAA9QMAAA4A&#10;AAAAAAAAAAAAAAAALgIAAGRycy9lMm9Eb2MueG1sUEsBAi0AFAAGAAgAAAAhAH0F3IPdAAAACwEA&#10;AA8AAAAAAAAAAAAAAAAAKAQAAGRycy9kb3ducmV2LnhtbFBLBQYAAAAABAAEAPMAAAAyBQAAAAA=&#10;" strokecolor="#4579b8 [3044]">
                <v:stroke endarrow="block"/>
              </v:shape>
            </w:pict>
          </mc:Fallback>
        </mc:AlternateContent>
      </w:r>
      <w:r w:rsidRPr="006E7457">
        <w:rPr>
          <w:noProof/>
          <w:color w:val="4F81BD" w:themeColor="accent1"/>
          <w:lang w:eastAsia="en-GB"/>
        </w:rPr>
        <mc:AlternateContent>
          <mc:Choice Requires="wps">
            <w:drawing>
              <wp:anchor distT="0" distB="0" distL="114300" distR="114300" simplePos="0" relativeHeight="251658248" behindDoc="1" locked="0" layoutInCell="1" allowOverlap="1" wp14:anchorId="50FB24EB" wp14:editId="4DC439BD">
                <wp:simplePos x="0" y="0"/>
                <wp:positionH relativeFrom="margin">
                  <wp:posOffset>4025265</wp:posOffset>
                </wp:positionH>
                <wp:positionV relativeFrom="paragraph">
                  <wp:posOffset>3352165</wp:posOffset>
                </wp:positionV>
                <wp:extent cx="914400" cy="266700"/>
                <wp:effectExtent l="0" t="0" r="0" b="0"/>
                <wp:wrapNone/>
                <wp:docPr id="20" name="Casella di testo 2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ysClr val="window" lastClr="FFFFFF"/>
                        </a:solidFill>
                        <a:ln w="6350">
                          <a:noFill/>
                        </a:ln>
                      </wps:spPr>
                      <wps:txbx>
                        <w:txbxContent>
                          <w:p w14:paraId="49DE7AB9" w14:textId="77777777" w:rsidR="009A5C6B" w:rsidRPr="006E7457" w:rsidRDefault="009A5C6B" w:rsidP="009A5C6B">
                            <w:pPr>
                              <w:jc w:val="center"/>
                              <w:rPr>
                                <w:color w:val="4F81BD" w:themeColor="accent1"/>
                              </w:rPr>
                            </w:pPr>
                            <w:r w:rsidRPr="006E7457">
                              <w:rPr>
                                <w:color w:val="4F81BD" w:themeColor="accent1"/>
                              </w:rPr>
                              <w:t>Conclusive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24EB" id="Casella di testo 20" o:spid="_x0000_s1030" type="#_x0000_t202" style="position:absolute;margin-left:316.95pt;margin-top:263.95pt;width:1in;height:21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rUAIAAJoEAAAOAAAAZHJzL2Uyb0RvYy54bWysVE1vGjEQvVfqf7B8bxYoIS3KElEiqkpR&#10;EolUORuvFyx5Pa5t2KW/vs9eIGnaU1UOZjwzno/3Zvb6pmsM2ysfNNmSDy8GnCkrqdJ2U/LvT8sP&#10;nzgLUdhKGLKq5AcV+M3s/bvr1k3ViLZkKuUZgtgwbV3JtzG6aVEEuVWNCBfklIWxJt+IiKvfFJUX&#10;LaI3phgNBpOiJV85T1KFAO1tb+SzHL+ulYwPdR1UZKbkqC3m0+dznc5idi2mGy/cVstjGeIfqmiE&#10;tkh6DnUromA7r/8I1WjpKVAdLyQ1BdW1lir3gG6GgzfdrLbCqdwLwAnuDFP4f2Hl/f7RM12VfAR4&#10;rGjA0UIEZYxglWZRhUgMJuDUujCF+8rhQey+UAe+T/oAZWq/q32T/tEYgx0hD2eUVReZhPLzcDwe&#10;wCJhGk0mV5ARvXh57HyIXxU1LAkl9yAxYyv2dyH2rieXlCuQ0dVSG5Mvh7Awnu0F+MaYVNRyZkSI&#10;UJZ8mX/HbL89M5a1JZ98vBzkTJZSvD6VsSgu9d73mKTYrbuM2fjU/5qqA2Dx1A9YcHKpUfwdMj8K&#10;j4lCv9iS+ICjNoRcdJQ425L/+Td98gfRsHLWYkJLHn7shFdo6JvFCGQcMdL5Mr68SgT615b1a4vd&#10;NQsCKEPso5NZTP7RnMTaU/OMZZqnrDAJK5G75PEkLmK/N1hGqebz7IQhdiLe2ZWTKXRiIFHz1D0L&#10;7478RRB/T6dZFtM3NPa+6aWl+S5SrTPHCece1SP8WIA8JcdlTRv2+p69Xj4ps18AAAD//wMAUEsD&#10;BBQABgAIAAAAIQBv87ge4gAAAAsBAAAPAAAAZHJzL2Rvd25yZXYueG1sTI/BTsMwEETvSPyDtUjc&#10;qEMrkibEqRACQSWiloDE1Y2XJBDbke02oV/P9gS32Z3R7Nt8NemeHdD5zhoB17MIGJraqs40At7f&#10;Hq+WwHyQRsneGhTwgx5WxflZLjNlR/OKhyo0jEqMz6SANoQh49zXLWrpZ3ZAQ96ndVoGGl3DlZMj&#10;leuez6Mo5lp2hi60csD7Fuvvaq8FfIzVk9us11/b4bk8bo5V+YIPpRCXF9PdLbCAU/gLwwmf0KEg&#10;pp3dG+VZLyBeLFKKCriZJyQokSQnsaNNnKbAi5z//6H4BQAA//8DAFBLAQItABQABgAIAAAAIQC2&#10;gziS/gAAAOEBAAATAAAAAAAAAAAAAAAAAAAAAABbQ29udGVudF9UeXBlc10ueG1sUEsBAi0AFAAG&#10;AAgAAAAhADj9If/WAAAAlAEAAAsAAAAAAAAAAAAAAAAALwEAAF9yZWxzLy5yZWxzUEsBAi0AFAAG&#10;AAgAAAAhAOjr9WtQAgAAmgQAAA4AAAAAAAAAAAAAAAAALgIAAGRycy9lMm9Eb2MueG1sUEsBAi0A&#10;FAAGAAgAAAAhAG/zuB7iAAAACwEAAA8AAAAAAAAAAAAAAAAAqgQAAGRycy9kb3ducmV2LnhtbFBL&#10;BQYAAAAABAAEAPMAAAC5BQAAAAA=&#10;" fillcolor="window" stroked="f" strokeweight=".5pt">
                <v:textbox>
                  <w:txbxContent>
                    <w:p w14:paraId="49DE7AB9" w14:textId="77777777" w:rsidR="009A5C6B" w:rsidRPr="006E7457" w:rsidRDefault="009A5C6B" w:rsidP="009A5C6B">
                      <w:pPr>
                        <w:jc w:val="center"/>
                        <w:rPr>
                          <w:color w:val="4F81BD" w:themeColor="accent1"/>
                        </w:rPr>
                      </w:pPr>
                      <w:r w:rsidRPr="006E7457">
                        <w:rPr>
                          <w:color w:val="4F81BD" w:themeColor="accent1"/>
                        </w:rPr>
                        <w:t>Conclusive</w:t>
                      </w:r>
                    </w:p>
                  </w:txbxContent>
                </v:textbox>
                <w10:wrap anchorx="margin"/>
              </v:shape>
            </w:pict>
          </mc:Fallback>
        </mc:AlternateContent>
      </w:r>
      <w:r w:rsidRPr="006E7457">
        <w:rPr>
          <w:noProof/>
          <w:color w:val="4F81BD" w:themeColor="accent1"/>
          <w:lang w:eastAsia="en-GB"/>
        </w:rPr>
        <mc:AlternateContent>
          <mc:Choice Requires="wps">
            <w:drawing>
              <wp:anchor distT="0" distB="0" distL="114300" distR="114300" simplePos="0" relativeHeight="251658251" behindDoc="0" locked="0" layoutInCell="1" allowOverlap="1" wp14:anchorId="7BE7F6DA" wp14:editId="0CF5F851">
                <wp:simplePos x="0" y="0"/>
                <wp:positionH relativeFrom="margin">
                  <wp:posOffset>4060190</wp:posOffset>
                </wp:positionH>
                <wp:positionV relativeFrom="paragraph">
                  <wp:posOffset>3640455</wp:posOffset>
                </wp:positionV>
                <wp:extent cx="881380" cy="0"/>
                <wp:effectExtent l="0" t="76200" r="13970" b="95250"/>
                <wp:wrapNone/>
                <wp:docPr id="23" name="Connettore 2 23"/>
                <wp:cNvGraphicFramePr/>
                <a:graphic xmlns:a="http://schemas.openxmlformats.org/drawingml/2006/main">
                  <a:graphicData uri="http://schemas.microsoft.com/office/word/2010/wordprocessingShape">
                    <wps:wsp>
                      <wps:cNvCnPr/>
                      <wps:spPr>
                        <a:xfrm>
                          <a:off x="0" y="0"/>
                          <a:ext cx="8813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C8B61D" id="Connettore 2 23" o:spid="_x0000_s1026" type="#_x0000_t32" style="position:absolute;margin-left:319.7pt;margin-top:286.65pt;width:69.4pt;height:0;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H10AEAAPUDAAAOAAAAZHJzL2Uyb0RvYy54bWysU9uO0zAQfUfiHyy/07RdCVVR033o7vKC&#10;oOLyAV5n3FjyTeOhaf+esdNmESAkEC+T2J4zc87xeHt/9k6cALONoZOrxVIKCDr2Nhw7+fXL05uN&#10;FJlU6JWLATp5gSzvd69fbcfUwjoO0fWAgouE3I6pkwNRapsm6wG8youYIPChiegV8RKPTY9q5Ore&#10;Nevl8m0zRuwTRg058+7DdCh3tb4xoOmjMRlIuE4yN6oRa3wusdltVXtElQarrzTUP7DwygZuOpd6&#10;UKTEN7S/lPJWY8zR0EJH30RjrIaqgdWslj+p+TyoBFULm5PTbFP+f2X1h9MBhe07ub6TIijPd7SP&#10;IQBRRBBrwdvs0Zhyy6n7cMDrKqcDFsFng758WYo4V18vs69wJqF5c7NZ3W3YfX07al5wCTO9g+hF&#10;+elkJlT2OFDloJnDqtqqTu8zcWcG3gClqQslkrLuMfSCLonZE1oVjg4KbU4vKU2hPxGuf3RxMME/&#10;gWHxTHFqU8cO9g7FSfHAKK0h0GquxNkFZqxzM3BZ+f0ReM0vUKgj+TfgGVE7x0Az2NsQ8Xfd6Xyj&#10;bKb8mwOT7mLBc+wv9SqrNTxb1avrOyjD++O6wl9e6+47AAAA//8DAFBLAwQUAAYACAAAACEAvW7e&#10;nt4AAAALAQAADwAAAGRycy9kb3ducmV2LnhtbEyPy07DMBBF90j9B2sqsaNO49KUEKcqL6lLaNmw&#10;c+NpEhGPI9ttzd9jJCRYzszRnXOrdTQDO6PzvSUJ81kGDKmxuqdWwvv+5WYFzAdFWg2WUMIXeljX&#10;k6tKldpe6A3Pu9CyFEK+VBK6EMaSc990aJSf2REp3Y7WGRXS6FqunbqkcDPwPMuW3Kie0odOjfjY&#10;YfO5OxkJD69bs3n6cBGFeF74uLc5NVspr6dxcw8sYAx/MPzoJ3Wok9PBnkh7NkhYirtFQiXcFkIA&#10;S0RRrHJgh98Nryv+v0P9DQAA//8DAFBLAQItABQABgAIAAAAIQC2gziS/gAAAOEBAAATAAAAAAAA&#10;AAAAAAAAAAAAAABbQ29udGVudF9UeXBlc10ueG1sUEsBAi0AFAAGAAgAAAAhADj9If/WAAAAlAEA&#10;AAsAAAAAAAAAAAAAAAAALwEAAF9yZWxzLy5yZWxzUEsBAi0AFAAGAAgAAAAhAN3F0fXQAQAA9QMA&#10;AA4AAAAAAAAAAAAAAAAALgIAAGRycy9lMm9Eb2MueG1sUEsBAi0AFAAGAAgAAAAhAL1u3p7eAAAA&#10;CwEAAA8AAAAAAAAAAAAAAAAAKgQAAGRycy9kb3ducmV2LnhtbFBLBQYAAAAABAAEAPMAAAA1BQAA&#10;AAA=&#10;" strokecolor="#4579b8 [3044]">
                <v:stroke endarrow="block"/>
                <w10:wrap anchorx="margin"/>
              </v:shape>
            </w:pict>
          </mc:Fallback>
        </mc:AlternateContent>
      </w:r>
      <w:r w:rsidRPr="006E7457">
        <w:rPr>
          <w:noProof/>
          <w:color w:val="4F81BD" w:themeColor="accent1"/>
          <w:lang w:eastAsia="en-GB"/>
        </w:rPr>
        <mc:AlternateContent>
          <mc:Choice Requires="wps">
            <w:drawing>
              <wp:anchor distT="0" distB="0" distL="114300" distR="114300" simplePos="0" relativeHeight="251658247" behindDoc="1" locked="0" layoutInCell="1" allowOverlap="1" wp14:anchorId="5343FD49" wp14:editId="7258CCC2">
                <wp:simplePos x="0" y="0"/>
                <wp:positionH relativeFrom="margin">
                  <wp:posOffset>4086860</wp:posOffset>
                </wp:positionH>
                <wp:positionV relativeFrom="paragraph">
                  <wp:posOffset>363220</wp:posOffset>
                </wp:positionV>
                <wp:extent cx="914400" cy="247650"/>
                <wp:effectExtent l="0" t="0" r="0" b="0"/>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914400" cy="247650"/>
                        </a:xfrm>
                        <a:prstGeom prst="rect">
                          <a:avLst/>
                        </a:prstGeom>
                        <a:noFill/>
                        <a:ln w="6350">
                          <a:noFill/>
                        </a:ln>
                      </wps:spPr>
                      <wps:txbx>
                        <w:txbxContent>
                          <w:p w14:paraId="429D6335" w14:textId="77777777" w:rsidR="009A5C6B" w:rsidRPr="006E7457" w:rsidRDefault="009A5C6B" w:rsidP="009A5C6B">
                            <w:pPr>
                              <w:jc w:val="center"/>
                              <w:rPr>
                                <w:color w:val="4F81BD" w:themeColor="accent1"/>
                              </w:rPr>
                            </w:pPr>
                            <w:r w:rsidRPr="006E7457">
                              <w:rPr>
                                <w:color w:val="4F81BD" w:themeColor="accent1"/>
                              </w:rPr>
                              <w:t>Conclusive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FD49" id="Casella di testo 18" o:spid="_x0000_s1031" type="#_x0000_t202" style="position:absolute;margin-left:321.8pt;margin-top:28.6pt;width:1in;height:19.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agMwIAAGEEAAAOAAAAZHJzL2Uyb0RvYy54bWysVF1v2jAUfZ+0/2D5fQQY0A0RKkbFNKlq&#10;K9Gpz8ZxIJLj69mGhP36HTtAWbenaS/Otc/1/TjnOrPbttbsoJyvyOR80OtzpoykojLbnH9/Xn34&#10;xJkPwhRCk1E5PyrPb+fv380aO1VD2pEulGMIYvy0sTnfhWCnWeblTtXC98gqA7AkV4uArdtmhRMN&#10;otc6G/b7k6whV1hHUnmP07sO5PMUvyyVDI9l6VVgOueoLaTVpXUT12w+E9OtE3ZXyVMZ4h+qqEVl&#10;kPQS6k4Ewfau+iNUXUlHnsrQk1RnVJaVVKkHdDPov+lmvRNWpV5AjrcXmvz/CysfDk+OVQW0g1JG&#10;1NBoKbzSWrCiYkH5QAwQeGqsn8J9bXEhtF+oxZ3zucdhbL8tXR2/aIwBB+PHC8uqDUzi8PNgNOoD&#10;kYCGo5vJOKmQvV62zoevimoWjZw7iJi4FYd7H1AIXM8uMZehVaV1ElIb1uR88hEhf0NwQxtcjC10&#10;pUYrtJs2tT4+t7Gh4ojuHHVz4q1cVajhXvjwJBwGA2Vj2MMjllITctHJ4mxH7uffzqM/9ALKWYNB&#10;y7n/sRdOcaa/GSiZ6MBkps1ofDNEDneNbK4Rs6+XhFke4FlZmczoH/TZLB3VL3gTi5gVkDASuXMe&#10;zuYydOOPNyXVYpGcMItWhHuztjKGjtxFhp/bF+HsSYYA/R7oPJJi+kaNzrdjfbEPVFZJqshzx+qJ&#10;fsxxUvD05uJDud4nr9c/w/wXAAAA//8DAFBLAwQUAAYACAAAACEAH0JAIeEAAAAJAQAADwAAAGRy&#10;cy9kb3ducmV2LnhtbEyPwU6DQBCG7ya+w2ZMvNlFtIDI0DQkjYnRQ2sv3hZ2C0R2Ftltiz6940mP&#10;M/Pln+8vVrMdxMlMvneEcLuIQBhqnO6pRdi/bW4yED4o0mpwZBC+jIdVeXlRqFy7M23NaRdawSHk&#10;c4XQhTDmUvqmM1b5hRsN8e3gJqsCj1Mr9aTOHG4HGUdRIq3qiT90ajRVZ5qP3dEiPFebV7WtY5t9&#10;D9XTy2E9fu7fl4jXV/P6EUQwc/iD4Vef1aFkp9odSXsxICT3dwmjCMs0BsFAmqW8qBEekhhkWcj/&#10;DcofAAAA//8DAFBLAQItABQABgAIAAAAIQC2gziS/gAAAOEBAAATAAAAAAAAAAAAAAAAAAAAAABb&#10;Q29udGVudF9UeXBlc10ueG1sUEsBAi0AFAAGAAgAAAAhADj9If/WAAAAlAEAAAsAAAAAAAAAAAAA&#10;AAAALwEAAF9yZWxzLy5yZWxzUEsBAi0AFAAGAAgAAAAhAEgHBqAzAgAAYQQAAA4AAAAAAAAAAAAA&#10;AAAALgIAAGRycy9lMm9Eb2MueG1sUEsBAi0AFAAGAAgAAAAhAB9CQCHhAAAACQEAAA8AAAAAAAAA&#10;AAAAAAAAjQQAAGRycy9kb3ducmV2LnhtbFBLBQYAAAAABAAEAPMAAACbBQAAAAA=&#10;" filled="f" stroked="f" strokeweight=".5pt">
                <v:textbox>
                  <w:txbxContent>
                    <w:p w14:paraId="429D6335" w14:textId="77777777" w:rsidR="009A5C6B" w:rsidRPr="006E7457" w:rsidRDefault="009A5C6B" w:rsidP="009A5C6B">
                      <w:pPr>
                        <w:jc w:val="center"/>
                        <w:rPr>
                          <w:color w:val="4F81BD" w:themeColor="accent1"/>
                        </w:rPr>
                      </w:pPr>
                      <w:r w:rsidRPr="006E7457">
                        <w:rPr>
                          <w:color w:val="4F81BD" w:themeColor="accent1"/>
                        </w:rPr>
                        <w:t>Conclusive</w:t>
                      </w:r>
                    </w:p>
                  </w:txbxContent>
                </v:textbox>
                <w10:wrap type="square" anchorx="margin"/>
              </v:shape>
            </w:pict>
          </mc:Fallback>
        </mc:AlternateContent>
      </w:r>
      <w:r w:rsidRPr="006E7457">
        <w:rPr>
          <w:noProof/>
          <w:color w:val="4F81BD" w:themeColor="accent1"/>
          <w:lang w:eastAsia="en-GB"/>
        </w:rPr>
        <mc:AlternateContent>
          <mc:Choice Requires="wps">
            <w:drawing>
              <wp:anchor distT="0" distB="0" distL="114300" distR="114300" simplePos="0" relativeHeight="251658249" behindDoc="0" locked="0" layoutInCell="1" allowOverlap="1" wp14:anchorId="53B41640" wp14:editId="3EC6851E">
                <wp:simplePos x="0" y="0"/>
                <wp:positionH relativeFrom="margin">
                  <wp:posOffset>4131310</wp:posOffset>
                </wp:positionH>
                <wp:positionV relativeFrom="paragraph">
                  <wp:posOffset>667385</wp:posOffset>
                </wp:positionV>
                <wp:extent cx="881380" cy="0"/>
                <wp:effectExtent l="0" t="76200" r="13970" b="95250"/>
                <wp:wrapNone/>
                <wp:docPr id="21" name="Connettore 2 21"/>
                <wp:cNvGraphicFramePr/>
                <a:graphic xmlns:a="http://schemas.openxmlformats.org/drawingml/2006/main">
                  <a:graphicData uri="http://schemas.microsoft.com/office/word/2010/wordprocessingShape">
                    <wps:wsp>
                      <wps:cNvCnPr/>
                      <wps:spPr>
                        <a:xfrm>
                          <a:off x="0" y="0"/>
                          <a:ext cx="8813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B749FB" id="Connettore 2 21" o:spid="_x0000_s1026" type="#_x0000_t32" style="position:absolute;margin-left:325.3pt;margin-top:52.55pt;width:69.4pt;height:0;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eR0AEAAPUDAAAOAAAAZHJzL2Uyb0RvYy54bWysU9uO0zAQfUfiHyy/07RFQlXUdB+6Cy8I&#10;Ki4f4HXGjSXfNB7a5u8ZO20WsQgJtC+T2J4zc87xeHt38U6cALONoZOrxVIKCDr2Nhw7+f3b+zcb&#10;KTKp0CsXA3RyhCzvdq9fbc+phXUcousBBRcJuT2nTg5EqW2arAfwKi9igsCHJqJXxEs8Nj2qM1f3&#10;rlkvl++ac8Q+YdSQM+/eT4dyV+sbA5o+G5OBhOskc6MascbHEpvdVrVHVGmw+kpD/QcLr2zgpnOp&#10;e0VK/ED7rJS3GmOOhhY6+iYaYzVUDaxmtfxNzddBJaha2JycZpvyy5XVn04HFLbv5HolRVCe72gf&#10;QwCiiCDWgrfZo3PKLafuwwGvq5wOWARfDPryZSniUn0dZ1/hQkLz5mazerth9/XtqHnCJcz0AaIX&#10;5aeTmVDZ40CVg2YOq2qrOn3MxJ0ZeAOUpi6USMq6h9ALGhOzJ7QqHB0U2pxeUppCfyJc/2h0MMG/&#10;gGHxTHFqU8cO9g7FSfHAKK0hUDWgVuLsAjPWuRm4rPz+CrzmFyjUkfwX8IyonWOgGextiPin7nS5&#10;UTZT/s2BSXex4DH2Y73Kag3PVvXq+g7K8P66rvCn17r7CQAA//8DAFBLAwQUAAYACAAAACEAw96K&#10;9d0AAAALAQAADwAAAGRycy9kb3ducmV2LnhtbEyPy07DMBBF90j8gzVI7KjdVyghTlVeUpfQdtOd&#10;Gw9JRDyObLcNf88gVYLlzD26c6ZYDq4TJwyx9aRhPFIgkCpvW6o17LZvdwsQMRmypvOEGr4xwrK8&#10;vipMbv2ZPvC0SbXgEoq50dCk1OdSxqpBZ+LI90icffrgTOIx1NIGc+Zy18mJUpl0piW+0Jgenxus&#10;vjZHp+Hpfe1WL/sw4HT6OovD1k+oWmt9ezOsHkEkHNIfDL/6rA4lOx38kWwUnYZsrjJGOVDzMQgm&#10;7hcPMxCHy0aWhfz/Q/kDAAD//wMAUEsBAi0AFAAGAAgAAAAhALaDOJL+AAAA4QEAABMAAAAAAAAA&#10;AAAAAAAAAAAAAFtDb250ZW50X1R5cGVzXS54bWxQSwECLQAUAAYACAAAACEAOP0h/9YAAACUAQAA&#10;CwAAAAAAAAAAAAAAAAAvAQAAX3JlbHMvLnJlbHNQSwECLQAUAAYACAAAACEA9Vm3kdABAAD1AwAA&#10;DgAAAAAAAAAAAAAAAAAuAgAAZHJzL2Uyb0RvYy54bWxQSwECLQAUAAYACAAAACEAw96K9d0AAAAL&#10;AQAADwAAAAAAAAAAAAAAAAAqBAAAZHJzL2Rvd25yZXYueG1sUEsFBgAAAAAEAAQA8wAAADQFAAAA&#10;AA==&#10;" strokecolor="#4579b8 [3044]">
                <v:stroke endarrow="block"/>
                <w10:wrap anchorx="margin"/>
              </v:shape>
            </w:pict>
          </mc:Fallback>
        </mc:AlternateContent>
      </w:r>
      <w:r w:rsidRPr="006E7457">
        <w:rPr>
          <w:noProof/>
          <w:color w:val="4F81BD" w:themeColor="accent1"/>
          <w:lang w:eastAsia="en-GB"/>
        </w:rPr>
        <mc:AlternateContent>
          <mc:Choice Requires="wps">
            <w:drawing>
              <wp:anchor distT="0" distB="0" distL="114300" distR="114300" simplePos="0" relativeHeight="251658252" behindDoc="0" locked="0" layoutInCell="1" allowOverlap="1" wp14:anchorId="60EDB101" wp14:editId="19AC5CCA">
                <wp:simplePos x="0" y="0"/>
                <wp:positionH relativeFrom="margin">
                  <wp:posOffset>4072890</wp:posOffset>
                </wp:positionH>
                <wp:positionV relativeFrom="paragraph">
                  <wp:posOffset>2018665</wp:posOffset>
                </wp:positionV>
                <wp:extent cx="914400" cy="276225"/>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62F9F4F1" w14:textId="77777777" w:rsidR="009A5C6B" w:rsidRPr="006E7457" w:rsidRDefault="009A5C6B" w:rsidP="009A5C6B">
                            <w:pPr>
                              <w:jc w:val="center"/>
                              <w:rPr>
                                <w:color w:val="4F81BD" w:themeColor="accent1"/>
                              </w:rPr>
                            </w:pPr>
                            <w:r w:rsidRPr="006E7457">
                              <w:rPr>
                                <w:color w:val="4F81BD" w:themeColor="accent1"/>
                              </w:rPr>
                              <w:t>Conclusive</w:t>
                            </w:r>
                          </w:p>
                          <w:p w14:paraId="2A36B7B7" w14:textId="77777777" w:rsidR="009A5C6B" w:rsidRPr="00693A3C" w:rsidRDefault="009A5C6B" w:rsidP="009A5C6B">
                            <w:pPr>
                              <w:jc w:val="center"/>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DB101" id="_x0000_s1032" type="#_x0000_t202" style="position:absolute;margin-left:320.7pt;margin-top:158.95pt;width:1in;height:21.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lMwIAAF8EAAAOAAAAZHJzL2Uyb0RvYy54bWysVN9v2jAQfp+0/8Hy+0jIgHYRoWJUTJOq&#10;thKd+mwcm1hyfJ5tSNhfv7MDFHV7mvZizr7L/fi+75jf9a0mB+G8AlPR8SinRBgOtTK7iv54WX+6&#10;pcQHZmqmwYiKHoWnd4uPH+adLUUBDehaOIJJjC87W9EmBFtmmeeNaJkfgRUGnRJcywJe3S6rHesw&#10;e6uzIs9nWQeutg648B5f7wcnXaT8UgoenqT0IhBdUewtpNOlcxvPbDFn5c4x2yh+aoP9QxctUwaL&#10;XlLds8DI3qk/UrWKO/Agw4hDm4GUios0A04zzt9Ns2mYFWkWBMfbC0z+/6Xlj4dnR1Rd0YISw1qk&#10;aMW80JqRWpEgfABSRJQ660sM3lgMD/1X6JHt87vHxzh8L10bf3Esgn7E+3jBWPSBcHz8Mp5McvRw&#10;dBU3s6KYxizZ28fW+fBNQEuiUVGHFCZk2eHBhyH0HBJrGVgrrRON2pCuorPP0zx9cPFgcm2wRhxh&#10;aDVaod/2afDZeYwt1EeczsGgEm/5WmEPD8yHZ+ZQFtg2Sj084SE1YC04WZQ04H797T3GI1vopaRD&#10;mVXU/9wzJyjR3w3ymOBAXabLZHpTYA137dlee8y+XQEqeYxLZXkyY3zQZ1M6aF9xI5axKrqY4Vi7&#10;ouFsrsIgftwoLpbLFIRKtCw8mI3lMXVENSL80r8yZ080BOTvEc6CZOU7NobYgY/lPoBUiaqI84Dq&#10;CX5UcSL7tHFxTa7vKertf2HxGwAA//8DAFBLAwQUAAYACAAAACEAqSBlAuIAAAALAQAADwAAAGRy&#10;cy9kb3ducmV2LnhtbEyPwU7DMBBE70j8g7VI3KiT0qYhxKmqSBUSgkNLL9w2sZtExOsQu23g61lO&#10;cNyZp9mZfD3ZXpzN6DtHCuJZBMJQ7XRHjYLD2/YuBeEDksbekVHwZTysi+urHDPtLrQz531oBIeQ&#10;z1BBG8KQSenr1lj0MzcYYu/oRouBz7GResQLh9tezqMokRY74g8tDqZsTf2xP1kFz+X2FXfV3Kbf&#10;ffn0ctwMn4f3pVK3N9PmEUQwU/iD4bc+V4eCO1XuRNqLXkGyiBeMKriPVw8gmFilS1YqVhK2ZJHL&#10;/xuKHwAAAP//AwBQSwECLQAUAAYACAAAACEAtoM4kv4AAADhAQAAEwAAAAAAAAAAAAAAAAAAAAAA&#10;W0NvbnRlbnRfVHlwZXNdLnhtbFBLAQItABQABgAIAAAAIQA4/SH/1gAAAJQBAAALAAAAAAAAAAAA&#10;AAAAAC8BAABfcmVscy8ucmVsc1BLAQItABQABgAIAAAAIQAiq+PlMwIAAF8EAAAOAAAAAAAAAAAA&#10;AAAAAC4CAABkcnMvZTJvRG9jLnhtbFBLAQItABQABgAIAAAAIQCpIGUC4gAAAAsBAAAPAAAAAAAA&#10;AAAAAAAAAI0EAABkcnMvZG93bnJldi54bWxQSwUGAAAAAAQABADzAAAAnAUAAAAA&#10;" filled="f" stroked="f" strokeweight=".5pt">
                <v:textbox>
                  <w:txbxContent>
                    <w:p w14:paraId="62F9F4F1" w14:textId="77777777" w:rsidR="009A5C6B" w:rsidRPr="006E7457" w:rsidRDefault="009A5C6B" w:rsidP="009A5C6B">
                      <w:pPr>
                        <w:jc w:val="center"/>
                        <w:rPr>
                          <w:color w:val="4F81BD" w:themeColor="accent1"/>
                        </w:rPr>
                      </w:pPr>
                      <w:r w:rsidRPr="006E7457">
                        <w:rPr>
                          <w:color w:val="4F81BD" w:themeColor="accent1"/>
                        </w:rPr>
                        <w:t>Conclusive</w:t>
                      </w:r>
                    </w:p>
                    <w:p w14:paraId="2A36B7B7" w14:textId="77777777" w:rsidR="009A5C6B" w:rsidRPr="00693A3C" w:rsidRDefault="009A5C6B" w:rsidP="009A5C6B">
                      <w:pPr>
                        <w:jc w:val="center"/>
                        <w:rPr>
                          <w:color w:val="4F81BD" w:themeColor="accent1"/>
                        </w:rPr>
                      </w:pPr>
                    </w:p>
                  </w:txbxContent>
                </v:textbox>
                <w10:wrap anchorx="margin"/>
              </v:shape>
            </w:pict>
          </mc:Fallback>
        </mc:AlternateContent>
      </w:r>
      <w:r w:rsidRPr="006E7457">
        <w:rPr>
          <w:noProof/>
          <w:color w:val="4F81BD" w:themeColor="accent1"/>
          <w:lang w:eastAsia="en-GB"/>
        </w:rPr>
        <mc:AlternateContent>
          <mc:Choice Requires="wps">
            <w:drawing>
              <wp:anchor distT="0" distB="0" distL="114300" distR="114300" simplePos="0" relativeHeight="251658250" behindDoc="0" locked="0" layoutInCell="1" allowOverlap="1" wp14:anchorId="04707AAB" wp14:editId="6A1E97F5">
                <wp:simplePos x="0" y="0"/>
                <wp:positionH relativeFrom="margin">
                  <wp:posOffset>4067810</wp:posOffset>
                </wp:positionH>
                <wp:positionV relativeFrom="paragraph">
                  <wp:posOffset>2291715</wp:posOffset>
                </wp:positionV>
                <wp:extent cx="881380" cy="0"/>
                <wp:effectExtent l="0" t="76200" r="13970" b="95250"/>
                <wp:wrapNone/>
                <wp:docPr id="22" name="Connettore 2 22"/>
                <wp:cNvGraphicFramePr/>
                <a:graphic xmlns:a="http://schemas.openxmlformats.org/drawingml/2006/main">
                  <a:graphicData uri="http://schemas.microsoft.com/office/word/2010/wordprocessingShape">
                    <wps:wsp>
                      <wps:cNvCnPr/>
                      <wps:spPr>
                        <a:xfrm>
                          <a:off x="0" y="0"/>
                          <a:ext cx="8813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757DF" id="Connettore 2 22" o:spid="_x0000_s1026" type="#_x0000_t32" style="position:absolute;margin-left:320.3pt;margin-top:180.45pt;width:69.4pt;height:0;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HzwEAAPUDAAAOAAAAZHJzL2Uyb0RvYy54bWysU9uO0zAQfUfiHyy/07RBQlXUdB+6Cy8I&#10;Ki4f4HXGjSXfNB56+XvGTptFLEIC7csktufMnHM83tydvRNHwGxj6OVqsZQCgo6DDYdefv/2/s1a&#10;ikwqDMrFAL28QJZ329evNqfUQRvH6AZAwUVC7k6plyNR6pom6xG8youYIPChiegV8RIPzYDqxNW9&#10;a9rl8l1zijgkjBpy5t376VBua31jQNNnYzKQcL1kblQj1vhYYrPdqO6AKo1WX2mo/2DhlQ3cdC51&#10;r0iJH2iflfJWY8zR0EJH30RjrIaqgdWslr+p+TqqBFULm5PTbFN+ubL603GPwg69bFspgvJ8R7sY&#10;AhBFBNEK3maPTil3nLoLe7yuctpjEXw26MuXpYhz9fUy+wpnEpo31+vV2zW7r29HzRMuYaYPEL0o&#10;P73MhMoeRqocNHNYVVvV8WMm7szAG6A0daFEUtY9hEHQJTF7QqvCwUGhzeklpSn0J8L1jy4OJvgX&#10;MCyeKU5t6tjBzqE4Kh4YpTUEWs2VOLvAjHVuBi4rv78Cr/kFCnUk/wU8I2rnGGgGexsi/qk7nW+U&#10;zZR/c2DSXSx4jMOlXmW1hmerenV9B2V4f11X+NNr3f4EAAD//wMAUEsDBBQABgAIAAAAIQBVNAhM&#10;3gAAAAsBAAAPAAAAZHJzL2Rvd25yZXYueG1sTI/LTsMwEEX3SPyDNZXYUbtNlNIQpyovqcs+2LBz&#10;4yGJiMeR7bbm7zESEl3OzNGdc6tVNAM7o/O9JQmzqQCG1FjdUyvh/fB2/wDMB0VaDZZQwjd6WNW3&#10;N5Uqtb3QDs/70LIUQr5UEroQxpJz33RolJ/aESndPq0zKqTRtVw7dUnhZuBzIQpuVE/pQ6dGfO6w&#10;+dqfjISn7casXz5cxCx7zX082Dk1GynvJnH9CCxgDP8w/OondaiT09GeSHs2SChyUSRUQlaIJbBE&#10;LBbLHNjxb8Pril93qH8AAAD//wMAUEsBAi0AFAAGAAgAAAAhALaDOJL+AAAA4QEAABMAAAAAAAAA&#10;AAAAAAAAAAAAAFtDb250ZW50X1R5cGVzXS54bWxQSwECLQAUAAYACAAAACEAOP0h/9YAAACUAQAA&#10;CwAAAAAAAAAAAAAAAAAvAQAAX3JlbHMvLnJlbHNQSwECLQAUAAYACAAAACEAyYvix88BAAD1AwAA&#10;DgAAAAAAAAAAAAAAAAAuAgAAZHJzL2Uyb0RvYy54bWxQSwECLQAUAAYACAAAACEAVTQITN4AAAAL&#10;AQAADwAAAAAAAAAAAAAAAAApBAAAZHJzL2Rvd25yZXYueG1sUEsFBgAAAAAEAAQA8wAAADQFAAAA&#10;AA==&#10;" strokecolor="#4579b8 [3044]">
                <v:stroke endarrow="block"/>
                <w10:wrap anchorx="margin"/>
              </v:shape>
            </w:pict>
          </mc:Fallback>
        </mc:AlternateContent>
      </w:r>
      <w:r w:rsidRPr="006E7457">
        <w:rPr>
          <w:noProof/>
          <w:color w:val="4F81BD" w:themeColor="accent1"/>
          <w:lang w:eastAsia="en-GB"/>
        </w:rPr>
        <mc:AlternateContent>
          <mc:Choice Requires="wps">
            <w:drawing>
              <wp:anchor distT="45720" distB="45720" distL="114300" distR="114300" simplePos="0" relativeHeight="251658245" behindDoc="0" locked="0" layoutInCell="1" allowOverlap="1" wp14:anchorId="32B887CB" wp14:editId="6C3E3EE6">
                <wp:simplePos x="0" y="0"/>
                <wp:positionH relativeFrom="margin">
                  <wp:posOffset>-354330</wp:posOffset>
                </wp:positionH>
                <wp:positionV relativeFrom="paragraph">
                  <wp:posOffset>1445895</wp:posOffset>
                </wp:positionV>
                <wp:extent cx="4328160" cy="1404620"/>
                <wp:effectExtent l="0" t="0" r="15240" b="2095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404620"/>
                        </a:xfrm>
                        <a:prstGeom prst="rect">
                          <a:avLst/>
                        </a:prstGeom>
                        <a:solidFill>
                          <a:srgbClr val="FFFFFF"/>
                        </a:solidFill>
                        <a:ln w="9525">
                          <a:solidFill>
                            <a:srgbClr val="000000"/>
                          </a:solidFill>
                          <a:miter lim="800000"/>
                          <a:headEnd/>
                          <a:tailEnd/>
                        </a:ln>
                      </wps:spPr>
                      <wps:txbx>
                        <w:txbxContent>
                          <w:p w14:paraId="0301BD10" w14:textId="77777777" w:rsidR="009A5C6B" w:rsidRPr="006E7457" w:rsidRDefault="009A5C6B" w:rsidP="009A5C6B">
                            <w:pPr>
                              <w:jc w:val="center"/>
                              <w:rPr>
                                <w:b/>
                                <w:bCs/>
                                <w:color w:val="4F81BD" w:themeColor="accent1"/>
                              </w:rPr>
                            </w:pPr>
                            <w:r w:rsidRPr="006E7457">
                              <w:rPr>
                                <w:b/>
                                <w:bCs/>
                                <w:color w:val="4F81BD" w:themeColor="accent1"/>
                              </w:rPr>
                              <w:t>Tier 2</w:t>
                            </w:r>
                          </w:p>
                          <w:p w14:paraId="74BED132" w14:textId="77777777" w:rsidR="009A5C6B" w:rsidRPr="006E7457" w:rsidRDefault="009A5C6B" w:rsidP="009A5C6B">
                            <w:pPr>
                              <w:jc w:val="center"/>
                              <w:rPr>
                                <w:b/>
                                <w:bCs/>
                                <w:color w:val="4F81BD" w:themeColor="accent1"/>
                              </w:rPr>
                            </w:pPr>
                            <w:r w:rsidRPr="006E7457">
                              <w:rPr>
                                <w:color w:val="4F81BD" w:themeColor="accent1"/>
                              </w:rPr>
                              <w:t>Classification based</w:t>
                            </w:r>
                            <w:r w:rsidRPr="006E7457">
                              <w:rPr>
                                <w:b/>
                                <w:bCs/>
                                <w:color w:val="4F81BD" w:themeColor="accent1"/>
                              </w:rPr>
                              <w:t xml:space="preserve"> </w:t>
                            </w:r>
                            <w:r w:rsidRPr="006E7457">
                              <w:rPr>
                                <w:color w:val="4F81BD" w:themeColor="accent1"/>
                              </w:rPr>
                              <w:t>on</w:t>
                            </w:r>
                            <w:r w:rsidRPr="006E7457">
                              <w:rPr>
                                <w:b/>
                                <w:bCs/>
                                <w:color w:val="4F81BD" w:themeColor="accent1"/>
                              </w:rPr>
                              <w:t xml:space="preserve"> Inconclusive data</w:t>
                            </w:r>
                            <w:r w:rsidRPr="006E7457">
                              <w:rPr>
                                <w:b/>
                                <w:color w:val="4F81BD" w:themeColor="accent1"/>
                              </w:rPr>
                              <w:t xml:space="preserve"> </w:t>
                            </w:r>
                            <w:r w:rsidRPr="006E7457">
                              <w:rPr>
                                <w:b/>
                                <w:bCs/>
                                <w:color w:val="4F81BD" w:themeColor="accent1"/>
                              </w:rPr>
                              <w:t xml:space="preserve">from Tier 1 </w:t>
                            </w:r>
                          </w:p>
                          <w:p w14:paraId="576C68D2" w14:textId="77777777" w:rsidR="009A5C6B" w:rsidRPr="006E7457" w:rsidRDefault="009A5C6B" w:rsidP="009A5C6B">
                            <w:pPr>
                              <w:jc w:val="center"/>
                              <w:rPr>
                                <w:color w:val="4F81BD" w:themeColor="accent1"/>
                              </w:rPr>
                            </w:pPr>
                            <w:r w:rsidRPr="006E7457">
                              <w:rPr>
                                <w:color w:val="4F81BD" w:themeColor="accent1"/>
                              </w:rPr>
                              <w:t>and/or</w:t>
                            </w:r>
                            <w:r w:rsidRPr="006E7457">
                              <w:rPr>
                                <w:b/>
                                <w:bCs/>
                                <w:color w:val="4F81BD" w:themeColor="accent1"/>
                              </w:rPr>
                              <w:t xml:space="preserve"> non-standalone </w:t>
                            </w:r>
                            <w:r w:rsidRPr="006E7457">
                              <w:rPr>
                                <w:b/>
                                <w:bCs/>
                                <w:i/>
                                <w:iCs/>
                                <w:color w:val="4F81BD" w:themeColor="accent1"/>
                              </w:rPr>
                              <w:t xml:space="preserve">in vitro/in chemico </w:t>
                            </w:r>
                            <w:r w:rsidRPr="005B339B">
                              <w:rPr>
                                <w:b/>
                                <w:i/>
                                <w:iCs/>
                                <w:color w:val="4F81BD" w:themeColor="accent1"/>
                              </w:rPr>
                              <w:t>methods</w:t>
                            </w:r>
                            <w:r w:rsidRPr="006E7457">
                              <w:rPr>
                                <w:i/>
                                <w:iCs/>
                                <w:color w:val="4F81BD" w:themeColor="accent1"/>
                              </w:rPr>
                              <w:t xml:space="preserve"> </w:t>
                            </w:r>
                            <w:r w:rsidRPr="006E7457">
                              <w:rPr>
                                <w:color w:val="4F81BD" w:themeColor="accent1"/>
                              </w:rPr>
                              <w:t>(see 3.4.2.2.5)</w:t>
                            </w:r>
                          </w:p>
                          <w:p w14:paraId="74FE2238"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 xml:space="preserve">non-test methods </w:t>
                            </w:r>
                            <w:r w:rsidRPr="006E7457">
                              <w:rPr>
                                <w:color w:val="4F81BD" w:themeColor="accent1"/>
                              </w:rPr>
                              <w:t>(see 3.4.2.2.6)</w:t>
                            </w:r>
                          </w:p>
                          <w:p w14:paraId="5473A7B1" w14:textId="77777777" w:rsidR="009A5C6B" w:rsidRPr="006E7457" w:rsidRDefault="009A5C6B" w:rsidP="009A5C6B">
                            <w:pPr>
                              <w:jc w:val="center"/>
                              <w:rPr>
                                <w:b/>
                                <w:color w:val="4F81BD" w:themeColor="accent1"/>
                              </w:rPr>
                            </w:pPr>
                            <w:r w:rsidRPr="006E7457">
                              <w:rPr>
                                <w:color w:val="4F81BD" w:themeColor="accent1"/>
                              </w:rPr>
                              <w:t>and/or</w:t>
                            </w:r>
                            <w:r w:rsidRPr="006E7457">
                              <w:rPr>
                                <w:bCs/>
                                <w:color w:val="4F81BD" w:themeColor="accent1"/>
                              </w:rPr>
                              <w:t xml:space="preserve"> </w:t>
                            </w:r>
                            <w:r w:rsidRPr="006E7457">
                              <w:rPr>
                                <w:b/>
                                <w:color w:val="4F81BD" w:themeColor="accent1"/>
                              </w:rPr>
                              <w:t xml:space="preserve">inconclusive/low confidence results from defined approaches </w:t>
                            </w:r>
                            <w:r w:rsidRPr="006E7457">
                              <w:rPr>
                                <w:bCs/>
                                <w:color w:val="4F81BD" w:themeColor="accent1"/>
                              </w:rPr>
                              <w:t>(see 3.4.2.2.4)</w:t>
                            </w:r>
                          </w:p>
                          <w:p w14:paraId="73F51A1F" w14:textId="77777777" w:rsidR="009A5C6B" w:rsidRPr="006E7457" w:rsidRDefault="009A5C6B" w:rsidP="009A5C6B">
                            <w:pPr>
                              <w:jc w:val="center"/>
                              <w:rPr>
                                <w:strike/>
                                <w:color w:val="4F81BD"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887CB" id="_x0000_s1033" type="#_x0000_t202" style="position:absolute;margin-left:-27.9pt;margin-top:113.85pt;width:340.8pt;height:110.6pt;z-index:25165824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6NLQIAAFQEAAAOAAAAZHJzL2Uyb0RvYy54bWysVNuO0zAQfUfiHyy/06Sl7XajpqulSxHS&#10;cpEWPmDqOI2F4zG226R8PWOnLdUCL4g8WB7P+HjmnJks7/pWs4N0XqEp+XiUcyaNwEqZXcm/ftm8&#10;WnDmA5gKNBpZ8qP0/G718sWys4WcYIO6ko4RiPFFZ0vehGCLLPOikS34EVppyFmjayGQ6XZZ5aAj&#10;9FZnkzyfZx26yjoU0ns6fRicfJXw61qK8KmuvQxMl5xyC2l1ad3GNVstodg5sI0SpzTgH7JoQRl6&#10;9AL1AAHY3qnfoFolHHqsw0hgm2FdKyFTDVTNOH9WzVMDVqZaiBxvLzT5/wcrPh4+O6aqks85M9CS&#10;RGvwUmtglWJB+oBsElnqrC8o+MlSeOjfYE9qp4q9fUTxzTOD6wbMTt47h10joaIsx/FmdnV1wPER&#10;ZNt9wIqeg33ABNTXro0UEimM0Emt40Uh2Qcm6HD6erIYz8klyDee5tP5JGmYQXG+bp0P7yS2LG5K&#10;7qgFEjwcHn2I6UBxDomvedSq2iitk+F227V27ADULpv0pQqehWnDupLfziazgYG/QuTp+xNEqwL1&#10;vVZtyReXICgib29NlboygNLDnlLW5kRk5G5gMfTbPil3c9Zni9WRmHU4tDmNJW0adD8466jFS+6/&#10;78FJzvR7Q+rcjqfTOBPJmM5uiErmrj3baw8YQVAlD5wN23VIc5R4s/ek4kYlfqPcQyanlKl1E+2n&#10;MYuzcW2nqF8/g9VPAAAA//8DAFBLAwQUAAYACAAAACEAsTkHBt8AAAALAQAADwAAAGRycy9kb3du&#10;cmV2LnhtbEyPwW7CMBBE75X6D9ZW6gWB05QEGrJBLRKnnkjp3cRLEjVep7GB8Pc1J3rc2dHMm3w9&#10;mk6caXCtZYSXWQSCuLK65Rph/7WdLkE4r1irzjIhXMnBunh8yFWm7YV3dC59LUIIu0whNN73mZSu&#10;asgoN7M9cfgd7WCUD+dQSz2oSwg3nYyjKJVGtRwaGtXTpqHqpzwZhPS3fJ18fusJ767bj6Eyid7s&#10;E8Tnp/F9BcLT6O9muOEHdCgC08GeWDvRIUyTJKB7hDheLEAERxrflAPCfL58A1nk8v+G4g8AAP//&#10;AwBQSwECLQAUAAYACAAAACEAtoM4kv4AAADhAQAAEwAAAAAAAAAAAAAAAAAAAAAAW0NvbnRlbnRf&#10;VHlwZXNdLnhtbFBLAQItABQABgAIAAAAIQA4/SH/1gAAAJQBAAALAAAAAAAAAAAAAAAAAC8BAABf&#10;cmVscy8ucmVsc1BLAQItABQABgAIAAAAIQB0yN6NLQIAAFQEAAAOAAAAAAAAAAAAAAAAAC4CAABk&#10;cnMvZTJvRG9jLnhtbFBLAQItABQABgAIAAAAIQCxOQcG3wAAAAsBAAAPAAAAAAAAAAAAAAAAAIcE&#10;AABkcnMvZG93bnJldi54bWxQSwUGAAAAAAQABADzAAAAkwUAAAAA&#10;">
                <v:textbox style="mso-fit-shape-to-text:t">
                  <w:txbxContent>
                    <w:p w14:paraId="0301BD10" w14:textId="77777777" w:rsidR="009A5C6B" w:rsidRPr="006E7457" w:rsidRDefault="009A5C6B" w:rsidP="009A5C6B">
                      <w:pPr>
                        <w:jc w:val="center"/>
                        <w:rPr>
                          <w:b/>
                          <w:bCs/>
                          <w:color w:val="4F81BD" w:themeColor="accent1"/>
                        </w:rPr>
                      </w:pPr>
                      <w:r w:rsidRPr="006E7457">
                        <w:rPr>
                          <w:b/>
                          <w:bCs/>
                          <w:color w:val="4F81BD" w:themeColor="accent1"/>
                        </w:rPr>
                        <w:t>Tier 2</w:t>
                      </w:r>
                    </w:p>
                    <w:p w14:paraId="74BED132" w14:textId="77777777" w:rsidR="009A5C6B" w:rsidRPr="006E7457" w:rsidRDefault="009A5C6B" w:rsidP="009A5C6B">
                      <w:pPr>
                        <w:jc w:val="center"/>
                        <w:rPr>
                          <w:b/>
                          <w:bCs/>
                          <w:color w:val="4F81BD" w:themeColor="accent1"/>
                        </w:rPr>
                      </w:pPr>
                      <w:r w:rsidRPr="006E7457">
                        <w:rPr>
                          <w:color w:val="4F81BD" w:themeColor="accent1"/>
                        </w:rPr>
                        <w:t>Classification based</w:t>
                      </w:r>
                      <w:r w:rsidRPr="006E7457">
                        <w:rPr>
                          <w:b/>
                          <w:bCs/>
                          <w:color w:val="4F81BD" w:themeColor="accent1"/>
                        </w:rPr>
                        <w:t xml:space="preserve"> </w:t>
                      </w:r>
                      <w:r w:rsidRPr="006E7457">
                        <w:rPr>
                          <w:color w:val="4F81BD" w:themeColor="accent1"/>
                        </w:rPr>
                        <w:t>on</w:t>
                      </w:r>
                      <w:r w:rsidRPr="006E7457">
                        <w:rPr>
                          <w:b/>
                          <w:bCs/>
                          <w:color w:val="4F81BD" w:themeColor="accent1"/>
                        </w:rPr>
                        <w:t xml:space="preserve"> Inconclusive data</w:t>
                      </w:r>
                      <w:r w:rsidRPr="006E7457">
                        <w:rPr>
                          <w:b/>
                          <w:color w:val="4F81BD" w:themeColor="accent1"/>
                        </w:rPr>
                        <w:t xml:space="preserve"> </w:t>
                      </w:r>
                      <w:r w:rsidRPr="006E7457">
                        <w:rPr>
                          <w:b/>
                          <w:bCs/>
                          <w:color w:val="4F81BD" w:themeColor="accent1"/>
                        </w:rPr>
                        <w:t xml:space="preserve">from Tier 1 </w:t>
                      </w:r>
                    </w:p>
                    <w:p w14:paraId="576C68D2" w14:textId="77777777" w:rsidR="009A5C6B" w:rsidRPr="006E7457" w:rsidRDefault="009A5C6B" w:rsidP="009A5C6B">
                      <w:pPr>
                        <w:jc w:val="center"/>
                        <w:rPr>
                          <w:color w:val="4F81BD" w:themeColor="accent1"/>
                        </w:rPr>
                      </w:pPr>
                      <w:r w:rsidRPr="006E7457">
                        <w:rPr>
                          <w:color w:val="4F81BD" w:themeColor="accent1"/>
                        </w:rPr>
                        <w:t>and/or</w:t>
                      </w:r>
                      <w:r w:rsidRPr="006E7457">
                        <w:rPr>
                          <w:b/>
                          <w:bCs/>
                          <w:color w:val="4F81BD" w:themeColor="accent1"/>
                        </w:rPr>
                        <w:t xml:space="preserve"> non-standalone </w:t>
                      </w:r>
                      <w:r w:rsidRPr="006E7457">
                        <w:rPr>
                          <w:b/>
                          <w:bCs/>
                          <w:i/>
                          <w:iCs/>
                          <w:color w:val="4F81BD" w:themeColor="accent1"/>
                        </w:rPr>
                        <w:t xml:space="preserve">in vitro/in chemico </w:t>
                      </w:r>
                      <w:r w:rsidRPr="005B339B">
                        <w:rPr>
                          <w:b/>
                          <w:i/>
                          <w:iCs/>
                          <w:color w:val="4F81BD" w:themeColor="accent1"/>
                        </w:rPr>
                        <w:t>methods</w:t>
                      </w:r>
                      <w:r w:rsidRPr="006E7457">
                        <w:rPr>
                          <w:i/>
                          <w:iCs/>
                          <w:color w:val="4F81BD" w:themeColor="accent1"/>
                        </w:rPr>
                        <w:t xml:space="preserve"> </w:t>
                      </w:r>
                      <w:r w:rsidRPr="006E7457">
                        <w:rPr>
                          <w:color w:val="4F81BD" w:themeColor="accent1"/>
                        </w:rPr>
                        <w:t>(see 3.4.2.2.5)</w:t>
                      </w:r>
                    </w:p>
                    <w:p w14:paraId="74FE2238" w14:textId="77777777" w:rsidR="009A5C6B" w:rsidRPr="006E7457" w:rsidRDefault="009A5C6B" w:rsidP="009A5C6B">
                      <w:pPr>
                        <w:jc w:val="center"/>
                        <w:rPr>
                          <w:color w:val="4F81BD" w:themeColor="accent1"/>
                        </w:rPr>
                      </w:pPr>
                      <w:r w:rsidRPr="006E7457">
                        <w:rPr>
                          <w:color w:val="4F81BD" w:themeColor="accent1"/>
                        </w:rPr>
                        <w:t xml:space="preserve">and/or </w:t>
                      </w:r>
                      <w:r w:rsidRPr="006E7457">
                        <w:rPr>
                          <w:b/>
                          <w:bCs/>
                          <w:color w:val="4F81BD" w:themeColor="accent1"/>
                        </w:rPr>
                        <w:t xml:space="preserve">non-test methods </w:t>
                      </w:r>
                      <w:r w:rsidRPr="006E7457">
                        <w:rPr>
                          <w:color w:val="4F81BD" w:themeColor="accent1"/>
                        </w:rPr>
                        <w:t>(see 3.4.2.2.6)</w:t>
                      </w:r>
                    </w:p>
                    <w:p w14:paraId="5473A7B1" w14:textId="77777777" w:rsidR="009A5C6B" w:rsidRPr="006E7457" w:rsidRDefault="009A5C6B" w:rsidP="009A5C6B">
                      <w:pPr>
                        <w:jc w:val="center"/>
                        <w:rPr>
                          <w:b/>
                          <w:color w:val="4F81BD" w:themeColor="accent1"/>
                        </w:rPr>
                      </w:pPr>
                      <w:r w:rsidRPr="006E7457">
                        <w:rPr>
                          <w:color w:val="4F81BD" w:themeColor="accent1"/>
                        </w:rPr>
                        <w:t>and/or</w:t>
                      </w:r>
                      <w:r w:rsidRPr="006E7457">
                        <w:rPr>
                          <w:bCs/>
                          <w:color w:val="4F81BD" w:themeColor="accent1"/>
                        </w:rPr>
                        <w:t xml:space="preserve"> </w:t>
                      </w:r>
                      <w:r w:rsidRPr="006E7457">
                        <w:rPr>
                          <w:b/>
                          <w:color w:val="4F81BD" w:themeColor="accent1"/>
                        </w:rPr>
                        <w:t xml:space="preserve">inconclusive/low confidence results from defined approaches </w:t>
                      </w:r>
                      <w:r w:rsidRPr="006E7457">
                        <w:rPr>
                          <w:bCs/>
                          <w:color w:val="4F81BD" w:themeColor="accent1"/>
                        </w:rPr>
                        <w:t>(see 3.4.2.2.4)</w:t>
                      </w:r>
                    </w:p>
                    <w:p w14:paraId="73F51A1F" w14:textId="77777777" w:rsidR="009A5C6B" w:rsidRPr="006E7457" w:rsidRDefault="009A5C6B" w:rsidP="009A5C6B">
                      <w:pPr>
                        <w:jc w:val="center"/>
                        <w:rPr>
                          <w:strike/>
                          <w:color w:val="4F81BD" w:themeColor="accent1"/>
                        </w:rPr>
                      </w:pPr>
                    </w:p>
                  </w:txbxContent>
                </v:textbox>
                <w10:wrap type="square" anchorx="margin"/>
              </v:shape>
            </w:pict>
          </mc:Fallback>
        </mc:AlternateContent>
      </w:r>
      <w:r w:rsidRPr="006E7457">
        <w:rPr>
          <w:noProof/>
          <w:color w:val="4F81BD" w:themeColor="accent1"/>
          <w:lang w:eastAsia="en-GB"/>
        </w:rPr>
        <mc:AlternateContent>
          <mc:Choice Requires="wps">
            <w:drawing>
              <wp:anchor distT="0" distB="0" distL="114300" distR="114300" simplePos="0" relativeHeight="251658246" behindDoc="1" locked="0" layoutInCell="1" allowOverlap="1" wp14:anchorId="2AFFFAB0" wp14:editId="3940F29A">
                <wp:simplePos x="0" y="0"/>
                <wp:positionH relativeFrom="column">
                  <wp:posOffset>-209550</wp:posOffset>
                </wp:positionH>
                <wp:positionV relativeFrom="paragraph">
                  <wp:posOffset>2527935</wp:posOffset>
                </wp:positionV>
                <wp:extent cx="2773680" cy="281940"/>
                <wp:effectExtent l="0" t="0" r="7620" b="3810"/>
                <wp:wrapNone/>
                <wp:docPr id="10" name="Casella di testo 10"/>
                <wp:cNvGraphicFramePr/>
                <a:graphic xmlns:a="http://schemas.openxmlformats.org/drawingml/2006/main">
                  <a:graphicData uri="http://schemas.microsoft.com/office/word/2010/wordprocessingShape">
                    <wps:wsp>
                      <wps:cNvSpPr txBox="1"/>
                      <wps:spPr>
                        <a:xfrm>
                          <a:off x="0" y="0"/>
                          <a:ext cx="2773680" cy="281940"/>
                        </a:xfrm>
                        <a:prstGeom prst="rect">
                          <a:avLst/>
                        </a:prstGeom>
                        <a:solidFill>
                          <a:schemeClr val="lt1"/>
                        </a:solidFill>
                        <a:ln w="6350">
                          <a:noFill/>
                        </a:ln>
                      </wps:spPr>
                      <wps:txbx>
                        <w:txbxContent>
                          <w:p w14:paraId="75529A6B" w14:textId="77777777" w:rsidR="009A5C6B" w:rsidRPr="00693A3C" w:rsidRDefault="009A5C6B" w:rsidP="009A5C6B">
                            <w:pPr>
                              <w:jc w:val="center"/>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FAB0" id="Casella di testo 10" o:spid="_x0000_s1034" type="#_x0000_t202" style="position:absolute;margin-left:-16.5pt;margin-top:199.05pt;width:218.4pt;height:22.2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awSQIAAIoEAAAOAAAAZHJzL2Uyb0RvYy54bWysVMlu2zAQvRfoPxC8N7KdzTEiB66DFAWC&#10;JEBS5ExTVCyA4rDk2FL69X2k7GztqeiFGnL292Z0ftG3VmxNiA25Uo4PRlIYp6lq3FMpfzxcfZlK&#10;EVm5SllyppTPJsqL+edP552fmQmtyVYmCARxcdb5Uq6Z/awool6bVsUD8sZBWVNoFeManooqqA7R&#10;W1tMRqOToqNQ+UDaxIjXy0Ep5zl+XRvNt3UdDQtbStTG+Qz5XKWzmJ+r2VNQft3oXRnqH6poVeOQ&#10;9CXUpWIlNqH5I1Tb6ECRaj7Q1BZU1402uQd0Mx596OZ+rbzJvQCc6F9giv8vrL7Z3gXRVOAO8DjV&#10;gqOlisZaJapGsIlMAirg1Pk4g/m9hwP3X6mHz/494jG139ehTV80JqBHyOcXlE3PQuNxcnp6eDKF&#10;SkM3mY7PjnL44tXbh8jfDLUiCaUMYDGDq7bXkVEJTPcmKVkk21RXjbX5kibHLG0QWwXOLeca4fHO&#10;yjrRlfLk8HiUAztK7kNk65Ag9Tr0lCTuV33GaLrvd0XVM2AINAxU9PqqQa3XKvKdCpggtIet4Fsc&#10;tSXkop0kxZrCr7+9J3sQC60UHSaylPHnRgUjhf3uQPnZ+AhICc6Xo+PTCS7hrWb1VuM27ZIAwBj7&#10;53UWkz3bvVgHah+xPIuUFSrlNHKXkvfikoc9wfJps1hkIwytV3zt7r1OoRPgiYmH/lEFv6OLQfQN&#10;7WdXzT6wNtgmT0eLDVPdZEoTzgOqO/gx8Jnp3XKmjXp7z1avv5D5bwAAAP//AwBQSwMEFAAGAAgA&#10;AAAhAEVKZ9jiAAAACwEAAA8AAABkcnMvZG93bnJldi54bWxMj01PwzAMhu9I/IfISFzQlm7ZYJSm&#10;E0LAJG6sfIhb1pi2onGqJmvLv8ec4GbLr14/T7adXCsG7EPjScNinoBAKr1tqNLwUjzMNiBCNGRN&#10;6wk1fGOAbX56kpnU+pGecdjHSnAJhdRoqGPsUilDWaMzYe47JL59+t6ZyGtfSdubkctdK5dJcimd&#10;aYg/1KbDuxrLr/3Rafi4qN6fwvT4Oqq16u53Q3H1Zgutz8+m2xsQEaf4F4ZffEaHnJkO/kg2iFbD&#10;TCl2iRrU9WYBghOrRLHMgYfVcg0yz+R/h/wHAAD//wMAUEsBAi0AFAAGAAgAAAAhALaDOJL+AAAA&#10;4QEAABMAAAAAAAAAAAAAAAAAAAAAAFtDb250ZW50X1R5cGVzXS54bWxQSwECLQAUAAYACAAAACEA&#10;OP0h/9YAAACUAQAACwAAAAAAAAAAAAAAAAAvAQAAX3JlbHMvLnJlbHNQSwECLQAUAAYACAAAACEA&#10;ceTWsEkCAACKBAAADgAAAAAAAAAAAAAAAAAuAgAAZHJzL2Uyb0RvYy54bWxQSwECLQAUAAYACAAA&#10;ACEARUpn2OIAAAALAQAADwAAAAAAAAAAAAAAAACjBAAAZHJzL2Rvd25yZXYueG1sUEsFBgAAAAAE&#10;AAQA8wAAALIFAAAAAA==&#10;" fillcolor="white [3201]" stroked="f" strokeweight=".5pt">
                <v:textbox>
                  <w:txbxContent>
                    <w:p w14:paraId="75529A6B" w14:textId="77777777" w:rsidR="009A5C6B" w:rsidRPr="00693A3C" w:rsidRDefault="009A5C6B" w:rsidP="009A5C6B">
                      <w:pPr>
                        <w:jc w:val="center"/>
                        <w:rPr>
                          <w:color w:val="4F81BD" w:themeColor="accent1"/>
                        </w:rPr>
                      </w:pPr>
                    </w:p>
                  </w:txbxContent>
                </v:textbox>
              </v:shape>
            </w:pict>
          </mc:Fallback>
        </mc:AlternateContent>
      </w:r>
      <w:r w:rsidRPr="006E7457">
        <w:rPr>
          <w:noProof/>
          <w:color w:val="4F81BD" w:themeColor="accent1"/>
          <w:lang w:eastAsia="en-GB"/>
        </w:rPr>
        <mc:AlternateContent>
          <mc:Choice Requires="wps">
            <w:drawing>
              <wp:anchor distT="0" distB="0" distL="114300" distR="114300" simplePos="0" relativeHeight="251658243" behindDoc="0" locked="0" layoutInCell="1" allowOverlap="1" wp14:anchorId="0BA7CE6C" wp14:editId="3FA6BBDC">
                <wp:simplePos x="0" y="0"/>
                <wp:positionH relativeFrom="column">
                  <wp:posOffset>2846070</wp:posOffset>
                </wp:positionH>
                <wp:positionV relativeFrom="paragraph">
                  <wp:posOffset>1121410</wp:posOffset>
                </wp:positionV>
                <wp:extent cx="7620" cy="135255"/>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7620" cy="135255"/>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8840C" id="Connettore dirit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4.1pt,88.3pt" to="224.7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7KwwEAAN0DAAAOAAAAZHJzL2Uyb0RvYy54bWysU02P0zAQvSPxHyzfaZJWXVDUdA9dLRcE&#10;FbA/wOuMG0v+0tg06b9n7LRZBEgIxGVij+c9z3ue7O4na9gZMGrvOt6sas7ASd9rd+r409fHN+84&#10;i0m4XhjvoOMXiPx+//rVbgwtrP3gTQ/IiMTFdgwdH1IKbVVFOYAVceUDODpUHq1ItMVT1aMYid2a&#10;al3Xd9XosQ/oJcRI2Yf5kO8Lv1Ig0yelIiRmOk69pRKxxOccq/1OtCcUYdDy2ob4hy6s0I4uXage&#10;RBLsG+pfqKyW6KNXaSW9rbxSWkLRQGqa+ic1XwYRoGghc2JYbIr/j1Z+PB+R6b7jG86csPREB+8c&#10;pOQRWK9R04ptsk9jiC2VH9wRr7sYjphFTwpt/pIcNhVvL4u3MCUmKfn2bk3+SzpoNtv1dpsZqxdo&#10;wJjeg7csLzputMvCRSvOH2KaS28lOW1cjs4/amPm05ypcotzU2WVLgbm6s+gSCS10RTWMl5wMMjO&#10;ggZDSAkuNdeWjKPqDFNEvgDrPwOv9RkKZfT+Brwgys3epQVstfP4u9vTdGtZzfU3B2bd2YJn31/K&#10;cxVraIaK6dd5z0P6477AX/7K/XcAAAD//wMAUEsDBBQABgAIAAAAIQD2t/MT4AAAAAsBAAAPAAAA&#10;ZHJzL2Rvd25yZXYueG1sTI/LTsMwEEX3SPyDNUjsqEOx8iJOhUDAghUtUsXOjYckNLYj203Sv2dY&#10;wXLmHt05U20WM7AJfeidlXC7SoChbZzubSvhY/d8kwMLUVmtBmdRwhkDbOrLi0qV2s32HadtbBmV&#10;2FAqCV2MY8l5aDo0KqzciJayL+eNijT6lmuvZio3A18nScqN6i1d6NSIjx02x+3JSAhPx737/pxf&#10;86nwO3w775vs5U7K66vl4R5YxCX+wfCrT+pQk9PBnawObJAgRL4mlIIsTYERIUQhgB1oU2QF8Lri&#10;/3+ofwAAAP//AwBQSwECLQAUAAYACAAAACEAtoM4kv4AAADhAQAAEwAAAAAAAAAAAAAAAAAAAAAA&#10;W0NvbnRlbnRfVHlwZXNdLnhtbFBLAQItABQABgAIAAAAIQA4/SH/1gAAAJQBAAALAAAAAAAAAAAA&#10;AAAAAC8BAABfcmVscy8ucmVsc1BLAQItABQABgAIAAAAIQBLN67KwwEAAN0DAAAOAAAAAAAAAAAA&#10;AAAAAC4CAABkcnMvZTJvRG9jLnhtbFBLAQItABQABgAIAAAAIQD2t/MT4AAAAAsBAAAPAAAAAAAA&#10;AAAAAAAAAB0EAABkcnMvZG93bnJldi54bWxQSwUGAAAAAAQABADzAAAAKgUAAAAA&#10;" stroked="f"/>
            </w:pict>
          </mc:Fallback>
        </mc:AlternateContent>
      </w:r>
    </w:p>
    <w:p w14:paraId="7A194B56" w14:textId="77777777" w:rsidR="009A5C6B" w:rsidRPr="006E7457" w:rsidRDefault="009A5C6B" w:rsidP="009A5C6B">
      <w:pPr>
        <w:spacing w:after="200" w:line="276" w:lineRule="auto"/>
        <w:rPr>
          <w:color w:val="4F81BD" w:themeColor="accent1"/>
        </w:rPr>
      </w:pPr>
    </w:p>
    <w:p w14:paraId="376C175B" w14:textId="77777777" w:rsidR="009A5C6B" w:rsidRPr="006E7457" w:rsidRDefault="009A5C6B" w:rsidP="009A5C6B">
      <w:pPr>
        <w:spacing w:after="200" w:line="276" w:lineRule="auto"/>
        <w:rPr>
          <w:color w:val="4F81BD" w:themeColor="accent1"/>
        </w:rPr>
      </w:pPr>
    </w:p>
    <w:p w14:paraId="48C8D44D" w14:textId="77777777" w:rsidR="009A5C6B" w:rsidRPr="006E7457" w:rsidRDefault="009A5C6B" w:rsidP="009A5C6B">
      <w:pPr>
        <w:spacing w:after="200" w:line="276" w:lineRule="auto"/>
        <w:rPr>
          <w:color w:val="4F81BD" w:themeColor="accent1"/>
        </w:rPr>
      </w:pPr>
    </w:p>
    <w:p w14:paraId="5B856A6F" w14:textId="77777777" w:rsidR="009A5C6B" w:rsidRPr="006E7457" w:rsidRDefault="009A5C6B" w:rsidP="009A5C6B">
      <w:pPr>
        <w:spacing w:after="200" w:line="276" w:lineRule="auto"/>
        <w:rPr>
          <w:color w:val="4F81BD" w:themeColor="accent1"/>
        </w:rPr>
      </w:pPr>
    </w:p>
    <w:p w14:paraId="285103B6" w14:textId="77777777" w:rsidR="009A5C6B" w:rsidRPr="006E7457" w:rsidRDefault="009A5C6B" w:rsidP="009A5C6B">
      <w:pPr>
        <w:spacing w:after="200" w:line="276" w:lineRule="auto"/>
        <w:rPr>
          <w:color w:val="4F81BD" w:themeColor="accent1"/>
        </w:rPr>
      </w:pPr>
    </w:p>
    <w:p w14:paraId="4708195C" w14:textId="77777777" w:rsidR="009A5C6B" w:rsidRPr="006E7457" w:rsidRDefault="009A5C6B" w:rsidP="009A5C6B">
      <w:pPr>
        <w:spacing w:after="200" w:line="276" w:lineRule="auto"/>
        <w:rPr>
          <w:color w:val="4F81BD" w:themeColor="accent1"/>
        </w:rPr>
      </w:pPr>
    </w:p>
    <w:p w14:paraId="1CC1B9C3" w14:textId="77777777" w:rsidR="009A5C6B" w:rsidRPr="006E7457" w:rsidRDefault="009A5C6B" w:rsidP="009A5C6B">
      <w:pPr>
        <w:spacing w:after="200" w:line="276" w:lineRule="auto"/>
        <w:rPr>
          <w:color w:val="4F81BD" w:themeColor="accent1"/>
        </w:rPr>
      </w:pPr>
    </w:p>
    <w:p w14:paraId="4F00316D" w14:textId="77777777" w:rsidR="009A5C6B" w:rsidRPr="006E7457" w:rsidRDefault="009A5C6B" w:rsidP="009A5C6B">
      <w:pPr>
        <w:spacing w:after="200" w:line="276" w:lineRule="auto"/>
        <w:rPr>
          <w:color w:val="4F81BD" w:themeColor="accent1"/>
        </w:rPr>
      </w:pPr>
    </w:p>
    <w:p w14:paraId="5574F64B" w14:textId="77777777" w:rsidR="009A5C6B" w:rsidRPr="006E7457" w:rsidRDefault="009A5C6B" w:rsidP="009A5C6B">
      <w:pPr>
        <w:spacing w:after="200" w:line="276" w:lineRule="auto"/>
        <w:rPr>
          <w:color w:val="4F81BD" w:themeColor="accent1"/>
        </w:rPr>
      </w:pPr>
      <w:r w:rsidRPr="006E7457">
        <w:rPr>
          <w:noProof/>
          <w:color w:val="4F81BD" w:themeColor="accent1"/>
          <w:lang w:eastAsia="en-GB"/>
        </w:rPr>
        <mc:AlternateContent>
          <mc:Choice Requires="wps">
            <w:drawing>
              <wp:anchor distT="0" distB="0" distL="114300" distR="114300" simplePos="0" relativeHeight="251658256" behindDoc="0" locked="0" layoutInCell="1" allowOverlap="1" wp14:anchorId="7A81AA5B" wp14:editId="5B71512E">
                <wp:simplePos x="0" y="0"/>
                <wp:positionH relativeFrom="column">
                  <wp:posOffset>1870710</wp:posOffset>
                </wp:positionH>
                <wp:positionV relativeFrom="paragraph">
                  <wp:posOffset>215900</wp:posOffset>
                </wp:positionV>
                <wp:extent cx="0" cy="390525"/>
                <wp:effectExtent l="76200" t="0" r="57150" b="47625"/>
                <wp:wrapNone/>
                <wp:docPr id="8" name="Connettore 2 8"/>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5D38D9" id="Connettore 2 8" o:spid="_x0000_s1026" type="#_x0000_t32" style="position:absolute;margin-left:147.3pt;margin-top:17pt;width:0;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692gEAAJcDAAAOAAAAZHJzL2Uyb0RvYy54bWysU02T0zAMvTPDf/D4TpN222XJNN1Dy3Jh&#10;YGeAH6A6TuIZf40smvbfIzulLHBj6MGVZOlZ70nZPp6dFSeNyQTfyuWilkJ7FTrjh1Z++/r05kGK&#10;ROA7sMHrVl50ko+716+2U2z0KozBdhoFg/jUTLGVI1FsqiqpUTtIixC158s+oANiF4eqQ5gY3dlq&#10;Vdf31RSwixiUTomjh/lS7gp+32tFn/s+aRK2ldwblRPLecxntdtCMyDE0ahrG/APXTgwnh+9QR2A&#10;QHxH8xeUMwpDCj0tVHBV6HujdOHAbJb1H2y+jBB14cLipHiTKf0/WPXp9IzCdK3kQXlwPKJ98F4T&#10;BdRiJR6yQlNMDSfu/TNevRSfMdM99+jyPxMR56Lq5aaqPpNQc1Bx9O5dvVltMlz1qy5iog86OJGN&#10;ViZCMMNIpQXFLSyLqHD6mGgu/FmQH/XhyVjLcWisF1Mr7+82PGMFvEe9BWLTRWaW/CAF2IEXVBEW&#10;xBSs6XJ1Lk44HPcWxQl4Sdbrt6v9+trmb2n56QOkcc4rVzkNGmeId9gaxyLW+TeHCYx97ztBl8iq&#10;Ehrwg9VXZOtzpS4beiWXVZ51zdYxdJcid5U9nn7R7bqpeb1e+my//J52PwAAAP//AwBQSwMEFAAG&#10;AAgAAAAhAMBXZuTeAAAACQEAAA8AAABkcnMvZG93bnJldi54bWxMj8FOwzAMhu9IvENkJC6IpZRt&#10;oqXpNKFy4MYGQuLmNaGp1jhVkm2Fp8eIAxxtf/r9/dVqcoM4mhB7TwpuZhkIQ63XPXUKXl8er+9A&#10;xISkcfBkFHyaCKv6/KzCUvsTbcxxmzrBIRRLVGBTGkspY2uNwzjzoyG+ffjgMPEYOqkDnjjcDTLP&#10;sqV02BN/sDiaB2va/fbgFERK71nTtOvQP33Z/Plqj8Vbo9TlxbS+B5HMlP5g+NFndajZaecPpKMY&#10;FOTFfMmogts5d2Lgd7FTUCwWIOtK/m9QfwMAAP//AwBQSwECLQAUAAYACAAAACEAtoM4kv4AAADh&#10;AQAAEwAAAAAAAAAAAAAAAAAAAAAAW0NvbnRlbnRfVHlwZXNdLnhtbFBLAQItABQABgAIAAAAIQA4&#10;/SH/1gAAAJQBAAALAAAAAAAAAAAAAAAAAC8BAABfcmVscy8ucmVsc1BLAQItABQABgAIAAAAIQDe&#10;ce692gEAAJcDAAAOAAAAAAAAAAAAAAAAAC4CAABkcnMvZTJvRG9jLnhtbFBLAQItABQABgAIAAAA&#10;IQDAV2bk3gAAAAkBAAAPAAAAAAAAAAAAAAAAADQEAABkcnMvZG93bnJldi54bWxQSwUGAAAAAAQA&#10;BADzAAAAPwUAAAAA&#10;" strokecolor="#4472c4" strokeweight=".5pt">
                <v:stroke endarrow="block" joinstyle="miter"/>
              </v:shape>
            </w:pict>
          </mc:Fallback>
        </mc:AlternateContent>
      </w:r>
    </w:p>
    <w:p w14:paraId="031970F8" w14:textId="77777777" w:rsidR="009A5C6B" w:rsidRPr="006E7457" w:rsidRDefault="009A5C6B" w:rsidP="009A5C6B">
      <w:pPr>
        <w:spacing w:after="200" w:line="276" w:lineRule="auto"/>
        <w:rPr>
          <w:color w:val="4F81BD" w:themeColor="accent1"/>
        </w:rPr>
      </w:pPr>
      <w:r w:rsidRPr="006E7457">
        <w:rPr>
          <w:noProof/>
          <w:color w:val="4F81BD" w:themeColor="accent1"/>
          <w:lang w:eastAsia="en-GB"/>
        </w:rPr>
        <mc:AlternateContent>
          <mc:Choice Requires="wps">
            <w:drawing>
              <wp:anchor distT="0" distB="0" distL="114300" distR="114300" simplePos="0" relativeHeight="251658258" behindDoc="1" locked="0" layoutInCell="1" allowOverlap="1" wp14:anchorId="25442FBF" wp14:editId="43E88AA7">
                <wp:simplePos x="0" y="0"/>
                <wp:positionH relativeFrom="margin">
                  <wp:posOffset>558165</wp:posOffset>
                </wp:positionH>
                <wp:positionV relativeFrom="paragraph">
                  <wp:posOffset>16510</wp:posOffset>
                </wp:positionV>
                <wp:extent cx="2827020" cy="457200"/>
                <wp:effectExtent l="0" t="0" r="0" b="0"/>
                <wp:wrapNone/>
                <wp:docPr id="14" name="Casella di testo 14"/>
                <wp:cNvGraphicFramePr/>
                <a:graphic xmlns:a="http://schemas.openxmlformats.org/drawingml/2006/main">
                  <a:graphicData uri="http://schemas.microsoft.com/office/word/2010/wordprocessingShape">
                    <wps:wsp>
                      <wps:cNvSpPr txBox="1"/>
                      <wps:spPr>
                        <a:xfrm>
                          <a:off x="0" y="0"/>
                          <a:ext cx="2827020" cy="457200"/>
                        </a:xfrm>
                        <a:prstGeom prst="rect">
                          <a:avLst/>
                        </a:prstGeom>
                        <a:solidFill>
                          <a:sysClr val="window" lastClr="FFFFFF"/>
                        </a:solidFill>
                        <a:ln w="6350">
                          <a:noFill/>
                        </a:ln>
                      </wps:spPr>
                      <wps:txbx>
                        <w:txbxContent>
                          <w:p w14:paraId="4392F8D2" w14:textId="77777777" w:rsidR="009A5C6B" w:rsidRPr="006E7457" w:rsidRDefault="009A5C6B" w:rsidP="009A5C6B">
                            <w:pPr>
                              <w:jc w:val="center"/>
                              <w:rPr>
                                <w:color w:val="4F81BD" w:themeColor="accent1"/>
                              </w:rPr>
                            </w:pPr>
                            <w:r w:rsidRPr="006E7457">
                              <w:rPr>
                                <w:color w:val="4F81BD" w:themeColor="accent1"/>
                              </w:rPr>
                              <w:t>No data or inconclusive</w:t>
                            </w:r>
                            <w:r w:rsidRPr="006E7457">
                              <w:rPr>
                                <w:color w:val="4F81BD" w:themeColor="accent1"/>
                                <w:vertAlign w:val="superscript"/>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42FBF" id="Casella di testo 14" o:spid="_x0000_s1035" type="#_x0000_t202" style="position:absolute;margin-left:43.95pt;margin-top:1.3pt;width:222.6pt;height:36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dGUAIAAJsEAAAOAAAAZHJzL2Uyb0RvYy54bWysVE1vGjEQvVfqf7B8LwuUfKEsESWiqhQl&#10;kUiVs/F6wZLX49qGXfrr++yFJE17qsrBjOfT897MXt90jWF75YMmW/LRYMiZspIqbTcl//60/HTJ&#10;WYjCVsKQVSU/qMBvZh8/XLduqsa0JVMpz5DEhmnrSr6N0U2LIsitakQYkFMWxpp8IyKuflNUXrTI&#10;3phiPByeFy35ynmSKgRob3sjn+X8da1kfKjroCIzJcfbYj59PtfpLGbXYrrxwm21PD5D/MMrGqEt&#10;ir6kuhVRsJ3Xf6RqtPQUqI4DSU1Bda2lyj2gm9HwXTerrXAq9wJwgnuBKfy/tPJ+/+iZrsDdhDMr&#10;GnC0EEEZI1ilWVQhEoMJOLUuTOG+cgiI3RfqEHPSByhT+13tm/SPxhjsQPzwgrLqIpNQji/HF8Mx&#10;TBK2ydkFaExpitdo50P8qqhhSSi5B4sZXLG/C7F3PbmkYoGMrpbamHw5hIXxbC9AOOakopYzI0KE&#10;suTL/DtW+y3MWNaW/Pzz2TBXspTy9aWMxeNS832TSYrdusugXZ0AWFN1AC6e+gkLTi41Hn+Hyo/C&#10;Y6TQL9YkPuCoDaEWHSXOtuR//k2f/ME0rJy1GNGShx874RUa+mYxA1ejySTNdL5kIDnzby3rtxa7&#10;axYEUEZYSCeziGAfzUmsPTXP2KZ5qgqTsBK1Sx5P4iL2i4NtlGo+z06YYifinV05mVInBhI1T92z&#10;8O7IXwTz93QaZjF9R2PvmyItzXeRap05Tjj3qB7hxwbkKTlua1qxt/fs9fpNmf0CAAD//wMAUEsD&#10;BBQABgAIAAAAIQA2C90I4AAAAAcBAAAPAAAAZHJzL2Rvd25yZXYueG1sTI7BTsMwEETvSPyDtUjc&#10;qNMW0hKyqRACQSWiQkDi6sZLEojXUew2ab8ec4LjaEZvXroaTSv21LvGMsJ0EoEgLq1uuEJ4f3u4&#10;WIJwXrFWrWVCOJCDVXZ6kqpE24FfaV/4SgQIu0Qh1N53iZSurMkoN7Edceg+bW+UD7GvpO7VEOCm&#10;lbMoiqVRDYeHWnV0V1P5XewMwsdQPPab9frrpXvKj5tjkT/TfY54fjbe3oDwNPq/MfzqB3XIgtPW&#10;7lg70SIsF9dhiTCLQYT6aj6fgtgiLC5jkFkq//tnPwAAAP//AwBQSwECLQAUAAYACAAAACEAtoM4&#10;kv4AAADhAQAAEwAAAAAAAAAAAAAAAAAAAAAAW0NvbnRlbnRfVHlwZXNdLnhtbFBLAQItABQABgAI&#10;AAAAIQA4/SH/1gAAAJQBAAALAAAAAAAAAAAAAAAAAC8BAABfcmVscy8ucmVsc1BLAQItABQABgAI&#10;AAAAIQA6BadGUAIAAJsEAAAOAAAAAAAAAAAAAAAAAC4CAABkcnMvZTJvRG9jLnhtbFBLAQItABQA&#10;BgAIAAAAIQA2C90I4AAAAAcBAAAPAAAAAAAAAAAAAAAAAKoEAABkcnMvZG93bnJldi54bWxQSwUG&#10;AAAAAAQABADzAAAAtwUAAAAA&#10;" fillcolor="window" stroked="f" strokeweight=".5pt">
                <v:textbox>
                  <w:txbxContent>
                    <w:p w14:paraId="4392F8D2" w14:textId="77777777" w:rsidR="009A5C6B" w:rsidRPr="006E7457" w:rsidRDefault="009A5C6B" w:rsidP="009A5C6B">
                      <w:pPr>
                        <w:jc w:val="center"/>
                        <w:rPr>
                          <w:color w:val="4F81BD" w:themeColor="accent1"/>
                        </w:rPr>
                      </w:pPr>
                      <w:r w:rsidRPr="006E7457">
                        <w:rPr>
                          <w:color w:val="4F81BD" w:themeColor="accent1"/>
                        </w:rPr>
                        <w:t>No data or inconclusive</w:t>
                      </w:r>
                      <w:r w:rsidRPr="006E7457">
                        <w:rPr>
                          <w:color w:val="4F81BD" w:themeColor="accent1"/>
                          <w:vertAlign w:val="superscript"/>
                        </w:rPr>
                        <w:t>b</w:t>
                      </w:r>
                    </w:p>
                  </w:txbxContent>
                </v:textbox>
                <w10:wrap anchorx="margin"/>
              </v:shape>
            </w:pict>
          </mc:Fallback>
        </mc:AlternateContent>
      </w:r>
    </w:p>
    <w:p w14:paraId="020F85C8" w14:textId="77777777" w:rsidR="009A5C6B" w:rsidRPr="006E7457" w:rsidRDefault="009A5C6B" w:rsidP="009A5C6B">
      <w:pPr>
        <w:spacing w:after="200" w:line="276" w:lineRule="auto"/>
        <w:rPr>
          <w:color w:val="4F81BD" w:themeColor="accent1"/>
        </w:rPr>
      </w:pPr>
      <w:r w:rsidRPr="006E7457">
        <w:rPr>
          <w:noProof/>
          <w:color w:val="4F81BD" w:themeColor="accent1"/>
          <w:lang w:eastAsia="en-GB"/>
        </w:rPr>
        <mc:AlternateContent>
          <mc:Choice Requires="wps">
            <w:drawing>
              <wp:anchor distT="45720" distB="45720" distL="114300" distR="114300" simplePos="0" relativeHeight="251658240" behindDoc="0" locked="0" layoutInCell="1" allowOverlap="1" wp14:anchorId="4B1C0175" wp14:editId="0C70C8B6">
                <wp:simplePos x="0" y="0"/>
                <wp:positionH relativeFrom="margin">
                  <wp:posOffset>-232410</wp:posOffset>
                </wp:positionH>
                <wp:positionV relativeFrom="paragraph">
                  <wp:posOffset>91440</wp:posOffset>
                </wp:positionV>
                <wp:extent cx="4213860" cy="1404620"/>
                <wp:effectExtent l="0" t="0" r="15240" b="15875"/>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404620"/>
                        </a:xfrm>
                        <a:prstGeom prst="rect">
                          <a:avLst/>
                        </a:prstGeom>
                        <a:solidFill>
                          <a:srgbClr val="FFFFFF"/>
                        </a:solidFill>
                        <a:ln w="9525">
                          <a:solidFill>
                            <a:srgbClr val="000000"/>
                          </a:solidFill>
                          <a:miter lim="800000"/>
                          <a:headEnd/>
                          <a:tailEnd/>
                        </a:ln>
                      </wps:spPr>
                      <wps:txbx>
                        <w:txbxContent>
                          <w:p w14:paraId="2389E00B" w14:textId="77777777" w:rsidR="009A5C6B" w:rsidRPr="006E7457" w:rsidRDefault="009A5C6B" w:rsidP="009A5C6B">
                            <w:pPr>
                              <w:jc w:val="center"/>
                              <w:rPr>
                                <w:b/>
                                <w:bCs/>
                                <w:color w:val="4F81BD" w:themeColor="accent1"/>
                                <w:sz w:val="24"/>
                              </w:rPr>
                            </w:pPr>
                            <w:r w:rsidRPr="006E7457">
                              <w:rPr>
                                <w:b/>
                                <w:bCs/>
                                <w:color w:val="4F81BD" w:themeColor="accent1"/>
                                <w:sz w:val="24"/>
                              </w:rPr>
                              <w:t>Tier 3</w:t>
                            </w:r>
                          </w:p>
                          <w:p w14:paraId="7B64DC3C" w14:textId="77777777" w:rsidR="009A5C6B" w:rsidRPr="006E7457" w:rsidRDefault="009A5C6B" w:rsidP="009A5C6B">
                            <w:pPr>
                              <w:jc w:val="center"/>
                              <w:rPr>
                                <w:bCs/>
                                <w:color w:val="4F81BD" w:themeColor="accent1"/>
                                <w:sz w:val="24"/>
                              </w:rPr>
                            </w:pPr>
                            <w:r w:rsidRPr="006E7457">
                              <w:rPr>
                                <w:color w:val="4F81BD" w:themeColor="accent1"/>
                                <w:sz w:val="24"/>
                              </w:rPr>
                              <w:t xml:space="preserve">Classification based on an </w:t>
                            </w:r>
                            <w:r w:rsidRPr="006E7457">
                              <w:rPr>
                                <w:b/>
                                <w:bCs/>
                                <w:color w:val="4F81BD" w:themeColor="accent1"/>
                                <w:sz w:val="24"/>
                              </w:rPr>
                              <w:t>overall weight-of-evidence</w:t>
                            </w:r>
                            <w:r w:rsidRPr="006E7457">
                              <w:rPr>
                                <w:color w:val="4F81BD" w:themeColor="accent1"/>
                                <w:sz w:val="24"/>
                              </w:rPr>
                              <w:t xml:space="preserve"> also considering </w:t>
                            </w:r>
                            <w:r w:rsidRPr="006E7457">
                              <w:rPr>
                                <w:b/>
                                <w:bCs/>
                                <w:color w:val="4F81BD" w:themeColor="accent1"/>
                                <w:sz w:val="24"/>
                              </w:rPr>
                              <w:t>additional indicators</w:t>
                            </w:r>
                            <w:r w:rsidRPr="006E7457">
                              <w:rPr>
                                <w:color w:val="4F81BD" w:themeColor="accent1"/>
                                <w:sz w:val="24"/>
                              </w:rPr>
                              <w:t xml:space="preserve"> (see 3.4.2.2.7.6)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C0175" id="_x0000_s1036" type="#_x0000_t202" style="position:absolute;margin-left:-18.3pt;margin-top:7.2pt;width:331.8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eNLAIAAFYEAAAOAAAAZHJzL2Uyb0RvYy54bWysVF+P0zAMf0fiO0R5Z23HNnbVutOxYwjp&#10;+CMdfAAvTdeINA5Jtvb49Djpbjcd8ILoQ2TH9i/2z3ZX10On2VE6r9BUvJjknEkjsFZmX/FvX7ev&#10;lpz5AKYGjUZW/EF6fr1++WLV21JOsUVdS8cIxPiytxVvQ7BllnnRyg78BK00ZGzQdRBIdfusdtAT&#10;eqezaZ4vsh5dbR0K6T3d3o5Gvk74TSNF+Nw0XgamK065hXS6dO7ima1XUO4d2FaJUxrwD1l0oAw9&#10;eoa6hQDs4NRvUJ0SDj02YSKwy7BplJCpBqqmyJ9Vc9+ClakWIsfbM03+/8GKT8cvjqmaeldwZqCj&#10;Hm3AS62B1YoF6QOyaaSpt74k73tL/mF4iwOFpJK9vUPx3TODmxbMXt44h30roaY0ixiZXYSOOD6C&#10;7PqPWNNzcAiYgIbGdZFDYoUROrXr4dwiOQQm6HI2LV4vF2QSZCtm+WwxTU3MoHwMt86H9xI7FoWK&#10;O5qBBA/HOx9iOlA+usTXPGpVb5XWSXH73UY7dgSal236UgXP3LRhfcWv5tP5yMBfIfL0/QmiU4EG&#10;X6uu4suzE5SRt3emTmMZQOlRppS1OREZuRtZDMNuGFuXKIgs77B+IGodjoNOi0lCi+4nZz0NecX9&#10;jwM4yZn+YKg9V8VsFrciKbP5G+KSuUvL7tICRhBUxQNno7gJaZMScfaG2rhVieCnTE450/Am3k+L&#10;FrfjUk9eT7+D9S8AAAD//wMAUEsDBBQABgAIAAAAIQCR4Wnh3gAAAAoBAAAPAAAAZHJzL2Rvd25y&#10;ZXYueG1sTI/BTsMwEETvSPyDtUhcqtYhaQwKcSqo1BOnhnJ34yWJiNchdtv071lOcFzN0+ybcjO7&#10;QZxxCr0nDQ+rBARS421PrYbD+275BCJEQ9YMnlDDFQNsqtub0hTWX2iP5zq2gksoFEZDF+NYSBma&#10;Dp0JKz8icfbpJ2cin1Mr7WQuXO4GmSaJks70xB86M+K2w+arPjkN6rvOFm8fdkH76+51alxut4dc&#10;6/u7+eUZRMQ5/sHwq8/qULHT0Z/IBjFoWGZKMcrBeg2CAZU+8rijhjTLFciqlP8nVD8AAAD//wMA&#10;UEsBAi0AFAAGAAgAAAAhALaDOJL+AAAA4QEAABMAAAAAAAAAAAAAAAAAAAAAAFtDb250ZW50X1R5&#10;cGVzXS54bWxQSwECLQAUAAYACAAAACEAOP0h/9YAAACUAQAACwAAAAAAAAAAAAAAAAAvAQAAX3Jl&#10;bHMvLnJlbHNQSwECLQAUAAYACAAAACEAA6c3jSwCAABWBAAADgAAAAAAAAAAAAAAAAAuAgAAZHJz&#10;L2Uyb0RvYy54bWxQSwECLQAUAAYACAAAACEAkeFp4d4AAAAKAQAADwAAAAAAAAAAAAAAAACGBAAA&#10;ZHJzL2Rvd25yZXYueG1sUEsFBgAAAAAEAAQA8wAAAJEFAAAAAA==&#10;">
                <v:textbox style="mso-fit-shape-to-text:t">
                  <w:txbxContent>
                    <w:p w14:paraId="2389E00B" w14:textId="77777777" w:rsidR="009A5C6B" w:rsidRPr="006E7457" w:rsidRDefault="009A5C6B" w:rsidP="009A5C6B">
                      <w:pPr>
                        <w:jc w:val="center"/>
                        <w:rPr>
                          <w:b/>
                          <w:bCs/>
                          <w:color w:val="4F81BD" w:themeColor="accent1"/>
                          <w:sz w:val="24"/>
                        </w:rPr>
                      </w:pPr>
                      <w:r w:rsidRPr="006E7457">
                        <w:rPr>
                          <w:b/>
                          <w:bCs/>
                          <w:color w:val="4F81BD" w:themeColor="accent1"/>
                          <w:sz w:val="24"/>
                        </w:rPr>
                        <w:t>Tier 3</w:t>
                      </w:r>
                    </w:p>
                    <w:p w14:paraId="7B64DC3C" w14:textId="77777777" w:rsidR="009A5C6B" w:rsidRPr="006E7457" w:rsidRDefault="009A5C6B" w:rsidP="009A5C6B">
                      <w:pPr>
                        <w:jc w:val="center"/>
                        <w:rPr>
                          <w:bCs/>
                          <w:color w:val="4F81BD" w:themeColor="accent1"/>
                          <w:sz w:val="24"/>
                        </w:rPr>
                      </w:pPr>
                      <w:r w:rsidRPr="006E7457">
                        <w:rPr>
                          <w:color w:val="4F81BD" w:themeColor="accent1"/>
                          <w:sz w:val="24"/>
                        </w:rPr>
                        <w:t xml:space="preserve">Classification based on an </w:t>
                      </w:r>
                      <w:r w:rsidRPr="006E7457">
                        <w:rPr>
                          <w:b/>
                          <w:bCs/>
                          <w:color w:val="4F81BD" w:themeColor="accent1"/>
                          <w:sz w:val="24"/>
                        </w:rPr>
                        <w:t>overall weight-of-evidence</w:t>
                      </w:r>
                      <w:r w:rsidRPr="006E7457">
                        <w:rPr>
                          <w:color w:val="4F81BD" w:themeColor="accent1"/>
                          <w:sz w:val="24"/>
                        </w:rPr>
                        <w:t xml:space="preserve"> also considering </w:t>
                      </w:r>
                      <w:r w:rsidRPr="006E7457">
                        <w:rPr>
                          <w:b/>
                          <w:bCs/>
                          <w:color w:val="4F81BD" w:themeColor="accent1"/>
                          <w:sz w:val="24"/>
                        </w:rPr>
                        <w:t>additional indicators</w:t>
                      </w:r>
                      <w:r w:rsidRPr="006E7457">
                        <w:rPr>
                          <w:color w:val="4F81BD" w:themeColor="accent1"/>
                          <w:sz w:val="24"/>
                        </w:rPr>
                        <w:t xml:space="preserve"> (see 3.4.2.2.7.6)</w:t>
                      </w:r>
                    </w:p>
                  </w:txbxContent>
                </v:textbox>
                <w10:wrap type="square" anchorx="margin"/>
              </v:shape>
            </w:pict>
          </mc:Fallback>
        </mc:AlternateContent>
      </w:r>
    </w:p>
    <w:p w14:paraId="288BF92A" w14:textId="77777777" w:rsidR="009A5C6B" w:rsidRPr="006E7457" w:rsidRDefault="009A5C6B" w:rsidP="009A5C6B">
      <w:pPr>
        <w:spacing w:after="200" w:line="276" w:lineRule="auto"/>
        <w:rPr>
          <w:color w:val="4F81BD" w:themeColor="accent1"/>
        </w:rPr>
      </w:pPr>
    </w:p>
    <w:p w14:paraId="1CE290E1" w14:textId="77777777" w:rsidR="009A5C6B" w:rsidRPr="006E7457" w:rsidRDefault="009A5C6B" w:rsidP="009A5C6B">
      <w:pPr>
        <w:spacing w:after="200" w:line="276" w:lineRule="auto"/>
        <w:rPr>
          <w:color w:val="4F81BD" w:themeColor="accent1"/>
        </w:rPr>
      </w:pPr>
      <w:r w:rsidRPr="006E7457">
        <w:rPr>
          <w:noProof/>
          <w:color w:val="4F81BD" w:themeColor="accent1"/>
          <w:lang w:eastAsia="en-GB"/>
        </w:rPr>
        <mc:AlternateContent>
          <mc:Choice Requires="wps">
            <w:drawing>
              <wp:anchor distT="0" distB="0" distL="114300" distR="114300" simplePos="0" relativeHeight="251658255" behindDoc="0" locked="0" layoutInCell="1" allowOverlap="1" wp14:anchorId="5DD0B479" wp14:editId="2AA8754D">
                <wp:simplePos x="0" y="0"/>
                <wp:positionH relativeFrom="leftMargin">
                  <wp:posOffset>2596515</wp:posOffset>
                </wp:positionH>
                <wp:positionV relativeFrom="paragraph">
                  <wp:posOffset>255270</wp:posOffset>
                </wp:positionV>
                <wp:extent cx="0" cy="390525"/>
                <wp:effectExtent l="76200" t="0" r="57150" b="47625"/>
                <wp:wrapNone/>
                <wp:docPr id="37" name="Connettore 2 37"/>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27E5C" id="Connettore 2 37" o:spid="_x0000_s1026" type="#_x0000_t32" style="position:absolute;margin-left:204.45pt;margin-top:20.1pt;width:0;height:30.75pt;z-index:251674624;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2uzgEAAPUDAAAOAAAAZHJzL2Uyb0RvYy54bWysU9uO0zAQfUfiHyy/06RdLZeo6T50gRcE&#10;FQsf4HXGjSXfNB56+XvGTptFgJBAvExie86ZM8fj9d3JO3EAzDaGXi4XrRQQdBxs2Pfy65d3L15L&#10;kUmFQbkYoJdnyPJu8/zZ+pg6WMUxugFQMEnI3TH1ciRKXdNkPYJXeRETBD40Eb0iXuK+GVAdmd27&#10;ZtW2L5tjxCFh1JAz795Ph3JT+Y0BTZ+MyUDC9ZK1UY1Y42OJzWatuj2qNFp9kaH+QYVXNnDRmepe&#10;kRLf0P5C5a3GmKOhhY6+icZYDbUH7mbZ/tTNw6gS1F7YnJxmm/L/o9UfDzsUdujlzSspgvJ8R9sY&#10;AhBFBLESvM0eHVPuOHUbdnhZ5bTD0vDJoC9fbkWcqq/n2Vc4kdDTpubdmzft7eq20DVPuISZ3kP0&#10;ovz0MhMqux+patCsYVltVYcPmSbgFVCKulAiKevehkHQObF6QqvC3sGlTklpivxJcP2js4MJ/hkM&#10;N88SpzJ17GDrUBwUD4zSGgItZybOLjBjnZuBbdX3R+Alv0ChjuTfgGdErRwDzWBvQ8TfVafTVbKZ&#10;8q8OTH0XCx7jcK5XWa3h2ap3cnkHZXh/XFf402vdfAcAAP//AwBQSwMEFAAGAAgAAAAhAEk4Cs/b&#10;AAAACgEAAA8AAABkcnMvZG93bnJldi54bWxMj8tOwzAQRfdI/IM1SOyo3bSCEuJU5SV1WVo27Nx4&#10;SCLicWS7rfl7pmIBu3kc3TlTLbMbxBFD7D1pmE4UCKTG255aDe+715sFiJgMWTN4Qg3fGGFZX15U&#10;prT+RG943KZWcAjF0mjoUhpLKWPToTNx4kck3n364EziNrTSBnPicDfIQqlb6UxPfKEzIz512Hxt&#10;D07D42btVs8fIeNs9jKPeecLatZaX1/l1QOIhDn9wXDWZ3Wo2WnvD2SjGDTM1eKe0XNRgGDgd7Bn&#10;Uk3vQNaV/P9C/QMAAP//AwBQSwECLQAUAAYACAAAACEAtoM4kv4AAADhAQAAEwAAAAAAAAAAAAAA&#10;AAAAAAAAW0NvbnRlbnRfVHlwZXNdLnhtbFBLAQItABQABgAIAAAAIQA4/SH/1gAAAJQBAAALAAAA&#10;AAAAAAAAAAAAAC8BAABfcmVscy8ucmVsc1BLAQItABQABgAIAAAAIQDzgJ2uzgEAAPUDAAAOAAAA&#10;AAAAAAAAAAAAAC4CAABkcnMvZTJvRG9jLnhtbFBLAQItABQABgAIAAAAIQBJOArP2wAAAAoBAAAP&#10;AAAAAAAAAAAAAAAAACgEAABkcnMvZG93bnJldi54bWxQSwUGAAAAAAQABADzAAAAMAUAAAAA&#10;" strokecolor="#4579b8 [3044]">
                <v:stroke endarrow="block"/>
                <w10:wrap anchorx="margin"/>
              </v:shape>
            </w:pict>
          </mc:Fallback>
        </mc:AlternateContent>
      </w:r>
    </w:p>
    <w:p w14:paraId="3ADCC4A8" w14:textId="77777777" w:rsidR="009A5C6B" w:rsidRPr="006E7457" w:rsidRDefault="009A5C6B" w:rsidP="009A5C6B">
      <w:pPr>
        <w:spacing w:after="200" w:line="276" w:lineRule="auto"/>
        <w:rPr>
          <w:color w:val="4F81BD" w:themeColor="accent1"/>
        </w:rPr>
      </w:pPr>
    </w:p>
    <w:p w14:paraId="42712E5C" w14:textId="77777777" w:rsidR="009A5C6B" w:rsidRPr="006E7457" w:rsidRDefault="009A5C6B" w:rsidP="009A5C6B">
      <w:pPr>
        <w:spacing w:after="200" w:line="276" w:lineRule="auto"/>
        <w:rPr>
          <w:color w:val="4F81BD" w:themeColor="accent1"/>
        </w:rPr>
      </w:pPr>
      <w:r w:rsidRPr="006E7457">
        <w:rPr>
          <w:noProof/>
          <w:color w:val="4F81BD" w:themeColor="accent1"/>
          <w:lang w:eastAsia="en-GB"/>
        </w:rPr>
        <mc:AlternateContent>
          <mc:Choice Requires="wps">
            <w:drawing>
              <wp:anchor distT="0" distB="0" distL="114300" distR="114300" simplePos="0" relativeHeight="251658241" behindDoc="0" locked="0" layoutInCell="1" allowOverlap="1" wp14:anchorId="1BA8E1AB" wp14:editId="38E616AB">
                <wp:simplePos x="0" y="0"/>
                <wp:positionH relativeFrom="column">
                  <wp:posOffset>571500</wp:posOffset>
                </wp:positionH>
                <wp:positionV relativeFrom="paragraph">
                  <wp:posOffset>121285</wp:posOffset>
                </wp:positionV>
                <wp:extent cx="2659380" cy="373380"/>
                <wp:effectExtent l="0" t="0" r="26670" b="26670"/>
                <wp:wrapNone/>
                <wp:docPr id="15" name="Casella di testo 15"/>
                <wp:cNvGraphicFramePr/>
                <a:graphic xmlns:a="http://schemas.openxmlformats.org/drawingml/2006/main">
                  <a:graphicData uri="http://schemas.microsoft.com/office/word/2010/wordprocessingShape">
                    <wps:wsp>
                      <wps:cNvSpPr txBox="1"/>
                      <wps:spPr>
                        <a:xfrm>
                          <a:off x="0" y="0"/>
                          <a:ext cx="2659380" cy="373380"/>
                        </a:xfrm>
                        <a:prstGeom prst="rect">
                          <a:avLst/>
                        </a:prstGeom>
                        <a:solidFill>
                          <a:schemeClr val="lt1"/>
                        </a:solidFill>
                        <a:ln w="6350">
                          <a:solidFill>
                            <a:prstClr val="black"/>
                          </a:solidFill>
                        </a:ln>
                      </wps:spPr>
                      <wps:txbx>
                        <w:txbxContent>
                          <w:p w14:paraId="32BF6F4C" w14:textId="77777777" w:rsidR="009A5C6B" w:rsidRPr="006E7457" w:rsidRDefault="009A5C6B" w:rsidP="009A5C6B">
                            <w:pPr>
                              <w:rPr>
                                <w:color w:val="4F81BD" w:themeColor="accent1"/>
                              </w:rPr>
                            </w:pPr>
                            <w:r w:rsidRPr="006E7457">
                              <w:rPr>
                                <w:color w:val="4F81BD" w:themeColor="accent1"/>
                              </w:rPr>
                              <w:t>Classification not possible for substances</w:t>
                            </w:r>
                            <w:r w:rsidRPr="006E7457">
                              <w:rPr>
                                <w:color w:val="4F81BD" w:themeColor="accent1"/>
                                <w:vertAlign w:val="superscript"/>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E1AB" id="Casella di testo 15" o:spid="_x0000_s1037" type="#_x0000_t202" style="position:absolute;margin-left:45pt;margin-top:9.55pt;width:209.4pt;height:2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QAVAIAALMEAAAOAAAAZHJzL2Uyb0RvYy54bWysVE1v2zAMvQ/YfxB0X52Pph9BnSJL0WFA&#10;0RZoi54ZWW6EyaImMbG7Xz9KTtK022nYRaZE6ol8fPTFZddYsdEhGnSlHB4NpNBOYWXcSymfHq+/&#10;nEkRCVwFFp0u5auO8nL2+dNF66d6hCu0lQ6CQVyctr6UKyI/LYqoVrqBeIReO3bWGBog3oaXogrQ&#10;Mnpji9FgcFK0GCofUOkY+fSqd8pZxq9rreiurqMmYUvJuVFeQ16XaS1mFzB9CeBXRm3TgH/IogHj&#10;+NE91BUQiHUwf0A1RgWMWNORwqbAujZK5xq4muHgQzUPK/A618LkRL+nKf4/WHW7uQ/CVNy7iRQO&#10;Gu7RAqK2FkRlBOlIKNjFPLU+Tjn8wfMF6r5ix3d255EPU/ldHZr05cIE+5nx1z3LuiOh+HB0Mjkf&#10;n7FLsW98Ok42wxdvt32I9E1jI5JRysBdzOTC5iZSH7oLSY9FtKa6NtbmTVKOXtggNsA9t5RzZPB3&#10;UdaJtpQn48kgA7/zJej9/aUF9WOb3kEU41nHOSdO+tqTRd2y67ncE7PE6pX5CtgrL3p1bRj/BiLd&#10;Q2CpMQ88PnTHS22Rk8KtJcUKw6+/nad4VgB7pWhZuqWMP9cQtBT2u2NtnA+Pj5PW8+Z4cjriTTj0&#10;LA89bt0skJka8qB6lc0UT3Zn1gGbZ56yeXqVXeAUv11K2pkL6geKp1Tp+TwHsbo90I178CpBp84k&#10;Xh+7Zwh+21diRdziTuQw/dDePjbddDhfE9Ym9z4R3bO65Z8nI6tnO8Vp9A73OertXzP7DQAA//8D&#10;AFBLAwQUAAYACAAAACEAwewaG9sAAAAIAQAADwAAAGRycy9kb3ducmV2LnhtbEyPwU7DMAyG70h7&#10;h8iTuLFkSLC2NJ0ADS6c2BDnrPGSiCapkqwrb485wdH+rd/f125nP7AJU3YxSFivBDAMfdQuGAkf&#10;h5ebClguKmg1xIASvjHDtltctarR8RLecdoXw6gk5EZJsKWMDee5t+hVXsURA2WnmLwqNCbDdVIX&#10;KvcDvxXinnvlAn2wasRni/3X/uwl7J5MbfpKJburtHPT/Hl6M69SXi/nxwdgBefydwy/+IQOHTEd&#10;4znozAYJtSCVQvt6DYzyO1GRylHCZlMD71r+X6D7AQAA//8DAFBLAQItABQABgAIAAAAIQC2gziS&#10;/gAAAOEBAAATAAAAAAAAAAAAAAAAAAAAAABbQ29udGVudF9UeXBlc10ueG1sUEsBAi0AFAAGAAgA&#10;AAAhADj9If/WAAAAlAEAAAsAAAAAAAAAAAAAAAAALwEAAF9yZWxzLy5yZWxzUEsBAi0AFAAGAAgA&#10;AAAhALVQ9ABUAgAAswQAAA4AAAAAAAAAAAAAAAAALgIAAGRycy9lMm9Eb2MueG1sUEsBAi0AFAAG&#10;AAgAAAAhAMHsGhvbAAAACAEAAA8AAAAAAAAAAAAAAAAArgQAAGRycy9kb3ducmV2LnhtbFBLBQYA&#10;AAAABAAEAPMAAAC2BQAAAAA=&#10;" fillcolor="white [3201]" strokeweight=".5pt">
                <v:textbox>
                  <w:txbxContent>
                    <w:p w14:paraId="32BF6F4C" w14:textId="77777777" w:rsidR="009A5C6B" w:rsidRPr="006E7457" w:rsidRDefault="009A5C6B" w:rsidP="009A5C6B">
                      <w:pPr>
                        <w:rPr>
                          <w:color w:val="4F81BD" w:themeColor="accent1"/>
                        </w:rPr>
                      </w:pPr>
                      <w:r w:rsidRPr="006E7457">
                        <w:rPr>
                          <w:color w:val="4F81BD" w:themeColor="accent1"/>
                        </w:rPr>
                        <w:t>Classification not possible for substances</w:t>
                      </w:r>
                      <w:r w:rsidRPr="006E7457">
                        <w:rPr>
                          <w:color w:val="4F81BD" w:themeColor="accent1"/>
                          <w:vertAlign w:val="superscript"/>
                        </w:rPr>
                        <w:t>c</w:t>
                      </w:r>
                    </w:p>
                  </w:txbxContent>
                </v:textbox>
              </v:shape>
            </w:pict>
          </mc:Fallback>
        </mc:AlternateContent>
      </w:r>
    </w:p>
    <w:p w14:paraId="0B0C4449" w14:textId="77777777" w:rsidR="009A5C6B" w:rsidRPr="006E7457" w:rsidRDefault="009A5C6B" w:rsidP="009A5C6B">
      <w:pPr>
        <w:spacing w:after="200" w:line="276" w:lineRule="auto"/>
        <w:rPr>
          <w:color w:val="4F81BD" w:themeColor="accent1"/>
        </w:rPr>
      </w:pPr>
    </w:p>
    <w:p w14:paraId="51F6BD06" w14:textId="77777777" w:rsidR="00EE42D3" w:rsidRDefault="00EE42D3" w:rsidP="0063521D">
      <w:pPr>
        <w:spacing w:before="240"/>
      </w:pPr>
    </w:p>
    <w:p w14:paraId="02D51F37" w14:textId="77777777" w:rsidR="00EE42D3" w:rsidRDefault="00EE42D3" w:rsidP="0063521D">
      <w:pPr>
        <w:spacing w:before="240"/>
      </w:pPr>
    </w:p>
    <w:p w14:paraId="3052BEEE" w14:textId="77777777" w:rsidR="00B656C2" w:rsidRPr="006E7457" w:rsidRDefault="00B656C2" w:rsidP="00B656C2">
      <w:pPr>
        <w:spacing w:after="200" w:line="276" w:lineRule="auto"/>
        <w:jc w:val="both"/>
        <w:rPr>
          <w:i/>
          <w:color w:val="4F81BD" w:themeColor="accent1"/>
        </w:rPr>
      </w:pPr>
      <w:r w:rsidRPr="006E7457">
        <w:rPr>
          <w:b/>
          <w:color w:val="4F81BD" w:themeColor="accent1"/>
          <w:vertAlign w:val="superscript"/>
        </w:rPr>
        <w:t>a</w:t>
      </w:r>
      <w:r w:rsidRPr="006E7457">
        <w:rPr>
          <w:color w:val="4F81BD" w:themeColor="accent1"/>
        </w:rPr>
        <w:tab/>
      </w:r>
      <w:r w:rsidRPr="006E7457">
        <w:rPr>
          <w:i/>
          <w:color w:val="4F81BD" w:themeColor="accent1"/>
        </w:rPr>
        <w:t>Before applying the approach, the explanatory text in 3.4.2.2.7 as well as the guidance in 3.4.5.3 should be consulted. Only adequate and reliable data of sufficient quality should be included in applying the tiered approach.</w:t>
      </w:r>
    </w:p>
    <w:p w14:paraId="7173874D" w14:textId="77777777" w:rsidR="00B656C2" w:rsidRPr="006E7457" w:rsidRDefault="00B656C2" w:rsidP="00B656C2">
      <w:pPr>
        <w:spacing w:after="200" w:line="276" w:lineRule="auto"/>
        <w:rPr>
          <w:i/>
          <w:color w:val="4F81BD" w:themeColor="accent1"/>
        </w:rPr>
      </w:pPr>
      <w:r w:rsidRPr="006E7457">
        <w:rPr>
          <w:b/>
          <w:color w:val="4F81BD" w:themeColor="accent1"/>
          <w:vertAlign w:val="superscript"/>
        </w:rPr>
        <w:t>b</w:t>
      </w:r>
      <w:r w:rsidRPr="006E7457">
        <w:rPr>
          <w:color w:val="4F81BD" w:themeColor="accent1"/>
        </w:rPr>
        <w:tab/>
      </w:r>
      <w:r w:rsidRPr="006E7457">
        <w:rPr>
          <w:i/>
          <w:color w:val="4F81BD" w:themeColor="accent1"/>
        </w:rPr>
        <w:t>Information may be inconclusive for various reasons, e.g.:</w:t>
      </w:r>
    </w:p>
    <w:p w14:paraId="781A82D0" w14:textId="77777777" w:rsidR="00B656C2" w:rsidRPr="006E7457" w:rsidRDefault="00B656C2" w:rsidP="00B656C2">
      <w:pPr>
        <w:numPr>
          <w:ilvl w:val="0"/>
          <w:numId w:val="31"/>
        </w:numPr>
        <w:suppressAutoHyphens w:val="0"/>
        <w:spacing w:after="200" w:line="276" w:lineRule="auto"/>
        <w:jc w:val="both"/>
        <w:rPr>
          <w:i/>
          <w:color w:val="4F81BD" w:themeColor="accent1"/>
        </w:rPr>
      </w:pPr>
      <w:r w:rsidRPr="006E7457">
        <w:rPr>
          <w:i/>
          <w:color w:val="4F81BD" w:themeColor="accent1"/>
        </w:rPr>
        <w:t xml:space="preserve">The available data may be of insufficient quality, or otherwise insufficient/inadequate for the purpose of classification, </w:t>
      </w:r>
      <w:proofErr w:type="gramStart"/>
      <w:r w:rsidRPr="006E7457">
        <w:rPr>
          <w:i/>
          <w:color w:val="4F81BD" w:themeColor="accent1"/>
        </w:rPr>
        <w:t>e.g.</w:t>
      </w:r>
      <w:proofErr w:type="gramEnd"/>
      <w:r w:rsidRPr="006E7457">
        <w:rPr>
          <w:i/>
          <w:color w:val="4F81BD" w:themeColor="accent1"/>
        </w:rPr>
        <w:t xml:space="preserve"> due to quality issues related to experimental design and/or reporting;</w:t>
      </w:r>
    </w:p>
    <w:p w14:paraId="2C1970DB" w14:textId="77777777" w:rsidR="00B656C2" w:rsidRPr="006E7457" w:rsidRDefault="00B656C2" w:rsidP="00B656C2">
      <w:pPr>
        <w:numPr>
          <w:ilvl w:val="0"/>
          <w:numId w:val="31"/>
        </w:numPr>
        <w:suppressAutoHyphens w:val="0"/>
        <w:spacing w:after="200" w:line="276" w:lineRule="auto"/>
        <w:jc w:val="both"/>
        <w:rPr>
          <w:i/>
          <w:color w:val="4F81BD" w:themeColor="accent1"/>
        </w:rPr>
      </w:pPr>
      <w:r w:rsidRPr="006E7457">
        <w:rPr>
          <w:i/>
          <w:color w:val="4F81BD" w:themeColor="accent1"/>
        </w:rPr>
        <w:t xml:space="preserve">Where competent authorities make use of the skin </w:t>
      </w:r>
      <w:proofErr w:type="spellStart"/>
      <w:r w:rsidRPr="006E7457">
        <w:rPr>
          <w:i/>
          <w:color w:val="4F81BD" w:themeColor="accent1"/>
        </w:rPr>
        <w:t>sensitsisation</w:t>
      </w:r>
      <w:proofErr w:type="spellEnd"/>
      <w:r w:rsidRPr="006E7457">
        <w:rPr>
          <w:i/>
          <w:color w:val="4F81BD" w:themeColor="accent1"/>
        </w:rPr>
        <w:t xml:space="preserve"> sub-categories 1A and 1B, the available data may not be capable of distinguishing between sub-category 1A and sub-category 1B.</w:t>
      </w:r>
    </w:p>
    <w:p w14:paraId="670B4ECF" w14:textId="77777777" w:rsidR="00B656C2" w:rsidRPr="006E7457" w:rsidRDefault="00B656C2" w:rsidP="00B656C2">
      <w:pPr>
        <w:spacing w:after="200" w:line="276" w:lineRule="auto"/>
        <w:jc w:val="both"/>
        <w:rPr>
          <w:i/>
          <w:color w:val="4F81BD" w:themeColor="accent1"/>
          <w:vertAlign w:val="superscript"/>
        </w:rPr>
      </w:pPr>
      <w:r w:rsidRPr="006E7457">
        <w:rPr>
          <w:b/>
          <w:color w:val="4F81BD" w:themeColor="accent1"/>
          <w:vertAlign w:val="superscript"/>
        </w:rPr>
        <w:t>c</w:t>
      </w:r>
      <w:r w:rsidRPr="006E7457">
        <w:rPr>
          <w:i/>
          <w:color w:val="4F81BD" w:themeColor="accent1"/>
        </w:rPr>
        <w:tab/>
        <w:t xml:space="preserve">For mixtures, the flow chart in Figure 3.4.2 should be </w:t>
      </w:r>
      <w:proofErr w:type="gramStart"/>
      <w:r w:rsidRPr="006E7457">
        <w:rPr>
          <w:i/>
          <w:color w:val="4F81BD" w:themeColor="accent1"/>
        </w:rPr>
        <w:t>followed.[</w:t>
      </w:r>
      <w:proofErr w:type="gramEnd"/>
      <w:r w:rsidRPr="006E7457">
        <w:rPr>
          <w:i/>
          <w:color w:val="4F81BD" w:themeColor="accent1"/>
        </w:rPr>
        <w:t>depending on discussion for mixtures]</w:t>
      </w:r>
    </w:p>
    <w:p w14:paraId="6227D541" w14:textId="77777777" w:rsidR="00B656C2" w:rsidRPr="00402D4B" w:rsidRDefault="00B656C2" w:rsidP="00B656C2">
      <w:pPr>
        <w:pStyle w:val="GHSHeading3"/>
        <w:keepLines/>
        <w:tabs>
          <w:tab w:val="clear" w:pos="1418"/>
        </w:tabs>
        <w:spacing w:after="240"/>
        <w:ind w:left="1418" w:hanging="1418"/>
        <w:rPr>
          <w:sz w:val="20"/>
          <w:szCs w:val="20"/>
        </w:rPr>
      </w:pPr>
      <w:r w:rsidRPr="00402D4B">
        <w:rPr>
          <w:sz w:val="20"/>
          <w:szCs w:val="20"/>
        </w:rPr>
        <w:t>3.4.3</w:t>
      </w:r>
      <w:r w:rsidRPr="00402D4B">
        <w:rPr>
          <w:sz w:val="20"/>
          <w:szCs w:val="20"/>
        </w:rPr>
        <w:tab/>
        <w:t>Classification criteria for mixtures</w:t>
      </w:r>
    </w:p>
    <w:p w14:paraId="2D2CFBC0" w14:textId="77777777" w:rsidR="00B656C2" w:rsidRPr="00402D4B" w:rsidRDefault="00B656C2" w:rsidP="00B656C2">
      <w:pPr>
        <w:pStyle w:val="StyleGHSHeading410pt"/>
      </w:pPr>
      <w:r w:rsidRPr="00402D4B">
        <w:t>3.4.3.1</w:t>
      </w:r>
      <w:r w:rsidRPr="00402D4B">
        <w:tab/>
      </w:r>
      <w:r w:rsidRPr="00402D4B">
        <w:rPr>
          <w:i/>
          <w:iCs/>
        </w:rPr>
        <w:t>Classification of mixtures when data are available for the complete mixture</w:t>
      </w:r>
    </w:p>
    <w:p w14:paraId="31C2C620" w14:textId="77777777" w:rsidR="00B656C2" w:rsidRPr="00402D4B" w:rsidRDefault="00B656C2" w:rsidP="00B656C2">
      <w:pPr>
        <w:pStyle w:val="GHS1stline"/>
        <w:keepNext/>
        <w:keepLines/>
      </w:pPr>
      <w:r w:rsidRPr="00402D4B">
        <w:t>When reliable and good quality evidence from human experience or appropriate studies in experimental animals, as described in the criteria for substances, is available for the mixture, then the mixture can be classified by weight of evidence evaluation of these data. Care should be exercised in evaluating data on mixtures that the dose used does not render the results inconclusive. (For special labelling required by some competent authorities, see the note to Table 3.4.5 of this chapter and 3.4.4.2.)</w:t>
      </w:r>
    </w:p>
    <w:p w14:paraId="18377725" w14:textId="77777777" w:rsidR="00B656C2" w:rsidRPr="00402D4B" w:rsidRDefault="00B656C2" w:rsidP="00B656C2">
      <w:pPr>
        <w:pStyle w:val="StyleGHSHeading410pt"/>
      </w:pPr>
      <w:r w:rsidRPr="00402D4B">
        <w:t>3.4.3.2</w:t>
      </w:r>
      <w:r w:rsidRPr="00402D4B">
        <w:tab/>
      </w:r>
      <w:r w:rsidRPr="00402D4B">
        <w:rPr>
          <w:i/>
          <w:iCs/>
        </w:rPr>
        <w:t xml:space="preserve">Classification of mixtures when data are not available for the complete mixture: </w:t>
      </w:r>
      <w:r w:rsidRPr="00402D4B">
        <w:rPr>
          <w:i/>
          <w:iCs/>
        </w:rPr>
        <w:br/>
        <w:t>bridging principles</w:t>
      </w:r>
    </w:p>
    <w:p w14:paraId="22E27ECA" w14:textId="77777777" w:rsidR="00B656C2" w:rsidRPr="00402D4B" w:rsidRDefault="00B656C2" w:rsidP="00B656C2">
      <w:pPr>
        <w:tabs>
          <w:tab w:val="left" w:pos="1418"/>
        </w:tabs>
        <w:spacing w:after="240"/>
        <w:jc w:val="both"/>
      </w:pPr>
      <w:r w:rsidRPr="00402D4B">
        <w:t>3.4.3.2.1</w:t>
      </w:r>
      <w:r w:rsidRPr="00402D4B">
        <w:tab/>
        <w:t>Where the mixture itself has not been tested to determine its sensitizing properties, but there are sufficient data on both the individual ingredients and similar tested mixtures to adequately characterize the hazards of the mixture, these data will be used in accordance with the following agreed bridging principles. This ensures that the classification process uses the available data to the greatest extent possible in characterizing the hazards of the mixture without the necessity for additional testing in animals.</w:t>
      </w:r>
    </w:p>
    <w:p w14:paraId="6626D5A2" w14:textId="77777777" w:rsidR="00B656C2" w:rsidRPr="00402D4B" w:rsidRDefault="00B656C2" w:rsidP="00B656C2">
      <w:pPr>
        <w:pStyle w:val="GHSHeading5"/>
        <w:tabs>
          <w:tab w:val="clear" w:pos="1985"/>
          <w:tab w:val="clear" w:pos="2552"/>
          <w:tab w:val="clear" w:pos="3119"/>
          <w:tab w:val="clear" w:pos="3686"/>
        </w:tabs>
        <w:spacing w:after="240"/>
        <w:rPr>
          <w:i/>
          <w:iCs/>
          <w:sz w:val="20"/>
          <w:szCs w:val="20"/>
        </w:rPr>
      </w:pPr>
      <w:r w:rsidRPr="00402D4B">
        <w:rPr>
          <w:sz w:val="20"/>
          <w:szCs w:val="20"/>
        </w:rPr>
        <w:t>3.4.3.2.2</w:t>
      </w:r>
      <w:r w:rsidRPr="00402D4B">
        <w:rPr>
          <w:sz w:val="20"/>
          <w:szCs w:val="20"/>
        </w:rPr>
        <w:tab/>
      </w:r>
      <w:r w:rsidRPr="00402D4B">
        <w:rPr>
          <w:i/>
          <w:iCs/>
          <w:sz w:val="20"/>
          <w:szCs w:val="20"/>
        </w:rPr>
        <w:t>Dilution</w:t>
      </w:r>
    </w:p>
    <w:p w14:paraId="7ADEA846" w14:textId="77777777" w:rsidR="00B656C2" w:rsidRPr="00402D4B" w:rsidRDefault="00B656C2" w:rsidP="00B656C2">
      <w:pPr>
        <w:pStyle w:val="GHS1stline"/>
      </w:pPr>
      <w:r w:rsidRPr="00402D4B">
        <w:t xml:space="preserve">If a tested mixture is diluted with a diluent which is not a sensitizer and which is not expected to affect the sensitization of other ingredients, then the new diluted mixture may be classified as equivalent to the original tested mixture. </w:t>
      </w:r>
    </w:p>
    <w:p w14:paraId="4AEA925F" w14:textId="77777777" w:rsidR="00B656C2" w:rsidRPr="00402D4B" w:rsidRDefault="00B656C2" w:rsidP="00B656C2">
      <w:pPr>
        <w:pStyle w:val="GHSHeading5"/>
        <w:keepNext w:val="0"/>
        <w:keepLines w:val="0"/>
        <w:tabs>
          <w:tab w:val="clear" w:pos="1985"/>
          <w:tab w:val="clear" w:pos="2552"/>
          <w:tab w:val="clear" w:pos="3119"/>
          <w:tab w:val="clear" w:pos="3686"/>
        </w:tabs>
        <w:spacing w:after="240"/>
        <w:rPr>
          <w:sz w:val="20"/>
          <w:szCs w:val="20"/>
        </w:rPr>
      </w:pPr>
      <w:r w:rsidRPr="00402D4B">
        <w:rPr>
          <w:sz w:val="20"/>
          <w:szCs w:val="20"/>
        </w:rPr>
        <w:t>3.4.3.2.3</w:t>
      </w:r>
      <w:r w:rsidRPr="00402D4B">
        <w:rPr>
          <w:sz w:val="20"/>
          <w:szCs w:val="20"/>
        </w:rPr>
        <w:tab/>
      </w:r>
      <w:r w:rsidRPr="00402D4B">
        <w:rPr>
          <w:i/>
          <w:iCs/>
          <w:sz w:val="20"/>
          <w:szCs w:val="20"/>
        </w:rPr>
        <w:t>Batching</w:t>
      </w:r>
    </w:p>
    <w:p w14:paraId="23FE139D" w14:textId="77777777" w:rsidR="00B656C2" w:rsidRPr="00402D4B" w:rsidRDefault="00B656C2" w:rsidP="00B656C2">
      <w:pPr>
        <w:pStyle w:val="GHS1stline"/>
      </w:pPr>
      <w:r w:rsidRPr="00402D4B">
        <w:t>The sensitizing properties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sensitization potential of the untested batch has changed. If the latter occurs, a new classification is necessary.</w:t>
      </w:r>
    </w:p>
    <w:p w14:paraId="6543445A" w14:textId="77777777" w:rsidR="00B656C2" w:rsidRPr="00402D4B" w:rsidRDefault="00B656C2" w:rsidP="00B656C2">
      <w:pPr>
        <w:spacing w:after="240"/>
        <w:ind w:left="1418" w:hanging="1418"/>
      </w:pPr>
      <w:r w:rsidRPr="00402D4B">
        <w:rPr>
          <w:bCs/>
        </w:rPr>
        <w:t>3.4.3.2.4</w:t>
      </w:r>
      <w:r w:rsidRPr="00402D4B">
        <w:tab/>
      </w:r>
      <w:r w:rsidRPr="00402D4B">
        <w:rPr>
          <w:i/>
          <w:iCs/>
          <w:snapToGrid w:val="0"/>
          <w:color w:val="000000"/>
        </w:rPr>
        <w:t>Concentration of mixtures of the highest sensitizing category/sub-category</w:t>
      </w:r>
    </w:p>
    <w:p w14:paraId="60A21420" w14:textId="77777777" w:rsidR="00B656C2" w:rsidRPr="00402D4B" w:rsidRDefault="00B656C2" w:rsidP="00B656C2">
      <w:pPr>
        <w:pStyle w:val="GHS1stline"/>
      </w:pPr>
      <w:r w:rsidRPr="00402D4B">
        <w:t>If a tested mixture is classified in Category 1 or sub-category 1A, and the concentration of the ingredients of the tested mixture that are in Category 1 and sub-category 1A is increased, the resulting untested mixture should be classified in Category 1 or sub-category 1A without additional testing.</w:t>
      </w:r>
    </w:p>
    <w:p w14:paraId="44EAEAE3" w14:textId="77777777" w:rsidR="00B656C2" w:rsidRPr="00402D4B" w:rsidRDefault="00B656C2" w:rsidP="00B656C2">
      <w:pPr>
        <w:spacing w:after="240"/>
        <w:ind w:left="1418" w:hanging="1418"/>
      </w:pPr>
      <w:r w:rsidRPr="00402D4B">
        <w:rPr>
          <w:bCs/>
        </w:rPr>
        <w:t>3.4.3.2.5</w:t>
      </w:r>
      <w:r w:rsidRPr="00402D4B">
        <w:rPr>
          <w:bCs/>
        </w:rPr>
        <w:tab/>
      </w:r>
      <w:r w:rsidRPr="00402D4B">
        <w:rPr>
          <w:i/>
          <w:iCs/>
          <w:snapToGrid w:val="0"/>
          <w:color w:val="000000"/>
        </w:rPr>
        <w:t>Interpolation within one category/sub-category</w:t>
      </w:r>
    </w:p>
    <w:p w14:paraId="0341E973" w14:textId="77777777" w:rsidR="00B656C2" w:rsidRPr="00402D4B" w:rsidRDefault="00B656C2" w:rsidP="00B656C2">
      <w:pPr>
        <w:pStyle w:val="GHS1stline"/>
      </w:pPr>
      <w:r w:rsidRPr="00402D4B">
        <w:t>For three mixtures (A, B and C) with identical ingredients, where mixtures A and B have been tested and are in the same category/sub-category, and where untested mixture C has the same toxicologically active ingredients as mixtures A and B but has concentrations of toxicologically active ingredients intermediate to the concentrations in mixtures A and B, then mixture C is assumed to be in the same category/sub-category as A and B.</w:t>
      </w:r>
    </w:p>
    <w:p w14:paraId="12A5923C" w14:textId="77777777" w:rsidR="00B656C2" w:rsidRPr="00402D4B" w:rsidRDefault="00B656C2" w:rsidP="00B656C2">
      <w:pPr>
        <w:pStyle w:val="GHSHeading5"/>
        <w:widowControl/>
        <w:tabs>
          <w:tab w:val="clear" w:pos="1418"/>
          <w:tab w:val="clear" w:pos="1985"/>
          <w:tab w:val="clear" w:pos="2552"/>
          <w:tab w:val="clear" w:pos="3119"/>
          <w:tab w:val="clear" w:pos="3686"/>
        </w:tabs>
        <w:spacing w:after="240"/>
        <w:ind w:left="1418" w:hanging="1418"/>
        <w:rPr>
          <w:sz w:val="20"/>
          <w:szCs w:val="20"/>
          <w:u w:val="single"/>
        </w:rPr>
      </w:pPr>
      <w:r w:rsidRPr="00402D4B">
        <w:rPr>
          <w:sz w:val="20"/>
          <w:szCs w:val="20"/>
        </w:rPr>
        <w:t>3.4.3.2.6</w:t>
      </w:r>
      <w:r w:rsidRPr="00402D4B">
        <w:rPr>
          <w:sz w:val="20"/>
          <w:szCs w:val="20"/>
        </w:rPr>
        <w:tab/>
      </w:r>
      <w:r w:rsidRPr="00402D4B">
        <w:rPr>
          <w:i/>
          <w:iCs/>
          <w:sz w:val="20"/>
          <w:szCs w:val="20"/>
        </w:rPr>
        <w:t>Substantially similar mixtures</w:t>
      </w:r>
    </w:p>
    <w:p w14:paraId="74E7B6C7" w14:textId="77777777" w:rsidR="00B656C2" w:rsidRPr="00402D4B" w:rsidRDefault="00B656C2" w:rsidP="00B656C2">
      <w:pPr>
        <w:pStyle w:val="GHS1stline"/>
      </w:pPr>
      <w:r w:rsidRPr="00402D4B">
        <w:t>Given the following:</w:t>
      </w:r>
    </w:p>
    <w:p w14:paraId="785BDCDC" w14:textId="77777777" w:rsidR="00B656C2" w:rsidRPr="00402D4B" w:rsidRDefault="00B656C2" w:rsidP="00B656C2">
      <w:pPr>
        <w:pStyle w:val="GHSSubparas1"/>
        <w:tabs>
          <w:tab w:val="left" w:pos="3686"/>
        </w:tabs>
        <w:spacing w:after="80"/>
      </w:pPr>
      <w:r w:rsidRPr="00402D4B">
        <w:t>(a)</w:t>
      </w:r>
      <w:r w:rsidRPr="00402D4B">
        <w:tab/>
        <w:t>Two mixtures:</w:t>
      </w:r>
      <w:r w:rsidRPr="00402D4B">
        <w:tab/>
        <w:t>(</w:t>
      </w:r>
      <w:proofErr w:type="spellStart"/>
      <w:r w:rsidRPr="00402D4B">
        <w:t>i</w:t>
      </w:r>
      <w:proofErr w:type="spellEnd"/>
      <w:r w:rsidRPr="00402D4B">
        <w:t>)</w:t>
      </w:r>
      <w:r w:rsidRPr="00402D4B">
        <w:tab/>
        <w:t xml:space="preserve">A + </w:t>
      </w:r>
      <w:proofErr w:type="gramStart"/>
      <w:r w:rsidRPr="00402D4B">
        <w:t>B;</w:t>
      </w:r>
      <w:proofErr w:type="gramEnd"/>
    </w:p>
    <w:p w14:paraId="7734EBC4" w14:textId="77777777" w:rsidR="00B656C2" w:rsidRPr="00402D4B" w:rsidRDefault="00B656C2" w:rsidP="00B656C2">
      <w:pPr>
        <w:pStyle w:val="NormalIndent"/>
        <w:keepNext/>
        <w:keepLines/>
        <w:tabs>
          <w:tab w:val="left" w:pos="3686"/>
        </w:tabs>
        <w:spacing w:after="160"/>
        <w:ind w:left="1979" w:hanging="1979"/>
        <w:rPr>
          <w:sz w:val="20"/>
          <w:szCs w:val="20"/>
        </w:rPr>
      </w:pPr>
      <w:r w:rsidRPr="00402D4B">
        <w:rPr>
          <w:sz w:val="20"/>
          <w:szCs w:val="20"/>
        </w:rPr>
        <w:tab/>
      </w:r>
      <w:r w:rsidRPr="00402D4B">
        <w:rPr>
          <w:sz w:val="20"/>
          <w:szCs w:val="20"/>
        </w:rPr>
        <w:tab/>
        <w:t>(ii)</w:t>
      </w:r>
      <w:r w:rsidRPr="00402D4B">
        <w:rPr>
          <w:sz w:val="20"/>
          <w:szCs w:val="20"/>
        </w:rPr>
        <w:tab/>
        <w:t xml:space="preserve">C + </w:t>
      </w:r>
      <w:proofErr w:type="gramStart"/>
      <w:r w:rsidRPr="00402D4B">
        <w:rPr>
          <w:sz w:val="20"/>
          <w:szCs w:val="20"/>
        </w:rPr>
        <w:t>B;</w:t>
      </w:r>
      <w:proofErr w:type="gramEnd"/>
    </w:p>
    <w:p w14:paraId="4445A42E" w14:textId="77777777" w:rsidR="00B656C2" w:rsidRPr="00402D4B" w:rsidRDefault="00B656C2" w:rsidP="00B656C2">
      <w:pPr>
        <w:pStyle w:val="GHSSubparas1"/>
      </w:pPr>
      <w:r w:rsidRPr="00402D4B">
        <w:t>(b)</w:t>
      </w:r>
      <w:r w:rsidRPr="00402D4B">
        <w:tab/>
        <w:t xml:space="preserve">The concentration of ingredient B is essentially the same in both </w:t>
      </w:r>
      <w:proofErr w:type="gramStart"/>
      <w:r w:rsidRPr="00402D4B">
        <w:t>mixtures;</w:t>
      </w:r>
      <w:proofErr w:type="gramEnd"/>
    </w:p>
    <w:p w14:paraId="3EB85ACB" w14:textId="77777777" w:rsidR="00B656C2" w:rsidRPr="00402D4B" w:rsidRDefault="00B656C2" w:rsidP="00B656C2">
      <w:pPr>
        <w:pStyle w:val="GHSSubparas1"/>
      </w:pPr>
      <w:r w:rsidRPr="00402D4B">
        <w:t>(c)</w:t>
      </w:r>
      <w:r w:rsidRPr="00402D4B">
        <w:tab/>
        <w:t>The concentration of ingredient A in mixture (</w:t>
      </w:r>
      <w:proofErr w:type="spellStart"/>
      <w:r w:rsidRPr="00402D4B">
        <w:t>i</w:t>
      </w:r>
      <w:proofErr w:type="spellEnd"/>
      <w:r w:rsidRPr="00402D4B">
        <w:t>) equals that of ingredient C in mixture (ii</w:t>
      </w:r>
      <w:proofErr w:type="gramStart"/>
      <w:r w:rsidRPr="00402D4B">
        <w:t>);</w:t>
      </w:r>
      <w:proofErr w:type="gramEnd"/>
    </w:p>
    <w:p w14:paraId="417FEEAB" w14:textId="77777777" w:rsidR="00B656C2" w:rsidRPr="00402D4B" w:rsidRDefault="00B656C2" w:rsidP="00B656C2">
      <w:pPr>
        <w:pStyle w:val="GHSSubparas1"/>
      </w:pPr>
      <w:r w:rsidRPr="00402D4B">
        <w:t>(d)</w:t>
      </w:r>
      <w:r w:rsidRPr="00402D4B">
        <w:tab/>
        <w:t xml:space="preserve">Ingredient B is a sensitizer and ingredients </w:t>
      </w:r>
      <w:proofErr w:type="gramStart"/>
      <w:r w:rsidRPr="00402D4B">
        <w:t>A</w:t>
      </w:r>
      <w:proofErr w:type="gramEnd"/>
      <w:r w:rsidRPr="00402D4B">
        <w:t xml:space="preserve"> and C are not sensitizers;</w:t>
      </w:r>
    </w:p>
    <w:p w14:paraId="63F3F68D" w14:textId="77777777" w:rsidR="00B656C2" w:rsidRPr="00402D4B" w:rsidRDefault="00B656C2" w:rsidP="00B656C2">
      <w:pPr>
        <w:pStyle w:val="GHSSubparas1"/>
      </w:pPr>
      <w:r w:rsidRPr="00402D4B">
        <w:t>(e)</w:t>
      </w:r>
      <w:r w:rsidRPr="00402D4B">
        <w:tab/>
        <w:t>A and C are not expected to affect the sensitizing properties of B.</w:t>
      </w:r>
    </w:p>
    <w:p w14:paraId="214676A9" w14:textId="77777777" w:rsidR="00B656C2" w:rsidRPr="00402D4B" w:rsidRDefault="00B656C2" w:rsidP="00B656C2">
      <w:pPr>
        <w:pStyle w:val="GHS1stline"/>
      </w:pPr>
      <w:r w:rsidRPr="00402D4B">
        <w:t>If mixture (</w:t>
      </w:r>
      <w:proofErr w:type="spellStart"/>
      <w:r w:rsidRPr="00402D4B">
        <w:t>i</w:t>
      </w:r>
      <w:proofErr w:type="spellEnd"/>
      <w:r w:rsidRPr="00402D4B">
        <w:t>) or (ii) is already classified by testing, then the other mixture can be assigned the same hazard category.</w:t>
      </w:r>
    </w:p>
    <w:p w14:paraId="2742F967" w14:textId="77777777" w:rsidR="00B656C2" w:rsidRPr="00402D4B" w:rsidRDefault="00B656C2" w:rsidP="00B656C2">
      <w:pPr>
        <w:pStyle w:val="GHSHeading5"/>
        <w:keepNext w:val="0"/>
        <w:keepLines w:val="0"/>
        <w:tabs>
          <w:tab w:val="clear" w:pos="1418"/>
          <w:tab w:val="clear" w:pos="1985"/>
          <w:tab w:val="clear" w:pos="2552"/>
          <w:tab w:val="clear" w:pos="3119"/>
          <w:tab w:val="clear" w:pos="3686"/>
        </w:tabs>
        <w:spacing w:after="240"/>
        <w:ind w:left="1418" w:hanging="1418"/>
        <w:rPr>
          <w:sz w:val="20"/>
          <w:szCs w:val="20"/>
        </w:rPr>
      </w:pPr>
      <w:r w:rsidRPr="00402D4B">
        <w:rPr>
          <w:sz w:val="20"/>
          <w:szCs w:val="20"/>
        </w:rPr>
        <w:t>3.4.3.2.7</w:t>
      </w:r>
      <w:r w:rsidRPr="00402D4B">
        <w:rPr>
          <w:sz w:val="20"/>
          <w:szCs w:val="20"/>
        </w:rPr>
        <w:tab/>
      </w:r>
      <w:r w:rsidRPr="00402D4B">
        <w:rPr>
          <w:i/>
          <w:iCs/>
          <w:sz w:val="20"/>
          <w:szCs w:val="20"/>
        </w:rPr>
        <w:t>Aerosols</w:t>
      </w:r>
    </w:p>
    <w:p w14:paraId="4F66AD3F" w14:textId="77777777" w:rsidR="00B656C2" w:rsidRPr="00402D4B" w:rsidRDefault="00B656C2" w:rsidP="00B656C2">
      <w:pPr>
        <w:pStyle w:val="GHS1stline"/>
      </w:pPr>
      <w:r w:rsidRPr="00402D4B">
        <w:t>An aerosol form of the mixture may be classified in the same hazard category as the tested non-aerosolized form of the mixture provided that the added propellant does not affect the sensitizing properties of the mixture upon spraying.</w:t>
      </w:r>
    </w:p>
    <w:p w14:paraId="31113902" w14:textId="77777777" w:rsidR="00B656C2" w:rsidRPr="00402D4B" w:rsidRDefault="00B656C2" w:rsidP="00B656C2">
      <w:pPr>
        <w:pStyle w:val="StyleGHSHeading410pt"/>
      </w:pPr>
      <w:r w:rsidRPr="00402D4B">
        <w:t>3.4.3.3</w:t>
      </w:r>
      <w:r w:rsidRPr="00402D4B">
        <w:tab/>
      </w:r>
      <w:r w:rsidRPr="00402D4B">
        <w:rPr>
          <w:i/>
          <w:iCs/>
        </w:rPr>
        <w:t>Classification of mixtures when data are available for all ingredients or only for some ingredients of the mixture</w:t>
      </w:r>
    </w:p>
    <w:p w14:paraId="7CC4C383" w14:textId="77777777" w:rsidR="00B656C2" w:rsidRPr="00402D4B" w:rsidRDefault="00B656C2" w:rsidP="00B656C2">
      <w:pPr>
        <w:pStyle w:val="GHS1stline"/>
      </w:pPr>
      <w:r w:rsidRPr="00402D4B">
        <w:t>The mixture should be classified as a respiratory or skin sensitizer when at least one ingredient has been classified as a respiratory or skin sensitizer and is present at or above the appropriate cut-off value/concentration limit for the specific endpoint as shown in Table 3.4.5 for solid/liquid and gas respectively.</w:t>
      </w:r>
    </w:p>
    <w:p w14:paraId="238D64DD" w14:textId="77777777" w:rsidR="00B656C2" w:rsidRPr="00402D4B" w:rsidRDefault="00B656C2" w:rsidP="00B656C2">
      <w:pPr>
        <w:keepNext/>
        <w:keepLines/>
        <w:spacing w:after="120"/>
        <w:jc w:val="center"/>
        <w:rPr>
          <w:b/>
        </w:rPr>
      </w:pPr>
      <w:r w:rsidRPr="00402D4B">
        <w:rPr>
          <w:b/>
        </w:rPr>
        <w:t>Table 3.4.5:  Cut-off values/concentration limits of ingredients of a mixture classified as either respiratory sensitizers or skin sensitizers that would trigger classification of the mixture</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2088"/>
        <w:gridCol w:w="2052"/>
        <w:gridCol w:w="2394"/>
      </w:tblGrid>
      <w:tr w:rsidR="00B656C2" w:rsidRPr="00402D4B" w14:paraId="229B4386" w14:textId="77777777" w:rsidTr="0069132F">
        <w:trPr>
          <w:tblHeader/>
          <w:jc w:val="center"/>
        </w:trPr>
        <w:tc>
          <w:tcPr>
            <w:tcW w:w="2902" w:type="dxa"/>
            <w:vMerge w:val="restart"/>
          </w:tcPr>
          <w:p w14:paraId="026337E6" w14:textId="77777777" w:rsidR="00B656C2" w:rsidRPr="00402D4B" w:rsidRDefault="00B656C2" w:rsidP="0069132F">
            <w:pPr>
              <w:keepNext/>
              <w:keepLines/>
              <w:spacing w:before="16" w:after="16"/>
              <w:rPr>
                <w:b/>
                <w:bCs/>
              </w:rPr>
            </w:pPr>
            <w:r w:rsidRPr="00402D4B">
              <w:rPr>
                <w:b/>
                <w:bCs/>
              </w:rPr>
              <w:t>Ingredient classified as:</w:t>
            </w:r>
          </w:p>
        </w:tc>
        <w:tc>
          <w:tcPr>
            <w:tcW w:w="6534" w:type="dxa"/>
            <w:gridSpan w:val="3"/>
          </w:tcPr>
          <w:p w14:paraId="33641C37" w14:textId="77777777" w:rsidR="00B656C2" w:rsidRPr="00402D4B" w:rsidRDefault="00B656C2" w:rsidP="0069132F">
            <w:pPr>
              <w:keepNext/>
              <w:keepLines/>
              <w:tabs>
                <w:tab w:val="left" w:pos="1985"/>
                <w:tab w:val="left" w:pos="2552"/>
                <w:tab w:val="left" w:pos="3119"/>
                <w:tab w:val="left" w:pos="3686"/>
              </w:tabs>
              <w:spacing w:before="16" w:after="16"/>
              <w:jc w:val="center"/>
              <w:rPr>
                <w:b/>
                <w:bCs/>
              </w:rPr>
            </w:pPr>
            <w:r w:rsidRPr="00402D4B">
              <w:rPr>
                <w:b/>
                <w:bCs/>
              </w:rPr>
              <w:t xml:space="preserve">Cut-off values/concentration limits </w:t>
            </w:r>
            <w:r w:rsidRPr="00402D4B">
              <w:rPr>
                <w:b/>
                <w:bCs/>
              </w:rPr>
              <w:br/>
              <w:t>triggering classification of a mixture as:</w:t>
            </w:r>
          </w:p>
        </w:tc>
      </w:tr>
      <w:tr w:rsidR="00B656C2" w:rsidRPr="00402D4B" w14:paraId="46A0FBEB" w14:textId="77777777" w:rsidTr="0069132F">
        <w:trPr>
          <w:tblHeader/>
          <w:jc w:val="center"/>
        </w:trPr>
        <w:tc>
          <w:tcPr>
            <w:tcW w:w="2902" w:type="dxa"/>
            <w:vMerge/>
          </w:tcPr>
          <w:p w14:paraId="397A387B" w14:textId="77777777" w:rsidR="00B656C2" w:rsidRPr="00402D4B" w:rsidRDefault="00B656C2" w:rsidP="0069132F">
            <w:pPr>
              <w:keepNext/>
              <w:keepLines/>
              <w:spacing w:before="16" w:after="16"/>
              <w:rPr>
                <w:b/>
                <w:bCs/>
              </w:rPr>
            </w:pPr>
          </w:p>
        </w:tc>
        <w:tc>
          <w:tcPr>
            <w:tcW w:w="4140" w:type="dxa"/>
            <w:gridSpan w:val="2"/>
          </w:tcPr>
          <w:p w14:paraId="20D5A77E"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rPr>
                <w:b/>
                <w:bCs/>
              </w:rPr>
              <w:t>respiratory sensitizer</w:t>
            </w:r>
            <w:r w:rsidRPr="00402D4B">
              <w:rPr>
                <w:b/>
              </w:rPr>
              <w:t xml:space="preserve"> </w:t>
            </w:r>
            <w:r w:rsidRPr="00402D4B">
              <w:rPr>
                <w:b/>
              </w:rPr>
              <w:br/>
              <w:t>Category 1</w:t>
            </w:r>
          </w:p>
        </w:tc>
        <w:tc>
          <w:tcPr>
            <w:tcW w:w="2394" w:type="dxa"/>
          </w:tcPr>
          <w:p w14:paraId="3F875A53"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rPr>
                <w:b/>
              </w:rPr>
              <w:t xml:space="preserve">skin sensitizer </w:t>
            </w:r>
            <w:r w:rsidRPr="00402D4B">
              <w:rPr>
                <w:b/>
              </w:rPr>
              <w:br/>
              <w:t>Category 1</w:t>
            </w:r>
          </w:p>
        </w:tc>
      </w:tr>
      <w:tr w:rsidR="00B656C2" w:rsidRPr="00402D4B" w14:paraId="75B1843E" w14:textId="77777777" w:rsidTr="0069132F">
        <w:trPr>
          <w:trHeight w:val="175"/>
          <w:tblHeader/>
          <w:jc w:val="center"/>
        </w:trPr>
        <w:tc>
          <w:tcPr>
            <w:tcW w:w="2902" w:type="dxa"/>
            <w:vMerge/>
          </w:tcPr>
          <w:p w14:paraId="28ED3114" w14:textId="77777777" w:rsidR="00B656C2" w:rsidRPr="00402D4B" w:rsidRDefault="00B656C2" w:rsidP="0069132F">
            <w:pPr>
              <w:keepNext/>
              <w:keepLines/>
              <w:spacing w:before="16" w:after="16"/>
              <w:rPr>
                <w:b/>
                <w:bCs/>
              </w:rPr>
            </w:pPr>
          </w:p>
        </w:tc>
        <w:tc>
          <w:tcPr>
            <w:tcW w:w="2088" w:type="dxa"/>
          </w:tcPr>
          <w:p w14:paraId="2E80836A"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rPr>
                <w:b/>
              </w:rPr>
              <w:t>Solid/Liquid</w:t>
            </w:r>
          </w:p>
        </w:tc>
        <w:tc>
          <w:tcPr>
            <w:tcW w:w="2052" w:type="dxa"/>
          </w:tcPr>
          <w:p w14:paraId="133E475D"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rPr>
                <w:b/>
              </w:rPr>
              <w:t>Gas</w:t>
            </w:r>
          </w:p>
        </w:tc>
        <w:tc>
          <w:tcPr>
            <w:tcW w:w="2394" w:type="dxa"/>
          </w:tcPr>
          <w:p w14:paraId="574463B2"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rPr>
                <w:b/>
              </w:rPr>
              <w:t>All physical states</w:t>
            </w:r>
          </w:p>
        </w:tc>
      </w:tr>
      <w:tr w:rsidR="00B656C2" w:rsidRPr="00402D4B" w14:paraId="2D796716" w14:textId="77777777" w:rsidTr="0069132F">
        <w:trPr>
          <w:trHeight w:val="208"/>
          <w:jc w:val="center"/>
        </w:trPr>
        <w:tc>
          <w:tcPr>
            <w:tcW w:w="2902" w:type="dxa"/>
            <w:vMerge w:val="restart"/>
          </w:tcPr>
          <w:p w14:paraId="362B43E6" w14:textId="77777777" w:rsidR="00B656C2" w:rsidRPr="00402D4B" w:rsidRDefault="00B656C2" w:rsidP="0069132F">
            <w:pPr>
              <w:keepNext/>
              <w:keepLines/>
              <w:spacing w:before="16" w:after="16"/>
              <w:rPr>
                <w:b/>
                <w:bCs/>
              </w:rPr>
            </w:pPr>
            <w:r w:rsidRPr="00402D4B">
              <w:rPr>
                <w:b/>
                <w:bCs/>
              </w:rPr>
              <w:t>Respiratory sensitizer</w:t>
            </w:r>
            <w:r w:rsidRPr="00402D4B">
              <w:rPr>
                <w:b/>
                <w:bCs/>
              </w:rPr>
              <w:br/>
              <w:t>Category 1</w:t>
            </w:r>
          </w:p>
        </w:tc>
        <w:tc>
          <w:tcPr>
            <w:tcW w:w="2088" w:type="dxa"/>
          </w:tcPr>
          <w:p w14:paraId="34D88E52"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 (see note)</w:t>
            </w:r>
          </w:p>
        </w:tc>
        <w:tc>
          <w:tcPr>
            <w:tcW w:w="2052" w:type="dxa"/>
          </w:tcPr>
          <w:p w14:paraId="72D8A95E"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 (see note)</w:t>
            </w:r>
          </w:p>
        </w:tc>
        <w:tc>
          <w:tcPr>
            <w:tcW w:w="2394" w:type="dxa"/>
            <w:vMerge w:val="restart"/>
            <w:tcBorders>
              <w:right w:val="single" w:sz="4" w:space="0" w:color="auto"/>
            </w:tcBorders>
            <w:vAlign w:val="center"/>
          </w:tcPr>
          <w:p w14:paraId="7CE66338"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r>
      <w:tr w:rsidR="00B656C2" w:rsidRPr="00402D4B" w14:paraId="6F3DB3A6" w14:textId="77777777" w:rsidTr="0069132F">
        <w:trPr>
          <w:trHeight w:val="139"/>
          <w:jc w:val="center"/>
        </w:trPr>
        <w:tc>
          <w:tcPr>
            <w:tcW w:w="2902" w:type="dxa"/>
            <w:vMerge/>
          </w:tcPr>
          <w:p w14:paraId="257487B1" w14:textId="77777777" w:rsidR="00B656C2" w:rsidRPr="00402D4B" w:rsidRDefault="00B656C2" w:rsidP="0069132F">
            <w:pPr>
              <w:keepNext/>
              <w:keepLines/>
              <w:spacing w:before="16" w:after="16"/>
              <w:rPr>
                <w:b/>
                <w:bCs/>
              </w:rPr>
            </w:pPr>
          </w:p>
        </w:tc>
        <w:tc>
          <w:tcPr>
            <w:tcW w:w="2088" w:type="dxa"/>
          </w:tcPr>
          <w:p w14:paraId="02865CD5"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1.0</w:t>
            </w:r>
            <w:r>
              <w:t> </w:t>
            </w:r>
            <w:r w:rsidRPr="00402D4B">
              <w:t>%</w:t>
            </w:r>
          </w:p>
        </w:tc>
        <w:tc>
          <w:tcPr>
            <w:tcW w:w="2052" w:type="dxa"/>
          </w:tcPr>
          <w:p w14:paraId="77A40E73"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0.2</w:t>
            </w:r>
            <w:r>
              <w:t> </w:t>
            </w:r>
            <w:r w:rsidRPr="00402D4B">
              <w:t>%</w:t>
            </w:r>
          </w:p>
        </w:tc>
        <w:tc>
          <w:tcPr>
            <w:tcW w:w="2394" w:type="dxa"/>
            <w:vMerge/>
            <w:tcBorders>
              <w:right w:val="single" w:sz="4" w:space="0" w:color="auto"/>
            </w:tcBorders>
          </w:tcPr>
          <w:p w14:paraId="6BCB3F06"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p>
        </w:tc>
      </w:tr>
      <w:tr w:rsidR="00B656C2" w:rsidRPr="00402D4B" w14:paraId="0224B970" w14:textId="77777777" w:rsidTr="0069132F">
        <w:trPr>
          <w:trHeight w:val="328"/>
          <w:jc w:val="center"/>
        </w:trPr>
        <w:tc>
          <w:tcPr>
            <w:tcW w:w="2902" w:type="dxa"/>
          </w:tcPr>
          <w:p w14:paraId="2D21EBDB" w14:textId="77777777" w:rsidR="00B656C2" w:rsidRPr="00402D4B" w:rsidRDefault="00B656C2" w:rsidP="0069132F">
            <w:pPr>
              <w:keepNext/>
              <w:keepLines/>
              <w:spacing w:before="16" w:after="16"/>
              <w:rPr>
                <w:b/>
                <w:bCs/>
              </w:rPr>
            </w:pPr>
            <w:r w:rsidRPr="00402D4B">
              <w:rPr>
                <w:b/>
                <w:bCs/>
              </w:rPr>
              <w:t>Respiratory sensitizer</w:t>
            </w:r>
            <w:r w:rsidRPr="00402D4B">
              <w:rPr>
                <w:b/>
                <w:bCs/>
              </w:rPr>
              <w:br/>
              <w:t>sub-category 1A</w:t>
            </w:r>
          </w:p>
        </w:tc>
        <w:tc>
          <w:tcPr>
            <w:tcW w:w="2088" w:type="dxa"/>
          </w:tcPr>
          <w:p w14:paraId="0961F07A"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c>
          <w:tcPr>
            <w:tcW w:w="2052" w:type="dxa"/>
          </w:tcPr>
          <w:p w14:paraId="0D53297A"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c>
          <w:tcPr>
            <w:tcW w:w="2394" w:type="dxa"/>
            <w:vMerge/>
            <w:tcBorders>
              <w:right w:val="single" w:sz="4" w:space="0" w:color="auto"/>
            </w:tcBorders>
          </w:tcPr>
          <w:p w14:paraId="4A6AE6CA" w14:textId="77777777" w:rsidR="00B656C2" w:rsidRPr="00402D4B" w:rsidRDefault="00B656C2" w:rsidP="0069132F">
            <w:pPr>
              <w:keepNext/>
              <w:keepLines/>
              <w:tabs>
                <w:tab w:val="left" w:pos="1985"/>
                <w:tab w:val="left" w:pos="2552"/>
                <w:tab w:val="left" w:pos="3119"/>
                <w:tab w:val="left" w:pos="3686"/>
              </w:tabs>
              <w:spacing w:before="16" w:after="16"/>
              <w:jc w:val="center"/>
            </w:pPr>
          </w:p>
        </w:tc>
      </w:tr>
      <w:tr w:rsidR="00B656C2" w:rsidRPr="00402D4B" w14:paraId="55D1C4F5" w14:textId="77777777" w:rsidTr="0069132F">
        <w:trPr>
          <w:jc w:val="center"/>
        </w:trPr>
        <w:tc>
          <w:tcPr>
            <w:tcW w:w="2902" w:type="dxa"/>
          </w:tcPr>
          <w:p w14:paraId="55EAC04C" w14:textId="77777777" w:rsidR="00B656C2" w:rsidRPr="00402D4B" w:rsidRDefault="00B656C2" w:rsidP="0069132F">
            <w:pPr>
              <w:keepNext/>
              <w:keepLines/>
              <w:spacing w:before="16" w:after="16"/>
              <w:rPr>
                <w:b/>
                <w:bCs/>
              </w:rPr>
            </w:pPr>
            <w:r w:rsidRPr="00402D4B">
              <w:rPr>
                <w:b/>
                <w:bCs/>
              </w:rPr>
              <w:t>Respiratory sensitizer</w:t>
            </w:r>
            <w:r w:rsidRPr="00402D4B">
              <w:rPr>
                <w:b/>
                <w:bCs/>
              </w:rPr>
              <w:br/>
              <w:t>sub-category 1B</w:t>
            </w:r>
          </w:p>
        </w:tc>
        <w:tc>
          <w:tcPr>
            <w:tcW w:w="2088" w:type="dxa"/>
          </w:tcPr>
          <w:p w14:paraId="29E00FCF"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c>
          <w:tcPr>
            <w:tcW w:w="2052" w:type="dxa"/>
          </w:tcPr>
          <w:p w14:paraId="13CB4DC5"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0.2</w:t>
            </w:r>
            <w:r>
              <w:t> </w:t>
            </w:r>
            <w:r w:rsidRPr="00402D4B">
              <w:t>%</w:t>
            </w:r>
          </w:p>
        </w:tc>
        <w:tc>
          <w:tcPr>
            <w:tcW w:w="2394" w:type="dxa"/>
            <w:vMerge/>
            <w:tcBorders>
              <w:right w:val="single" w:sz="4" w:space="0" w:color="auto"/>
            </w:tcBorders>
          </w:tcPr>
          <w:p w14:paraId="797342AC" w14:textId="77777777" w:rsidR="00B656C2" w:rsidRPr="00402D4B" w:rsidRDefault="00B656C2" w:rsidP="0069132F">
            <w:pPr>
              <w:keepNext/>
              <w:keepLines/>
              <w:tabs>
                <w:tab w:val="left" w:pos="1985"/>
                <w:tab w:val="left" w:pos="2552"/>
                <w:tab w:val="left" w:pos="3119"/>
                <w:tab w:val="left" w:pos="3686"/>
              </w:tabs>
              <w:spacing w:before="16" w:after="16"/>
              <w:jc w:val="center"/>
            </w:pPr>
          </w:p>
        </w:tc>
      </w:tr>
      <w:tr w:rsidR="00B656C2" w:rsidRPr="00402D4B" w14:paraId="7CFE5163" w14:textId="77777777" w:rsidTr="0069132F">
        <w:trPr>
          <w:jc w:val="center"/>
        </w:trPr>
        <w:tc>
          <w:tcPr>
            <w:tcW w:w="2902" w:type="dxa"/>
            <w:vMerge w:val="restart"/>
          </w:tcPr>
          <w:p w14:paraId="6B7DCA3C" w14:textId="77777777" w:rsidR="00B656C2" w:rsidRPr="00402D4B" w:rsidRDefault="00B656C2" w:rsidP="0069132F">
            <w:pPr>
              <w:spacing w:before="16" w:after="16"/>
              <w:rPr>
                <w:b/>
                <w:bCs/>
              </w:rPr>
            </w:pPr>
            <w:r w:rsidRPr="00402D4B">
              <w:rPr>
                <w:b/>
                <w:bCs/>
              </w:rPr>
              <w:t xml:space="preserve">Skin sensitizer </w:t>
            </w:r>
            <w:r w:rsidRPr="00402D4B">
              <w:rPr>
                <w:b/>
                <w:bCs/>
              </w:rPr>
              <w:br/>
              <w:t>Category 1</w:t>
            </w:r>
          </w:p>
        </w:tc>
        <w:tc>
          <w:tcPr>
            <w:tcW w:w="2088" w:type="dxa"/>
          </w:tcPr>
          <w:p w14:paraId="53C45AD4"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052" w:type="dxa"/>
          </w:tcPr>
          <w:p w14:paraId="2EDD5ABF"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394" w:type="dxa"/>
          </w:tcPr>
          <w:p w14:paraId="7CEF2228" w14:textId="77777777" w:rsidR="00B656C2" w:rsidRPr="00402D4B" w:rsidRDefault="00B656C2" w:rsidP="0069132F">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0.1</w:t>
            </w:r>
            <w:r>
              <w:t> </w:t>
            </w:r>
            <w:r w:rsidRPr="00402D4B">
              <w:t>% (see note)</w:t>
            </w:r>
          </w:p>
        </w:tc>
      </w:tr>
      <w:tr w:rsidR="00B656C2" w:rsidRPr="00402D4B" w14:paraId="3C8DB5CB" w14:textId="77777777" w:rsidTr="0069132F">
        <w:trPr>
          <w:jc w:val="center"/>
        </w:trPr>
        <w:tc>
          <w:tcPr>
            <w:tcW w:w="2902" w:type="dxa"/>
            <w:vMerge/>
          </w:tcPr>
          <w:p w14:paraId="438542B8" w14:textId="77777777" w:rsidR="00B656C2" w:rsidRPr="00402D4B" w:rsidRDefault="00B656C2" w:rsidP="0069132F">
            <w:pPr>
              <w:spacing w:before="16" w:after="16"/>
              <w:rPr>
                <w:b/>
                <w:bCs/>
              </w:rPr>
            </w:pPr>
          </w:p>
        </w:tc>
        <w:tc>
          <w:tcPr>
            <w:tcW w:w="2088" w:type="dxa"/>
          </w:tcPr>
          <w:p w14:paraId="6A5D5B24"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052" w:type="dxa"/>
          </w:tcPr>
          <w:p w14:paraId="1A7E6D2A"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394" w:type="dxa"/>
          </w:tcPr>
          <w:p w14:paraId="7F2EAC1C"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r>
      <w:tr w:rsidR="00B656C2" w:rsidRPr="00402D4B" w14:paraId="6AA2725A" w14:textId="77777777" w:rsidTr="0069132F">
        <w:trPr>
          <w:jc w:val="center"/>
        </w:trPr>
        <w:tc>
          <w:tcPr>
            <w:tcW w:w="2902" w:type="dxa"/>
          </w:tcPr>
          <w:p w14:paraId="2383FDE5" w14:textId="77777777" w:rsidR="00B656C2" w:rsidRPr="00402D4B" w:rsidRDefault="00B656C2" w:rsidP="0069132F">
            <w:pPr>
              <w:spacing w:before="16" w:after="16"/>
              <w:rPr>
                <w:b/>
                <w:bCs/>
              </w:rPr>
            </w:pPr>
            <w:r w:rsidRPr="00402D4B">
              <w:rPr>
                <w:b/>
                <w:bCs/>
              </w:rPr>
              <w:t xml:space="preserve">Skin sensitizer </w:t>
            </w:r>
            <w:r w:rsidRPr="00402D4B">
              <w:rPr>
                <w:b/>
                <w:bCs/>
              </w:rPr>
              <w:br/>
              <w:t>sub-category 1A</w:t>
            </w:r>
          </w:p>
        </w:tc>
        <w:tc>
          <w:tcPr>
            <w:tcW w:w="2088" w:type="dxa"/>
          </w:tcPr>
          <w:p w14:paraId="19B0092B"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052" w:type="dxa"/>
          </w:tcPr>
          <w:p w14:paraId="115C7B55"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394" w:type="dxa"/>
          </w:tcPr>
          <w:p w14:paraId="23F43503"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r>
      <w:tr w:rsidR="00B656C2" w:rsidRPr="00402D4B" w14:paraId="371E5EA9" w14:textId="77777777" w:rsidTr="0069132F">
        <w:trPr>
          <w:jc w:val="center"/>
        </w:trPr>
        <w:tc>
          <w:tcPr>
            <w:tcW w:w="2902" w:type="dxa"/>
          </w:tcPr>
          <w:p w14:paraId="7509E4B9" w14:textId="77777777" w:rsidR="00B656C2" w:rsidRPr="00402D4B" w:rsidRDefault="00B656C2" w:rsidP="0069132F">
            <w:pPr>
              <w:spacing w:before="16" w:after="16"/>
              <w:rPr>
                <w:b/>
                <w:bCs/>
              </w:rPr>
            </w:pPr>
            <w:r w:rsidRPr="00402D4B">
              <w:rPr>
                <w:b/>
                <w:bCs/>
              </w:rPr>
              <w:t xml:space="preserve">Skin sensitizer </w:t>
            </w:r>
            <w:r w:rsidRPr="00402D4B">
              <w:rPr>
                <w:b/>
                <w:bCs/>
              </w:rPr>
              <w:br/>
              <w:t>sub-category 1B</w:t>
            </w:r>
          </w:p>
        </w:tc>
        <w:tc>
          <w:tcPr>
            <w:tcW w:w="2088" w:type="dxa"/>
          </w:tcPr>
          <w:p w14:paraId="17987AFB"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052" w:type="dxa"/>
          </w:tcPr>
          <w:p w14:paraId="4FB2A6B4"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t>--</w:t>
            </w:r>
          </w:p>
        </w:tc>
        <w:tc>
          <w:tcPr>
            <w:tcW w:w="2394" w:type="dxa"/>
          </w:tcPr>
          <w:p w14:paraId="13B23816" w14:textId="77777777" w:rsidR="00B656C2" w:rsidRPr="00402D4B" w:rsidRDefault="00B656C2" w:rsidP="0069132F">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r>
    </w:tbl>
    <w:p w14:paraId="23225BDA" w14:textId="77777777" w:rsidR="00B656C2" w:rsidRPr="00402D4B" w:rsidRDefault="00B656C2" w:rsidP="00B656C2">
      <w:pPr>
        <w:tabs>
          <w:tab w:val="left" w:pos="1418"/>
        </w:tabs>
        <w:spacing w:before="160" w:after="240"/>
        <w:rPr>
          <w:b/>
          <w:bCs/>
          <w:i/>
          <w:iCs/>
        </w:rPr>
      </w:pPr>
      <w:r w:rsidRPr="00402D4B">
        <w:rPr>
          <w:b/>
          <w:bCs/>
          <w:i/>
          <w:iCs/>
        </w:rPr>
        <w:t xml:space="preserve">NOTE: </w:t>
      </w:r>
      <w:r w:rsidRPr="00402D4B">
        <w:rPr>
          <w:i/>
          <w:iCs/>
        </w:rPr>
        <w:tab/>
        <w:t>S</w:t>
      </w:r>
      <w:r w:rsidRPr="00402D4B">
        <w:rPr>
          <w:bCs/>
          <w:i/>
          <w:iCs/>
        </w:rPr>
        <w:t>ome competent authorities may require SDS and/or supplemental labelling only, as described in</w:t>
      </w:r>
      <w:r>
        <w:rPr>
          <w:bCs/>
          <w:i/>
          <w:iCs/>
        </w:rPr>
        <w:t> </w:t>
      </w:r>
      <w:r w:rsidRPr="00402D4B">
        <w:rPr>
          <w:bCs/>
          <w:i/>
          <w:iCs/>
        </w:rPr>
        <w:t xml:space="preserve">3.4.4.2 for mixtures containing a sensitizing ingredient at concentrations </w:t>
      </w:r>
      <w:r w:rsidRPr="00402D4B">
        <w:rPr>
          <w:i/>
          <w:iCs/>
        </w:rPr>
        <w:t>between 0.1 and 1.0</w:t>
      </w:r>
      <w:r>
        <w:rPr>
          <w:i/>
          <w:iCs/>
        </w:rPr>
        <w:t> </w:t>
      </w:r>
      <w:r w:rsidRPr="00402D4B">
        <w:rPr>
          <w:i/>
          <w:iCs/>
        </w:rPr>
        <w:t xml:space="preserve">% </w:t>
      </w:r>
      <w:r w:rsidRPr="00402D4B">
        <w:rPr>
          <w:bCs/>
          <w:i/>
          <w:iCs/>
        </w:rPr>
        <w:t>(or between 0.1 and 0.2</w:t>
      </w:r>
      <w:r>
        <w:rPr>
          <w:bCs/>
          <w:i/>
          <w:iCs/>
        </w:rPr>
        <w:t> </w:t>
      </w:r>
      <w:r w:rsidRPr="00402D4B">
        <w:rPr>
          <w:bCs/>
          <w:i/>
          <w:iCs/>
        </w:rPr>
        <w:t>% for a gaseous respiratory sensitizer). While the current cut-off values reflect</w:t>
      </w:r>
      <w:r w:rsidRPr="00402D4B">
        <w:rPr>
          <w:i/>
          <w:iCs/>
        </w:rPr>
        <w:t xml:space="preserve"> existing systems, all recognize that special cases may require information to be conveyed below that level.</w:t>
      </w:r>
    </w:p>
    <w:p w14:paraId="782A8798" w14:textId="77777777" w:rsidR="00B656C2" w:rsidRPr="00402D4B" w:rsidRDefault="00B656C2" w:rsidP="00664127">
      <w:pPr>
        <w:pStyle w:val="GHSHeading3"/>
        <w:keepNext w:val="0"/>
        <w:spacing w:after="240"/>
        <w:rPr>
          <w:sz w:val="20"/>
          <w:szCs w:val="20"/>
        </w:rPr>
      </w:pPr>
      <w:r w:rsidRPr="00402D4B">
        <w:rPr>
          <w:sz w:val="20"/>
          <w:szCs w:val="20"/>
        </w:rPr>
        <w:t>3.4.4</w:t>
      </w:r>
      <w:r w:rsidRPr="00402D4B">
        <w:rPr>
          <w:sz w:val="20"/>
          <w:szCs w:val="20"/>
        </w:rPr>
        <w:tab/>
        <w:t>Hazard communication</w:t>
      </w:r>
    </w:p>
    <w:p w14:paraId="12A0C46A" w14:textId="77777777" w:rsidR="00B656C2" w:rsidRPr="00402D4B" w:rsidRDefault="00B656C2" w:rsidP="00664127">
      <w:pPr>
        <w:tabs>
          <w:tab w:val="left" w:pos="1418"/>
        </w:tabs>
        <w:spacing w:after="240"/>
        <w:jc w:val="both"/>
      </w:pPr>
      <w:r w:rsidRPr="00402D4B">
        <w:t>3.4.4.1</w:t>
      </w:r>
      <w:r w:rsidRPr="00402D4B">
        <w:tab/>
        <w:t xml:space="preserve">General and specific considerations concerning labelling requirements are provided in </w:t>
      </w:r>
      <w:r w:rsidRPr="00402D4B">
        <w:rPr>
          <w:i/>
          <w:iCs/>
        </w:rPr>
        <w:t>Hazard communication: Labelling</w:t>
      </w:r>
      <w:r w:rsidRPr="00402D4B">
        <w:t xml:space="preserve"> (Chapter 1.4). Annex 1 contains summary tables about classification and labelling. Annex 3 contains examples of precautionary statements and pictograms which can be used where allowed by the competent authority. Table 3.4.6 below presents specific label elements for substances and mixtures that are classified as respiratory and skin sensitizers based on the criteria in this chapter.</w:t>
      </w:r>
    </w:p>
    <w:p w14:paraId="6B329D0B" w14:textId="77777777" w:rsidR="00DD6914" w:rsidRPr="00402D4B" w:rsidRDefault="00DD6914" w:rsidP="00664127">
      <w:pPr>
        <w:spacing w:after="120"/>
        <w:jc w:val="center"/>
        <w:rPr>
          <w:b/>
        </w:rPr>
      </w:pPr>
      <w:r w:rsidRPr="00402D4B">
        <w:rPr>
          <w:b/>
        </w:rPr>
        <w:t xml:space="preserve">Table 3.4.6:  Label elements for respiratory or skin sensitization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3832"/>
        <w:gridCol w:w="3826"/>
      </w:tblGrid>
      <w:tr w:rsidR="00DD6914" w:rsidRPr="00402D4B" w14:paraId="540B2565" w14:textId="77777777" w:rsidTr="0069132F">
        <w:trPr>
          <w:trHeight w:val="508"/>
          <w:jc w:val="center"/>
        </w:trPr>
        <w:tc>
          <w:tcPr>
            <w:tcW w:w="1981" w:type="dxa"/>
          </w:tcPr>
          <w:p w14:paraId="0FBFA1DD"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p>
        </w:tc>
        <w:tc>
          <w:tcPr>
            <w:tcW w:w="3832" w:type="dxa"/>
          </w:tcPr>
          <w:p w14:paraId="45B1604B"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rPr>
                <w:b/>
                <w:bCs/>
              </w:rPr>
              <w:t>Respiratory sensitization</w:t>
            </w:r>
            <w:r w:rsidRPr="00402D4B">
              <w:rPr>
                <w:b/>
                <w:bCs/>
              </w:rPr>
              <w:br/>
              <w:t>Category 1 and sub-categories 1A and 1B</w:t>
            </w:r>
          </w:p>
        </w:tc>
        <w:tc>
          <w:tcPr>
            <w:tcW w:w="3826" w:type="dxa"/>
          </w:tcPr>
          <w:p w14:paraId="40C80240"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sidRPr="00402D4B">
              <w:rPr>
                <w:b/>
              </w:rPr>
              <w:t>Skin sensitization</w:t>
            </w:r>
            <w:r w:rsidRPr="00402D4B">
              <w:rPr>
                <w:b/>
              </w:rPr>
              <w:br/>
              <w:t xml:space="preserve">Category 1 </w:t>
            </w:r>
            <w:r w:rsidRPr="00402D4B">
              <w:rPr>
                <w:b/>
                <w:bCs/>
              </w:rPr>
              <w:t>and sub-categories 1A and 1B</w:t>
            </w:r>
          </w:p>
        </w:tc>
      </w:tr>
      <w:tr w:rsidR="00DD6914" w:rsidRPr="00402D4B" w14:paraId="5A68CD6E" w14:textId="77777777" w:rsidTr="0069132F">
        <w:trPr>
          <w:trHeight w:val="70"/>
          <w:jc w:val="center"/>
        </w:trPr>
        <w:tc>
          <w:tcPr>
            <w:tcW w:w="1981" w:type="dxa"/>
          </w:tcPr>
          <w:p w14:paraId="4AA66CDB"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Symbol</w:t>
            </w:r>
          </w:p>
        </w:tc>
        <w:tc>
          <w:tcPr>
            <w:tcW w:w="3832" w:type="dxa"/>
          </w:tcPr>
          <w:p w14:paraId="6DAAED3D"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Health hazard</w:t>
            </w:r>
          </w:p>
        </w:tc>
        <w:tc>
          <w:tcPr>
            <w:tcW w:w="3826" w:type="dxa"/>
          </w:tcPr>
          <w:p w14:paraId="515C3BA3"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Exclamation mark</w:t>
            </w:r>
          </w:p>
        </w:tc>
      </w:tr>
      <w:tr w:rsidR="00DD6914" w:rsidRPr="00402D4B" w14:paraId="3DD718C2" w14:textId="77777777" w:rsidTr="0069132F">
        <w:trPr>
          <w:trHeight w:val="188"/>
          <w:jc w:val="center"/>
        </w:trPr>
        <w:tc>
          <w:tcPr>
            <w:tcW w:w="1981" w:type="dxa"/>
          </w:tcPr>
          <w:p w14:paraId="019DE06A"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Signal word</w:t>
            </w:r>
          </w:p>
        </w:tc>
        <w:tc>
          <w:tcPr>
            <w:tcW w:w="3832" w:type="dxa"/>
          </w:tcPr>
          <w:p w14:paraId="20B6E1C1"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Danger</w:t>
            </w:r>
          </w:p>
        </w:tc>
        <w:tc>
          <w:tcPr>
            <w:tcW w:w="3826" w:type="dxa"/>
          </w:tcPr>
          <w:p w14:paraId="22FF7924"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Warning</w:t>
            </w:r>
          </w:p>
        </w:tc>
      </w:tr>
      <w:tr w:rsidR="00DD6914" w:rsidRPr="00402D4B" w14:paraId="13EAD22B" w14:textId="77777777" w:rsidTr="0069132F">
        <w:trPr>
          <w:trHeight w:val="382"/>
          <w:jc w:val="center"/>
        </w:trPr>
        <w:tc>
          <w:tcPr>
            <w:tcW w:w="1981" w:type="dxa"/>
          </w:tcPr>
          <w:p w14:paraId="7FDD8EEC"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Hazard statement</w:t>
            </w:r>
          </w:p>
        </w:tc>
        <w:tc>
          <w:tcPr>
            <w:tcW w:w="3832" w:type="dxa"/>
          </w:tcPr>
          <w:p w14:paraId="71C0DDFB" w14:textId="77777777" w:rsidR="00DD6914" w:rsidRPr="00402D4B" w:rsidRDefault="00DD6914" w:rsidP="00664127">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May cause allergy or asthma symptoms or breathing difficulties if inhaled</w:t>
            </w:r>
          </w:p>
        </w:tc>
        <w:tc>
          <w:tcPr>
            <w:tcW w:w="3826" w:type="dxa"/>
          </w:tcPr>
          <w:p w14:paraId="0F10D5E8" w14:textId="77777777" w:rsidR="00DD6914" w:rsidRPr="00402D4B" w:rsidRDefault="00DD6914" w:rsidP="00664127">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sz w:val="20"/>
              </w:rPr>
            </w:pPr>
            <w:r w:rsidRPr="00402D4B">
              <w:rPr>
                <w:sz w:val="20"/>
              </w:rPr>
              <w:t>May cause an allergic skin reaction</w:t>
            </w:r>
          </w:p>
        </w:tc>
      </w:tr>
    </w:tbl>
    <w:p w14:paraId="3C02A95C" w14:textId="77777777" w:rsidR="00664127" w:rsidRPr="00402D4B" w:rsidRDefault="00664127" w:rsidP="00664127">
      <w:pPr>
        <w:tabs>
          <w:tab w:val="left" w:pos="1418"/>
          <w:tab w:val="left" w:pos="1985"/>
          <w:tab w:val="left" w:pos="2552"/>
          <w:tab w:val="left" w:pos="3119"/>
          <w:tab w:val="left" w:pos="3686"/>
        </w:tabs>
        <w:spacing w:before="240" w:after="240"/>
      </w:pPr>
      <w:r w:rsidRPr="00402D4B">
        <w:t>3.4.4.2</w:t>
      </w:r>
      <w:r w:rsidRPr="00402D4B">
        <w:tab/>
        <w:t xml:space="preserve">Some chemicals that are classified as sensitizers may elicit a response, when present in a mixture in quantities below the cut-offs established in Table 3.4.5, in individuals who are already sensitized to the chemicals. To protect these individuals, certain authorities may choose to require the name of the ingredients as a supplemental label element </w:t>
      </w:r>
      <w:proofErr w:type="gramStart"/>
      <w:r w:rsidRPr="00402D4B">
        <w:t>whether or not</w:t>
      </w:r>
      <w:proofErr w:type="gramEnd"/>
      <w:r w:rsidRPr="00402D4B">
        <w:t xml:space="preserve"> the mixture as a whole is classified as sensitizer.</w:t>
      </w:r>
    </w:p>
    <w:p w14:paraId="4D27F215" w14:textId="77777777" w:rsidR="00664127" w:rsidRPr="00402D4B" w:rsidRDefault="00664127" w:rsidP="00664127">
      <w:pPr>
        <w:pStyle w:val="GHSHeading3"/>
        <w:keepNext w:val="0"/>
        <w:spacing w:after="240"/>
        <w:rPr>
          <w:sz w:val="20"/>
          <w:szCs w:val="20"/>
        </w:rPr>
      </w:pPr>
      <w:r w:rsidRPr="00402D4B">
        <w:rPr>
          <w:sz w:val="20"/>
          <w:szCs w:val="20"/>
        </w:rPr>
        <w:t>3.4.5</w:t>
      </w:r>
      <w:r w:rsidRPr="00402D4B">
        <w:rPr>
          <w:sz w:val="20"/>
          <w:szCs w:val="20"/>
        </w:rPr>
        <w:tab/>
        <w:t>Decision logic</w:t>
      </w:r>
      <w:r>
        <w:rPr>
          <w:sz w:val="20"/>
          <w:szCs w:val="20"/>
        </w:rPr>
        <w:t xml:space="preserve"> </w:t>
      </w:r>
      <w:r w:rsidRPr="00F33C8B">
        <w:rPr>
          <w:color w:val="FF0000"/>
          <w:sz w:val="20"/>
          <w:szCs w:val="20"/>
        </w:rPr>
        <w:t>and guidance</w:t>
      </w:r>
    </w:p>
    <w:p w14:paraId="107EEA4C" w14:textId="77777777" w:rsidR="00664127" w:rsidRPr="00402D4B" w:rsidRDefault="00664127" w:rsidP="00664127">
      <w:pPr>
        <w:pStyle w:val="GHS1stline"/>
      </w:pPr>
      <w:r w:rsidRPr="00402D4B">
        <w:t>The decision logics which follow are not part of the harmonized classification system but are provided here as additional guidance. It is strongly recommended that the person responsible for classification study the criteria before and during use of the decision logics.</w:t>
      </w:r>
    </w:p>
    <w:p w14:paraId="5BFBB8C7" w14:textId="77777777" w:rsidR="00664127" w:rsidRDefault="00664127">
      <w:pPr>
        <w:suppressAutoHyphens w:val="0"/>
        <w:spacing w:line="240" w:lineRule="auto"/>
        <w:rPr>
          <w:b/>
          <w:bCs/>
          <w:szCs w:val="22"/>
          <w:lang w:eastAsia="fr-FR"/>
        </w:rPr>
      </w:pPr>
      <w:r>
        <w:br w:type="page"/>
      </w:r>
    </w:p>
    <w:p w14:paraId="6FEF10D7" w14:textId="447F2002" w:rsidR="00664127" w:rsidRPr="00402D4B" w:rsidRDefault="00664127" w:rsidP="00664127">
      <w:pPr>
        <w:pStyle w:val="StyleGHSHeading410ptAuto"/>
        <w:keepNext w:val="0"/>
        <w:keepLines w:val="0"/>
        <w:rPr>
          <w:color w:val="000000"/>
        </w:rPr>
      </w:pPr>
      <w:r w:rsidRPr="00402D4B">
        <w:t>3.4.5.1</w:t>
      </w:r>
      <w:r w:rsidRPr="00402D4B">
        <w:tab/>
      </w:r>
      <w:r w:rsidRPr="00402D4B">
        <w:rPr>
          <w:i/>
          <w:iCs/>
        </w:rPr>
        <w:t>Decision logic 3.4.1 for respiratory sensitization</w:t>
      </w:r>
      <w:r w:rsidRPr="00402D4B">
        <w:t xml:space="preserve"> </w:t>
      </w:r>
      <w:r w:rsidRPr="00402D4B">
        <w:rPr>
          <w:color w:val="000000"/>
        </w:rPr>
        <w:tab/>
      </w:r>
    </w:p>
    <w:p w14:paraId="416600E4" w14:textId="77777777" w:rsidR="00664127" w:rsidRPr="00402D4B" w:rsidRDefault="00664127" w:rsidP="00664127">
      <w:pPr>
        <w:pStyle w:val="StyleGHSHeading410ptAuto"/>
        <w:keepNext w:val="0"/>
        <w:keepLines w:val="0"/>
        <w:rPr>
          <w:color w:val="FFFFFF" w:themeColor="background1"/>
          <w:szCs w:val="20"/>
        </w:rPr>
      </w:pPr>
      <w:r w:rsidRPr="00402D4B">
        <w:rPr>
          <w:color w:val="FFFFFF" w:themeColor="background1"/>
        </w:rPr>
        <w:t>Footnotes</w:t>
      </w:r>
      <w:r w:rsidRPr="00402D4B">
        <w:rPr>
          <w:rStyle w:val="FootnoteReference"/>
          <w:color w:val="FFFFFF" w:themeColor="background1"/>
          <w:szCs w:val="20"/>
        </w:rPr>
        <w:footnoteReference w:id="6"/>
      </w:r>
      <w:r w:rsidRPr="00402D4B">
        <w:rPr>
          <w:color w:val="FFFFFF" w:themeColor="background1"/>
        </w:rPr>
        <w:t xml:space="preserve"> </w:t>
      </w:r>
      <w:r w:rsidRPr="00402D4B">
        <w:rPr>
          <w:rStyle w:val="FootnoteReference"/>
          <w:color w:val="FFFFFF" w:themeColor="background1"/>
          <w:szCs w:val="20"/>
        </w:rPr>
        <w:footnoteReference w:id="7"/>
      </w:r>
      <w:r w:rsidRPr="00402D4B">
        <w:rPr>
          <w:color w:val="FFFFFF" w:themeColor="background1"/>
        </w:rPr>
        <w:t xml:space="preserve"> </w:t>
      </w:r>
      <w:r w:rsidRPr="00402D4B">
        <w:rPr>
          <w:rStyle w:val="FootnoteReference"/>
          <w:color w:val="FFFFFF" w:themeColor="background1"/>
          <w:szCs w:val="20"/>
        </w:rPr>
        <w:footnoteReference w:id="8"/>
      </w:r>
    </w:p>
    <w:p w14:paraId="013CFD2E" w14:textId="77777777" w:rsidR="00664127" w:rsidRPr="00402D4B" w:rsidRDefault="00664127" w:rsidP="00664127">
      <w:pPr>
        <w:pStyle w:val="GHSHeading4"/>
        <w:keepNext w:val="0"/>
        <w:keepLines w:val="0"/>
        <w:tabs>
          <w:tab w:val="clear" w:pos="1418"/>
          <w:tab w:val="clear" w:pos="1985"/>
          <w:tab w:val="clear" w:pos="2552"/>
          <w:tab w:val="clear" w:pos="3119"/>
          <w:tab w:val="clear" w:pos="3686"/>
          <w:tab w:val="left" w:pos="567"/>
        </w:tabs>
        <w:jc w:val="center"/>
        <w:rPr>
          <w:color w:val="FFFFFF"/>
          <w:szCs w:val="20"/>
        </w:rPr>
      </w:pPr>
      <w:r w:rsidRPr="00402D4B">
        <w:rPr>
          <w:noProof/>
        </w:rPr>
        <w:object w:dxaOrig="7650" w:dyaOrig="8175" w14:anchorId="12A76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4pt;height:411pt;mso-width-percent:0;mso-height-percent:0;mso-width-percent:0;mso-height-percent:0" o:ole="">
            <v:imagedata r:id="rId11" o:title=""/>
          </v:shape>
          <o:OLEObject Type="Embed" ProgID="Visio.Drawing.15" ShapeID="_x0000_i1025" DrawAspect="Content" ObjectID="_1717412693" r:id="rId12"/>
        </w:object>
      </w:r>
    </w:p>
    <w:p w14:paraId="6159B5A0" w14:textId="77777777" w:rsidR="00EE42D3" w:rsidRDefault="00EE42D3" w:rsidP="0063521D">
      <w:pPr>
        <w:spacing w:before="240"/>
      </w:pPr>
    </w:p>
    <w:p w14:paraId="28DFA0C2" w14:textId="77777777" w:rsidR="00EE42D3" w:rsidRDefault="00EE42D3" w:rsidP="0063521D">
      <w:pPr>
        <w:spacing w:before="240"/>
      </w:pPr>
    </w:p>
    <w:p w14:paraId="42B4553C" w14:textId="77777777" w:rsidR="00EE42D3" w:rsidRDefault="00EE42D3" w:rsidP="0063521D">
      <w:pPr>
        <w:spacing w:before="240"/>
      </w:pPr>
    </w:p>
    <w:p w14:paraId="1FC8BAB2" w14:textId="77777777" w:rsidR="00EE42D3" w:rsidRDefault="00EE42D3" w:rsidP="0063521D">
      <w:pPr>
        <w:spacing w:before="240"/>
      </w:pPr>
    </w:p>
    <w:p w14:paraId="3FD37AFD" w14:textId="62EC9224" w:rsidR="00664127" w:rsidRDefault="00664127">
      <w:pPr>
        <w:suppressAutoHyphens w:val="0"/>
        <w:spacing w:line="240" w:lineRule="auto"/>
      </w:pPr>
      <w:r>
        <w:br w:type="page"/>
      </w:r>
    </w:p>
    <w:p w14:paraId="3CB6F8FD" w14:textId="77777777" w:rsidR="000126CC" w:rsidRPr="00402D4B" w:rsidRDefault="000126CC" w:rsidP="000126CC">
      <w:pPr>
        <w:pStyle w:val="StyleGHSHeading410pt"/>
        <w:rPr>
          <w:color w:val="auto"/>
        </w:rPr>
      </w:pPr>
      <w:r w:rsidRPr="00402D4B">
        <w:t>3.4.5.2</w:t>
      </w:r>
      <w:r w:rsidRPr="00402D4B">
        <w:tab/>
      </w:r>
      <w:r w:rsidRPr="00402D4B">
        <w:rPr>
          <w:i/>
        </w:rPr>
        <w:t xml:space="preserve">Decision logic 3.4.2 for skin </w:t>
      </w:r>
      <w:r w:rsidRPr="00402D4B">
        <w:rPr>
          <w:i/>
          <w:color w:val="auto"/>
        </w:rPr>
        <w:t>sensitization</w:t>
      </w:r>
      <w:r w:rsidRPr="00402D4B">
        <w:rPr>
          <w:color w:val="auto"/>
        </w:rPr>
        <w:t xml:space="preserve"> </w:t>
      </w:r>
      <w:r w:rsidRPr="00402D4B">
        <w:rPr>
          <w:color w:val="auto"/>
        </w:rPr>
        <w:tab/>
      </w:r>
    </w:p>
    <w:p w14:paraId="527ADEF8" w14:textId="77777777" w:rsidR="000126CC" w:rsidRPr="00402D4B" w:rsidRDefault="000126CC" w:rsidP="000126CC">
      <w:pPr>
        <w:pStyle w:val="GHSHeading4"/>
        <w:jc w:val="left"/>
        <w:rPr>
          <w:color w:val="FFFFFF" w:themeColor="background1"/>
          <w:szCs w:val="20"/>
        </w:rPr>
      </w:pPr>
      <w:r w:rsidRPr="00402D4B">
        <w:rPr>
          <w:color w:val="FFFFFF" w:themeColor="background1"/>
          <w:szCs w:val="20"/>
        </w:rPr>
        <w:t>Footnotes</w:t>
      </w:r>
      <w:r w:rsidRPr="00402D4B">
        <w:rPr>
          <w:rStyle w:val="FootnoteReference"/>
          <w:color w:val="FFFFFF" w:themeColor="background1"/>
          <w:szCs w:val="20"/>
        </w:rPr>
        <w:footnoteReference w:customMarkFollows="1" w:id="9"/>
        <w:t>3</w:t>
      </w:r>
      <w:r w:rsidRPr="00402D4B">
        <w:rPr>
          <w:color w:val="FFFFFF" w:themeColor="background1"/>
          <w:szCs w:val="20"/>
        </w:rPr>
        <w:t xml:space="preserve">, </w:t>
      </w:r>
      <w:r w:rsidRPr="00402D4B">
        <w:rPr>
          <w:rStyle w:val="FootnoteReference"/>
          <w:color w:val="FFFFFF" w:themeColor="background1"/>
          <w:szCs w:val="20"/>
        </w:rPr>
        <w:footnoteReference w:customMarkFollows="1" w:id="10"/>
        <w:t>4</w:t>
      </w:r>
      <w:r w:rsidRPr="00402D4B">
        <w:rPr>
          <w:color w:val="FFFFFF" w:themeColor="background1"/>
          <w:szCs w:val="20"/>
        </w:rPr>
        <w:t xml:space="preserve">, </w:t>
      </w:r>
      <w:r w:rsidRPr="00402D4B">
        <w:rPr>
          <w:rStyle w:val="FootnoteReference"/>
          <w:color w:val="FFFFFF" w:themeColor="background1"/>
          <w:szCs w:val="20"/>
        </w:rPr>
        <w:footnoteReference w:id="11"/>
      </w:r>
      <w:r w:rsidRPr="00402D4B">
        <w:rPr>
          <w:color w:val="FFFFFF" w:themeColor="background1"/>
          <w:szCs w:val="20"/>
        </w:rPr>
        <w:t xml:space="preserve"> </w:t>
      </w:r>
    </w:p>
    <w:p w14:paraId="4EC8C0DC" w14:textId="77777777" w:rsidR="000126CC" w:rsidRPr="00402D4B" w:rsidRDefault="000126CC" w:rsidP="000126CC">
      <w:pPr>
        <w:tabs>
          <w:tab w:val="left" w:pos="540"/>
          <w:tab w:val="left" w:pos="1134"/>
          <w:tab w:val="left" w:pos="1418"/>
          <w:tab w:val="left" w:pos="1701"/>
          <w:tab w:val="left" w:pos="1985"/>
          <w:tab w:val="left" w:pos="2268"/>
          <w:tab w:val="left" w:pos="2552"/>
          <w:tab w:val="left" w:pos="2835"/>
          <w:tab w:val="left" w:pos="3119"/>
          <w:tab w:val="left" w:pos="3402"/>
          <w:tab w:val="left" w:pos="3686"/>
          <w:tab w:val="left" w:pos="3969"/>
        </w:tabs>
        <w:ind w:left="540" w:hanging="540"/>
        <w:jc w:val="center"/>
      </w:pPr>
      <w:r w:rsidRPr="00402D4B">
        <w:rPr>
          <w:noProof/>
        </w:rPr>
        <w:object w:dxaOrig="7650" w:dyaOrig="7365" w14:anchorId="2800AB43">
          <v:shape id="_x0000_i1026" type="#_x0000_t75" alt="" style="width:384pt;height:368.5pt;mso-width-percent:0;mso-height-percent:0;mso-width-percent:0;mso-height-percent:0" o:ole="">
            <v:imagedata r:id="rId13" o:title=""/>
          </v:shape>
          <o:OLEObject Type="Embed" ProgID="Visio.Drawing.15" ShapeID="_x0000_i1026" DrawAspect="Content" ObjectID="_1717412694" r:id="rId14"/>
        </w:object>
      </w:r>
    </w:p>
    <w:p w14:paraId="28AF65D7" w14:textId="6BE2BF1F" w:rsidR="00EE42D3" w:rsidRDefault="00EE42D3" w:rsidP="0063521D">
      <w:pPr>
        <w:spacing w:before="240"/>
      </w:pPr>
    </w:p>
    <w:p w14:paraId="74CAF62E" w14:textId="29532E89" w:rsidR="00664127" w:rsidRDefault="00664127" w:rsidP="0063521D">
      <w:pPr>
        <w:spacing w:before="240"/>
      </w:pPr>
    </w:p>
    <w:p w14:paraId="772CFFEE" w14:textId="14633637" w:rsidR="00664127" w:rsidRDefault="00664127" w:rsidP="0063521D">
      <w:pPr>
        <w:spacing w:before="240"/>
      </w:pPr>
    </w:p>
    <w:p w14:paraId="3D238D0F" w14:textId="17E75151" w:rsidR="00664127" w:rsidRDefault="00664127" w:rsidP="0063521D">
      <w:pPr>
        <w:spacing w:before="240"/>
      </w:pPr>
    </w:p>
    <w:p w14:paraId="2027543D" w14:textId="1FD76A66" w:rsidR="00664127" w:rsidRDefault="00664127" w:rsidP="0063521D">
      <w:pPr>
        <w:spacing w:before="240"/>
      </w:pPr>
    </w:p>
    <w:p w14:paraId="26199469" w14:textId="3E5F5351" w:rsidR="00664127" w:rsidRDefault="00664127" w:rsidP="0063521D">
      <w:pPr>
        <w:spacing w:before="240"/>
      </w:pPr>
    </w:p>
    <w:p w14:paraId="6A0C15BA" w14:textId="6CAA6F76" w:rsidR="00664127" w:rsidRDefault="00664127" w:rsidP="0063521D">
      <w:pPr>
        <w:spacing w:before="240"/>
      </w:pPr>
    </w:p>
    <w:p w14:paraId="6182FB79" w14:textId="78F649AA" w:rsidR="00664127" w:rsidRDefault="00664127" w:rsidP="0063521D">
      <w:pPr>
        <w:spacing w:before="240"/>
      </w:pPr>
    </w:p>
    <w:p w14:paraId="1B74F080" w14:textId="703B2E25" w:rsidR="00664127" w:rsidRDefault="00664127" w:rsidP="0063521D">
      <w:pPr>
        <w:spacing w:before="240"/>
      </w:pPr>
    </w:p>
    <w:p w14:paraId="50FD4B67" w14:textId="77777777" w:rsidR="00041588" w:rsidRPr="00A3453E" w:rsidRDefault="00041588" w:rsidP="00041588">
      <w:pPr>
        <w:pStyle w:val="Heading2"/>
        <w:rPr>
          <w:b/>
          <w:bCs/>
          <w:color w:val="4F81BD" w:themeColor="accent1"/>
        </w:rPr>
      </w:pPr>
      <w:r w:rsidRPr="00A3453E">
        <w:rPr>
          <w:b/>
          <w:bCs/>
          <w:color w:val="4F81BD" w:themeColor="accent1"/>
        </w:rPr>
        <w:t>3.4.5.3</w:t>
      </w:r>
      <w:r w:rsidRPr="00A3453E">
        <w:rPr>
          <w:b/>
          <w:bCs/>
          <w:color w:val="4F81BD" w:themeColor="accent1"/>
        </w:rPr>
        <w:tab/>
      </w:r>
      <w:r w:rsidRPr="00A3453E">
        <w:rPr>
          <w:b/>
          <w:bCs/>
          <w:color w:val="4F81BD" w:themeColor="accent1"/>
        </w:rPr>
        <w:tab/>
        <w:t>Background guidance</w:t>
      </w:r>
    </w:p>
    <w:p w14:paraId="35D3823B" w14:textId="77777777" w:rsidR="00041588" w:rsidRPr="00A3453E" w:rsidRDefault="00041588" w:rsidP="00041588">
      <w:pPr>
        <w:rPr>
          <w:color w:val="4F81BD" w:themeColor="accent1"/>
          <w:lang w:eastAsia="zh-CN"/>
        </w:rPr>
      </w:pPr>
      <w:r w:rsidRPr="00A3453E">
        <w:rPr>
          <w:color w:val="4F81BD" w:themeColor="accent1"/>
          <w:lang w:eastAsia="zh-CN"/>
        </w:rPr>
        <w:t xml:space="preserve">3.4.5.3.1 </w:t>
      </w:r>
      <w:r w:rsidRPr="00A3453E">
        <w:rPr>
          <w:bCs/>
          <w:i/>
          <w:color w:val="4F81BD" w:themeColor="accent1"/>
          <w:lang w:eastAsia="zh-CN"/>
        </w:rPr>
        <w:t>Relevant guidance documents</w:t>
      </w:r>
    </w:p>
    <w:p w14:paraId="0E37F385" w14:textId="77777777" w:rsidR="00041588" w:rsidRPr="00A3453E" w:rsidRDefault="00041588" w:rsidP="00041588">
      <w:pPr>
        <w:rPr>
          <w:color w:val="4F81BD" w:themeColor="accent1"/>
          <w:lang w:eastAsia="zh-CN"/>
        </w:rPr>
      </w:pPr>
    </w:p>
    <w:p w14:paraId="1385DFE1" w14:textId="77777777" w:rsidR="00041588" w:rsidRPr="007B42B8" w:rsidRDefault="00041588" w:rsidP="00041588">
      <w:pPr>
        <w:jc w:val="both"/>
        <w:rPr>
          <w:color w:val="FF0000"/>
          <w:lang w:eastAsia="zh-CN"/>
        </w:rPr>
      </w:pPr>
      <w:r w:rsidRPr="00A3453E">
        <w:rPr>
          <w:color w:val="4F81BD" w:themeColor="accent1"/>
          <w:lang w:eastAsia="zh-CN"/>
        </w:rPr>
        <w:t xml:space="preserve">Mechanistic information on the process of skin sensitisation is available in the OECD document on the Adverse Outcome Pathway for skin sensitisation. This information can </w:t>
      </w:r>
      <w:proofErr w:type="gramStart"/>
      <w:r w:rsidRPr="00A3453E">
        <w:rPr>
          <w:color w:val="4F81BD" w:themeColor="accent1"/>
          <w:lang w:eastAsia="zh-CN"/>
        </w:rPr>
        <w:t>be helpful in understanding</w:t>
      </w:r>
      <w:proofErr w:type="gramEnd"/>
      <w:r w:rsidRPr="00A3453E">
        <w:rPr>
          <w:color w:val="4F81BD" w:themeColor="accent1"/>
          <w:lang w:eastAsia="zh-CN"/>
        </w:rPr>
        <w:t xml:space="preserve"> the value of the individual </w:t>
      </w:r>
      <w:r w:rsidRPr="00A3453E">
        <w:rPr>
          <w:i/>
          <w:color w:val="4F81BD" w:themeColor="accent1"/>
          <w:lang w:eastAsia="zh-CN"/>
        </w:rPr>
        <w:t xml:space="preserve">in </w:t>
      </w:r>
      <w:proofErr w:type="spellStart"/>
      <w:r w:rsidRPr="00A3453E">
        <w:rPr>
          <w:i/>
          <w:color w:val="4F81BD" w:themeColor="accent1"/>
          <w:lang w:eastAsia="zh-CN"/>
        </w:rPr>
        <w:t>chemic</w:t>
      </w:r>
      <w:r w:rsidRPr="00A3453E">
        <w:rPr>
          <w:color w:val="4F81BD" w:themeColor="accent1"/>
          <w:lang w:eastAsia="zh-CN"/>
        </w:rPr>
        <w:t>o</w:t>
      </w:r>
      <w:proofErr w:type="spellEnd"/>
      <w:r w:rsidRPr="00A3453E">
        <w:rPr>
          <w:color w:val="4F81BD" w:themeColor="accent1"/>
          <w:lang w:eastAsia="zh-CN"/>
        </w:rPr>
        <w:t xml:space="preserve"> and </w:t>
      </w:r>
      <w:r w:rsidRPr="00A3453E">
        <w:rPr>
          <w:i/>
          <w:color w:val="4F81BD" w:themeColor="accent1"/>
          <w:lang w:eastAsia="zh-CN"/>
        </w:rPr>
        <w:t>in vitro</w:t>
      </w:r>
      <w:r w:rsidRPr="00A3453E">
        <w:rPr>
          <w:color w:val="4F81BD" w:themeColor="accent1"/>
          <w:lang w:eastAsia="zh-CN"/>
        </w:rPr>
        <w:t xml:space="preserve"> methods compared to the </w:t>
      </w:r>
      <w:r w:rsidRPr="00A3453E">
        <w:rPr>
          <w:i/>
          <w:color w:val="4F81BD" w:themeColor="accent1"/>
          <w:lang w:eastAsia="zh-CN"/>
        </w:rPr>
        <w:t>in vivo</w:t>
      </w:r>
      <w:r w:rsidRPr="00A3453E">
        <w:rPr>
          <w:color w:val="4F81BD" w:themeColor="accent1"/>
          <w:lang w:eastAsia="zh-CN"/>
        </w:rPr>
        <w:t xml:space="preserve"> methods</w:t>
      </w:r>
      <w:r>
        <w:rPr>
          <w:color w:val="FF0000"/>
          <w:lang w:eastAsia="zh-CN"/>
        </w:rPr>
        <w:t>.</w:t>
      </w:r>
    </w:p>
    <w:p w14:paraId="11EA74D0" w14:textId="77777777" w:rsidR="00041588" w:rsidRPr="007B42B8" w:rsidRDefault="00041588" w:rsidP="00041588">
      <w:pPr>
        <w:rPr>
          <w:color w:val="FF0000"/>
          <w:lang w:eastAsia="zh-CN"/>
        </w:rPr>
      </w:pPr>
    </w:p>
    <w:p w14:paraId="6A8FFA45" w14:textId="77777777" w:rsidR="00041588" w:rsidRDefault="00041588" w:rsidP="00041588">
      <w:pPr>
        <w:rPr>
          <w:b/>
          <w:bCs/>
          <w:i/>
          <w:color w:val="4F81BD" w:themeColor="accent1"/>
          <w:lang w:eastAsia="zh-CN"/>
        </w:rPr>
      </w:pPr>
      <w:r w:rsidRPr="0065226D">
        <w:rPr>
          <w:b/>
          <w:bCs/>
          <w:color w:val="4F81BD" w:themeColor="accent1"/>
          <w:lang w:eastAsia="zh-CN"/>
        </w:rPr>
        <w:t>3.4.5.3.2</w:t>
      </w:r>
      <w:r w:rsidRPr="0065226D">
        <w:rPr>
          <w:b/>
          <w:bCs/>
          <w:color w:val="4F81BD" w:themeColor="accent1"/>
          <w:lang w:eastAsia="zh-CN"/>
        </w:rPr>
        <w:tab/>
        <w:t xml:space="preserve"> </w:t>
      </w:r>
      <w:r w:rsidRPr="0065226D">
        <w:rPr>
          <w:b/>
          <w:bCs/>
          <w:i/>
          <w:color w:val="4F81BD" w:themeColor="accent1"/>
          <w:lang w:eastAsia="zh-CN"/>
        </w:rPr>
        <w:t>Guidance on the use of human data</w:t>
      </w:r>
    </w:p>
    <w:p w14:paraId="30811770" w14:textId="77777777" w:rsidR="00041588" w:rsidRPr="0065226D" w:rsidRDefault="00041588" w:rsidP="00041588">
      <w:pPr>
        <w:rPr>
          <w:b/>
          <w:color w:val="4F81BD" w:themeColor="accent1"/>
          <w:lang w:eastAsia="zh-CN"/>
        </w:rPr>
      </w:pPr>
    </w:p>
    <w:p w14:paraId="636CEC84" w14:textId="77777777" w:rsidR="00041588" w:rsidRDefault="00041588" w:rsidP="00041588">
      <w:pPr>
        <w:jc w:val="both"/>
        <w:rPr>
          <w:color w:val="FF0000"/>
          <w:lang w:eastAsia="zh-CN"/>
        </w:rPr>
      </w:pPr>
      <w:r>
        <w:rPr>
          <w:color w:val="FF0000"/>
          <w:lang w:eastAsia="zh-CN"/>
        </w:rPr>
        <w:t xml:space="preserve">The classification of a substance can be based on human evidence generated from a variety of sources.  These sources include human predictive patch testing, epidemiological studies, case studies, case reports or histories, diagnostic patch testing and medical surveillance reports, and poison control </w:t>
      </w:r>
      <w:proofErr w:type="spellStart"/>
      <w:r>
        <w:rPr>
          <w:color w:val="FF0000"/>
          <w:lang w:eastAsia="zh-CN"/>
        </w:rPr>
        <w:t>center</w:t>
      </w:r>
      <w:proofErr w:type="spellEnd"/>
      <w:r>
        <w:rPr>
          <w:color w:val="FF0000"/>
          <w:lang w:eastAsia="zh-CN"/>
        </w:rPr>
        <w:t xml:space="preserve"> information.  This data may have been generated for consumers, workers, or the general population.  </w:t>
      </w:r>
      <w:r>
        <w:t>When considering human evidence, consideration should be given to the size, exposure level, and exposure frequency of the exposed population (EU CLP, 2017).</w:t>
      </w:r>
    </w:p>
    <w:p w14:paraId="64BA7312" w14:textId="77777777" w:rsidR="00041588" w:rsidRDefault="00041588" w:rsidP="00041588">
      <w:pPr>
        <w:jc w:val="both"/>
        <w:rPr>
          <w:color w:val="FF0000"/>
          <w:lang w:eastAsia="zh-CN"/>
        </w:rPr>
      </w:pPr>
    </w:p>
    <w:p w14:paraId="5FDD61B0" w14:textId="77777777" w:rsidR="00041588" w:rsidRDefault="00041588" w:rsidP="00041588">
      <w:pPr>
        <w:jc w:val="both"/>
        <w:rPr>
          <w:color w:val="FF0000"/>
          <w:lang w:eastAsia="zh-CN"/>
        </w:rPr>
      </w:pPr>
      <w:r>
        <w:rPr>
          <w:color w:val="FF0000"/>
          <w:lang w:eastAsia="zh-CN"/>
        </w:rPr>
        <w:t xml:space="preserve">Positive data from predictive patch testing (HRIPT or HMT) conducted through human experimental and clinical studies, showing allergic contact dermatitis caused by the test substance can be used to classify substances for skin sensitization These studies are generally conducted in controlled clinical settings using statistically significant population sizes.  Criteria for evaluating this data are provided in paragraph 3.4.2.2.2.1 and 3.4.2.2.2.  </w:t>
      </w:r>
    </w:p>
    <w:p w14:paraId="4AF98935" w14:textId="77777777" w:rsidR="00041588" w:rsidRDefault="00041588" w:rsidP="00041588">
      <w:pPr>
        <w:jc w:val="both"/>
        <w:rPr>
          <w:color w:val="FF0000"/>
          <w:lang w:eastAsia="zh-CN"/>
        </w:rPr>
      </w:pPr>
    </w:p>
    <w:p w14:paraId="6211A226" w14:textId="77777777" w:rsidR="00041588" w:rsidRDefault="00041588" w:rsidP="00041588">
      <w:pPr>
        <w:jc w:val="both"/>
        <w:rPr>
          <w:color w:val="FF0000"/>
          <w:lang w:eastAsia="zh-CN"/>
        </w:rPr>
      </w:pPr>
      <w:r>
        <w:rPr>
          <w:color w:val="FF0000"/>
          <w:lang w:eastAsia="zh-CN"/>
        </w:rPr>
        <w:t>Positive data from well-run epidemiological studies (according to WHO COIMS guidelines, 2009) can be used for classifying substances for skin sensitization.  Some examples of epidemiological studies may include case control studies, cohort studies, cross-sectional studies, or longitudinal studies. These studies should have large sample sizes with well-documented exposures to a substance.</w:t>
      </w:r>
    </w:p>
    <w:p w14:paraId="59867B39" w14:textId="77777777" w:rsidR="00041588" w:rsidRPr="00A3453E" w:rsidRDefault="00041588" w:rsidP="00041588">
      <w:pPr>
        <w:jc w:val="both"/>
        <w:rPr>
          <w:color w:val="FF0000"/>
          <w:lang w:eastAsia="zh-CN"/>
        </w:rPr>
      </w:pPr>
    </w:p>
    <w:p w14:paraId="1732175F" w14:textId="77777777" w:rsidR="00041588" w:rsidRDefault="00041588" w:rsidP="00041588">
      <w:pPr>
        <w:jc w:val="both"/>
        <w:rPr>
          <w:color w:val="FF0000"/>
          <w:lang w:eastAsia="zh-CN"/>
        </w:rPr>
      </w:pPr>
      <w:r w:rsidRPr="00A3453E">
        <w:rPr>
          <w:color w:val="FF0000"/>
          <w:lang w:eastAsia="zh-CN"/>
        </w:rPr>
        <w:t xml:space="preserve">A specific type of epidemiological study (such as randomized control studies or trials) may include information from diagnostic patch testing.  </w:t>
      </w:r>
      <w:r w:rsidRPr="00A3453E">
        <w:t xml:space="preserve">Diagnostic patch testing is considered by some competent authorities to be the gold standard in diagnosing contact allergy in dermatitis patients (Johansen et al, 2015). Importantly, due consideration needs to be given to the appropriate selection of vehicle, </w:t>
      </w:r>
      <w:proofErr w:type="gramStart"/>
      <w:r w:rsidRPr="00A3453E">
        <w:t>substance</w:t>
      </w:r>
      <w:proofErr w:type="gramEnd"/>
      <w:r w:rsidRPr="00A3453E">
        <w:t xml:space="preserve"> and patch test concentrations for the purpose of not causing false negatives, false positives, irritant reactions or inducing contact allergy (skin sensitisation).</w:t>
      </w:r>
      <w:r w:rsidRPr="00A3453E">
        <w:rPr>
          <w:color w:val="FF0000"/>
          <w:lang w:eastAsia="zh-CN"/>
        </w:rPr>
        <w:t xml:space="preserve"> Positive data from </w:t>
      </w:r>
      <w:r>
        <w:rPr>
          <w:color w:val="FF0000"/>
          <w:lang w:eastAsia="zh-CN"/>
        </w:rPr>
        <w:t xml:space="preserve">data from experimental/clinical/diagnostic studies in man and/or well-documented episodes of allergic contact dermatitis may be used to classify substances for skin sensitization, when it can be assumed with sufficient likelihood that the tested substance was indeed the most likely cause for induction of sensitisation. Therefore, at least a general likelihood that the respective patient(s) had been previously exposed to the substance should be established. On the other hand, negative results from such tests are not sufficient to prove that the test substance should not be classified as a skin sensitiser. </w:t>
      </w:r>
      <w:r>
        <w:rPr>
          <w:strike/>
          <w:color w:val="FF0000"/>
          <w:lang w:eastAsia="zh-CN"/>
        </w:rPr>
        <w:t>Normally</w:t>
      </w:r>
      <w:r>
        <w:rPr>
          <w:color w:val="FF0000"/>
          <w:lang w:eastAsia="zh-CN"/>
        </w:rPr>
        <w:t xml:space="preserve"> </w:t>
      </w:r>
    </w:p>
    <w:p w14:paraId="77B74CEF" w14:textId="77777777" w:rsidR="00041588" w:rsidRDefault="00041588" w:rsidP="00041588">
      <w:pPr>
        <w:jc w:val="both"/>
        <w:rPr>
          <w:color w:val="FF0000"/>
          <w:lang w:eastAsia="zh-CN"/>
        </w:rPr>
      </w:pPr>
    </w:p>
    <w:p w14:paraId="4E0F5A38" w14:textId="77777777" w:rsidR="00041588" w:rsidRDefault="00041588" w:rsidP="00041588">
      <w:pPr>
        <w:jc w:val="both"/>
        <w:rPr>
          <w:color w:val="FF0000"/>
          <w:lang w:eastAsia="zh-CN"/>
        </w:rPr>
      </w:pPr>
      <w:r>
        <w:rPr>
          <w:color w:val="FF0000"/>
          <w:lang w:eastAsia="zh-CN"/>
        </w:rPr>
        <w:t xml:space="preserve">Human data </w:t>
      </w:r>
      <w:r>
        <w:rPr>
          <w:strike/>
          <w:color w:val="FF0000"/>
          <w:lang w:eastAsia="zh-CN"/>
        </w:rPr>
        <w:t xml:space="preserve">are </w:t>
      </w:r>
      <w:r>
        <w:rPr>
          <w:color w:val="FF0000"/>
          <w:lang w:eastAsia="zh-CN"/>
        </w:rPr>
        <w:t>not generated in controlled experiments with volunteers for the purpose of hazard classification (</w:t>
      </w:r>
      <w:proofErr w:type="gramStart"/>
      <w:r>
        <w:rPr>
          <w:color w:val="FF0000"/>
          <w:lang w:eastAsia="zh-CN"/>
        </w:rPr>
        <w:t>e.g.</w:t>
      </w:r>
      <w:proofErr w:type="gramEnd"/>
      <w:r>
        <w:rPr>
          <w:color w:val="FF0000"/>
          <w:lang w:eastAsia="zh-CN"/>
        </w:rPr>
        <w:t xml:space="preserve"> case studies, case reports and case histories, and poison control </w:t>
      </w:r>
      <w:proofErr w:type="spellStart"/>
      <w:r>
        <w:rPr>
          <w:color w:val="FF0000"/>
          <w:lang w:eastAsia="zh-CN"/>
        </w:rPr>
        <w:t>center</w:t>
      </w:r>
      <w:proofErr w:type="spellEnd"/>
      <w:r>
        <w:rPr>
          <w:color w:val="FF0000"/>
          <w:lang w:eastAsia="zh-CN"/>
        </w:rPr>
        <w:t xml:space="preserve"> information) </w:t>
      </w:r>
      <w:r>
        <w:rPr>
          <w:strike/>
          <w:color w:val="FF0000"/>
          <w:lang w:eastAsia="zh-CN"/>
        </w:rPr>
        <w:t>but rather as part of risk assessment to confirm lack of effects seen in animal tests. Consequently</w:t>
      </w:r>
      <w:r>
        <w:rPr>
          <w:color w:val="FF0000"/>
          <w:lang w:eastAsia="zh-CN"/>
        </w:rPr>
        <w:t xml:space="preserve">, </w:t>
      </w:r>
      <w:r>
        <w:rPr>
          <w:strike/>
          <w:color w:val="FF0000"/>
          <w:lang w:eastAsia="zh-CN"/>
        </w:rPr>
        <w:t>positive human data are usually derived from case-control or other, less defined studies</w:t>
      </w:r>
      <w:r>
        <w:rPr>
          <w:color w:val="FF0000"/>
          <w:lang w:eastAsia="zh-CN"/>
        </w:rPr>
        <w:t xml:space="preserve"> can be used</w:t>
      </w:r>
      <w:r>
        <w:rPr>
          <w:strike/>
          <w:color w:val="FF0000"/>
          <w:lang w:eastAsia="zh-CN"/>
        </w:rPr>
        <w:t>. Evaluation of human data must therefore be carried out</w:t>
      </w:r>
      <w:r>
        <w:rPr>
          <w:color w:val="FF0000"/>
          <w:lang w:eastAsia="zh-CN"/>
        </w:rPr>
        <w:t xml:space="preserve"> with caution. Consideration should be given to the frequency of cases, the inherent properties of the substances, as well as factors such as the exposure situation, bioavailability, individual </w:t>
      </w:r>
      <w:proofErr w:type="gramStart"/>
      <w:r>
        <w:rPr>
          <w:color w:val="FF0000"/>
          <w:lang w:eastAsia="zh-CN"/>
        </w:rPr>
        <w:t>predisposition</w:t>
      </w:r>
      <w:proofErr w:type="gramEnd"/>
      <w:r>
        <w:rPr>
          <w:color w:val="FF0000"/>
          <w:lang w:eastAsia="zh-CN"/>
        </w:rPr>
        <w:t xml:space="preserve"> and preventive measures taken. </w:t>
      </w:r>
    </w:p>
    <w:p w14:paraId="3E04F7AD" w14:textId="77777777" w:rsidR="00041588" w:rsidRDefault="00041588" w:rsidP="00041588">
      <w:pPr>
        <w:jc w:val="both"/>
        <w:rPr>
          <w:color w:val="FF0000"/>
          <w:lang w:eastAsia="zh-CN"/>
        </w:rPr>
      </w:pPr>
    </w:p>
    <w:p w14:paraId="5F9E7FD0" w14:textId="77777777" w:rsidR="00041588" w:rsidRDefault="00041588" w:rsidP="00041588">
      <w:pPr>
        <w:jc w:val="both"/>
        <w:rPr>
          <w:color w:val="FF0000"/>
          <w:lang w:eastAsia="zh-CN"/>
        </w:rPr>
      </w:pPr>
    </w:p>
    <w:p w14:paraId="5E9A31D7" w14:textId="77777777" w:rsidR="00041588" w:rsidRDefault="00041588" w:rsidP="00041588">
      <w:pPr>
        <w:jc w:val="both"/>
        <w:rPr>
          <w:strike/>
          <w:color w:val="FF0000"/>
          <w:lang w:eastAsia="zh-CN"/>
        </w:rPr>
      </w:pPr>
      <w:r>
        <w:rPr>
          <w:color w:val="FF0000"/>
          <w:lang w:eastAsia="zh-CN"/>
        </w:rPr>
        <w:t xml:space="preserve">Special consideration should be given to negative human data as full dose-response information is generally not available.  For example, a negative result in an HRIPT or HMT at a low concentration may not allow for the conclusion that the substance does not have skin sensitising properties as such effect at a higher concentration may not be excluded.  In addition, negative human data should not necessarily be used to negate positive results from animal studies and/or defined </w:t>
      </w:r>
      <w:proofErr w:type="gramStart"/>
      <w:r>
        <w:rPr>
          <w:color w:val="FF0000"/>
          <w:lang w:eastAsia="zh-CN"/>
        </w:rPr>
        <w:t>approaches, but</w:t>
      </w:r>
      <w:proofErr w:type="gramEnd"/>
      <w:r>
        <w:rPr>
          <w:color w:val="FF0000"/>
          <w:lang w:eastAsia="zh-CN"/>
        </w:rPr>
        <w:t xml:space="preserve"> can be used as part of a weight of evidence. For both animal and human data, consideration should be given to the impact of the vehicle. </w:t>
      </w:r>
      <w:r>
        <w:rPr>
          <w:strike/>
          <w:color w:val="FF0000"/>
          <w:lang w:eastAsia="zh-CN"/>
        </w:rPr>
        <w:t xml:space="preserve">In case multiple </w:t>
      </w:r>
      <w:proofErr w:type="gramStart"/>
      <w:r>
        <w:rPr>
          <w:strike/>
          <w:color w:val="FF0000"/>
          <w:lang w:eastAsia="zh-CN"/>
        </w:rPr>
        <w:t>line</w:t>
      </w:r>
      <w:proofErr w:type="gramEnd"/>
      <w:r>
        <w:rPr>
          <w:strike/>
          <w:color w:val="FF0000"/>
          <w:lang w:eastAsia="zh-CN"/>
        </w:rPr>
        <w:t xml:space="preserve"> of evidence are available under Tier 1 and when good quality human data are available, and it can be assumed that the effects observed are not underestimated by the above mentioned factors, these should be given higher weight as this gives information directly relevant to the species of interest.</w:t>
      </w:r>
    </w:p>
    <w:p w14:paraId="5C76F8CB" w14:textId="77777777" w:rsidR="00041588" w:rsidRDefault="00041588" w:rsidP="00041588">
      <w:pPr>
        <w:jc w:val="both"/>
        <w:rPr>
          <w:color w:val="FF0000"/>
          <w:lang w:eastAsia="zh-CN"/>
        </w:rPr>
      </w:pPr>
      <w:r>
        <w:rPr>
          <w:color w:val="FF0000"/>
          <w:lang w:eastAsia="zh-CN"/>
        </w:rPr>
        <w:t xml:space="preserve"> </w:t>
      </w:r>
    </w:p>
    <w:p w14:paraId="5B336EF8" w14:textId="77777777" w:rsidR="00041588" w:rsidRDefault="00041588" w:rsidP="00041588">
      <w:pPr>
        <w:jc w:val="both"/>
        <w:rPr>
          <w:color w:val="FF0000"/>
          <w:lang w:val="en" w:eastAsia="zh-CN"/>
        </w:rPr>
      </w:pPr>
      <w:r>
        <w:rPr>
          <w:color w:val="FF0000"/>
          <w:lang w:val="en" w:eastAsia="zh-CN"/>
        </w:rPr>
        <w:t xml:space="preserve">For example, negative results from substances tested in a predictive patch test at DSA (dose per skin area) &lt; 500 </w:t>
      </w:r>
      <w:proofErr w:type="spellStart"/>
      <w:r>
        <w:rPr>
          <w:color w:val="FF0000"/>
          <w:lang w:val="en" w:eastAsia="zh-CN"/>
        </w:rPr>
        <w:t>μg</w:t>
      </w:r>
      <w:proofErr w:type="spellEnd"/>
      <w:r>
        <w:rPr>
          <w:color w:val="FF0000"/>
          <w:lang w:val="en" w:eastAsia="zh-CN"/>
        </w:rPr>
        <w:t>/cm</w:t>
      </w:r>
      <w:r>
        <w:rPr>
          <w:color w:val="FF0000"/>
          <w:vertAlign w:val="superscript"/>
          <w:lang w:val="en" w:eastAsia="zh-CN"/>
        </w:rPr>
        <w:t>2</w:t>
      </w:r>
      <w:r>
        <w:rPr>
          <w:color w:val="FF0000"/>
          <w:lang w:val="en" w:eastAsia="zh-CN"/>
        </w:rPr>
        <w:t xml:space="preserve"> imply that a classification for skin </w:t>
      </w:r>
      <w:proofErr w:type="spellStart"/>
      <w:r>
        <w:rPr>
          <w:color w:val="FF0000"/>
          <w:lang w:val="en" w:eastAsia="zh-CN"/>
        </w:rPr>
        <w:t>sensitisation</w:t>
      </w:r>
      <w:proofErr w:type="spellEnd"/>
      <w:r>
        <w:rPr>
          <w:color w:val="FF0000"/>
          <w:lang w:val="en" w:eastAsia="zh-CN"/>
        </w:rPr>
        <w:t xml:space="preserve"> might not be needed at all, however, classification as category 1A or 1B cannot be ruled, because the concentration tested was not high enough to exclude these possibilities. The same holds for test results for which it is unknown whether the test concentration corresponded to a DSA &lt; 500 </w:t>
      </w:r>
      <w:proofErr w:type="spellStart"/>
      <w:r>
        <w:rPr>
          <w:color w:val="FF0000"/>
          <w:lang w:val="en" w:eastAsia="zh-CN"/>
        </w:rPr>
        <w:t>μg</w:t>
      </w:r>
      <w:proofErr w:type="spellEnd"/>
      <w:r>
        <w:rPr>
          <w:color w:val="FF0000"/>
          <w:lang w:val="en" w:eastAsia="zh-CN"/>
        </w:rPr>
        <w:t>/cm</w:t>
      </w:r>
      <w:r>
        <w:rPr>
          <w:color w:val="FF0000"/>
          <w:vertAlign w:val="superscript"/>
          <w:lang w:val="en" w:eastAsia="zh-CN"/>
        </w:rPr>
        <w:t>2</w:t>
      </w:r>
      <w:r>
        <w:rPr>
          <w:color w:val="FF0000"/>
          <w:lang w:val="en" w:eastAsia="zh-CN"/>
        </w:rPr>
        <w:t xml:space="preserve"> Negative results from substances tested at DSA ≥ 500 </w:t>
      </w:r>
      <w:proofErr w:type="spellStart"/>
      <w:r>
        <w:rPr>
          <w:color w:val="FF0000"/>
          <w:lang w:val="en" w:eastAsia="zh-CN"/>
        </w:rPr>
        <w:t>μg</w:t>
      </w:r>
      <w:proofErr w:type="spellEnd"/>
      <w:r>
        <w:rPr>
          <w:color w:val="FF0000"/>
          <w:lang w:val="en" w:eastAsia="zh-CN"/>
        </w:rPr>
        <w:t>/cm</w:t>
      </w:r>
      <w:r>
        <w:rPr>
          <w:color w:val="FF0000"/>
          <w:vertAlign w:val="superscript"/>
          <w:lang w:val="en" w:eastAsia="zh-CN"/>
        </w:rPr>
        <w:t>2</w:t>
      </w:r>
      <w:r>
        <w:rPr>
          <w:color w:val="FF0000"/>
          <w:lang w:val="en" w:eastAsia="zh-CN"/>
        </w:rPr>
        <w:t xml:space="preserve"> suggest that classification might not be needed. but, while classification as category 1A can be ruled out, classification as category 1B cannot, because a higher test concentration might have resulted in a positive test result. However, a negative test result at a concentration of 100% would reliably indicate the absence of a need for classification (based on this test). </w:t>
      </w:r>
    </w:p>
    <w:p w14:paraId="5F34F729" w14:textId="77777777" w:rsidR="00041588" w:rsidRDefault="00041588" w:rsidP="00041588">
      <w:pPr>
        <w:jc w:val="both"/>
        <w:rPr>
          <w:color w:val="FF0000"/>
          <w:lang w:val="en" w:eastAsia="zh-CN"/>
        </w:rPr>
      </w:pPr>
    </w:p>
    <w:p w14:paraId="0DFABC49" w14:textId="77777777" w:rsidR="00041588" w:rsidRDefault="00041588" w:rsidP="00041588">
      <w:pPr>
        <w:jc w:val="both"/>
        <w:rPr>
          <w:color w:val="FF0000"/>
          <w:lang w:val="en" w:eastAsia="zh-CN"/>
        </w:rPr>
      </w:pPr>
      <w:r>
        <w:rPr>
          <w:color w:val="FF0000"/>
          <w:lang w:val="en" w:eastAsia="zh-CN"/>
        </w:rPr>
        <w:t>Can we say something about the risk of classifying substances as 1B as the criteria are fulfilled whereas 1A cannot be excluded?</w:t>
      </w:r>
    </w:p>
    <w:p w14:paraId="6715EE92" w14:textId="77777777" w:rsidR="00041588" w:rsidRPr="00C07EE8" w:rsidRDefault="00041588" w:rsidP="00041588">
      <w:pPr>
        <w:jc w:val="both"/>
        <w:rPr>
          <w:lang w:val="en"/>
        </w:rPr>
      </w:pPr>
    </w:p>
    <w:p w14:paraId="4F6E3DC4" w14:textId="77777777" w:rsidR="00041588" w:rsidRPr="00B96EA2" w:rsidRDefault="00041588" w:rsidP="00041588">
      <w:pPr>
        <w:jc w:val="both"/>
        <w:rPr>
          <w:color w:val="FF0000"/>
          <w:lang w:val="en" w:eastAsia="zh-CN"/>
        </w:rPr>
      </w:pPr>
    </w:p>
    <w:p w14:paraId="5344632A" w14:textId="77777777" w:rsidR="00041588" w:rsidRPr="007B42B8" w:rsidRDefault="00041588" w:rsidP="00041588">
      <w:pPr>
        <w:jc w:val="both"/>
        <w:rPr>
          <w:i/>
          <w:color w:val="FF0000"/>
          <w:lang w:eastAsia="zh-CN"/>
        </w:rPr>
      </w:pPr>
      <w:r w:rsidRPr="007B42B8">
        <w:rPr>
          <w:bCs/>
          <w:i/>
          <w:color w:val="FF0000"/>
          <w:lang w:eastAsia="zh-CN"/>
        </w:rPr>
        <w:t xml:space="preserve">3.4.5.3.3 </w:t>
      </w:r>
      <w:r w:rsidRPr="007B42B8">
        <w:rPr>
          <w:i/>
          <w:color w:val="FF0000"/>
          <w:lang w:eastAsia="zh-CN"/>
        </w:rPr>
        <w:t>Guidance on the use of animal data</w:t>
      </w:r>
    </w:p>
    <w:p w14:paraId="019D2FBB" w14:textId="77777777" w:rsidR="00041588" w:rsidRPr="000A7035" w:rsidRDefault="00041588" w:rsidP="00041588">
      <w:pPr>
        <w:pStyle w:val="paragraph"/>
        <w:spacing w:before="0" w:beforeAutospacing="0" w:after="0" w:afterAutospacing="0"/>
        <w:jc w:val="both"/>
        <w:textAlignment w:val="baseline"/>
        <w:rPr>
          <w:rFonts w:ascii="Segoe UI" w:hAnsi="Segoe UI" w:cs="Segoe UI"/>
          <w:sz w:val="18"/>
          <w:szCs w:val="18"/>
          <w:lang w:val="en-GB"/>
        </w:rPr>
      </w:pPr>
      <w:r>
        <w:rPr>
          <w:rStyle w:val="normaltextrun"/>
          <w:color w:val="FF0000"/>
          <w:sz w:val="20"/>
          <w:lang w:val="en-GB"/>
        </w:rPr>
        <w:t>When classification into sub-categories is required by a competent authority and data fulfil the criteria for Category 1B but Category 1A cannot be excluded, Category 1 should be applied instead of Category 1B. This is particularly important if only data are available from certain tests like the Buehler, the GPMT and the </w:t>
      </w:r>
      <w:proofErr w:type="spellStart"/>
      <w:r>
        <w:rPr>
          <w:rStyle w:val="spellingerror"/>
          <w:color w:val="FF0000"/>
          <w:sz w:val="20"/>
          <w:szCs w:val="20"/>
          <w:lang w:val="en-GB"/>
        </w:rPr>
        <w:t>rLLNA</w:t>
      </w:r>
      <w:proofErr w:type="spellEnd"/>
      <w:r>
        <w:rPr>
          <w:rStyle w:val="normaltextrun"/>
          <w:color w:val="FF0000"/>
          <w:sz w:val="20"/>
          <w:lang w:val="en-GB"/>
        </w:rPr>
        <w:t> showing a high response after exposure to a high concentration but where lower concentrations, which could show the presence of effects at lower doses which would fulfil the criteria for Category 1A, have not been tested (in line with some test protocols where only one maximised dose should be used). For example, if in a GPMT a response in 100% of the animals is observed after intradermal exposure to 2% the criteria for category 1B are fulfilled. However, a response above 60% after intradermal exposure to 1%, which would fulfil the criteria for Category 1A, cannot be excluded. Therefore, classification into Category 1 should be applied.</w:t>
      </w:r>
      <w:r w:rsidRPr="000A7035">
        <w:rPr>
          <w:rStyle w:val="eop"/>
          <w:sz w:val="20"/>
          <w:szCs w:val="20"/>
          <w:lang w:val="en-GB"/>
        </w:rPr>
        <w:t> </w:t>
      </w:r>
    </w:p>
    <w:p w14:paraId="063CDAE0" w14:textId="77777777" w:rsidR="00041588" w:rsidRPr="000A7035" w:rsidRDefault="00041588" w:rsidP="00041588">
      <w:pPr>
        <w:pStyle w:val="paragraph"/>
        <w:spacing w:before="0" w:beforeAutospacing="0" w:after="0" w:afterAutospacing="0"/>
        <w:jc w:val="both"/>
        <w:textAlignment w:val="baseline"/>
        <w:rPr>
          <w:rFonts w:ascii="Segoe UI" w:hAnsi="Segoe UI" w:cs="Segoe UI"/>
          <w:sz w:val="18"/>
          <w:szCs w:val="18"/>
          <w:lang w:val="en-GB"/>
        </w:rPr>
      </w:pPr>
      <w:r w:rsidRPr="000A7035">
        <w:rPr>
          <w:rStyle w:val="eop"/>
          <w:sz w:val="20"/>
          <w:szCs w:val="20"/>
          <w:lang w:val="en-GB"/>
        </w:rPr>
        <w:t> </w:t>
      </w:r>
    </w:p>
    <w:p w14:paraId="67A570DB" w14:textId="77777777" w:rsidR="00041588" w:rsidRPr="000A7035" w:rsidRDefault="00041588" w:rsidP="00041588">
      <w:pPr>
        <w:pStyle w:val="paragraph"/>
        <w:spacing w:before="0" w:beforeAutospacing="0" w:after="0" w:afterAutospacing="0"/>
        <w:jc w:val="both"/>
        <w:textAlignment w:val="baseline"/>
        <w:rPr>
          <w:rFonts w:ascii="Segoe UI" w:hAnsi="Segoe UI" w:cs="Segoe UI"/>
          <w:sz w:val="18"/>
          <w:szCs w:val="18"/>
          <w:lang w:val="en-GB"/>
        </w:rPr>
      </w:pPr>
      <w:r>
        <w:rPr>
          <w:rStyle w:val="normaltextrun"/>
          <w:color w:val="FF0000"/>
          <w:sz w:val="20"/>
          <w:lang w:val="en-GB"/>
        </w:rPr>
        <w:t>A positive result in a guinea pig test is defined as a score above zero according to the applicable grading scale such as the Magnusson and </w:t>
      </w:r>
      <w:proofErr w:type="spellStart"/>
      <w:r>
        <w:rPr>
          <w:rStyle w:val="spellingerror"/>
          <w:color w:val="FF0000"/>
          <w:sz w:val="20"/>
          <w:szCs w:val="20"/>
          <w:lang w:val="en-GB"/>
        </w:rPr>
        <w:t>Kligman</w:t>
      </w:r>
      <w:proofErr w:type="spellEnd"/>
      <w:r>
        <w:rPr>
          <w:rStyle w:val="normaltextrun"/>
          <w:color w:val="FF0000"/>
          <w:sz w:val="20"/>
          <w:lang w:val="en-GB"/>
        </w:rPr>
        <w:t> grading scale for OECD TG 406 at one or more of the two observations. A score of 0.5, which is sometimes reported, is therefore also considered a positive result.</w:t>
      </w:r>
      <w:r w:rsidRPr="000A7035">
        <w:rPr>
          <w:rStyle w:val="eop"/>
          <w:sz w:val="20"/>
          <w:szCs w:val="20"/>
          <w:lang w:val="en-GB"/>
        </w:rPr>
        <w:t> </w:t>
      </w:r>
    </w:p>
    <w:p w14:paraId="50E770B6" w14:textId="77777777" w:rsidR="00041588" w:rsidRPr="000A7035" w:rsidRDefault="00041588" w:rsidP="00041588">
      <w:pPr>
        <w:pStyle w:val="paragraph"/>
        <w:spacing w:before="0" w:beforeAutospacing="0" w:after="0" w:afterAutospacing="0"/>
        <w:jc w:val="both"/>
        <w:textAlignment w:val="baseline"/>
        <w:rPr>
          <w:rFonts w:ascii="Segoe UI" w:hAnsi="Segoe UI" w:cs="Segoe UI"/>
          <w:sz w:val="18"/>
          <w:szCs w:val="18"/>
          <w:lang w:val="en-GB"/>
        </w:rPr>
      </w:pPr>
      <w:r w:rsidRPr="000A7035">
        <w:rPr>
          <w:rStyle w:val="eop"/>
          <w:sz w:val="20"/>
          <w:szCs w:val="20"/>
          <w:lang w:val="en-GB"/>
        </w:rPr>
        <w:t> </w:t>
      </w:r>
    </w:p>
    <w:p w14:paraId="59DBC6F7" w14:textId="77777777" w:rsidR="00041588" w:rsidRPr="00673BBD" w:rsidRDefault="00041588" w:rsidP="00041588">
      <w:pPr>
        <w:pStyle w:val="paragraph"/>
        <w:spacing w:before="0" w:beforeAutospacing="0" w:after="0" w:afterAutospacing="0"/>
        <w:jc w:val="both"/>
        <w:textAlignment w:val="baseline"/>
        <w:rPr>
          <w:color w:val="FF0000"/>
          <w:sz w:val="20"/>
          <w:szCs w:val="20"/>
          <w:lang w:val="en-GB" w:eastAsia="zh-CN"/>
        </w:rPr>
      </w:pPr>
      <w:r>
        <w:rPr>
          <w:rStyle w:val="normaltextrun"/>
          <w:color w:val="FF0000"/>
          <w:sz w:val="20"/>
          <w:lang w:val="en-GB"/>
        </w:rPr>
        <w:t>When in guinea pig tests positive results are also observed in the control animals, a correction should be made to the number of responding animal in the test group based on the number responding in the control group corrected for group size using subtraction to determine whether the criteria are fulfilled. For example when in a GPMT a response is observed in 9 out of 20 test animals and 2 out of 10 control animals (meaning 4 out of 20 after correction for group size), the response rate is (9-4)</w:t>
      </w:r>
      <w:proofErr w:type="gramStart"/>
      <w:r>
        <w:rPr>
          <w:rStyle w:val="normaltextrun"/>
          <w:color w:val="FF0000"/>
          <w:sz w:val="20"/>
          <w:lang w:val="en-GB"/>
        </w:rPr>
        <w:t>/(</w:t>
      </w:r>
      <w:proofErr w:type="gramEnd"/>
      <w:r>
        <w:rPr>
          <w:rStyle w:val="normaltextrun"/>
          <w:color w:val="FF0000"/>
          <w:sz w:val="20"/>
          <w:lang w:val="en-GB"/>
        </w:rPr>
        <w:t>20-4) = 5/16 = 0.31 or 31%. This percentage of response would warrant classification. An alternative approach would be to base the correction on the percentage of responders which in this example would result in 45% - 20% = 25%. This percentage of response would not warrant classification. </w:t>
      </w:r>
    </w:p>
    <w:p w14:paraId="5F6CCB31" w14:textId="77777777" w:rsidR="00041588" w:rsidRDefault="00041588" w:rsidP="00041588">
      <w:pPr>
        <w:jc w:val="both"/>
        <w:rPr>
          <w:bCs/>
          <w:color w:val="FF0000"/>
          <w:lang w:eastAsia="zh-CN"/>
        </w:rPr>
      </w:pPr>
    </w:p>
    <w:p w14:paraId="6BBC125B" w14:textId="77777777" w:rsidR="00041588" w:rsidRPr="007B42B8" w:rsidRDefault="00041588" w:rsidP="00041588">
      <w:pPr>
        <w:jc w:val="both"/>
        <w:rPr>
          <w:color w:val="FF0000"/>
          <w:lang w:eastAsia="zh-CN"/>
        </w:rPr>
      </w:pPr>
      <w:r w:rsidRPr="007B42B8">
        <w:rPr>
          <w:bCs/>
          <w:color w:val="FF0000"/>
          <w:lang w:eastAsia="zh-CN"/>
        </w:rPr>
        <w:t>3.4.5.3.4</w:t>
      </w:r>
      <w:r w:rsidRPr="007B42B8">
        <w:rPr>
          <w:bCs/>
          <w:color w:val="FF0000"/>
          <w:lang w:eastAsia="zh-CN"/>
        </w:rPr>
        <w:tab/>
        <w:t xml:space="preserve"> </w:t>
      </w:r>
      <w:r w:rsidRPr="007B42B8">
        <w:rPr>
          <w:bCs/>
          <w:i/>
          <w:color w:val="FF0000"/>
          <w:lang w:eastAsia="zh-CN"/>
        </w:rPr>
        <w:t>Data from defined approaches</w:t>
      </w:r>
    </w:p>
    <w:p w14:paraId="29191B0E" w14:textId="77777777" w:rsidR="00041588" w:rsidRPr="007B42B8" w:rsidRDefault="00041588" w:rsidP="00041588">
      <w:pPr>
        <w:jc w:val="both"/>
        <w:rPr>
          <w:color w:val="FF0000"/>
          <w:lang w:eastAsia="zh-CN"/>
        </w:rPr>
      </w:pPr>
      <w:r w:rsidRPr="007B42B8">
        <w:rPr>
          <w:color w:val="FF0000"/>
          <w:lang w:eastAsia="zh-CN"/>
        </w:rPr>
        <w:t>Defined approaches validated according to international procedures and described in OECD Guideline 497 have been characterized for the level of confidence that can be assigned to the predictions based on the applicability domain of the individual information sources used and the data interpretation procedure (DIP) applied</w:t>
      </w:r>
      <w:r>
        <w:rPr>
          <w:color w:val="FF0000"/>
          <w:lang w:eastAsia="zh-CN"/>
        </w:rPr>
        <w:t xml:space="preserve"> (see Table 3.4.6)</w:t>
      </w:r>
      <w:r w:rsidRPr="007B42B8">
        <w:rPr>
          <w:color w:val="FF0000"/>
          <w:lang w:eastAsia="zh-CN"/>
        </w:rPr>
        <w:t xml:space="preserve">. </w:t>
      </w:r>
    </w:p>
    <w:p w14:paraId="432FB470" w14:textId="77777777" w:rsidR="00041588" w:rsidRPr="007B42B8" w:rsidRDefault="00041588" w:rsidP="00041588">
      <w:pPr>
        <w:jc w:val="both"/>
        <w:rPr>
          <w:color w:val="FF0000"/>
          <w:lang w:eastAsia="zh-CN"/>
        </w:rPr>
      </w:pPr>
      <w:r w:rsidRPr="007B42B8">
        <w:rPr>
          <w:color w:val="FF0000"/>
          <w:lang w:eastAsia="zh-CN"/>
        </w:rPr>
        <w:t xml:space="preserve">Other defined approaches under consideration but not yet validated according to international procedures and described in OECD Guidance Document 256 according to internationally agreed criteria for their reporting (OECD Guidance Document 255) may be accepted by some competent authorities. </w:t>
      </w:r>
    </w:p>
    <w:p w14:paraId="182A0A0D" w14:textId="77777777" w:rsidR="00041588" w:rsidRPr="007B42B8" w:rsidRDefault="00041588" w:rsidP="00041588">
      <w:pPr>
        <w:jc w:val="both"/>
        <w:rPr>
          <w:b/>
          <w:color w:val="FF0000"/>
          <w:lang w:eastAsia="zh-CN"/>
        </w:rPr>
      </w:pPr>
    </w:p>
    <w:p w14:paraId="1FD054A4" w14:textId="77777777" w:rsidR="00041588" w:rsidRPr="007B42B8" w:rsidRDefault="00041588" w:rsidP="00041588">
      <w:pPr>
        <w:jc w:val="both"/>
        <w:rPr>
          <w:bCs/>
          <w:color w:val="FF0000"/>
          <w:lang w:eastAsia="zh-CN"/>
        </w:rPr>
      </w:pPr>
      <w:r w:rsidRPr="007B42B8">
        <w:rPr>
          <w:bCs/>
          <w:color w:val="FF0000"/>
          <w:lang w:eastAsia="zh-CN"/>
        </w:rPr>
        <w:t>3.4.5.3.5</w:t>
      </w:r>
      <w:r w:rsidRPr="007B42B8">
        <w:rPr>
          <w:bCs/>
          <w:color w:val="FF0000"/>
          <w:lang w:eastAsia="zh-CN"/>
        </w:rPr>
        <w:tab/>
        <w:t xml:space="preserve"> Data from non-stand-alone in </w:t>
      </w:r>
      <w:proofErr w:type="spellStart"/>
      <w:r w:rsidRPr="007B42B8">
        <w:rPr>
          <w:bCs/>
          <w:i/>
          <w:iCs/>
          <w:color w:val="FF0000"/>
          <w:lang w:eastAsia="zh-CN"/>
        </w:rPr>
        <w:t>chemico</w:t>
      </w:r>
      <w:proofErr w:type="spellEnd"/>
      <w:r w:rsidRPr="007B42B8">
        <w:rPr>
          <w:bCs/>
          <w:i/>
          <w:iCs/>
          <w:color w:val="FF0000"/>
          <w:lang w:eastAsia="zh-CN"/>
        </w:rPr>
        <w:t>/in vitro</w:t>
      </w:r>
      <w:r w:rsidRPr="007B42B8">
        <w:rPr>
          <w:bCs/>
          <w:color w:val="FF0000"/>
          <w:lang w:eastAsia="zh-CN"/>
        </w:rPr>
        <w:t xml:space="preserve"> methods</w:t>
      </w:r>
    </w:p>
    <w:p w14:paraId="164BC8BC" w14:textId="77777777" w:rsidR="00041588" w:rsidRPr="007B42B8" w:rsidRDefault="00041588" w:rsidP="00041588">
      <w:pPr>
        <w:jc w:val="both"/>
        <w:rPr>
          <w:color w:val="FF0000"/>
          <w:lang w:eastAsia="zh-CN"/>
        </w:rPr>
      </w:pPr>
      <w:r w:rsidRPr="007B42B8">
        <w:rPr>
          <w:color w:val="FF0000"/>
          <w:lang w:eastAsia="zh-CN"/>
        </w:rPr>
        <w:t xml:space="preserve">Individual </w:t>
      </w:r>
      <w:r w:rsidRPr="00E34231">
        <w:rPr>
          <w:i/>
          <w:color w:val="FF0000"/>
          <w:lang w:eastAsia="zh-CN"/>
        </w:rPr>
        <w:t>in</w:t>
      </w:r>
      <w:r w:rsidRPr="007B42B8">
        <w:rPr>
          <w:color w:val="FF0000"/>
          <w:lang w:eastAsia="zh-CN"/>
        </w:rPr>
        <w:t xml:space="preserve"> </w:t>
      </w:r>
      <w:proofErr w:type="spellStart"/>
      <w:r w:rsidRPr="007B42B8">
        <w:rPr>
          <w:i/>
          <w:iCs/>
          <w:color w:val="FF0000"/>
          <w:lang w:eastAsia="zh-CN"/>
        </w:rPr>
        <w:t>chemico</w:t>
      </w:r>
      <w:proofErr w:type="spellEnd"/>
      <w:r w:rsidRPr="007B42B8">
        <w:rPr>
          <w:i/>
          <w:iCs/>
          <w:color w:val="FF0000"/>
          <w:lang w:eastAsia="zh-CN"/>
        </w:rPr>
        <w:t>/in vitro</w:t>
      </w:r>
      <w:r w:rsidRPr="007B42B8">
        <w:rPr>
          <w:color w:val="FF0000"/>
          <w:lang w:eastAsia="zh-CN"/>
        </w:rPr>
        <w:t xml:space="preserve"> methods such as those reported in OECD Test Guidelines 442C, 442D and 442E, due to the limited mechanistic coverage, cannot be used on their own to conclude on Category 1 or no classification according to the criteria defined in table 3.4.5 and further data are n</w:t>
      </w:r>
      <w:r>
        <w:rPr>
          <w:color w:val="FF0000"/>
          <w:lang w:eastAsia="zh-CN"/>
        </w:rPr>
        <w:t>ecessary for classification in T</w:t>
      </w:r>
      <w:r w:rsidRPr="007B42B8">
        <w:rPr>
          <w:color w:val="FF0000"/>
          <w:lang w:eastAsia="zh-CN"/>
        </w:rPr>
        <w:t>ier 2. In addition, although some of these methods provides quantitative information, these cannot be used for the purposes of subcategorization into sub-category 1A and subcategory 1B since the criteria have not been validated according to international procedure. Nevertheless, such quantitative information may be accepted by a competent authority when used in weight-of-evidence under Tier 2 for the purpose of subcategorization.</w:t>
      </w:r>
    </w:p>
    <w:p w14:paraId="74608DC4" w14:textId="77777777" w:rsidR="00041588" w:rsidRPr="007B42B8" w:rsidRDefault="00041588" w:rsidP="00041588">
      <w:pPr>
        <w:jc w:val="both"/>
        <w:rPr>
          <w:color w:val="FF0000"/>
          <w:lang w:eastAsia="zh-CN"/>
        </w:rPr>
      </w:pPr>
    </w:p>
    <w:p w14:paraId="372B7E42" w14:textId="77777777" w:rsidR="00041588" w:rsidRPr="007B42B8" w:rsidRDefault="00041588" w:rsidP="00041588">
      <w:pPr>
        <w:jc w:val="both"/>
        <w:rPr>
          <w:bCs/>
          <w:color w:val="FF0000"/>
          <w:lang w:eastAsia="zh-CN"/>
        </w:rPr>
      </w:pPr>
      <w:r w:rsidRPr="007B42B8">
        <w:rPr>
          <w:bCs/>
          <w:color w:val="FF0000"/>
          <w:lang w:eastAsia="zh-CN"/>
        </w:rPr>
        <w:t>3.4.5.3.6</w:t>
      </w:r>
      <w:r w:rsidRPr="007B42B8">
        <w:rPr>
          <w:bCs/>
          <w:color w:val="FF0000"/>
          <w:lang w:eastAsia="zh-CN"/>
        </w:rPr>
        <w:tab/>
        <w:t xml:space="preserve"> Non-standard data</w:t>
      </w:r>
    </w:p>
    <w:p w14:paraId="1A976CBE" w14:textId="77777777" w:rsidR="00041588" w:rsidRPr="007B42B8" w:rsidRDefault="00041588" w:rsidP="00041588">
      <w:pPr>
        <w:jc w:val="both"/>
        <w:rPr>
          <w:color w:val="FF0000"/>
          <w:lang w:eastAsia="zh-CN"/>
        </w:rPr>
      </w:pPr>
      <w:r w:rsidRPr="007B42B8">
        <w:rPr>
          <w:color w:val="FF0000"/>
          <w:lang w:eastAsia="zh-CN"/>
        </w:rPr>
        <w:t xml:space="preserve">Validated but not yet adopted </w:t>
      </w:r>
      <w:r w:rsidRPr="00E34231">
        <w:rPr>
          <w:i/>
          <w:color w:val="FF0000"/>
          <w:lang w:eastAsia="zh-CN"/>
        </w:rPr>
        <w:t>in</w:t>
      </w:r>
      <w:r w:rsidRPr="007B42B8">
        <w:rPr>
          <w:color w:val="FF0000"/>
          <w:lang w:eastAsia="zh-CN"/>
        </w:rPr>
        <w:t xml:space="preserve"> </w:t>
      </w:r>
      <w:proofErr w:type="spellStart"/>
      <w:r w:rsidRPr="00E34231">
        <w:rPr>
          <w:i/>
          <w:iCs/>
          <w:color w:val="FF0000"/>
          <w:lang w:eastAsia="zh-CN"/>
        </w:rPr>
        <w:t>chemico</w:t>
      </w:r>
      <w:proofErr w:type="spellEnd"/>
      <w:r w:rsidRPr="00E34231">
        <w:rPr>
          <w:i/>
          <w:iCs/>
          <w:color w:val="FF0000"/>
          <w:lang w:eastAsia="zh-CN"/>
        </w:rPr>
        <w:t>/in vitro</w:t>
      </w:r>
      <w:r w:rsidRPr="007B42B8">
        <w:rPr>
          <w:color w:val="FF0000"/>
          <w:lang w:eastAsia="zh-CN"/>
        </w:rPr>
        <w:t xml:space="preserve"> methods such as those reported under 3.4.5.3.</w:t>
      </w:r>
      <w:r>
        <w:rPr>
          <w:color w:val="FF0000"/>
          <w:lang w:eastAsia="zh-CN"/>
        </w:rPr>
        <w:t>6</w:t>
      </w:r>
      <w:r w:rsidRPr="007B42B8">
        <w:rPr>
          <w:color w:val="FF0000"/>
          <w:lang w:eastAsia="zh-CN"/>
        </w:rPr>
        <w:t xml:space="preserve">.1 as well as </w:t>
      </w:r>
      <w:r w:rsidRPr="007B42B8">
        <w:rPr>
          <w:i/>
          <w:iCs/>
          <w:color w:val="FF0000"/>
          <w:lang w:eastAsia="zh-CN"/>
        </w:rPr>
        <w:t>in vivo</w:t>
      </w:r>
      <w:r w:rsidRPr="007B42B8">
        <w:rPr>
          <w:color w:val="FF0000"/>
          <w:lang w:eastAsia="zh-CN"/>
        </w:rPr>
        <w:t xml:space="preserve"> test methods which do not comply with internationally agreed guidelines for the identification of skin sensitisers or assessment of skin sensitising potency may provide supportive evidence when used in an overall weight-of-evidence assessment (</w:t>
      </w:r>
      <w:proofErr w:type="gramStart"/>
      <w:r w:rsidRPr="007B42B8">
        <w:rPr>
          <w:color w:val="FF0000"/>
          <w:lang w:eastAsia="zh-CN"/>
        </w:rPr>
        <w:t>i.e.</w:t>
      </w:r>
      <w:proofErr w:type="gramEnd"/>
      <w:r w:rsidRPr="007B42B8">
        <w:rPr>
          <w:color w:val="FF0000"/>
          <w:lang w:eastAsia="zh-CN"/>
        </w:rPr>
        <w:t xml:space="preserve"> Tier 3). </w:t>
      </w:r>
    </w:p>
    <w:p w14:paraId="3E33626E" w14:textId="77777777" w:rsidR="00041588" w:rsidRPr="007B42B8" w:rsidRDefault="00041588" w:rsidP="00041588">
      <w:pPr>
        <w:jc w:val="both"/>
        <w:rPr>
          <w:color w:val="FF0000"/>
          <w:lang w:eastAsia="zh-CN"/>
        </w:rPr>
      </w:pPr>
    </w:p>
    <w:p w14:paraId="5453F2A5" w14:textId="77777777" w:rsidR="00041588" w:rsidRPr="007B42B8" w:rsidRDefault="00041588" w:rsidP="00041588">
      <w:pPr>
        <w:jc w:val="both"/>
        <w:rPr>
          <w:color w:val="FF0000"/>
          <w:lang w:eastAsia="zh-CN"/>
        </w:rPr>
      </w:pPr>
      <w:r w:rsidRPr="007B42B8">
        <w:rPr>
          <w:color w:val="FF0000"/>
          <w:lang w:eastAsia="zh-CN"/>
        </w:rPr>
        <w:t>3.4.5.3.</w:t>
      </w:r>
      <w:r>
        <w:rPr>
          <w:color w:val="FF0000"/>
          <w:lang w:eastAsia="zh-CN"/>
        </w:rPr>
        <w:t>6</w:t>
      </w:r>
      <w:r w:rsidRPr="007B42B8">
        <w:rPr>
          <w:color w:val="FF0000"/>
          <w:lang w:eastAsia="zh-CN"/>
        </w:rPr>
        <w:t>.1</w:t>
      </w:r>
      <w:r w:rsidRPr="007B42B8">
        <w:rPr>
          <w:color w:val="FF0000"/>
          <w:lang w:eastAsia="zh-CN"/>
        </w:rPr>
        <w:tab/>
        <w:t xml:space="preserve"> A non-exhaustive list of other validated </w:t>
      </w:r>
      <w:r w:rsidRPr="00141286">
        <w:rPr>
          <w:i/>
          <w:color w:val="FF0000"/>
          <w:lang w:eastAsia="zh-CN"/>
        </w:rPr>
        <w:t>in</w:t>
      </w:r>
      <w:r w:rsidRPr="007B42B8">
        <w:rPr>
          <w:color w:val="FF0000"/>
          <w:lang w:eastAsia="zh-CN"/>
        </w:rPr>
        <w:t xml:space="preserve"> </w:t>
      </w:r>
      <w:proofErr w:type="spellStart"/>
      <w:r w:rsidRPr="007B42B8">
        <w:rPr>
          <w:i/>
          <w:iCs/>
          <w:color w:val="FF0000"/>
          <w:lang w:eastAsia="zh-CN"/>
        </w:rPr>
        <w:t>chemico</w:t>
      </w:r>
      <w:proofErr w:type="spellEnd"/>
      <w:r w:rsidRPr="007B42B8">
        <w:rPr>
          <w:i/>
          <w:iCs/>
          <w:color w:val="FF0000"/>
          <w:lang w:eastAsia="zh-CN"/>
        </w:rPr>
        <w:t>/in vitro</w:t>
      </w:r>
      <w:r w:rsidRPr="007B42B8">
        <w:rPr>
          <w:color w:val="FF0000"/>
          <w:lang w:eastAsia="zh-CN"/>
        </w:rPr>
        <w:t xml:space="preserve"> test methods accepted by some competent authorities but not adopted as OECD test Guidelines is provided below. A competent authority may decide which classification criteria, if any, should be applied for these test methods:</w:t>
      </w:r>
    </w:p>
    <w:p w14:paraId="3390983B" w14:textId="77777777" w:rsidR="00041588" w:rsidRPr="007B42B8" w:rsidRDefault="00041588" w:rsidP="00041588">
      <w:pPr>
        <w:jc w:val="both"/>
        <w:rPr>
          <w:color w:val="FF0000"/>
          <w:lang w:eastAsia="zh-CN"/>
        </w:rPr>
      </w:pPr>
    </w:p>
    <w:p w14:paraId="4D2CE5AD" w14:textId="77777777" w:rsidR="00041588" w:rsidRPr="0016342D" w:rsidRDefault="00041588" w:rsidP="00041588">
      <w:pPr>
        <w:numPr>
          <w:ilvl w:val="0"/>
          <w:numId w:val="32"/>
        </w:numPr>
        <w:suppressAutoHyphens w:val="0"/>
        <w:spacing w:line="240" w:lineRule="auto"/>
        <w:jc w:val="both"/>
        <w:rPr>
          <w:strike/>
          <w:color w:val="FF0000"/>
          <w:lang w:eastAsia="zh-CN"/>
        </w:rPr>
      </w:pPr>
      <w:r w:rsidRPr="0016342D">
        <w:rPr>
          <w:strike/>
          <w:color w:val="FF0000"/>
          <w:lang w:eastAsia="zh-CN"/>
        </w:rPr>
        <w:t>The Genomic Allergen Rapid Detection (GARD) is a transcriptomics-based </w:t>
      </w:r>
      <w:r w:rsidRPr="0016342D">
        <w:rPr>
          <w:i/>
          <w:iCs/>
          <w:strike/>
          <w:color w:val="FF0000"/>
          <w:lang w:eastAsia="zh-CN"/>
        </w:rPr>
        <w:t>in vitro</w:t>
      </w:r>
      <w:r w:rsidRPr="0016342D">
        <w:rPr>
          <w:strike/>
          <w:color w:val="FF0000"/>
          <w:lang w:eastAsia="zh-CN"/>
        </w:rPr>
        <w:t xml:space="preserve"> assay addressing the third key event of the skin sensitisation Adverse Outcome Pathway (activation of dendritic cells) (Johansson et al., 2011; Johansson et al., 2014; Johansson et al., 2017; </w:t>
      </w:r>
      <w:proofErr w:type="spellStart"/>
      <w:r w:rsidRPr="0016342D">
        <w:rPr>
          <w:strike/>
          <w:color w:val="FF0000"/>
          <w:lang w:eastAsia="zh-CN"/>
        </w:rPr>
        <w:t>Corsini</w:t>
      </w:r>
      <w:proofErr w:type="spellEnd"/>
      <w:r w:rsidRPr="0016342D">
        <w:rPr>
          <w:strike/>
          <w:color w:val="FF0000"/>
          <w:lang w:eastAsia="zh-CN"/>
        </w:rPr>
        <w:t xml:space="preserve"> et al., 2021)</w:t>
      </w:r>
    </w:p>
    <w:p w14:paraId="4E73FA4F" w14:textId="77777777" w:rsidR="00041588" w:rsidRPr="007B42B8" w:rsidRDefault="00041588" w:rsidP="00041588">
      <w:pPr>
        <w:jc w:val="both"/>
        <w:rPr>
          <w:color w:val="FF0000"/>
          <w:lang w:eastAsia="zh-CN"/>
        </w:rPr>
      </w:pPr>
    </w:p>
    <w:p w14:paraId="52568815" w14:textId="77777777" w:rsidR="00041588" w:rsidRPr="0016342D" w:rsidRDefault="00041588" w:rsidP="00041588">
      <w:pPr>
        <w:numPr>
          <w:ilvl w:val="0"/>
          <w:numId w:val="32"/>
        </w:numPr>
        <w:suppressAutoHyphens w:val="0"/>
        <w:spacing w:line="240" w:lineRule="auto"/>
        <w:jc w:val="both"/>
        <w:rPr>
          <w:color w:val="FF0000"/>
          <w:lang w:eastAsia="zh-CN"/>
        </w:rPr>
      </w:pPr>
      <w:r w:rsidRPr="0016342D">
        <w:rPr>
          <w:color w:val="FF0000"/>
          <w:lang w:eastAsia="zh-CN"/>
        </w:rPr>
        <w:t xml:space="preserve">The </w:t>
      </w:r>
      <w:proofErr w:type="spellStart"/>
      <w:r w:rsidRPr="0016342D">
        <w:rPr>
          <w:color w:val="FF0000"/>
          <w:lang w:eastAsia="zh-CN"/>
        </w:rPr>
        <w:t>GARDpotency</w:t>
      </w:r>
      <w:proofErr w:type="spellEnd"/>
      <w:r w:rsidRPr="0016342D">
        <w:rPr>
          <w:color w:val="FF0000"/>
          <w:lang w:eastAsia="zh-CN"/>
        </w:rPr>
        <w:t xml:space="preserve"> is a transcriptomics-based </w:t>
      </w:r>
      <w:r w:rsidRPr="0016342D">
        <w:rPr>
          <w:i/>
          <w:iCs/>
          <w:color w:val="FF0000"/>
          <w:lang w:eastAsia="zh-CN"/>
        </w:rPr>
        <w:t>in vitro</w:t>
      </w:r>
      <w:r w:rsidRPr="0016342D">
        <w:rPr>
          <w:color w:val="FF0000"/>
          <w:lang w:eastAsia="zh-CN"/>
        </w:rPr>
        <w:t> assay addressing the third key event of the skin sensitisation Adverse Outcome Pathway (activation of dendritic cells)</w:t>
      </w:r>
      <w:r>
        <w:rPr>
          <w:color w:val="FF0000"/>
          <w:lang w:eastAsia="zh-CN"/>
        </w:rPr>
        <w:t xml:space="preserve"> </w:t>
      </w:r>
      <w:proofErr w:type="gramStart"/>
      <w:r w:rsidRPr="0016342D">
        <w:rPr>
          <w:color w:val="FF0000"/>
          <w:lang w:eastAsia="zh-CN"/>
        </w:rPr>
        <w:t>similar to</w:t>
      </w:r>
      <w:proofErr w:type="gramEnd"/>
      <w:r w:rsidRPr="0016342D">
        <w:rPr>
          <w:color w:val="FF0000"/>
          <w:lang w:eastAsia="zh-CN"/>
        </w:rPr>
        <w:t xml:space="preserve"> the </w:t>
      </w:r>
      <w:proofErr w:type="spellStart"/>
      <w:r w:rsidRPr="0016342D">
        <w:rPr>
          <w:color w:val="FF0000"/>
          <w:lang w:eastAsia="zh-CN"/>
        </w:rPr>
        <w:t>GARD</w:t>
      </w:r>
      <w:r>
        <w:rPr>
          <w:color w:val="FF0000"/>
          <w:lang w:eastAsia="zh-CN"/>
        </w:rPr>
        <w:t>skin</w:t>
      </w:r>
      <w:proofErr w:type="spellEnd"/>
      <w:r w:rsidRPr="0016342D">
        <w:rPr>
          <w:color w:val="FF0000"/>
          <w:lang w:eastAsia="zh-CN"/>
        </w:rPr>
        <w:t xml:space="preserve"> but uses a different gene signature that provides sub-categorization of skin sensitisers (Gradin et al., 2020; Zeller et al., 2017; </w:t>
      </w:r>
      <w:proofErr w:type="spellStart"/>
      <w:r w:rsidRPr="0016342D">
        <w:rPr>
          <w:color w:val="FF0000"/>
          <w:lang w:eastAsia="zh-CN"/>
        </w:rPr>
        <w:t>Corsini</w:t>
      </w:r>
      <w:proofErr w:type="spellEnd"/>
      <w:r w:rsidRPr="0016342D">
        <w:rPr>
          <w:color w:val="FF0000"/>
          <w:lang w:eastAsia="zh-CN"/>
        </w:rPr>
        <w:t xml:space="preserve"> et al. 2021)</w:t>
      </w:r>
    </w:p>
    <w:p w14:paraId="5CAF703C" w14:textId="77777777" w:rsidR="00041588" w:rsidRPr="007B42B8" w:rsidRDefault="00041588" w:rsidP="00041588">
      <w:pPr>
        <w:jc w:val="both"/>
        <w:rPr>
          <w:color w:val="FF0000"/>
          <w:lang w:eastAsia="zh-CN"/>
        </w:rPr>
      </w:pPr>
    </w:p>
    <w:p w14:paraId="51718922" w14:textId="77777777" w:rsidR="00041588" w:rsidRPr="007B42B8" w:rsidRDefault="00041588" w:rsidP="00041588">
      <w:pPr>
        <w:numPr>
          <w:ilvl w:val="0"/>
          <w:numId w:val="32"/>
        </w:numPr>
        <w:suppressAutoHyphens w:val="0"/>
        <w:spacing w:line="240" w:lineRule="auto"/>
        <w:jc w:val="both"/>
        <w:rPr>
          <w:color w:val="FF0000"/>
          <w:lang w:eastAsia="zh-CN"/>
        </w:rPr>
      </w:pPr>
      <w:r w:rsidRPr="007B42B8">
        <w:rPr>
          <w:color w:val="FF0000"/>
          <w:lang w:eastAsia="zh-CN"/>
        </w:rPr>
        <w:t>The SENS-IS assay is a genomic approach applied to a Reconstructed Human Epidermis (RHE) (</w:t>
      </w:r>
      <w:proofErr w:type="spellStart"/>
      <w:r w:rsidRPr="007B42B8">
        <w:rPr>
          <w:color w:val="FF0000"/>
          <w:lang w:eastAsia="zh-CN"/>
        </w:rPr>
        <w:t>Cottrez</w:t>
      </w:r>
      <w:proofErr w:type="spellEnd"/>
      <w:r w:rsidRPr="007B42B8">
        <w:rPr>
          <w:color w:val="FF0000"/>
          <w:lang w:eastAsia="zh-CN"/>
        </w:rPr>
        <w:t xml:space="preserve"> et al., 2015; </w:t>
      </w:r>
      <w:proofErr w:type="spellStart"/>
      <w:r w:rsidRPr="007B42B8">
        <w:rPr>
          <w:color w:val="FF0000"/>
          <w:lang w:eastAsia="zh-CN"/>
        </w:rPr>
        <w:t>Cottrez</w:t>
      </w:r>
      <w:proofErr w:type="spellEnd"/>
      <w:r w:rsidRPr="007B42B8">
        <w:rPr>
          <w:color w:val="FF0000"/>
          <w:lang w:eastAsia="zh-CN"/>
        </w:rPr>
        <w:t xml:space="preserve"> et al., 2016).</w:t>
      </w:r>
    </w:p>
    <w:p w14:paraId="0BA6C74E" w14:textId="77777777" w:rsidR="00041588" w:rsidRPr="00367C74" w:rsidRDefault="00041588" w:rsidP="00041588">
      <w:pPr>
        <w:ind w:left="720"/>
        <w:jc w:val="both"/>
        <w:rPr>
          <w:color w:val="FF0000"/>
          <w:lang w:eastAsia="zh-CN"/>
        </w:rPr>
      </w:pPr>
    </w:p>
    <w:p w14:paraId="1838A8AC" w14:textId="77777777" w:rsidR="00041588" w:rsidRPr="00367C74" w:rsidRDefault="00041588" w:rsidP="00041588">
      <w:pPr>
        <w:numPr>
          <w:ilvl w:val="0"/>
          <w:numId w:val="32"/>
        </w:numPr>
        <w:suppressAutoHyphens w:val="0"/>
        <w:spacing w:line="240" w:lineRule="auto"/>
        <w:jc w:val="both"/>
        <w:rPr>
          <w:color w:val="FF0000"/>
          <w:lang w:eastAsia="zh-CN"/>
        </w:rPr>
        <w:sectPr w:rsidR="00041588" w:rsidRPr="00367C74" w:rsidSect="00DE790E">
          <w:headerReference w:type="even" r:id="rId15"/>
          <w:headerReference w:type="default" r:id="rId16"/>
          <w:footerReference w:type="even" r:id="rId17"/>
          <w:footerReference w:type="default" r:id="rId18"/>
          <w:headerReference w:type="first" r:id="rId19"/>
          <w:endnotePr>
            <w:numFmt w:val="decimal"/>
          </w:endnotePr>
          <w:pgSz w:w="11906" w:h="16838" w:code="9"/>
          <w:pgMar w:top="1418" w:right="1134" w:bottom="1134" w:left="1134" w:header="851" w:footer="567" w:gutter="0"/>
          <w:cols w:space="708"/>
          <w:titlePg/>
          <w:docGrid w:linePitch="360"/>
        </w:sectPr>
      </w:pPr>
      <w:r w:rsidRPr="00367C74">
        <w:rPr>
          <w:color w:val="FF0000"/>
          <w:lang w:eastAsia="zh-CN"/>
        </w:rPr>
        <w:t>The Epidermal Sensitization Assay (</w:t>
      </w:r>
      <w:proofErr w:type="spellStart"/>
      <w:r w:rsidRPr="00367C74">
        <w:rPr>
          <w:color w:val="FF0000"/>
          <w:lang w:eastAsia="zh-CN"/>
        </w:rPr>
        <w:t>EpisensA</w:t>
      </w:r>
      <w:proofErr w:type="spellEnd"/>
      <w:r w:rsidRPr="00367C74">
        <w:rPr>
          <w:color w:val="FF0000"/>
          <w:lang w:eastAsia="zh-CN"/>
        </w:rPr>
        <w:t>) is based on the measurement of the upregulation of four genes   in a reconstructed human epidermis (</w:t>
      </w:r>
      <w:proofErr w:type="spellStart"/>
      <w:r w:rsidRPr="00367C74">
        <w:rPr>
          <w:color w:val="FF0000"/>
          <w:lang w:eastAsia="zh-CN"/>
        </w:rPr>
        <w:t>RhE</w:t>
      </w:r>
      <w:proofErr w:type="spellEnd"/>
      <w:r w:rsidRPr="00367C74">
        <w:rPr>
          <w:color w:val="FF0000"/>
          <w:lang w:eastAsia="zh-CN"/>
        </w:rPr>
        <w:t>) to discriminate between sensitisers and non-sensitisers (Saito et al., 2017).</w:t>
      </w:r>
    </w:p>
    <w:p w14:paraId="2010D2A7" w14:textId="77777777" w:rsidR="003A3BBF" w:rsidRPr="00ED7283" w:rsidRDefault="003A3BBF" w:rsidP="003A3BBF">
      <w:pPr>
        <w:jc w:val="center"/>
        <w:rPr>
          <w:b/>
          <w:color w:val="FF0000"/>
          <w:sz w:val="28"/>
          <w:szCs w:val="28"/>
        </w:rPr>
      </w:pPr>
      <w:r w:rsidRPr="0008739A">
        <w:rPr>
          <w:b/>
          <w:color w:val="FF0000"/>
          <w:sz w:val="28"/>
          <w:szCs w:val="28"/>
        </w:rPr>
        <w:t>Table 3.4.</w:t>
      </w:r>
      <w:r w:rsidRPr="00DC08EE">
        <w:rPr>
          <w:b/>
          <w:color w:val="FF0000"/>
          <w:sz w:val="28"/>
          <w:szCs w:val="28"/>
        </w:rPr>
        <w:t>7</w:t>
      </w:r>
      <w:r>
        <w:rPr>
          <w:b/>
          <w:color w:val="FF0000"/>
          <w:sz w:val="28"/>
          <w:szCs w:val="28"/>
        </w:rPr>
        <w:t>:</w:t>
      </w:r>
      <w:r w:rsidRPr="0008739A">
        <w:rPr>
          <w:b/>
          <w:color w:val="FF0000"/>
          <w:sz w:val="28"/>
          <w:szCs w:val="28"/>
        </w:rPr>
        <w:t xml:space="preserve"> </w:t>
      </w:r>
      <w:r w:rsidRPr="00ED7283">
        <w:rPr>
          <w:b/>
          <w:color w:val="FF0000"/>
          <w:sz w:val="28"/>
          <w:szCs w:val="28"/>
        </w:rPr>
        <w:t>Criteria for defined approa</w:t>
      </w:r>
      <w:r>
        <w:rPr>
          <w:b/>
          <w:color w:val="FF0000"/>
          <w:sz w:val="28"/>
          <w:szCs w:val="28"/>
        </w:rPr>
        <w:t>ches</w:t>
      </w:r>
    </w:p>
    <w:p w14:paraId="296644DE" w14:textId="3BD37466" w:rsidR="0062434E" w:rsidRDefault="0062434E">
      <w:pPr>
        <w:suppressAutoHyphens w:val="0"/>
        <w:spacing w:line="240" w:lineRule="auto"/>
      </w:pPr>
    </w:p>
    <w:tbl>
      <w:tblPr>
        <w:tblW w:w="12643"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2"/>
        <w:gridCol w:w="6050"/>
        <w:gridCol w:w="5531"/>
      </w:tblGrid>
      <w:tr w:rsidR="00105C37" w:rsidRPr="00105C37" w14:paraId="2EA2A7C0" w14:textId="77777777" w:rsidTr="0069132F">
        <w:trPr>
          <w:trHeight w:val="1387"/>
        </w:trPr>
        <w:tc>
          <w:tcPr>
            <w:tcW w:w="1062"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FAC571" w14:textId="77777777" w:rsidR="00105C37" w:rsidRPr="00105C37" w:rsidRDefault="00105C37" w:rsidP="00105C37">
            <w:pPr>
              <w:spacing w:before="40" w:after="40" w:line="180" w:lineRule="exact"/>
              <w:contextualSpacing/>
              <w:rPr>
                <w:b/>
                <w:color w:val="FF0000"/>
                <w:sz w:val="14"/>
                <w:szCs w:val="14"/>
              </w:rPr>
            </w:pPr>
            <w:r w:rsidRPr="00105C37">
              <w:rPr>
                <w:b/>
                <w:color w:val="FF0000"/>
                <w:sz w:val="14"/>
                <w:szCs w:val="14"/>
              </w:rPr>
              <w:t>Category</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7756CFF" w14:textId="77777777" w:rsidR="00105C37" w:rsidRPr="00105C37" w:rsidRDefault="00105C37" w:rsidP="00105C37">
            <w:pPr>
              <w:autoSpaceDE w:val="0"/>
              <w:autoSpaceDN w:val="0"/>
              <w:adjustRightInd w:val="0"/>
              <w:spacing w:line="260" w:lineRule="atLeast"/>
              <w:jc w:val="center"/>
              <w:rPr>
                <w:b/>
                <w:color w:val="FF0000"/>
                <w:sz w:val="16"/>
                <w:szCs w:val="16"/>
              </w:rPr>
            </w:pPr>
            <w:r w:rsidRPr="00105C37">
              <w:rPr>
                <w:b/>
                <w:color w:val="FF0000"/>
                <w:sz w:val="16"/>
                <w:szCs w:val="16"/>
              </w:rPr>
              <w:t>OECD GL 497 on Defined Approaches for Skin Sensitisation</w:t>
            </w:r>
          </w:p>
          <w:p w14:paraId="7EE350AB" w14:textId="77777777" w:rsidR="00105C37" w:rsidRPr="00105C37" w:rsidRDefault="00105C37" w:rsidP="00105C37">
            <w:pPr>
              <w:autoSpaceDE w:val="0"/>
              <w:autoSpaceDN w:val="0"/>
              <w:adjustRightInd w:val="0"/>
              <w:spacing w:line="260" w:lineRule="atLeast"/>
              <w:jc w:val="center"/>
              <w:rPr>
                <w:b/>
                <w:color w:val="FF0000"/>
                <w:sz w:val="16"/>
                <w:szCs w:val="16"/>
              </w:rPr>
            </w:pPr>
            <w:r w:rsidRPr="00105C37">
              <w:rPr>
                <w:b/>
                <w:color w:val="FF0000"/>
                <w:sz w:val="16"/>
                <w:szCs w:val="16"/>
              </w:rPr>
              <w:t xml:space="preserve">“2 out of 3" (2o3) defined approach </w:t>
            </w:r>
            <w:r w:rsidRPr="00105C37">
              <w:rPr>
                <w:b/>
                <w:color w:val="FF0000"/>
                <w:sz w:val="16"/>
                <w:szCs w:val="16"/>
              </w:rPr>
              <w:br/>
            </w:r>
          </w:p>
        </w:tc>
        <w:tc>
          <w:tcPr>
            <w:tcW w:w="5531" w:type="dxa"/>
            <w:tcBorders>
              <w:top w:val="single" w:sz="4" w:space="0" w:color="auto"/>
              <w:left w:val="single" w:sz="4" w:space="0" w:color="auto"/>
              <w:bottom w:val="single" w:sz="4" w:space="0" w:color="auto"/>
              <w:right w:val="single" w:sz="4" w:space="0" w:color="auto"/>
            </w:tcBorders>
          </w:tcPr>
          <w:p w14:paraId="719AAEBF" w14:textId="77777777" w:rsidR="00105C37" w:rsidRPr="00105C37" w:rsidRDefault="00105C37" w:rsidP="00105C37">
            <w:pPr>
              <w:autoSpaceDE w:val="0"/>
              <w:autoSpaceDN w:val="0"/>
              <w:adjustRightInd w:val="0"/>
              <w:spacing w:line="260" w:lineRule="atLeast"/>
              <w:jc w:val="center"/>
              <w:rPr>
                <w:b/>
                <w:color w:val="FF0000"/>
                <w:sz w:val="16"/>
                <w:szCs w:val="16"/>
              </w:rPr>
            </w:pPr>
            <w:r w:rsidRPr="00105C37">
              <w:rPr>
                <w:b/>
                <w:color w:val="FF0000"/>
                <w:sz w:val="16"/>
                <w:szCs w:val="16"/>
              </w:rPr>
              <w:t>OECD GL 497 on Defined Approaches for Skin Sensitisation</w:t>
            </w:r>
          </w:p>
          <w:p w14:paraId="562ED4B0" w14:textId="77777777" w:rsidR="00105C37" w:rsidRPr="00105C37" w:rsidRDefault="00105C37" w:rsidP="00105C37">
            <w:pPr>
              <w:autoSpaceDE w:val="0"/>
              <w:autoSpaceDN w:val="0"/>
              <w:adjustRightInd w:val="0"/>
              <w:spacing w:line="260" w:lineRule="atLeast"/>
              <w:jc w:val="center"/>
              <w:rPr>
                <w:b/>
                <w:color w:val="FF0000"/>
                <w:sz w:val="16"/>
                <w:szCs w:val="16"/>
              </w:rPr>
            </w:pPr>
            <w:r w:rsidRPr="00105C37">
              <w:rPr>
                <w:b/>
                <w:color w:val="FF0000"/>
                <w:sz w:val="16"/>
                <w:szCs w:val="16"/>
              </w:rPr>
              <w:t>Integrated testing strategy (ITSv1) defined approach and</w:t>
            </w:r>
          </w:p>
          <w:p w14:paraId="5DA25527" w14:textId="77777777" w:rsidR="00105C37" w:rsidRPr="00105C37" w:rsidRDefault="00105C37" w:rsidP="00105C37">
            <w:pPr>
              <w:autoSpaceDE w:val="0"/>
              <w:autoSpaceDN w:val="0"/>
              <w:adjustRightInd w:val="0"/>
              <w:spacing w:line="260" w:lineRule="atLeast"/>
              <w:jc w:val="center"/>
              <w:rPr>
                <w:b/>
                <w:color w:val="FF0000"/>
                <w:sz w:val="16"/>
                <w:szCs w:val="16"/>
              </w:rPr>
            </w:pPr>
            <w:r w:rsidRPr="00105C37">
              <w:rPr>
                <w:b/>
                <w:color w:val="FF0000"/>
                <w:sz w:val="16"/>
                <w:szCs w:val="16"/>
              </w:rPr>
              <w:t>Integrated testing strategy (ITSv2 defined approach)</w:t>
            </w:r>
          </w:p>
          <w:p w14:paraId="37A9A49E" w14:textId="77777777" w:rsidR="00105C37" w:rsidRPr="00105C37" w:rsidRDefault="00105C37" w:rsidP="00105C37">
            <w:pPr>
              <w:autoSpaceDE w:val="0"/>
              <w:autoSpaceDN w:val="0"/>
              <w:adjustRightInd w:val="0"/>
              <w:spacing w:line="260" w:lineRule="atLeast"/>
              <w:jc w:val="center"/>
              <w:rPr>
                <w:b/>
                <w:color w:val="FF0000"/>
                <w:sz w:val="16"/>
                <w:szCs w:val="16"/>
              </w:rPr>
            </w:pPr>
          </w:p>
          <w:p w14:paraId="021D0703" w14:textId="77777777" w:rsidR="00105C37" w:rsidRPr="00105C37" w:rsidRDefault="00105C37" w:rsidP="00105C37">
            <w:pPr>
              <w:autoSpaceDE w:val="0"/>
              <w:autoSpaceDN w:val="0"/>
              <w:adjustRightInd w:val="0"/>
              <w:spacing w:line="260" w:lineRule="atLeast"/>
              <w:jc w:val="center"/>
              <w:rPr>
                <w:b/>
                <w:color w:val="FF0000"/>
                <w:sz w:val="16"/>
                <w:szCs w:val="16"/>
              </w:rPr>
            </w:pPr>
            <w:r w:rsidRPr="00105C37">
              <w:rPr>
                <w:b/>
                <w:color w:val="FF0000"/>
                <w:sz w:val="16"/>
                <w:szCs w:val="16"/>
              </w:rPr>
              <w:t xml:space="preserve"> </w:t>
            </w:r>
          </w:p>
        </w:tc>
      </w:tr>
      <w:tr w:rsidR="00105C37" w:rsidRPr="00105C37" w14:paraId="019F8498" w14:textId="77777777" w:rsidTr="0069132F">
        <w:trPr>
          <w:trHeight w:val="2123"/>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310A4A4B" w14:textId="77777777" w:rsidR="00105C37" w:rsidRPr="00105C37" w:rsidRDefault="00105C37" w:rsidP="00105C37">
            <w:pPr>
              <w:rPr>
                <w:color w:val="FF0000"/>
                <w:sz w:val="16"/>
                <w:szCs w:val="16"/>
              </w:rPr>
            </w:pP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2D0EC0B" w14:textId="77777777" w:rsidR="00105C37" w:rsidRPr="00105C37" w:rsidRDefault="00105C37" w:rsidP="00105C37">
            <w:pPr>
              <w:autoSpaceDE w:val="0"/>
              <w:autoSpaceDN w:val="0"/>
              <w:adjustRightInd w:val="0"/>
              <w:spacing w:before="20" w:after="20"/>
              <w:rPr>
                <w:color w:val="FF0000"/>
                <w:sz w:val="16"/>
                <w:szCs w:val="16"/>
              </w:rPr>
            </w:pPr>
            <w:r w:rsidRPr="00105C37">
              <w:rPr>
                <w:b/>
                <w:bCs/>
                <w:color w:val="FF0000"/>
                <w:sz w:val="16"/>
                <w:szCs w:val="16"/>
              </w:rPr>
              <w:t xml:space="preserve">2o3 </w:t>
            </w:r>
            <w:r w:rsidRPr="00105C37">
              <w:rPr>
                <w:color w:val="FF0000"/>
                <w:sz w:val="16"/>
                <w:szCs w:val="16"/>
              </w:rPr>
              <w:t xml:space="preserve">defined approach to skin sensitization hazard identification based on </w:t>
            </w:r>
            <w:r w:rsidRPr="00105C37">
              <w:rPr>
                <w:i/>
                <w:iCs/>
                <w:color w:val="FF0000"/>
                <w:sz w:val="16"/>
                <w:szCs w:val="16"/>
              </w:rPr>
              <w:t xml:space="preserve">in </w:t>
            </w:r>
            <w:proofErr w:type="spellStart"/>
            <w:r w:rsidRPr="00105C37">
              <w:rPr>
                <w:i/>
                <w:iCs/>
                <w:color w:val="FF0000"/>
                <w:sz w:val="16"/>
                <w:szCs w:val="16"/>
              </w:rPr>
              <w:t>chemico</w:t>
            </w:r>
            <w:proofErr w:type="spellEnd"/>
            <w:r w:rsidRPr="00105C37">
              <w:rPr>
                <w:color w:val="FF0000"/>
                <w:sz w:val="16"/>
                <w:szCs w:val="16"/>
              </w:rPr>
              <w:t xml:space="preserve"> (KE1 -DPRA) and </w:t>
            </w:r>
            <w:r w:rsidRPr="00105C37">
              <w:rPr>
                <w:i/>
                <w:iCs/>
                <w:color w:val="FF0000"/>
                <w:sz w:val="16"/>
                <w:szCs w:val="16"/>
              </w:rPr>
              <w:t>in vitro</w:t>
            </w:r>
            <w:r w:rsidRPr="00105C37">
              <w:rPr>
                <w:color w:val="FF0000"/>
                <w:sz w:val="16"/>
                <w:szCs w:val="16"/>
              </w:rPr>
              <w:t xml:space="preserve"> (KE2-KeratinoSens™/KE3-h-CLAT)</w:t>
            </w:r>
          </w:p>
          <w:p w14:paraId="53FC692A" w14:textId="77777777" w:rsidR="00105C37" w:rsidRPr="00105C37" w:rsidRDefault="00105C37" w:rsidP="00105C37">
            <w:pPr>
              <w:autoSpaceDE w:val="0"/>
              <w:autoSpaceDN w:val="0"/>
              <w:adjustRightInd w:val="0"/>
              <w:spacing w:before="20" w:after="20"/>
              <w:rPr>
                <w:color w:val="FF0000"/>
                <w:sz w:val="16"/>
                <w:szCs w:val="16"/>
              </w:rPr>
            </w:pPr>
          </w:p>
          <w:p w14:paraId="155B642D" w14:textId="77777777" w:rsidR="00105C37" w:rsidRPr="00105C37" w:rsidRDefault="00105C37" w:rsidP="00105C37">
            <w:pPr>
              <w:autoSpaceDE w:val="0"/>
              <w:autoSpaceDN w:val="0"/>
              <w:adjustRightInd w:val="0"/>
              <w:spacing w:before="20" w:after="20"/>
              <w:rPr>
                <w:color w:val="FF0000"/>
                <w:sz w:val="16"/>
                <w:szCs w:val="16"/>
              </w:rPr>
            </w:pPr>
          </w:p>
          <w:p w14:paraId="6E1EC5BF" w14:textId="77777777" w:rsidR="00105C37" w:rsidRPr="00105C37" w:rsidRDefault="00105C37" w:rsidP="00105C37">
            <w:pPr>
              <w:autoSpaceDE w:val="0"/>
              <w:autoSpaceDN w:val="0"/>
              <w:adjustRightInd w:val="0"/>
              <w:spacing w:before="20" w:after="20"/>
              <w:rPr>
                <w:color w:val="FF0000"/>
                <w:sz w:val="16"/>
                <w:szCs w:val="16"/>
              </w:rPr>
            </w:pPr>
          </w:p>
          <w:p w14:paraId="2D952174" w14:textId="77777777" w:rsidR="00105C37" w:rsidRPr="00105C37" w:rsidRDefault="00105C37" w:rsidP="00105C37">
            <w:pPr>
              <w:autoSpaceDE w:val="0"/>
              <w:autoSpaceDN w:val="0"/>
              <w:adjustRightInd w:val="0"/>
              <w:spacing w:before="20" w:after="20"/>
              <w:rPr>
                <w:color w:val="FF0000"/>
                <w:sz w:val="16"/>
                <w:szCs w:val="16"/>
              </w:rPr>
            </w:pPr>
            <w:r w:rsidRPr="00105C37">
              <w:rPr>
                <w:color w:val="FF0000"/>
                <w:sz w:val="16"/>
                <w:szCs w:val="16"/>
              </w:rPr>
              <w:t xml:space="preserve">Assays are run for two KEs, and if these assays provide consistent results, then the chemical is predicted accordingly as sensitizer or non-sensitizer. If the first two assays provide discordant results, the assay for the remaining KE is run. The overall result is based on the two concordant findings </w:t>
            </w:r>
            <w:proofErr w:type="gramStart"/>
            <w:r w:rsidRPr="00105C37">
              <w:rPr>
                <w:color w:val="FF0000"/>
                <w:sz w:val="16"/>
                <w:szCs w:val="16"/>
              </w:rPr>
              <w:t>taking into account</w:t>
            </w:r>
            <w:proofErr w:type="gramEnd"/>
            <w:r w:rsidRPr="00105C37">
              <w:rPr>
                <w:color w:val="FF0000"/>
                <w:sz w:val="16"/>
                <w:szCs w:val="16"/>
              </w:rPr>
              <w:t xml:space="preserve"> the confidence on the obtained predictions as described in the GL</w:t>
            </w:r>
          </w:p>
        </w:tc>
        <w:tc>
          <w:tcPr>
            <w:tcW w:w="5531" w:type="dxa"/>
            <w:tcBorders>
              <w:top w:val="single" w:sz="4" w:space="0" w:color="auto"/>
              <w:left w:val="single" w:sz="4" w:space="0" w:color="auto"/>
              <w:bottom w:val="single" w:sz="4" w:space="0" w:color="auto"/>
              <w:right w:val="single" w:sz="4" w:space="0" w:color="auto"/>
            </w:tcBorders>
          </w:tcPr>
          <w:p w14:paraId="4D313CBA" w14:textId="77777777" w:rsidR="00105C37" w:rsidRPr="00105C37" w:rsidRDefault="00105C37" w:rsidP="00105C37">
            <w:pPr>
              <w:autoSpaceDE w:val="0"/>
              <w:autoSpaceDN w:val="0"/>
              <w:adjustRightInd w:val="0"/>
              <w:spacing w:before="20" w:after="20"/>
              <w:ind w:left="144"/>
              <w:rPr>
                <w:color w:val="FF0000"/>
                <w:sz w:val="16"/>
                <w:szCs w:val="16"/>
              </w:rPr>
            </w:pPr>
            <w:r w:rsidRPr="00105C37">
              <w:rPr>
                <w:b/>
                <w:bCs/>
                <w:color w:val="FF0000"/>
                <w:sz w:val="16"/>
                <w:szCs w:val="16"/>
              </w:rPr>
              <w:t>ITSv1</w:t>
            </w:r>
            <w:r w:rsidRPr="00105C37">
              <w:rPr>
                <w:color w:val="FF0000"/>
                <w:sz w:val="16"/>
                <w:szCs w:val="16"/>
              </w:rPr>
              <w:t xml:space="preserve"> based on </w:t>
            </w:r>
            <w:r w:rsidRPr="00105C37">
              <w:rPr>
                <w:i/>
                <w:iCs/>
                <w:color w:val="FF0000"/>
                <w:sz w:val="16"/>
                <w:szCs w:val="16"/>
              </w:rPr>
              <w:t xml:space="preserve">in </w:t>
            </w:r>
            <w:proofErr w:type="spellStart"/>
            <w:r w:rsidRPr="00105C37">
              <w:rPr>
                <w:i/>
                <w:iCs/>
                <w:color w:val="FF0000"/>
                <w:sz w:val="16"/>
                <w:szCs w:val="16"/>
              </w:rPr>
              <w:t>chemico</w:t>
            </w:r>
            <w:proofErr w:type="spellEnd"/>
            <w:r w:rsidRPr="00105C37">
              <w:rPr>
                <w:color w:val="FF0000"/>
                <w:sz w:val="16"/>
                <w:szCs w:val="16"/>
              </w:rPr>
              <w:t xml:space="preserve"> (KE1-DPRA) and </w:t>
            </w:r>
            <w:r w:rsidRPr="00105C37">
              <w:rPr>
                <w:i/>
                <w:iCs/>
                <w:color w:val="FF0000"/>
                <w:sz w:val="16"/>
                <w:szCs w:val="16"/>
              </w:rPr>
              <w:t>in vitro</w:t>
            </w:r>
            <w:r w:rsidRPr="00105C37">
              <w:rPr>
                <w:color w:val="FF0000"/>
                <w:sz w:val="16"/>
                <w:szCs w:val="16"/>
              </w:rPr>
              <w:t xml:space="preserve"> (KE3-h-CLAT) data, and </w:t>
            </w:r>
            <w:r w:rsidRPr="00105C37">
              <w:rPr>
                <w:i/>
                <w:iCs/>
                <w:color w:val="FF0000"/>
                <w:sz w:val="16"/>
                <w:szCs w:val="16"/>
              </w:rPr>
              <w:t>in silico</w:t>
            </w:r>
            <w:r w:rsidRPr="00105C37">
              <w:rPr>
                <w:color w:val="FF0000"/>
                <w:sz w:val="16"/>
                <w:szCs w:val="16"/>
              </w:rPr>
              <w:t xml:space="preserve"> (Derek Nexus) predictions.</w:t>
            </w:r>
          </w:p>
          <w:p w14:paraId="74F38063" w14:textId="77777777" w:rsidR="00105C37" w:rsidRPr="00105C37" w:rsidRDefault="00105C37" w:rsidP="00105C37">
            <w:pPr>
              <w:autoSpaceDE w:val="0"/>
              <w:autoSpaceDN w:val="0"/>
              <w:adjustRightInd w:val="0"/>
              <w:spacing w:before="20" w:after="20"/>
              <w:ind w:left="144"/>
              <w:rPr>
                <w:color w:val="FF0000"/>
                <w:sz w:val="16"/>
                <w:szCs w:val="16"/>
              </w:rPr>
            </w:pPr>
            <w:r w:rsidRPr="00105C37">
              <w:rPr>
                <w:b/>
                <w:bCs/>
                <w:color w:val="FF0000"/>
                <w:sz w:val="16"/>
                <w:szCs w:val="16"/>
              </w:rPr>
              <w:t>ITSv2</w:t>
            </w:r>
            <w:r w:rsidRPr="00105C37">
              <w:rPr>
                <w:color w:val="FF0000"/>
                <w:sz w:val="16"/>
                <w:szCs w:val="16"/>
              </w:rPr>
              <w:t xml:space="preserve"> based on </w:t>
            </w:r>
            <w:r w:rsidRPr="00105C37">
              <w:rPr>
                <w:i/>
                <w:color w:val="FF0000"/>
                <w:sz w:val="16"/>
                <w:szCs w:val="16"/>
              </w:rPr>
              <w:t xml:space="preserve">in </w:t>
            </w:r>
            <w:proofErr w:type="spellStart"/>
            <w:r w:rsidRPr="00105C37">
              <w:rPr>
                <w:i/>
                <w:color w:val="FF0000"/>
                <w:sz w:val="16"/>
                <w:szCs w:val="16"/>
              </w:rPr>
              <w:t>chemico</w:t>
            </w:r>
            <w:proofErr w:type="spellEnd"/>
            <w:r w:rsidRPr="00105C37">
              <w:rPr>
                <w:color w:val="FF0000"/>
                <w:sz w:val="16"/>
                <w:szCs w:val="16"/>
              </w:rPr>
              <w:t xml:space="preserve"> (KE1 -DPRA) and </w:t>
            </w:r>
            <w:r w:rsidRPr="00105C37">
              <w:rPr>
                <w:i/>
                <w:color w:val="FF0000"/>
                <w:sz w:val="16"/>
                <w:szCs w:val="16"/>
              </w:rPr>
              <w:t>in vitro</w:t>
            </w:r>
            <w:r w:rsidRPr="00105C37">
              <w:rPr>
                <w:color w:val="FF0000"/>
                <w:sz w:val="16"/>
                <w:szCs w:val="16"/>
              </w:rPr>
              <w:t xml:space="preserve"> (KE3 -h-CLAT) data, and in silico (OECD QSAR Toolbox) predictions.</w:t>
            </w:r>
          </w:p>
          <w:p w14:paraId="3C91477B" w14:textId="77777777" w:rsidR="00105C37" w:rsidRPr="00105C37" w:rsidRDefault="00105C37" w:rsidP="00105C37">
            <w:pPr>
              <w:autoSpaceDE w:val="0"/>
              <w:autoSpaceDN w:val="0"/>
              <w:adjustRightInd w:val="0"/>
              <w:spacing w:before="20" w:after="20"/>
              <w:ind w:left="144"/>
              <w:rPr>
                <w:color w:val="FF0000"/>
                <w:sz w:val="16"/>
                <w:szCs w:val="16"/>
              </w:rPr>
            </w:pPr>
          </w:p>
          <w:p w14:paraId="2C701AB8" w14:textId="77777777" w:rsidR="00105C37" w:rsidRPr="00105C37" w:rsidRDefault="00105C37" w:rsidP="00105C37">
            <w:pPr>
              <w:autoSpaceDE w:val="0"/>
              <w:autoSpaceDN w:val="0"/>
              <w:adjustRightInd w:val="0"/>
              <w:spacing w:before="20" w:after="20"/>
              <w:ind w:left="144"/>
              <w:rPr>
                <w:color w:val="FF0000"/>
                <w:sz w:val="16"/>
                <w:szCs w:val="16"/>
              </w:rPr>
            </w:pPr>
            <w:r w:rsidRPr="00105C37">
              <w:rPr>
                <w:color w:val="FF0000"/>
                <w:sz w:val="16"/>
                <w:szCs w:val="16"/>
                <w:lang w:val="en-US"/>
              </w:rPr>
              <w:t xml:space="preserve">Quantitative results of h-CLAT and DPRA are converted into a score from 0 to 3. For the </w:t>
            </w:r>
            <w:proofErr w:type="gramStart"/>
            <w:r w:rsidRPr="00105C37">
              <w:rPr>
                <w:i/>
                <w:color w:val="FF0000"/>
                <w:sz w:val="16"/>
                <w:szCs w:val="16"/>
                <w:lang w:val="en-US"/>
              </w:rPr>
              <w:t>in silico</w:t>
            </w:r>
            <w:proofErr w:type="gramEnd"/>
            <w:r w:rsidRPr="00105C37">
              <w:rPr>
                <w:color w:val="FF0000"/>
                <w:sz w:val="16"/>
                <w:szCs w:val="16"/>
                <w:lang w:val="en-US"/>
              </w:rPr>
              <w:t xml:space="preserve"> prediction (Derek or OECD QSAR TB), a positive outcome is assigned a score of 1; a negative outcome is assigned a score of 0. When these scores have been assessed, a total battery score ranging from 0 to 7, calculated by summing the individual scores, is used to predict the sensitizing potential (hazard </w:t>
            </w:r>
            <w:proofErr w:type="gramStart"/>
            <w:r w:rsidRPr="00105C37">
              <w:rPr>
                <w:color w:val="FF0000"/>
                <w:sz w:val="16"/>
                <w:szCs w:val="16"/>
                <w:lang w:val="en-US"/>
              </w:rPr>
              <w:t>identification;</w:t>
            </w:r>
            <w:proofErr w:type="gramEnd"/>
            <w:r w:rsidRPr="00105C37">
              <w:rPr>
                <w:color w:val="FF0000"/>
                <w:sz w:val="16"/>
                <w:szCs w:val="16"/>
                <w:lang w:val="en-US"/>
              </w:rPr>
              <w:t xml:space="preserve"> UN GHS Cat. 1 vs. UN GHS NC) and potency (UN GHS Cat. 1A, Cat. 1B and NC). </w:t>
            </w:r>
          </w:p>
          <w:p w14:paraId="63BDC0EF" w14:textId="77777777" w:rsidR="00105C37" w:rsidRPr="00105C37" w:rsidRDefault="00105C37" w:rsidP="00105C37">
            <w:pPr>
              <w:autoSpaceDE w:val="0"/>
              <w:autoSpaceDN w:val="0"/>
              <w:adjustRightInd w:val="0"/>
              <w:spacing w:before="20" w:after="20"/>
              <w:ind w:left="144"/>
              <w:rPr>
                <w:color w:val="FF0000"/>
                <w:sz w:val="16"/>
                <w:szCs w:val="16"/>
              </w:rPr>
            </w:pPr>
          </w:p>
        </w:tc>
      </w:tr>
      <w:tr w:rsidR="00105C37" w:rsidRPr="00105C37" w14:paraId="28BFAB60" w14:textId="77777777" w:rsidTr="0069132F">
        <w:trPr>
          <w:trHeight w:val="353"/>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AE60AE" w14:textId="77777777" w:rsidR="00105C37" w:rsidRPr="00105C37" w:rsidRDefault="00105C37" w:rsidP="00105C37">
            <w:pPr>
              <w:autoSpaceDE w:val="0"/>
              <w:autoSpaceDN w:val="0"/>
              <w:adjustRightInd w:val="0"/>
              <w:spacing w:before="20" w:after="20"/>
              <w:jc w:val="center"/>
              <w:rPr>
                <w:b/>
                <w:bCs/>
                <w:color w:val="FF0000"/>
                <w:sz w:val="16"/>
                <w:szCs w:val="16"/>
              </w:rPr>
            </w:pPr>
            <w:r w:rsidRPr="00105C37">
              <w:rPr>
                <w:b/>
                <w:bCs/>
                <w:color w:val="FF0000"/>
                <w:sz w:val="16"/>
                <w:szCs w:val="16"/>
              </w:rPr>
              <w:t>1</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BFEC85" w14:textId="77777777" w:rsidR="00105C37" w:rsidRPr="00105C37" w:rsidRDefault="00105C37" w:rsidP="00105C37">
            <w:pPr>
              <w:autoSpaceDE w:val="0"/>
              <w:autoSpaceDN w:val="0"/>
              <w:adjustRightInd w:val="0"/>
              <w:spacing w:before="20" w:after="20"/>
              <w:ind w:right="-182"/>
              <w:rPr>
                <w:color w:val="FF0000"/>
                <w:sz w:val="16"/>
                <w:szCs w:val="16"/>
              </w:rPr>
            </w:pPr>
            <w:r w:rsidRPr="00105C37">
              <w:rPr>
                <w:color w:val="FF0000"/>
                <w:sz w:val="16"/>
                <w:szCs w:val="16"/>
              </w:rPr>
              <w:t>2 out of 3 or 3 out of 3 positive predictions</w:t>
            </w:r>
          </w:p>
        </w:tc>
        <w:tc>
          <w:tcPr>
            <w:tcW w:w="5531" w:type="dxa"/>
            <w:tcBorders>
              <w:top w:val="single" w:sz="4" w:space="0" w:color="auto"/>
              <w:left w:val="single" w:sz="4" w:space="0" w:color="auto"/>
              <w:bottom w:val="single" w:sz="4" w:space="0" w:color="auto"/>
              <w:right w:val="single" w:sz="4" w:space="0" w:color="auto"/>
            </w:tcBorders>
          </w:tcPr>
          <w:p w14:paraId="40E1928B" w14:textId="77777777" w:rsidR="00105C37" w:rsidRPr="00105C37" w:rsidRDefault="00105C37" w:rsidP="00105C37">
            <w:pPr>
              <w:spacing w:before="40" w:after="40" w:line="180" w:lineRule="exact"/>
              <w:ind w:left="122" w:right="153"/>
              <w:rPr>
                <w:color w:val="FF0000"/>
                <w:sz w:val="16"/>
                <w:szCs w:val="16"/>
                <w:lang w:val="en-US"/>
              </w:rPr>
            </w:pPr>
            <w:r w:rsidRPr="00105C37">
              <w:rPr>
                <w:color w:val="FF0000"/>
                <w:sz w:val="16"/>
                <w:szCs w:val="16"/>
                <w:lang w:val="en-US"/>
              </w:rPr>
              <w:t>Total battery score ≥ 2</w:t>
            </w:r>
          </w:p>
        </w:tc>
      </w:tr>
      <w:tr w:rsidR="00105C37" w:rsidRPr="00105C37" w14:paraId="5312DC12" w14:textId="77777777" w:rsidTr="0069132F">
        <w:trPr>
          <w:trHeight w:val="20"/>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C1E4349" w14:textId="77777777" w:rsidR="00105C37" w:rsidRPr="00105C37" w:rsidRDefault="00105C37" w:rsidP="00105C37">
            <w:pPr>
              <w:autoSpaceDE w:val="0"/>
              <w:autoSpaceDN w:val="0"/>
              <w:adjustRightInd w:val="0"/>
              <w:spacing w:before="20" w:after="20"/>
              <w:jc w:val="center"/>
              <w:rPr>
                <w:b/>
                <w:bCs/>
                <w:color w:val="FF0000"/>
                <w:sz w:val="16"/>
                <w:szCs w:val="16"/>
              </w:rPr>
            </w:pPr>
            <w:r w:rsidRPr="00105C37">
              <w:rPr>
                <w:b/>
                <w:bCs/>
                <w:color w:val="FF0000"/>
                <w:sz w:val="16"/>
                <w:szCs w:val="16"/>
              </w:rPr>
              <w:t>1A</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0083751" w14:textId="77777777" w:rsidR="00105C37" w:rsidRPr="00105C37" w:rsidRDefault="00105C37" w:rsidP="00105C37">
            <w:pPr>
              <w:autoSpaceDE w:val="0"/>
              <w:autoSpaceDN w:val="0"/>
              <w:adjustRightInd w:val="0"/>
              <w:spacing w:before="20" w:after="20"/>
              <w:rPr>
                <w:color w:val="FF0000"/>
                <w:sz w:val="16"/>
                <w:szCs w:val="16"/>
              </w:rPr>
            </w:pPr>
            <w:r w:rsidRPr="00105C37">
              <w:rPr>
                <w:color w:val="FF0000"/>
                <w:sz w:val="16"/>
                <w:szCs w:val="16"/>
              </w:rPr>
              <w:t>Not Applicable</w:t>
            </w:r>
          </w:p>
        </w:tc>
        <w:tc>
          <w:tcPr>
            <w:tcW w:w="5531" w:type="dxa"/>
            <w:tcBorders>
              <w:top w:val="single" w:sz="4" w:space="0" w:color="auto"/>
              <w:left w:val="single" w:sz="4" w:space="0" w:color="auto"/>
              <w:bottom w:val="single" w:sz="4" w:space="0" w:color="auto"/>
              <w:right w:val="single" w:sz="4" w:space="0" w:color="auto"/>
            </w:tcBorders>
          </w:tcPr>
          <w:p w14:paraId="263ED234" w14:textId="77777777" w:rsidR="00105C37" w:rsidRPr="00105C37" w:rsidRDefault="00105C37" w:rsidP="00105C37">
            <w:pPr>
              <w:spacing w:before="40" w:after="40" w:line="180" w:lineRule="exact"/>
              <w:ind w:left="122" w:right="153"/>
              <w:rPr>
                <w:color w:val="FF0000"/>
                <w:sz w:val="16"/>
                <w:szCs w:val="16"/>
                <w:lang w:val="en-US"/>
              </w:rPr>
            </w:pPr>
            <w:r w:rsidRPr="00105C37">
              <w:rPr>
                <w:color w:val="FF0000"/>
                <w:sz w:val="16"/>
                <w:szCs w:val="16"/>
                <w:lang w:val="en-US"/>
              </w:rPr>
              <w:t>Total battery score 6-7</w:t>
            </w:r>
          </w:p>
        </w:tc>
      </w:tr>
      <w:tr w:rsidR="00105C37" w:rsidRPr="00105C37" w14:paraId="5B44F77C" w14:textId="77777777" w:rsidTr="0069132F">
        <w:trPr>
          <w:trHeight w:val="20"/>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918DCF" w14:textId="77777777" w:rsidR="00105C37" w:rsidRPr="00105C37" w:rsidRDefault="00105C37" w:rsidP="00105C37">
            <w:pPr>
              <w:autoSpaceDE w:val="0"/>
              <w:autoSpaceDN w:val="0"/>
              <w:adjustRightInd w:val="0"/>
              <w:spacing w:before="20" w:after="20"/>
              <w:jc w:val="center"/>
              <w:rPr>
                <w:b/>
                <w:bCs/>
                <w:color w:val="FF0000"/>
                <w:sz w:val="16"/>
                <w:szCs w:val="16"/>
              </w:rPr>
            </w:pPr>
            <w:r w:rsidRPr="00105C37">
              <w:rPr>
                <w:b/>
                <w:bCs/>
                <w:color w:val="FF0000"/>
                <w:sz w:val="16"/>
                <w:szCs w:val="16"/>
              </w:rPr>
              <w:t>1B</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BFA0DED" w14:textId="77777777" w:rsidR="00105C37" w:rsidRPr="00105C37" w:rsidRDefault="00105C37" w:rsidP="00105C37">
            <w:pPr>
              <w:autoSpaceDE w:val="0"/>
              <w:autoSpaceDN w:val="0"/>
              <w:adjustRightInd w:val="0"/>
              <w:spacing w:before="20" w:after="20"/>
              <w:rPr>
                <w:color w:val="FF0000"/>
                <w:sz w:val="16"/>
                <w:szCs w:val="16"/>
              </w:rPr>
            </w:pPr>
            <w:r w:rsidRPr="00105C37">
              <w:rPr>
                <w:color w:val="FF0000"/>
                <w:sz w:val="16"/>
                <w:szCs w:val="16"/>
              </w:rPr>
              <w:t>Not Applicable</w:t>
            </w:r>
          </w:p>
        </w:tc>
        <w:tc>
          <w:tcPr>
            <w:tcW w:w="5531" w:type="dxa"/>
            <w:tcBorders>
              <w:top w:val="single" w:sz="4" w:space="0" w:color="auto"/>
              <w:left w:val="single" w:sz="4" w:space="0" w:color="auto"/>
              <w:bottom w:val="single" w:sz="4" w:space="0" w:color="auto"/>
              <w:right w:val="single" w:sz="4" w:space="0" w:color="auto"/>
            </w:tcBorders>
          </w:tcPr>
          <w:p w14:paraId="12F4FAC4" w14:textId="77777777" w:rsidR="00105C37" w:rsidRPr="00105C37" w:rsidDel="001C3A02" w:rsidRDefault="00105C37" w:rsidP="00105C37">
            <w:pPr>
              <w:spacing w:before="40" w:after="40" w:line="180" w:lineRule="exact"/>
              <w:ind w:left="122" w:right="153"/>
              <w:rPr>
                <w:color w:val="FF0000"/>
                <w:sz w:val="16"/>
                <w:szCs w:val="16"/>
                <w:lang w:val="en-US"/>
              </w:rPr>
            </w:pPr>
            <w:r w:rsidRPr="00105C37">
              <w:rPr>
                <w:color w:val="FF0000"/>
                <w:sz w:val="16"/>
                <w:szCs w:val="16"/>
                <w:lang w:val="en-US"/>
              </w:rPr>
              <w:t>Total battery score 2-5</w:t>
            </w:r>
          </w:p>
        </w:tc>
      </w:tr>
      <w:tr w:rsidR="00105C37" w:rsidRPr="00105C37" w14:paraId="18082C73" w14:textId="77777777" w:rsidTr="0069132F">
        <w:trPr>
          <w:trHeight w:val="20"/>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FD7386B" w14:textId="77777777" w:rsidR="00105C37" w:rsidRPr="00105C37" w:rsidRDefault="00105C37" w:rsidP="00105C37">
            <w:pPr>
              <w:autoSpaceDE w:val="0"/>
              <w:autoSpaceDN w:val="0"/>
              <w:adjustRightInd w:val="0"/>
              <w:spacing w:before="20" w:after="20"/>
              <w:jc w:val="center"/>
              <w:rPr>
                <w:b/>
                <w:bCs/>
                <w:color w:val="FF0000"/>
                <w:sz w:val="16"/>
                <w:szCs w:val="16"/>
              </w:rPr>
            </w:pPr>
            <w:r w:rsidRPr="00105C37">
              <w:rPr>
                <w:b/>
                <w:bCs/>
                <w:color w:val="FF0000"/>
                <w:sz w:val="16"/>
                <w:szCs w:val="16"/>
              </w:rPr>
              <w:t>Not classified</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9C620B" w14:textId="77777777" w:rsidR="00105C37" w:rsidRPr="00105C37" w:rsidRDefault="00105C37" w:rsidP="00105C37">
            <w:pPr>
              <w:autoSpaceDE w:val="0"/>
              <w:autoSpaceDN w:val="0"/>
              <w:adjustRightInd w:val="0"/>
              <w:spacing w:before="20" w:after="20"/>
              <w:rPr>
                <w:color w:val="FF0000"/>
                <w:sz w:val="16"/>
                <w:szCs w:val="16"/>
              </w:rPr>
            </w:pPr>
            <w:r w:rsidRPr="00105C37">
              <w:rPr>
                <w:color w:val="FF0000"/>
                <w:sz w:val="16"/>
                <w:szCs w:val="16"/>
              </w:rPr>
              <w:t>2 out of 3 or 3 out of 3 negative predictions</w:t>
            </w:r>
          </w:p>
        </w:tc>
        <w:tc>
          <w:tcPr>
            <w:tcW w:w="5531" w:type="dxa"/>
            <w:tcBorders>
              <w:top w:val="single" w:sz="4" w:space="0" w:color="auto"/>
              <w:left w:val="single" w:sz="4" w:space="0" w:color="auto"/>
              <w:bottom w:val="single" w:sz="4" w:space="0" w:color="auto"/>
              <w:right w:val="single" w:sz="4" w:space="0" w:color="auto"/>
            </w:tcBorders>
          </w:tcPr>
          <w:p w14:paraId="506A45E4" w14:textId="77777777" w:rsidR="00105C37" w:rsidRPr="00105C37" w:rsidRDefault="00105C37" w:rsidP="00105C37">
            <w:pPr>
              <w:spacing w:before="40" w:after="40" w:line="180" w:lineRule="exact"/>
              <w:ind w:left="122" w:right="153"/>
              <w:rPr>
                <w:color w:val="FF0000"/>
                <w:sz w:val="16"/>
                <w:szCs w:val="16"/>
                <w:lang w:val="en-US"/>
              </w:rPr>
            </w:pPr>
            <w:r w:rsidRPr="00105C37">
              <w:rPr>
                <w:color w:val="FF0000"/>
                <w:sz w:val="16"/>
                <w:szCs w:val="16"/>
                <w:lang w:val="en-US"/>
              </w:rPr>
              <w:t>Total battery score &lt; 2</w:t>
            </w:r>
          </w:p>
        </w:tc>
      </w:tr>
    </w:tbl>
    <w:p w14:paraId="605457E9" w14:textId="77777777" w:rsidR="00664127" w:rsidRDefault="00664127" w:rsidP="0062434E"/>
    <w:p w14:paraId="0E897178" w14:textId="69D37D94" w:rsidR="00105C37" w:rsidRDefault="00105C37">
      <w:pPr>
        <w:suppressAutoHyphens w:val="0"/>
        <w:spacing w:line="240" w:lineRule="auto"/>
      </w:pPr>
      <w:r>
        <w:br w:type="page"/>
      </w:r>
    </w:p>
    <w:p w14:paraId="58157D23" w14:textId="77777777" w:rsidR="00CB4208" w:rsidRPr="0008739A" w:rsidRDefault="00CB4208" w:rsidP="00CB4208">
      <w:pPr>
        <w:jc w:val="center"/>
        <w:rPr>
          <w:b/>
          <w:color w:val="FF0000"/>
          <w:sz w:val="28"/>
          <w:szCs w:val="28"/>
          <w:lang w:val="it-IT"/>
        </w:rPr>
      </w:pPr>
      <w:r>
        <w:rPr>
          <w:b/>
          <w:color w:val="FF0000"/>
          <w:sz w:val="28"/>
          <w:szCs w:val="28"/>
        </w:rPr>
        <w:t>Table 3.4.</w:t>
      </w:r>
      <w:r w:rsidRPr="00A644EF">
        <w:rPr>
          <w:b/>
          <w:color w:val="FF0000"/>
          <w:sz w:val="28"/>
          <w:szCs w:val="28"/>
        </w:rPr>
        <w:t>8</w:t>
      </w:r>
      <w:r>
        <w:rPr>
          <w:b/>
          <w:color w:val="FF0000"/>
          <w:sz w:val="28"/>
          <w:szCs w:val="28"/>
        </w:rPr>
        <w:t>:</w:t>
      </w:r>
      <w:r w:rsidRPr="00F33C8B">
        <w:rPr>
          <w:b/>
          <w:color w:val="FF0000"/>
          <w:sz w:val="28"/>
          <w:szCs w:val="28"/>
        </w:rPr>
        <w:t xml:space="preserve"> </w:t>
      </w:r>
      <w:r w:rsidRPr="0008739A">
        <w:rPr>
          <w:b/>
          <w:color w:val="FF0000"/>
          <w:sz w:val="28"/>
          <w:szCs w:val="28"/>
          <w:lang w:val="it-IT"/>
        </w:rPr>
        <w:t xml:space="preserve">Criteria for individual </w:t>
      </w:r>
      <w:r w:rsidRPr="00A644EF">
        <w:rPr>
          <w:b/>
          <w:i/>
          <w:color w:val="FF0000"/>
          <w:sz w:val="28"/>
          <w:szCs w:val="28"/>
          <w:lang w:val="it-IT"/>
        </w:rPr>
        <w:t>in chemico/in vitro</w:t>
      </w:r>
      <w:r>
        <w:rPr>
          <w:b/>
          <w:color w:val="FF0000"/>
          <w:sz w:val="28"/>
          <w:szCs w:val="28"/>
          <w:lang w:val="it-IT"/>
        </w:rPr>
        <w:t xml:space="preserve"> methods</w:t>
      </w:r>
    </w:p>
    <w:tbl>
      <w:tblPr>
        <w:tblW w:w="14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419"/>
        <w:gridCol w:w="61"/>
        <w:gridCol w:w="1356"/>
        <w:gridCol w:w="1196"/>
        <w:gridCol w:w="2114"/>
        <w:gridCol w:w="1572"/>
        <w:gridCol w:w="1497"/>
        <w:gridCol w:w="1559"/>
        <w:gridCol w:w="1338"/>
        <w:gridCol w:w="1338"/>
      </w:tblGrid>
      <w:tr w:rsidR="006D3377" w:rsidRPr="00F33C8B" w14:paraId="1387733B" w14:textId="77777777" w:rsidTr="0069132F">
        <w:trPr>
          <w:jc w:val="center"/>
        </w:trPr>
        <w:tc>
          <w:tcPr>
            <w:tcW w:w="70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4F7031C" w14:textId="77777777" w:rsidR="006D3377" w:rsidRPr="00F33C8B" w:rsidRDefault="006D3377" w:rsidP="0069132F">
            <w:pPr>
              <w:pStyle w:val="ListParagraph"/>
              <w:spacing w:before="40" w:after="40" w:line="180" w:lineRule="exact"/>
              <w:ind w:left="0"/>
              <w:rPr>
                <w:b/>
                <w:color w:val="FF0000"/>
                <w:sz w:val="14"/>
                <w:szCs w:val="14"/>
              </w:rPr>
            </w:pPr>
            <w:r w:rsidRPr="00F33C8B">
              <w:rPr>
                <w:b/>
                <w:color w:val="FF0000"/>
                <w:sz w:val="14"/>
                <w:szCs w:val="14"/>
              </w:rPr>
              <w:t>Category</w:t>
            </w: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3EFDD9" w14:textId="77777777" w:rsidR="006D3377" w:rsidRPr="00F33C8B" w:rsidRDefault="006D3377" w:rsidP="0069132F">
            <w:pPr>
              <w:autoSpaceDE w:val="0"/>
              <w:autoSpaceDN w:val="0"/>
              <w:adjustRightInd w:val="0"/>
              <w:spacing w:line="260" w:lineRule="atLeast"/>
              <w:jc w:val="center"/>
              <w:rPr>
                <w:b/>
                <w:color w:val="FF0000"/>
                <w:sz w:val="16"/>
                <w:szCs w:val="16"/>
              </w:rPr>
            </w:pPr>
            <w:r w:rsidRPr="00F33C8B">
              <w:rPr>
                <w:b/>
                <w:color w:val="FF0000"/>
                <w:sz w:val="16"/>
                <w:szCs w:val="16"/>
              </w:rPr>
              <w:t xml:space="preserve">OECD TG 442C </w:t>
            </w:r>
          </w:p>
          <w:p w14:paraId="129D3BE9" w14:textId="77777777" w:rsidR="006D3377" w:rsidRPr="00F33C8B" w:rsidRDefault="006D3377" w:rsidP="0069132F">
            <w:pPr>
              <w:autoSpaceDE w:val="0"/>
              <w:autoSpaceDN w:val="0"/>
              <w:adjustRightInd w:val="0"/>
              <w:spacing w:line="260" w:lineRule="atLeast"/>
              <w:jc w:val="center"/>
              <w:rPr>
                <w:b/>
                <w:color w:val="FF0000"/>
                <w:sz w:val="16"/>
                <w:szCs w:val="16"/>
              </w:rPr>
            </w:pPr>
            <w:r>
              <w:rPr>
                <w:b/>
                <w:color w:val="FF0000"/>
                <w:sz w:val="16"/>
                <w:szCs w:val="16"/>
              </w:rPr>
              <w:t>Key event-b</w:t>
            </w:r>
            <w:r w:rsidRPr="00CB6B0B">
              <w:rPr>
                <w:b/>
                <w:color w:val="FF0000"/>
                <w:sz w:val="16"/>
                <w:szCs w:val="16"/>
              </w:rPr>
              <w:t xml:space="preserve">ased Test Guideline for </w:t>
            </w:r>
            <w:r w:rsidRPr="00AA253A">
              <w:rPr>
                <w:b/>
                <w:i/>
                <w:color w:val="FF0000"/>
                <w:sz w:val="16"/>
                <w:szCs w:val="16"/>
              </w:rPr>
              <w:t xml:space="preserve">in </w:t>
            </w:r>
            <w:proofErr w:type="spellStart"/>
            <w:r w:rsidRPr="00AA253A">
              <w:rPr>
                <w:b/>
                <w:i/>
                <w:color w:val="FF0000"/>
                <w:sz w:val="16"/>
                <w:szCs w:val="16"/>
              </w:rPr>
              <w:t>chemico</w:t>
            </w:r>
            <w:proofErr w:type="spellEnd"/>
            <w:r w:rsidRPr="00CB6B0B">
              <w:rPr>
                <w:b/>
                <w:color w:val="FF0000"/>
                <w:sz w:val="16"/>
                <w:szCs w:val="16"/>
              </w:rPr>
              <w:t xml:space="preserve"> skin sensitisation assays addressing the A</w:t>
            </w:r>
            <w:r>
              <w:rPr>
                <w:b/>
                <w:color w:val="FF0000"/>
                <w:sz w:val="16"/>
                <w:szCs w:val="16"/>
              </w:rPr>
              <w:t xml:space="preserve">OP </w:t>
            </w:r>
            <w:r w:rsidRPr="00CB6B0B">
              <w:rPr>
                <w:b/>
                <w:color w:val="FF0000"/>
                <w:sz w:val="16"/>
                <w:szCs w:val="16"/>
              </w:rPr>
              <w:t xml:space="preserve">Key Event on </w:t>
            </w:r>
            <w:r>
              <w:rPr>
                <w:b/>
                <w:color w:val="FF0000"/>
                <w:sz w:val="16"/>
                <w:szCs w:val="16"/>
              </w:rPr>
              <w:t>c</w:t>
            </w:r>
            <w:r w:rsidRPr="00CB6B0B">
              <w:rPr>
                <w:b/>
                <w:color w:val="FF0000"/>
                <w:sz w:val="16"/>
                <w:szCs w:val="16"/>
              </w:rPr>
              <w:t xml:space="preserve">ovalent </w:t>
            </w:r>
            <w:r>
              <w:rPr>
                <w:b/>
                <w:color w:val="FF0000"/>
                <w:sz w:val="16"/>
                <w:szCs w:val="16"/>
              </w:rPr>
              <w:t>b</w:t>
            </w:r>
            <w:r w:rsidRPr="00CB6B0B">
              <w:rPr>
                <w:b/>
                <w:color w:val="FF0000"/>
                <w:sz w:val="16"/>
                <w:szCs w:val="16"/>
              </w:rPr>
              <w:t xml:space="preserve">inding to </w:t>
            </w:r>
            <w:r>
              <w:rPr>
                <w:b/>
                <w:color w:val="FF0000"/>
                <w:sz w:val="16"/>
                <w:szCs w:val="16"/>
              </w:rPr>
              <w:t>p</w:t>
            </w:r>
            <w:r w:rsidRPr="00CB6B0B">
              <w:rPr>
                <w:b/>
                <w:color w:val="FF0000"/>
                <w:sz w:val="16"/>
                <w:szCs w:val="16"/>
              </w:rPr>
              <w:t>roteins</w:t>
            </w:r>
          </w:p>
        </w:tc>
        <w:tc>
          <w:tcPr>
            <w:tcW w:w="3686" w:type="dxa"/>
            <w:gridSpan w:val="2"/>
            <w:tcBorders>
              <w:top w:val="single" w:sz="4" w:space="0" w:color="auto"/>
              <w:left w:val="single" w:sz="4" w:space="0" w:color="auto"/>
              <w:bottom w:val="single" w:sz="4" w:space="0" w:color="auto"/>
              <w:right w:val="single" w:sz="4" w:space="0" w:color="auto"/>
            </w:tcBorders>
          </w:tcPr>
          <w:p w14:paraId="35101776" w14:textId="77777777" w:rsidR="006D3377" w:rsidRPr="00F33C8B" w:rsidRDefault="006D3377" w:rsidP="0069132F">
            <w:pPr>
              <w:autoSpaceDE w:val="0"/>
              <w:autoSpaceDN w:val="0"/>
              <w:adjustRightInd w:val="0"/>
              <w:spacing w:line="260" w:lineRule="atLeast"/>
              <w:jc w:val="center"/>
              <w:rPr>
                <w:b/>
                <w:color w:val="FF0000"/>
                <w:sz w:val="16"/>
                <w:szCs w:val="16"/>
              </w:rPr>
            </w:pPr>
            <w:r w:rsidRPr="00F33C8B">
              <w:rPr>
                <w:b/>
                <w:color w:val="FF0000"/>
                <w:sz w:val="16"/>
                <w:szCs w:val="16"/>
              </w:rPr>
              <w:t>OECD TG 442D</w:t>
            </w:r>
          </w:p>
          <w:p w14:paraId="4560DE16" w14:textId="77777777" w:rsidR="006D3377" w:rsidRPr="00F33C8B" w:rsidRDefault="006D3377" w:rsidP="0069132F">
            <w:pPr>
              <w:autoSpaceDE w:val="0"/>
              <w:autoSpaceDN w:val="0"/>
              <w:adjustRightInd w:val="0"/>
              <w:spacing w:line="260" w:lineRule="atLeast"/>
              <w:jc w:val="center"/>
              <w:rPr>
                <w:b/>
                <w:color w:val="FF0000"/>
                <w:sz w:val="16"/>
                <w:szCs w:val="16"/>
              </w:rPr>
            </w:pPr>
            <w:r>
              <w:rPr>
                <w:b/>
                <w:color w:val="FF0000"/>
                <w:sz w:val="16"/>
                <w:szCs w:val="16"/>
              </w:rPr>
              <w:t>Key event-b</w:t>
            </w:r>
            <w:r w:rsidRPr="00EF1370">
              <w:rPr>
                <w:b/>
                <w:color w:val="FF0000"/>
                <w:sz w:val="16"/>
                <w:szCs w:val="16"/>
              </w:rPr>
              <w:t xml:space="preserve">ased Test Guideline </w:t>
            </w:r>
            <w:r>
              <w:rPr>
                <w:b/>
                <w:color w:val="FF0000"/>
                <w:sz w:val="16"/>
                <w:szCs w:val="16"/>
              </w:rPr>
              <w:t xml:space="preserve">for </w:t>
            </w:r>
            <w:r w:rsidRPr="00AA253A">
              <w:rPr>
                <w:b/>
                <w:i/>
                <w:color w:val="FF0000"/>
                <w:sz w:val="16"/>
                <w:szCs w:val="16"/>
              </w:rPr>
              <w:t>in vitro</w:t>
            </w:r>
            <w:r>
              <w:rPr>
                <w:b/>
                <w:color w:val="FF0000"/>
                <w:sz w:val="16"/>
                <w:szCs w:val="16"/>
              </w:rPr>
              <w:t xml:space="preserve"> s</w:t>
            </w:r>
            <w:r w:rsidRPr="00F33C8B">
              <w:rPr>
                <w:b/>
                <w:color w:val="FF0000"/>
                <w:sz w:val="16"/>
                <w:szCs w:val="16"/>
              </w:rPr>
              <w:t xml:space="preserve">kin </w:t>
            </w:r>
            <w:r>
              <w:rPr>
                <w:b/>
                <w:color w:val="FF0000"/>
                <w:sz w:val="16"/>
                <w:szCs w:val="16"/>
              </w:rPr>
              <w:t>s</w:t>
            </w:r>
            <w:r w:rsidRPr="00F33C8B">
              <w:rPr>
                <w:b/>
                <w:color w:val="FF0000"/>
                <w:sz w:val="16"/>
                <w:szCs w:val="16"/>
              </w:rPr>
              <w:t>ensitisation assays a</w:t>
            </w:r>
            <w:r>
              <w:rPr>
                <w:b/>
                <w:color w:val="FF0000"/>
                <w:sz w:val="16"/>
                <w:szCs w:val="16"/>
              </w:rPr>
              <w:t>ddressing the AOP Key Event on k</w:t>
            </w:r>
            <w:r w:rsidRPr="00F33C8B">
              <w:rPr>
                <w:b/>
                <w:color w:val="FF0000"/>
                <w:sz w:val="16"/>
                <w:szCs w:val="16"/>
              </w:rPr>
              <w:t>eratinocyte activation</w:t>
            </w:r>
          </w:p>
          <w:p w14:paraId="3034D220" w14:textId="77777777" w:rsidR="006D3377" w:rsidRPr="00F33C8B" w:rsidRDefault="006D3377" w:rsidP="0069132F">
            <w:pPr>
              <w:autoSpaceDE w:val="0"/>
              <w:autoSpaceDN w:val="0"/>
              <w:adjustRightInd w:val="0"/>
              <w:spacing w:line="260" w:lineRule="atLeast"/>
              <w:jc w:val="center"/>
              <w:rPr>
                <w:b/>
                <w:color w:val="FF0000"/>
                <w:sz w:val="16"/>
                <w:szCs w:val="16"/>
              </w:rPr>
            </w:pPr>
            <w:r w:rsidRPr="00F33C8B">
              <w:rPr>
                <w:b/>
                <w:color w:val="FF0000"/>
                <w:sz w:val="16"/>
                <w:szCs w:val="16"/>
              </w:rPr>
              <w:t xml:space="preserve">ARE-Nrf2 luciferase methods </w:t>
            </w:r>
          </w:p>
        </w:tc>
        <w:tc>
          <w:tcPr>
            <w:tcW w:w="5732" w:type="dxa"/>
            <w:gridSpan w:val="4"/>
            <w:tcBorders>
              <w:top w:val="single" w:sz="4" w:space="0" w:color="auto"/>
              <w:left w:val="single" w:sz="4" w:space="0" w:color="auto"/>
              <w:bottom w:val="single" w:sz="4" w:space="0" w:color="auto"/>
              <w:right w:val="single" w:sz="4" w:space="0" w:color="auto"/>
            </w:tcBorders>
          </w:tcPr>
          <w:p w14:paraId="756DF12F" w14:textId="77777777" w:rsidR="006D3377" w:rsidRPr="00F33C8B" w:rsidRDefault="006D3377" w:rsidP="0069132F">
            <w:pPr>
              <w:autoSpaceDE w:val="0"/>
              <w:autoSpaceDN w:val="0"/>
              <w:adjustRightInd w:val="0"/>
              <w:spacing w:line="260" w:lineRule="atLeast"/>
              <w:jc w:val="center"/>
              <w:rPr>
                <w:b/>
                <w:color w:val="FF0000"/>
                <w:sz w:val="16"/>
                <w:szCs w:val="16"/>
              </w:rPr>
            </w:pPr>
            <w:r w:rsidRPr="00F33C8B">
              <w:rPr>
                <w:b/>
                <w:color w:val="FF0000"/>
                <w:sz w:val="16"/>
                <w:szCs w:val="16"/>
              </w:rPr>
              <w:t>OECD TG 442E</w:t>
            </w:r>
          </w:p>
          <w:p w14:paraId="15CA96EE" w14:textId="77777777" w:rsidR="006D3377" w:rsidRPr="00F33C8B" w:rsidRDefault="006D3377" w:rsidP="0069132F">
            <w:pPr>
              <w:autoSpaceDE w:val="0"/>
              <w:autoSpaceDN w:val="0"/>
              <w:adjustRightInd w:val="0"/>
              <w:spacing w:line="260" w:lineRule="atLeast"/>
              <w:jc w:val="center"/>
              <w:rPr>
                <w:b/>
                <w:color w:val="FF0000"/>
                <w:sz w:val="16"/>
                <w:szCs w:val="16"/>
              </w:rPr>
            </w:pPr>
            <w:r w:rsidRPr="00F33C8B">
              <w:rPr>
                <w:b/>
                <w:color w:val="FF0000"/>
                <w:sz w:val="16"/>
                <w:szCs w:val="16"/>
              </w:rPr>
              <w:t xml:space="preserve">In </w:t>
            </w:r>
            <w:r>
              <w:rPr>
                <w:b/>
                <w:color w:val="FF0000"/>
                <w:sz w:val="16"/>
                <w:szCs w:val="16"/>
              </w:rPr>
              <w:t>v</w:t>
            </w:r>
            <w:r w:rsidRPr="00F33C8B">
              <w:rPr>
                <w:b/>
                <w:color w:val="FF0000"/>
                <w:sz w:val="16"/>
                <w:szCs w:val="16"/>
              </w:rPr>
              <w:t xml:space="preserve">itro </w:t>
            </w:r>
            <w:r>
              <w:rPr>
                <w:b/>
                <w:color w:val="FF0000"/>
                <w:sz w:val="16"/>
                <w:szCs w:val="16"/>
              </w:rPr>
              <w:t>s</w:t>
            </w:r>
            <w:r w:rsidRPr="00F33C8B">
              <w:rPr>
                <w:b/>
                <w:color w:val="FF0000"/>
                <w:sz w:val="16"/>
                <w:szCs w:val="16"/>
              </w:rPr>
              <w:t xml:space="preserve">kin </w:t>
            </w:r>
            <w:r>
              <w:rPr>
                <w:b/>
                <w:color w:val="FF0000"/>
                <w:sz w:val="16"/>
                <w:szCs w:val="16"/>
              </w:rPr>
              <w:t>s</w:t>
            </w:r>
            <w:r w:rsidRPr="00F33C8B">
              <w:rPr>
                <w:b/>
                <w:color w:val="FF0000"/>
                <w:sz w:val="16"/>
                <w:szCs w:val="16"/>
              </w:rPr>
              <w:t xml:space="preserve">ensitisation assays addressing the AOP Key Event on activation of </w:t>
            </w:r>
            <w:r>
              <w:rPr>
                <w:b/>
                <w:color w:val="FF0000"/>
                <w:sz w:val="16"/>
                <w:szCs w:val="16"/>
              </w:rPr>
              <w:t>d</w:t>
            </w:r>
            <w:r w:rsidRPr="00F33C8B">
              <w:rPr>
                <w:b/>
                <w:color w:val="FF0000"/>
                <w:sz w:val="16"/>
                <w:szCs w:val="16"/>
              </w:rPr>
              <w:t xml:space="preserve">endritic </w:t>
            </w:r>
            <w:r>
              <w:rPr>
                <w:b/>
                <w:color w:val="FF0000"/>
                <w:sz w:val="16"/>
                <w:szCs w:val="16"/>
              </w:rPr>
              <w:t>c</w:t>
            </w:r>
            <w:r w:rsidRPr="00F33C8B">
              <w:rPr>
                <w:b/>
                <w:color w:val="FF0000"/>
                <w:sz w:val="16"/>
                <w:szCs w:val="16"/>
              </w:rPr>
              <w:t xml:space="preserve">ells </w:t>
            </w:r>
          </w:p>
          <w:p w14:paraId="180CEFDF" w14:textId="77777777" w:rsidR="006D3377" w:rsidRPr="00F33C8B" w:rsidRDefault="006D3377" w:rsidP="0069132F">
            <w:pPr>
              <w:rPr>
                <w:color w:val="FF0000"/>
                <w:sz w:val="16"/>
                <w:szCs w:val="16"/>
              </w:rPr>
            </w:pPr>
          </w:p>
          <w:p w14:paraId="435AF575" w14:textId="77777777" w:rsidR="006D3377" w:rsidRPr="00F33C8B" w:rsidRDefault="006D3377" w:rsidP="0069132F">
            <w:pPr>
              <w:autoSpaceDE w:val="0"/>
              <w:autoSpaceDN w:val="0"/>
              <w:adjustRightInd w:val="0"/>
              <w:spacing w:line="260" w:lineRule="atLeast"/>
              <w:jc w:val="center"/>
              <w:rPr>
                <w:b/>
                <w:color w:val="FF0000"/>
                <w:sz w:val="16"/>
                <w:szCs w:val="16"/>
              </w:rPr>
            </w:pPr>
            <w:r w:rsidRPr="00F33C8B">
              <w:rPr>
                <w:color w:val="FF0000"/>
                <w:sz w:val="16"/>
                <w:szCs w:val="16"/>
              </w:rPr>
              <w:tab/>
            </w:r>
          </w:p>
        </w:tc>
      </w:tr>
      <w:tr w:rsidR="006D3377" w:rsidRPr="00F33C8B" w14:paraId="67902DF4" w14:textId="77777777" w:rsidTr="0069132F">
        <w:trPr>
          <w:jc w:val="center"/>
        </w:trPr>
        <w:tc>
          <w:tcPr>
            <w:tcW w:w="708"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5C5D39" w14:textId="77777777" w:rsidR="006D3377" w:rsidRPr="00F33C8B" w:rsidRDefault="006D3377" w:rsidP="0069132F">
            <w:pPr>
              <w:autoSpaceDE w:val="0"/>
              <w:autoSpaceDN w:val="0"/>
              <w:adjustRightInd w:val="0"/>
              <w:spacing w:line="260" w:lineRule="atLeast"/>
              <w:jc w:val="center"/>
              <w:rPr>
                <w:color w:val="FF0000"/>
                <w:sz w:val="16"/>
                <w:szCs w:val="16"/>
              </w:rPr>
            </w:pPr>
          </w:p>
        </w:tc>
        <w:tc>
          <w:tcPr>
            <w:tcW w:w="14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87135CA"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Method described in A</w:t>
            </w:r>
            <w:r>
              <w:rPr>
                <w:b/>
                <w:color w:val="FF0000"/>
                <w:sz w:val="16"/>
                <w:szCs w:val="16"/>
              </w:rPr>
              <w:t>ppendix I</w:t>
            </w:r>
            <w:r w:rsidRPr="00F33C8B">
              <w:rPr>
                <w:b/>
                <w:color w:val="FF0000"/>
                <w:sz w:val="16"/>
                <w:szCs w:val="16"/>
              </w:rPr>
              <w:t xml:space="preserve"> </w:t>
            </w:r>
          </w:p>
          <w:p w14:paraId="3A29574E" w14:textId="77777777" w:rsidR="006D3377" w:rsidRPr="00F33C8B" w:rsidRDefault="006D3377" w:rsidP="0069132F">
            <w:pPr>
              <w:autoSpaceDE w:val="0"/>
              <w:autoSpaceDN w:val="0"/>
              <w:adjustRightInd w:val="0"/>
              <w:jc w:val="center"/>
              <w:rPr>
                <w:b/>
                <w:color w:val="FF0000"/>
                <w:sz w:val="16"/>
                <w:szCs w:val="16"/>
              </w:rPr>
            </w:pPr>
          </w:p>
          <w:p w14:paraId="5F072BC4" w14:textId="77777777" w:rsidR="006D3377" w:rsidRPr="00F33C8B" w:rsidRDefault="006D3377" w:rsidP="0069132F">
            <w:pPr>
              <w:autoSpaceDE w:val="0"/>
              <w:autoSpaceDN w:val="0"/>
              <w:adjustRightInd w:val="0"/>
              <w:jc w:val="center"/>
              <w:rPr>
                <w:b/>
                <w:bCs/>
                <w:color w:val="FF0000"/>
                <w:sz w:val="14"/>
                <w:szCs w:val="14"/>
              </w:rPr>
            </w:pPr>
            <w:r w:rsidRPr="00F33C8B">
              <w:rPr>
                <w:b/>
                <w:bCs/>
                <w:color w:val="FF0000"/>
                <w:sz w:val="14"/>
                <w:szCs w:val="14"/>
              </w:rPr>
              <w:t>The Direct Peptide Reactivity Assay</w:t>
            </w:r>
          </w:p>
          <w:p w14:paraId="3126F5A4" w14:textId="77777777" w:rsidR="006D3377" w:rsidRPr="00F33C8B" w:rsidRDefault="006D3377" w:rsidP="0069132F">
            <w:pPr>
              <w:autoSpaceDE w:val="0"/>
              <w:autoSpaceDN w:val="0"/>
              <w:adjustRightInd w:val="0"/>
              <w:jc w:val="center"/>
              <w:rPr>
                <w:color w:val="FF0000"/>
                <w:sz w:val="16"/>
                <w:szCs w:val="16"/>
              </w:rPr>
            </w:pPr>
            <w:r w:rsidRPr="00F33C8B">
              <w:rPr>
                <w:b/>
                <w:bCs/>
                <w:color w:val="FF0000"/>
                <w:sz w:val="14"/>
                <w:szCs w:val="14"/>
              </w:rPr>
              <w:t>(DPRA)</w:t>
            </w:r>
            <w:r w:rsidRPr="00165B44">
              <w:rPr>
                <w:b/>
                <w:bCs/>
                <w:color w:val="FF0000"/>
                <w:sz w:val="14"/>
                <w:szCs w:val="14"/>
                <w:vertAlign w:val="superscript"/>
              </w:rPr>
              <w:t>a</w:t>
            </w:r>
          </w:p>
        </w:tc>
        <w:tc>
          <w:tcPr>
            <w:tcW w:w="1356" w:type="dxa"/>
            <w:tcBorders>
              <w:top w:val="single" w:sz="4" w:space="0" w:color="auto"/>
              <w:left w:val="single" w:sz="4" w:space="0" w:color="auto"/>
              <w:bottom w:val="single" w:sz="4" w:space="0" w:color="auto"/>
              <w:right w:val="single" w:sz="4" w:space="0" w:color="auto"/>
            </w:tcBorders>
          </w:tcPr>
          <w:p w14:paraId="3EAA5C96"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Method described in A</w:t>
            </w:r>
            <w:r>
              <w:rPr>
                <w:b/>
                <w:color w:val="FF0000"/>
                <w:sz w:val="16"/>
                <w:szCs w:val="16"/>
              </w:rPr>
              <w:t>ppendix II</w:t>
            </w:r>
            <w:r w:rsidRPr="00F33C8B">
              <w:rPr>
                <w:b/>
                <w:color w:val="FF0000"/>
                <w:sz w:val="16"/>
                <w:szCs w:val="16"/>
              </w:rPr>
              <w:t xml:space="preserve"> </w:t>
            </w:r>
          </w:p>
          <w:p w14:paraId="28AEAF53" w14:textId="77777777" w:rsidR="006D3377" w:rsidRPr="00F33C8B" w:rsidRDefault="006D3377" w:rsidP="0069132F">
            <w:pPr>
              <w:autoSpaceDE w:val="0"/>
              <w:autoSpaceDN w:val="0"/>
              <w:adjustRightInd w:val="0"/>
              <w:jc w:val="center"/>
              <w:rPr>
                <w:b/>
                <w:color w:val="FF0000"/>
                <w:sz w:val="16"/>
                <w:szCs w:val="16"/>
              </w:rPr>
            </w:pPr>
          </w:p>
          <w:p w14:paraId="5088CBE8" w14:textId="77777777" w:rsidR="006D3377" w:rsidRPr="00F33C8B" w:rsidRDefault="006D3377" w:rsidP="0069132F">
            <w:pPr>
              <w:autoSpaceDE w:val="0"/>
              <w:autoSpaceDN w:val="0"/>
              <w:adjustRightInd w:val="0"/>
              <w:jc w:val="center"/>
              <w:rPr>
                <w:b/>
                <w:bCs/>
                <w:color w:val="FF0000"/>
                <w:sz w:val="16"/>
                <w:szCs w:val="16"/>
              </w:rPr>
            </w:pPr>
            <w:r w:rsidRPr="00F33C8B">
              <w:rPr>
                <w:b/>
                <w:bCs/>
                <w:color w:val="FF0000"/>
                <w:sz w:val="16"/>
                <w:szCs w:val="16"/>
              </w:rPr>
              <w:t>The Amino acid Derivative Reactivity Assay (ADRA)</w:t>
            </w:r>
            <w:r w:rsidRPr="00165B44">
              <w:rPr>
                <w:b/>
                <w:bCs/>
                <w:color w:val="FF0000"/>
                <w:sz w:val="14"/>
                <w:szCs w:val="14"/>
                <w:vertAlign w:val="superscript"/>
              </w:rPr>
              <w:t xml:space="preserve"> a</w:t>
            </w:r>
            <w:r w:rsidRPr="00F33C8B">
              <w:rPr>
                <w:b/>
                <w:bCs/>
                <w:color w:val="FF0000"/>
                <w:sz w:val="16"/>
                <w:szCs w:val="16"/>
              </w:rPr>
              <w:t xml:space="preserve"> </w:t>
            </w:r>
          </w:p>
        </w:tc>
        <w:tc>
          <w:tcPr>
            <w:tcW w:w="1196" w:type="dxa"/>
            <w:tcBorders>
              <w:top w:val="single" w:sz="4" w:space="0" w:color="auto"/>
              <w:left w:val="single" w:sz="4" w:space="0" w:color="auto"/>
              <w:bottom w:val="single" w:sz="4" w:space="0" w:color="auto"/>
              <w:right w:val="single" w:sz="4" w:space="0" w:color="auto"/>
            </w:tcBorders>
          </w:tcPr>
          <w:p w14:paraId="2B036B6F" w14:textId="77777777" w:rsidR="006D3377" w:rsidRPr="00F33C8B" w:rsidRDefault="006D3377" w:rsidP="0069132F">
            <w:pPr>
              <w:autoSpaceDE w:val="0"/>
              <w:autoSpaceDN w:val="0"/>
              <w:adjustRightInd w:val="0"/>
              <w:jc w:val="center"/>
              <w:rPr>
                <w:b/>
                <w:color w:val="FF0000"/>
                <w:sz w:val="16"/>
                <w:szCs w:val="16"/>
              </w:rPr>
            </w:pPr>
            <w:r>
              <w:rPr>
                <w:b/>
                <w:color w:val="FF0000"/>
                <w:sz w:val="16"/>
                <w:szCs w:val="16"/>
              </w:rPr>
              <w:t>Method described in Appendix III</w:t>
            </w:r>
          </w:p>
          <w:p w14:paraId="3D3D473C" w14:textId="77777777" w:rsidR="006D3377" w:rsidRPr="00F33C8B" w:rsidRDefault="006D3377" w:rsidP="0069132F">
            <w:pPr>
              <w:autoSpaceDE w:val="0"/>
              <w:autoSpaceDN w:val="0"/>
              <w:adjustRightInd w:val="0"/>
              <w:jc w:val="center"/>
              <w:rPr>
                <w:b/>
                <w:color w:val="FF0000"/>
                <w:sz w:val="16"/>
                <w:szCs w:val="16"/>
              </w:rPr>
            </w:pPr>
          </w:p>
          <w:p w14:paraId="72E28E54" w14:textId="77777777" w:rsidR="006D3377" w:rsidRPr="00F33C8B" w:rsidRDefault="006D3377" w:rsidP="0069132F">
            <w:pPr>
              <w:autoSpaceDE w:val="0"/>
              <w:autoSpaceDN w:val="0"/>
              <w:adjustRightInd w:val="0"/>
              <w:jc w:val="center"/>
              <w:rPr>
                <w:color w:val="FF0000"/>
                <w:sz w:val="16"/>
                <w:szCs w:val="16"/>
              </w:rPr>
            </w:pPr>
            <w:r w:rsidRPr="00F33C8B">
              <w:rPr>
                <w:b/>
                <w:bCs/>
                <w:color w:val="FF0000"/>
                <w:sz w:val="16"/>
                <w:szCs w:val="16"/>
              </w:rPr>
              <w:t>The kinetic Direct Peptide Reactivity Assay (</w:t>
            </w:r>
            <w:proofErr w:type="spellStart"/>
            <w:r w:rsidRPr="00F33C8B">
              <w:rPr>
                <w:b/>
                <w:bCs/>
                <w:color w:val="FF0000"/>
                <w:sz w:val="16"/>
                <w:szCs w:val="16"/>
              </w:rPr>
              <w:t>kDPRA</w:t>
            </w:r>
            <w:proofErr w:type="spellEnd"/>
            <w:r w:rsidRPr="00F33C8B">
              <w:rPr>
                <w:b/>
                <w:bCs/>
                <w:color w:val="FF0000"/>
                <w:sz w:val="16"/>
                <w:szCs w:val="16"/>
              </w:rPr>
              <w:t>)</w:t>
            </w:r>
            <w:r w:rsidRPr="00165B44">
              <w:rPr>
                <w:b/>
                <w:bCs/>
                <w:color w:val="FF0000"/>
                <w:sz w:val="16"/>
                <w:szCs w:val="16"/>
                <w:vertAlign w:val="superscript"/>
              </w:rPr>
              <w:t>b</w:t>
            </w:r>
          </w:p>
        </w:tc>
        <w:tc>
          <w:tcPr>
            <w:tcW w:w="2114" w:type="dxa"/>
            <w:tcBorders>
              <w:top w:val="single" w:sz="4" w:space="0" w:color="auto"/>
              <w:left w:val="single" w:sz="4" w:space="0" w:color="auto"/>
              <w:bottom w:val="single" w:sz="4" w:space="0" w:color="auto"/>
              <w:right w:val="single" w:sz="4" w:space="0" w:color="auto"/>
            </w:tcBorders>
          </w:tcPr>
          <w:p w14:paraId="787B1BEE"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 xml:space="preserve">Method described in Appendix 1A </w:t>
            </w:r>
          </w:p>
          <w:p w14:paraId="25EB7D90" w14:textId="77777777" w:rsidR="006D3377" w:rsidRPr="00F33C8B" w:rsidRDefault="006D3377" w:rsidP="0069132F">
            <w:pPr>
              <w:autoSpaceDE w:val="0"/>
              <w:autoSpaceDN w:val="0"/>
              <w:adjustRightInd w:val="0"/>
              <w:jc w:val="center"/>
              <w:rPr>
                <w:b/>
                <w:color w:val="FF0000"/>
                <w:sz w:val="16"/>
                <w:szCs w:val="16"/>
              </w:rPr>
            </w:pPr>
          </w:p>
          <w:p w14:paraId="563CB9C7" w14:textId="77777777" w:rsidR="006D3377" w:rsidRPr="00F33C8B" w:rsidRDefault="006D3377" w:rsidP="0069132F">
            <w:pPr>
              <w:autoSpaceDE w:val="0"/>
              <w:autoSpaceDN w:val="0"/>
              <w:adjustRightInd w:val="0"/>
              <w:jc w:val="center"/>
              <w:rPr>
                <w:b/>
                <w:color w:val="FF0000"/>
                <w:sz w:val="16"/>
                <w:szCs w:val="16"/>
              </w:rPr>
            </w:pPr>
            <w:proofErr w:type="spellStart"/>
            <w:r>
              <w:rPr>
                <w:b/>
                <w:color w:val="FF0000"/>
                <w:sz w:val="16"/>
                <w:szCs w:val="16"/>
              </w:rPr>
              <w:t>KeratinoSens</w:t>
            </w:r>
            <w:proofErr w:type="spellEnd"/>
            <w:r>
              <w:rPr>
                <w:b/>
                <w:color w:val="FF0000"/>
                <w:sz w:val="16"/>
                <w:szCs w:val="16"/>
              </w:rPr>
              <w:t>™</w:t>
            </w:r>
            <w:r w:rsidRPr="00165B44">
              <w:rPr>
                <w:b/>
                <w:bCs/>
                <w:color w:val="FF0000"/>
                <w:sz w:val="14"/>
                <w:szCs w:val="14"/>
                <w:vertAlign w:val="superscript"/>
              </w:rPr>
              <w:t xml:space="preserve"> a</w:t>
            </w:r>
          </w:p>
          <w:p w14:paraId="72AFF788" w14:textId="77777777" w:rsidR="006D3377" w:rsidRPr="00F33C8B" w:rsidRDefault="006D3377" w:rsidP="0069132F">
            <w:pPr>
              <w:autoSpaceDE w:val="0"/>
              <w:autoSpaceDN w:val="0"/>
              <w:adjustRightInd w:val="0"/>
              <w:jc w:val="center"/>
              <w:rPr>
                <w:b/>
                <w:color w:val="FF0000"/>
                <w:sz w:val="16"/>
                <w:szCs w:val="16"/>
              </w:rPr>
            </w:pPr>
          </w:p>
        </w:tc>
        <w:tc>
          <w:tcPr>
            <w:tcW w:w="1572" w:type="dxa"/>
            <w:tcBorders>
              <w:top w:val="single" w:sz="4" w:space="0" w:color="auto"/>
              <w:left w:val="single" w:sz="4" w:space="0" w:color="auto"/>
              <w:bottom w:val="single" w:sz="4" w:space="0" w:color="auto"/>
              <w:right w:val="single" w:sz="4" w:space="0" w:color="auto"/>
            </w:tcBorders>
          </w:tcPr>
          <w:p w14:paraId="63B8205A"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Method described in Appendix 1B</w:t>
            </w:r>
          </w:p>
          <w:p w14:paraId="29BE17F4" w14:textId="77777777" w:rsidR="006D3377" w:rsidRPr="00F33C8B" w:rsidRDefault="006D3377" w:rsidP="0069132F">
            <w:pPr>
              <w:autoSpaceDE w:val="0"/>
              <w:autoSpaceDN w:val="0"/>
              <w:adjustRightInd w:val="0"/>
              <w:jc w:val="center"/>
              <w:rPr>
                <w:b/>
                <w:color w:val="FF0000"/>
                <w:sz w:val="16"/>
                <w:szCs w:val="16"/>
              </w:rPr>
            </w:pPr>
          </w:p>
          <w:p w14:paraId="7CA9BDC2" w14:textId="77777777" w:rsidR="006D3377" w:rsidRPr="00F33C8B" w:rsidRDefault="006D3377" w:rsidP="0069132F">
            <w:pPr>
              <w:autoSpaceDE w:val="0"/>
              <w:autoSpaceDN w:val="0"/>
              <w:adjustRightInd w:val="0"/>
              <w:jc w:val="center"/>
              <w:rPr>
                <w:b/>
                <w:color w:val="FF0000"/>
                <w:sz w:val="16"/>
                <w:szCs w:val="16"/>
              </w:rPr>
            </w:pPr>
            <w:proofErr w:type="spellStart"/>
            <w:r w:rsidRPr="00F33C8B">
              <w:rPr>
                <w:b/>
                <w:color w:val="FF0000"/>
                <w:sz w:val="16"/>
                <w:szCs w:val="16"/>
              </w:rPr>
              <w:t>Lusens</w:t>
            </w:r>
            <w:proofErr w:type="spellEnd"/>
            <w:r w:rsidRPr="00165B44">
              <w:rPr>
                <w:b/>
                <w:bCs/>
                <w:color w:val="FF0000"/>
                <w:sz w:val="14"/>
                <w:szCs w:val="14"/>
                <w:vertAlign w:val="superscript"/>
              </w:rPr>
              <w:t xml:space="preserve"> a</w:t>
            </w:r>
          </w:p>
          <w:p w14:paraId="16E1BEAE" w14:textId="77777777" w:rsidR="006D3377" w:rsidRPr="00F33C8B" w:rsidRDefault="006D3377" w:rsidP="0069132F">
            <w:pPr>
              <w:autoSpaceDE w:val="0"/>
              <w:autoSpaceDN w:val="0"/>
              <w:adjustRightInd w:val="0"/>
              <w:jc w:val="center"/>
              <w:rPr>
                <w:b/>
                <w:color w:val="FF0000"/>
                <w:sz w:val="16"/>
                <w:szCs w:val="16"/>
              </w:rPr>
            </w:pPr>
          </w:p>
          <w:p w14:paraId="6D5CCEC8" w14:textId="77777777" w:rsidR="006D3377" w:rsidRPr="00F33C8B" w:rsidRDefault="006D3377" w:rsidP="0069132F">
            <w:pPr>
              <w:autoSpaceDE w:val="0"/>
              <w:autoSpaceDN w:val="0"/>
              <w:adjustRightInd w:val="0"/>
              <w:jc w:val="center"/>
              <w:rPr>
                <w:b/>
                <w:color w:val="FF0000"/>
                <w:sz w:val="16"/>
                <w:szCs w:val="16"/>
              </w:rPr>
            </w:pPr>
          </w:p>
        </w:tc>
        <w:tc>
          <w:tcPr>
            <w:tcW w:w="1497" w:type="dxa"/>
            <w:tcBorders>
              <w:top w:val="single" w:sz="4" w:space="0" w:color="auto"/>
              <w:left w:val="single" w:sz="4" w:space="0" w:color="auto"/>
              <w:bottom w:val="single" w:sz="4" w:space="0" w:color="auto"/>
              <w:right w:val="single" w:sz="4" w:space="0" w:color="auto"/>
            </w:tcBorders>
          </w:tcPr>
          <w:p w14:paraId="1C75C9FE"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 xml:space="preserve">Method described in </w:t>
            </w:r>
            <w:r>
              <w:rPr>
                <w:b/>
                <w:color w:val="FF0000"/>
                <w:sz w:val="16"/>
                <w:szCs w:val="16"/>
              </w:rPr>
              <w:t>Annex I</w:t>
            </w:r>
          </w:p>
          <w:p w14:paraId="6DD2C826" w14:textId="77777777" w:rsidR="006D3377" w:rsidRPr="00F33C8B" w:rsidRDefault="006D3377" w:rsidP="0069132F">
            <w:pPr>
              <w:autoSpaceDE w:val="0"/>
              <w:autoSpaceDN w:val="0"/>
              <w:adjustRightInd w:val="0"/>
              <w:jc w:val="center"/>
              <w:rPr>
                <w:b/>
                <w:color w:val="FF0000"/>
                <w:sz w:val="16"/>
                <w:szCs w:val="16"/>
              </w:rPr>
            </w:pPr>
          </w:p>
          <w:p w14:paraId="4A554075"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 xml:space="preserve">human Cell Line Activation Assay </w:t>
            </w:r>
          </w:p>
          <w:p w14:paraId="43969CA6"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(h-CLAT)</w:t>
            </w:r>
            <w:r w:rsidRPr="00165B44">
              <w:rPr>
                <w:b/>
                <w:bCs/>
                <w:color w:val="FF0000"/>
                <w:sz w:val="14"/>
                <w:szCs w:val="14"/>
                <w:vertAlign w:val="superscript"/>
              </w:rPr>
              <w:t xml:space="preserve"> a</w:t>
            </w:r>
          </w:p>
        </w:tc>
        <w:tc>
          <w:tcPr>
            <w:tcW w:w="1559" w:type="dxa"/>
            <w:tcBorders>
              <w:top w:val="single" w:sz="4" w:space="0" w:color="auto"/>
              <w:left w:val="single" w:sz="4" w:space="0" w:color="auto"/>
              <w:bottom w:val="single" w:sz="4" w:space="0" w:color="auto"/>
              <w:right w:val="single" w:sz="4" w:space="0" w:color="auto"/>
            </w:tcBorders>
          </w:tcPr>
          <w:p w14:paraId="04046579"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 xml:space="preserve">Method described in </w:t>
            </w:r>
            <w:r w:rsidRPr="00F245BE">
              <w:rPr>
                <w:b/>
                <w:color w:val="FF0000"/>
                <w:sz w:val="16"/>
                <w:szCs w:val="16"/>
              </w:rPr>
              <w:t>Annex I</w:t>
            </w:r>
            <w:r>
              <w:rPr>
                <w:b/>
                <w:color w:val="FF0000"/>
                <w:sz w:val="16"/>
                <w:szCs w:val="16"/>
              </w:rPr>
              <w:t>I</w:t>
            </w:r>
          </w:p>
          <w:p w14:paraId="37B58C47" w14:textId="77777777" w:rsidR="006D3377" w:rsidRPr="00F33C8B" w:rsidRDefault="006D3377" w:rsidP="0069132F">
            <w:pPr>
              <w:autoSpaceDE w:val="0"/>
              <w:autoSpaceDN w:val="0"/>
              <w:adjustRightInd w:val="0"/>
              <w:jc w:val="center"/>
              <w:rPr>
                <w:b/>
                <w:color w:val="FF0000"/>
                <w:sz w:val="16"/>
                <w:szCs w:val="16"/>
              </w:rPr>
            </w:pPr>
          </w:p>
          <w:p w14:paraId="4AD357E9"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U937 Cell Line Activation Test</w:t>
            </w:r>
            <w:r w:rsidRPr="00165B44">
              <w:rPr>
                <w:b/>
                <w:bCs/>
                <w:color w:val="FF0000"/>
                <w:sz w:val="14"/>
                <w:szCs w:val="14"/>
                <w:vertAlign w:val="superscript"/>
              </w:rPr>
              <w:t xml:space="preserve"> a</w:t>
            </w:r>
            <w:r w:rsidRPr="00F33C8B">
              <w:rPr>
                <w:b/>
                <w:color w:val="FF0000"/>
                <w:sz w:val="16"/>
                <w:szCs w:val="16"/>
              </w:rPr>
              <w:t xml:space="preserve"> </w:t>
            </w:r>
          </w:p>
          <w:p w14:paraId="28E05080" w14:textId="77777777" w:rsidR="006D3377" w:rsidRPr="00F33C8B" w:rsidRDefault="006D3377" w:rsidP="0069132F">
            <w:pPr>
              <w:autoSpaceDE w:val="0"/>
              <w:autoSpaceDN w:val="0"/>
              <w:adjustRightInd w:val="0"/>
              <w:jc w:val="center"/>
              <w:rPr>
                <w:b/>
                <w:color w:val="FF0000"/>
                <w:sz w:val="16"/>
                <w:szCs w:val="16"/>
              </w:rPr>
            </w:pPr>
          </w:p>
        </w:tc>
        <w:tc>
          <w:tcPr>
            <w:tcW w:w="1338" w:type="dxa"/>
            <w:tcBorders>
              <w:top w:val="single" w:sz="4" w:space="0" w:color="auto"/>
              <w:left w:val="single" w:sz="4" w:space="0" w:color="auto"/>
              <w:bottom w:val="single" w:sz="4" w:space="0" w:color="auto"/>
              <w:right w:val="single" w:sz="4" w:space="0" w:color="auto"/>
            </w:tcBorders>
          </w:tcPr>
          <w:p w14:paraId="407D0396"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 xml:space="preserve">Method described </w:t>
            </w:r>
            <w:r w:rsidRPr="00F245BE">
              <w:rPr>
                <w:b/>
                <w:color w:val="FF0000"/>
                <w:sz w:val="16"/>
                <w:szCs w:val="16"/>
              </w:rPr>
              <w:t>Annex I</w:t>
            </w:r>
            <w:r>
              <w:rPr>
                <w:b/>
                <w:color w:val="FF0000"/>
                <w:sz w:val="16"/>
                <w:szCs w:val="16"/>
              </w:rPr>
              <w:t>II</w:t>
            </w:r>
          </w:p>
          <w:p w14:paraId="16FF571A" w14:textId="77777777" w:rsidR="006D3377" w:rsidRPr="00F33C8B" w:rsidRDefault="006D3377" w:rsidP="0069132F">
            <w:pPr>
              <w:autoSpaceDE w:val="0"/>
              <w:autoSpaceDN w:val="0"/>
              <w:adjustRightInd w:val="0"/>
              <w:jc w:val="center"/>
              <w:rPr>
                <w:b/>
                <w:color w:val="FF0000"/>
                <w:sz w:val="16"/>
                <w:szCs w:val="16"/>
              </w:rPr>
            </w:pPr>
          </w:p>
          <w:p w14:paraId="5CBD5078" w14:textId="77777777" w:rsidR="006D3377" w:rsidRPr="00F33C8B" w:rsidRDefault="006D3377" w:rsidP="0069132F">
            <w:pPr>
              <w:autoSpaceDE w:val="0"/>
              <w:autoSpaceDN w:val="0"/>
              <w:adjustRightInd w:val="0"/>
              <w:jc w:val="center"/>
              <w:rPr>
                <w:b/>
                <w:color w:val="FF0000"/>
                <w:sz w:val="16"/>
                <w:szCs w:val="16"/>
              </w:rPr>
            </w:pPr>
            <w:r w:rsidRPr="00F33C8B">
              <w:rPr>
                <w:b/>
                <w:color w:val="FF0000"/>
                <w:sz w:val="16"/>
                <w:szCs w:val="16"/>
              </w:rPr>
              <w:t>IL-8 Luc assay</w:t>
            </w:r>
            <w:r w:rsidRPr="00165B44">
              <w:rPr>
                <w:b/>
                <w:bCs/>
                <w:color w:val="FF0000"/>
                <w:sz w:val="14"/>
                <w:szCs w:val="14"/>
                <w:vertAlign w:val="superscript"/>
              </w:rPr>
              <w:t xml:space="preserve"> a</w:t>
            </w:r>
          </w:p>
        </w:tc>
        <w:tc>
          <w:tcPr>
            <w:tcW w:w="1338" w:type="dxa"/>
            <w:tcBorders>
              <w:top w:val="single" w:sz="4" w:space="0" w:color="auto"/>
              <w:left w:val="single" w:sz="4" w:space="0" w:color="auto"/>
              <w:bottom w:val="single" w:sz="4" w:space="0" w:color="auto"/>
              <w:right w:val="single" w:sz="4" w:space="0" w:color="auto"/>
            </w:tcBorders>
          </w:tcPr>
          <w:p w14:paraId="65C4E522" w14:textId="77777777" w:rsidR="006D3377" w:rsidRPr="00F245BE" w:rsidRDefault="006D3377" w:rsidP="0069132F">
            <w:pPr>
              <w:autoSpaceDE w:val="0"/>
              <w:autoSpaceDN w:val="0"/>
              <w:adjustRightInd w:val="0"/>
              <w:jc w:val="center"/>
              <w:rPr>
                <w:b/>
                <w:color w:val="FF0000"/>
                <w:sz w:val="16"/>
                <w:szCs w:val="16"/>
              </w:rPr>
            </w:pPr>
            <w:r w:rsidRPr="00F245BE">
              <w:rPr>
                <w:b/>
                <w:color w:val="FF0000"/>
                <w:sz w:val="16"/>
                <w:szCs w:val="16"/>
              </w:rPr>
              <w:t>Method described Annex I</w:t>
            </w:r>
            <w:r>
              <w:rPr>
                <w:b/>
                <w:color w:val="FF0000"/>
                <w:sz w:val="16"/>
                <w:szCs w:val="16"/>
              </w:rPr>
              <w:t>V</w:t>
            </w:r>
          </w:p>
          <w:p w14:paraId="4D972583" w14:textId="77777777" w:rsidR="006D3377" w:rsidRDefault="006D3377" w:rsidP="0069132F">
            <w:pPr>
              <w:autoSpaceDE w:val="0"/>
              <w:autoSpaceDN w:val="0"/>
              <w:adjustRightInd w:val="0"/>
              <w:jc w:val="center"/>
              <w:rPr>
                <w:b/>
                <w:color w:val="FF0000"/>
                <w:sz w:val="16"/>
                <w:szCs w:val="16"/>
              </w:rPr>
            </w:pPr>
          </w:p>
          <w:p w14:paraId="3A86FC77" w14:textId="77777777" w:rsidR="006D3377" w:rsidRPr="00F33C8B" w:rsidRDefault="006D3377" w:rsidP="0069132F">
            <w:pPr>
              <w:autoSpaceDE w:val="0"/>
              <w:autoSpaceDN w:val="0"/>
              <w:adjustRightInd w:val="0"/>
              <w:jc w:val="center"/>
              <w:rPr>
                <w:b/>
                <w:color w:val="FF0000"/>
                <w:sz w:val="16"/>
                <w:szCs w:val="16"/>
              </w:rPr>
            </w:pPr>
            <w:r>
              <w:rPr>
                <w:b/>
                <w:color w:val="FF0000"/>
                <w:sz w:val="16"/>
                <w:szCs w:val="16"/>
              </w:rPr>
              <w:t>GARD skin ™</w:t>
            </w:r>
          </w:p>
        </w:tc>
      </w:tr>
      <w:tr w:rsidR="006D3377" w:rsidRPr="00F33C8B" w14:paraId="35A52792" w14:textId="77777777" w:rsidTr="0069132F">
        <w:trPr>
          <w:trHeight w:val="2076"/>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13FE9D8" w14:textId="77777777" w:rsidR="006D3377" w:rsidRPr="00F33C8B" w:rsidRDefault="006D3377" w:rsidP="0069132F">
            <w:pPr>
              <w:rPr>
                <w:color w:val="FF0000"/>
                <w:sz w:val="16"/>
                <w:szCs w:val="16"/>
              </w:rPr>
            </w:pP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BFAD524" w14:textId="77777777" w:rsidR="006D3377" w:rsidRPr="00F33C8B" w:rsidRDefault="006D3377" w:rsidP="0069132F">
            <w:pPr>
              <w:autoSpaceDE w:val="0"/>
              <w:autoSpaceDN w:val="0"/>
              <w:adjustRightInd w:val="0"/>
              <w:spacing w:before="20" w:after="20"/>
              <w:rPr>
                <w:color w:val="FF0000"/>
                <w:sz w:val="16"/>
                <w:szCs w:val="16"/>
              </w:rPr>
            </w:pPr>
            <w:r w:rsidRPr="00F33C8B">
              <w:rPr>
                <w:color w:val="FF0000"/>
                <w:sz w:val="16"/>
                <w:szCs w:val="16"/>
              </w:rPr>
              <w:t xml:space="preserve">Methods: in </w:t>
            </w:r>
            <w:proofErr w:type="spellStart"/>
            <w:r w:rsidRPr="00F33C8B">
              <w:rPr>
                <w:color w:val="FF0000"/>
                <w:sz w:val="16"/>
                <w:szCs w:val="16"/>
              </w:rPr>
              <w:t>chemico</w:t>
            </w:r>
            <w:proofErr w:type="spellEnd"/>
            <w:r w:rsidRPr="00F33C8B">
              <w:rPr>
                <w:color w:val="FF0000"/>
                <w:sz w:val="16"/>
                <w:szCs w:val="16"/>
              </w:rPr>
              <w:t xml:space="preserve"> methods addressing the process of </w:t>
            </w:r>
            <w:proofErr w:type="spellStart"/>
            <w:r w:rsidRPr="00F33C8B">
              <w:rPr>
                <w:color w:val="FF0000"/>
                <w:sz w:val="16"/>
                <w:szCs w:val="16"/>
              </w:rPr>
              <w:t>haptenation</w:t>
            </w:r>
            <w:proofErr w:type="spellEnd"/>
            <w:r w:rsidRPr="00F33C8B">
              <w:rPr>
                <w:color w:val="FF0000"/>
                <w:sz w:val="16"/>
                <w:szCs w:val="16"/>
              </w:rPr>
              <w:t xml:space="preserve"> by quantifying the reactivity of test chemicals towards model synthetic peptides containing either lysine or cysteine (DPRA and </w:t>
            </w:r>
            <w:proofErr w:type="spellStart"/>
            <w:r w:rsidRPr="00F33C8B">
              <w:rPr>
                <w:color w:val="FF0000"/>
                <w:sz w:val="16"/>
                <w:szCs w:val="16"/>
              </w:rPr>
              <w:t>kDPRA</w:t>
            </w:r>
            <w:proofErr w:type="spellEnd"/>
            <w:r w:rsidRPr="00F33C8B">
              <w:rPr>
                <w:color w:val="FF0000"/>
                <w:sz w:val="16"/>
                <w:szCs w:val="16"/>
              </w:rPr>
              <w:t xml:space="preserve">) or towards model synthetic amino acid derivatives containing either cysteine (NAC) or lysine (NAL) (ADRA). </w:t>
            </w:r>
          </w:p>
          <w:p w14:paraId="50CF9F78" w14:textId="77777777" w:rsidR="006D3377" w:rsidRPr="00F33C8B" w:rsidRDefault="006D3377" w:rsidP="0069132F">
            <w:pPr>
              <w:autoSpaceDE w:val="0"/>
              <w:autoSpaceDN w:val="0"/>
              <w:adjustRightInd w:val="0"/>
              <w:spacing w:before="20" w:after="20"/>
              <w:rPr>
                <w:color w:val="FF0000"/>
                <w:sz w:val="16"/>
                <w:szCs w:val="16"/>
              </w:rPr>
            </w:pPr>
            <w:r w:rsidRPr="00F33C8B">
              <w:rPr>
                <w:color w:val="FF0000"/>
                <w:sz w:val="16"/>
                <w:szCs w:val="16"/>
              </w:rPr>
              <w:t>The criteria are based on the mean of cysteine and lysine peptides</w:t>
            </w:r>
            <w:r>
              <w:rPr>
                <w:color w:val="FF0000"/>
                <w:sz w:val="16"/>
                <w:szCs w:val="16"/>
              </w:rPr>
              <w:t xml:space="preserve"> percent</w:t>
            </w:r>
            <w:r w:rsidRPr="00F33C8B">
              <w:rPr>
                <w:color w:val="FF0000"/>
                <w:sz w:val="16"/>
                <w:szCs w:val="16"/>
              </w:rPr>
              <w:t xml:space="preserve"> depletion (DPRA), kinetic</w:t>
            </w:r>
            <w:r w:rsidRPr="00F33C8B">
              <w:rPr>
                <w:rFonts w:asciiTheme="minorHAnsi" w:eastAsiaTheme="minorHAnsi" w:hAnsiTheme="minorHAnsi" w:cstheme="minorBidi"/>
                <w:b/>
                <w:color w:val="FF0000"/>
                <w:szCs w:val="22"/>
              </w:rPr>
              <w:t xml:space="preserve"> </w:t>
            </w:r>
            <w:r w:rsidRPr="00F33C8B">
              <w:rPr>
                <w:bCs/>
                <w:color w:val="FF0000"/>
                <w:sz w:val="16"/>
                <w:szCs w:val="16"/>
              </w:rPr>
              <w:t>rates of cysteine</w:t>
            </w:r>
            <w:r w:rsidRPr="00F33C8B">
              <w:rPr>
                <w:color w:val="FF0000"/>
                <w:sz w:val="16"/>
                <w:szCs w:val="16"/>
              </w:rPr>
              <w:t xml:space="preserve"> depletion (</w:t>
            </w:r>
            <w:proofErr w:type="spellStart"/>
            <w:r w:rsidRPr="00F33C8B">
              <w:rPr>
                <w:color w:val="FF0000"/>
                <w:sz w:val="16"/>
                <w:szCs w:val="16"/>
              </w:rPr>
              <w:t>kDPRA</w:t>
            </w:r>
            <w:proofErr w:type="spellEnd"/>
            <w:r w:rsidRPr="00F33C8B">
              <w:rPr>
                <w:color w:val="FF0000"/>
                <w:sz w:val="16"/>
                <w:szCs w:val="16"/>
              </w:rPr>
              <w:t>) and mean NAC and NAL percent depletion value (ADRA). Predictions models based on the cysteine or NAC</w:t>
            </w:r>
            <w:r>
              <w:rPr>
                <w:color w:val="FF0000"/>
                <w:sz w:val="16"/>
                <w:szCs w:val="16"/>
              </w:rPr>
              <w:t xml:space="preserve"> percent</w:t>
            </w:r>
            <w:r w:rsidRPr="00F33C8B">
              <w:rPr>
                <w:color w:val="FF0000"/>
                <w:sz w:val="16"/>
                <w:szCs w:val="16"/>
              </w:rPr>
              <w:t xml:space="preserve"> depletion value alone in case the unreacted lysine peptide or NAL cannot be reliably measured can be applied for the DPRA and ADRA.</w:t>
            </w:r>
          </w:p>
          <w:p w14:paraId="48258CD2" w14:textId="77777777" w:rsidR="006D3377" w:rsidRPr="00F33C8B" w:rsidRDefault="006D3377" w:rsidP="0069132F">
            <w:pPr>
              <w:autoSpaceDE w:val="0"/>
              <w:autoSpaceDN w:val="0"/>
              <w:adjustRightInd w:val="0"/>
              <w:spacing w:before="20" w:after="20"/>
              <w:rPr>
                <w:color w:val="FF0000"/>
                <w:sz w:val="16"/>
                <w:szCs w:val="16"/>
              </w:rPr>
            </w:pPr>
          </w:p>
        </w:tc>
        <w:tc>
          <w:tcPr>
            <w:tcW w:w="3686" w:type="dxa"/>
            <w:gridSpan w:val="2"/>
            <w:tcBorders>
              <w:top w:val="single" w:sz="4" w:space="0" w:color="auto"/>
              <w:left w:val="single" w:sz="4" w:space="0" w:color="auto"/>
              <w:bottom w:val="single" w:sz="4" w:space="0" w:color="auto"/>
              <w:right w:val="single" w:sz="4" w:space="0" w:color="auto"/>
            </w:tcBorders>
          </w:tcPr>
          <w:p w14:paraId="6398200A" w14:textId="77777777" w:rsidR="006D3377" w:rsidRPr="00F33C8B" w:rsidRDefault="006D3377" w:rsidP="0069132F">
            <w:pPr>
              <w:autoSpaceDE w:val="0"/>
              <w:autoSpaceDN w:val="0"/>
              <w:adjustRightInd w:val="0"/>
              <w:spacing w:before="20" w:after="20"/>
              <w:ind w:left="144"/>
              <w:rPr>
                <w:color w:val="FF0000"/>
                <w:sz w:val="16"/>
                <w:szCs w:val="16"/>
              </w:rPr>
            </w:pPr>
            <w:r w:rsidRPr="00F33C8B">
              <w:rPr>
                <w:color w:val="FF0000"/>
                <w:sz w:val="16"/>
                <w:szCs w:val="16"/>
              </w:rPr>
              <w:t xml:space="preserve">Methods: </w:t>
            </w:r>
            <w:r w:rsidRPr="00FB02AC">
              <w:rPr>
                <w:strike/>
                <w:color w:val="FF0000"/>
                <w:sz w:val="16"/>
                <w:szCs w:val="16"/>
              </w:rPr>
              <w:t>Two</w:t>
            </w:r>
            <w:r w:rsidRPr="00EF1370">
              <w:rPr>
                <w:strike/>
                <w:color w:val="FF0000"/>
                <w:sz w:val="16"/>
                <w:szCs w:val="16"/>
              </w:rPr>
              <w:t xml:space="preserve"> similar</w:t>
            </w:r>
            <w:r w:rsidRPr="00F33C8B">
              <w:rPr>
                <w:color w:val="FF0000"/>
                <w:sz w:val="16"/>
                <w:szCs w:val="16"/>
              </w:rPr>
              <w:t xml:space="preserve"> </w:t>
            </w:r>
            <w:r>
              <w:rPr>
                <w:color w:val="FF0000"/>
                <w:sz w:val="16"/>
                <w:szCs w:val="16"/>
              </w:rPr>
              <w:t xml:space="preserve">cell-based </w:t>
            </w:r>
            <w:r w:rsidRPr="00F33C8B">
              <w:rPr>
                <w:color w:val="FF0000"/>
                <w:sz w:val="16"/>
                <w:szCs w:val="16"/>
              </w:rPr>
              <w:t>methods addressing the process of keratinocytes activation, by assessing with the help of luciferase, the Nrf2-mediated activation of antioxidant response element (ARE)-dependent genes following exposure of the cells to the test chemical.</w:t>
            </w:r>
          </w:p>
          <w:p w14:paraId="5E1211F9" w14:textId="77777777" w:rsidR="006D3377" w:rsidRDefault="006D3377" w:rsidP="0069132F">
            <w:pPr>
              <w:autoSpaceDE w:val="0"/>
              <w:autoSpaceDN w:val="0"/>
              <w:adjustRightInd w:val="0"/>
              <w:spacing w:before="20" w:after="20"/>
              <w:ind w:left="144"/>
              <w:rPr>
                <w:color w:val="FF0000"/>
                <w:sz w:val="16"/>
                <w:szCs w:val="16"/>
              </w:rPr>
            </w:pPr>
            <w:r w:rsidRPr="00F33C8B">
              <w:rPr>
                <w:color w:val="FF0000"/>
                <w:sz w:val="16"/>
                <w:szCs w:val="16"/>
              </w:rPr>
              <w:t xml:space="preserve">Cell viability is quantitatively measured in parallel by enzymatic conversion of the dye MTT. </w:t>
            </w:r>
          </w:p>
          <w:p w14:paraId="76485E56" w14:textId="77777777" w:rsidR="006D3377" w:rsidRPr="00F33C8B" w:rsidRDefault="006D3377" w:rsidP="0069132F">
            <w:pPr>
              <w:autoSpaceDE w:val="0"/>
              <w:autoSpaceDN w:val="0"/>
              <w:adjustRightInd w:val="0"/>
              <w:spacing w:before="20" w:after="20"/>
              <w:ind w:left="144"/>
              <w:rPr>
                <w:color w:val="FF0000"/>
                <w:sz w:val="16"/>
                <w:szCs w:val="16"/>
              </w:rPr>
            </w:pPr>
            <w:r w:rsidRPr="00F33C8B">
              <w:rPr>
                <w:color w:val="FF0000"/>
                <w:sz w:val="16"/>
                <w:szCs w:val="16"/>
              </w:rPr>
              <w:t>The criteria are based on the induction of the luciferase gene above a given threshold, quantified at subtoxic concentrations. Criteria should be met in 2 of 2 or in 2 of 3 repetitions.</w:t>
            </w:r>
          </w:p>
        </w:tc>
        <w:tc>
          <w:tcPr>
            <w:tcW w:w="5732" w:type="dxa"/>
            <w:gridSpan w:val="4"/>
            <w:tcBorders>
              <w:top w:val="single" w:sz="4" w:space="0" w:color="auto"/>
              <w:left w:val="single" w:sz="4" w:space="0" w:color="auto"/>
              <w:bottom w:val="single" w:sz="4" w:space="0" w:color="auto"/>
              <w:right w:val="single" w:sz="4" w:space="0" w:color="auto"/>
            </w:tcBorders>
          </w:tcPr>
          <w:p w14:paraId="51580420" w14:textId="77777777" w:rsidR="006D3377" w:rsidRPr="00F245BE" w:rsidRDefault="006D3377" w:rsidP="0069132F">
            <w:pPr>
              <w:autoSpaceDE w:val="0"/>
              <w:autoSpaceDN w:val="0"/>
              <w:adjustRightInd w:val="0"/>
              <w:spacing w:before="20" w:after="20"/>
              <w:ind w:left="144"/>
              <w:rPr>
                <w:color w:val="FF0000"/>
                <w:sz w:val="16"/>
                <w:szCs w:val="16"/>
              </w:rPr>
            </w:pPr>
            <w:r w:rsidRPr="00F33C8B">
              <w:rPr>
                <w:color w:val="FF0000"/>
                <w:sz w:val="16"/>
                <w:szCs w:val="16"/>
              </w:rPr>
              <w:t xml:space="preserve">Methods: </w:t>
            </w:r>
            <w:r w:rsidRPr="00FB02AC">
              <w:rPr>
                <w:strike/>
                <w:color w:val="FF0000"/>
                <w:sz w:val="16"/>
                <w:szCs w:val="16"/>
              </w:rPr>
              <w:t>three</w:t>
            </w:r>
            <w:r w:rsidRPr="00F33C8B">
              <w:rPr>
                <w:color w:val="FF0000"/>
                <w:sz w:val="16"/>
                <w:szCs w:val="16"/>
              </w:rPr>
              <w:t xml:space="preserve"> </w:t>
            </w:r>
            <w:r>
              <w:rPr>
                <w:color w:val="FF0000"/>
                <w:sz w:val="16"/>
                <w:szCs w:val="16"/>
              </w:rPr>
              <w:t xml:space="preserve">cell-based </w:t>
            </w:r>
            <w:r w:rsidRPr="00F33C8B">
              <w:rPr>
                <w:color w:val="FF0000"/>
                <w:sz w:val="16"/>
                <w:szCs w:val="16"/>
              </w:rPr>
              <w:t xml:space="preserve">methods </w:t>
            </w:r>
            <w:r w:rsidRPr="00FB02AC">
              <w:rPr>
                <w:strike/>
                <w:color w:val="FF0000"/>
                <w:sz w:val="16"/>
                <w:szCs w:val="16"/>
              </w:rPr>
              <w:t xml:space="preserve">are </w:t>
            </w:r>
            <w:r w:rsidRPr="00F33C8B">
              <w:rPr>
                <w:color w:val="FF0000"/>
                <w:sz w:val="16"/>
                <w:szCs w:val="16"/>
              </w:rPr>
              <w:t>addressing the process of monocytes/dendritic cell activation by either quantifying the change in the expression of cell surface marker(s) (</w:t>
            </w:r>
            <w:proofErr w:type="gramStart"/>
            <w:r w:rsidRPr="00F33C8B">
              <w:rPr>
                <w:color w:val="FF0000"/>
                <w:sz w:val="16"/>
                <w:szCs w:val="16"/>
              </w:rPr>
              <w:t>e.g.</w:t>
            </w:r>
            <w:proofErr w:type="gramEnd"/>
            <w:r w:rsidRPr="00F33C8B">
              <w:rPr>
                <w:color w:val="FF0000"/>
                <w:sz w:val="16"/>
                <w:szCs w:val="16"/>
              </w:rPr>
              <w:t xml:space="preserve"> CD54, CD86) or the change in IL-8 expression </w:t>
            </w:r>
            <w:r>
              <w:rPr>
                <w:color w:val="FF0000"/>
                <w:sz w:val="16"/>
                <w:szCs w:val="16"/>
              </w:rPr>
              <w:t>or the</w:t>
            </w:r>
          </w:p>
          <w:p w14:paraId="38A31545" w14:textId="77777777" w:rsidR="006D3377" w:rsidRDefault="006D3377" w:rsidP="0069132F">
            <w:pPr>
              <w:autoSpaceDE w:val="0"/>
              <w:autoSpaceDN w:val="0"/>
              <w:adjustRightInd w:val="0"/>
              <w:spacing w:before="20" w:after="20"/>
              <w:ind w:left="144"/>
              <w:rPr>
                <w:color w:val="FF0000"/>
                <w:sz w:val="16"/>
                <w:szCs w:val="16"/>
              </w:rPr>
            </w:pPr>
            <w:r w:rsidRPr="00F245BE">
              <w:rPr>
                <w:color w:val="FF0000"/>
                <w:sz w:val="16"/>
                <w:szCs w:val="16"/>
              </w:rPr>
              <w:t>transcriptional patterns of an endpoint-specific genomic biomarker signature</w:t>
            </w:r>
            <w:r w:rsidRPr="00D90F70">
              <w:rPr>
                <w:color w:val="FF0000"/>
                <w:sz w:val="16"/>
                <w:szCs w:val="16"/>
              </w:rPr>
              <w:t xml:space="preserve"> following exposure of the cells to the test chemical.</w:t>
            </w:r>
          </w:p>
          <w:p w14:paraId="6373C325" w14:textId="77777777" w:rsidR="006D3377" w:rsidRDefault="006D3377" w:rsidP="0069132F">
            <w:pPr>
              <w:autoSpaceDE w:val="0"/>
              <w:autoSpaceDN w:val="0"/>
              <w:adjustRightInd w:val="0"/>
              <w:spacing w:before="20" w:after="20"/>
              <w:ind w:left="144"/>
              <w:rPr>
                <w:color w:val="FF0000"/>
                <w:sz w:val="16"/>
                <w:szCs w:val="16"/>
              </w:rPr>
            </w:pPr>
          </w:p>
          <w:p w14:paraId="6B123C6E" w14:textId="77777777" w:rsidR="006D3377" w:rsidRPr="00F33C8B" w:rsidRDefault="006D3377" w:rsidP="0069132F">
            <w:pPr>
              <w:autoSpaceDE w:val="0"/>
              <w:autoSpaceDN w:val="0"/>
              <w:adjustRightInd w:val="0"/>
              <w:spacing w:before="20" w:after="20"/>
              <w:ind w:left="144"/>
              <w:rPr>
                <w:color w:val="FF0000"/>
                <w:sz w:val="16"/>
                <w:szCs w:val="16"/>
              </w:rPr>
            </w:pPr>
            <w:r w:rsidRPr="00F33C8B">
              <w:rPr>
                <w:color w:val="FF0000"/>
                <w:sz w:val="16"/>
                <w:szCs w:val="16"/>
              </w:rPr>
              <w:t>Criteria should be met in 2 of 2 or in at least 2 of 3 repetitions</w:t>
            </w:r>
            <w:r>
              <w:rPr>
                <w:color w:val="FF0000"/>
                <w:sz w:val="16"/>
                <w:szCs w:val="16"/>
              </w:rPr>
              <w:t xml:space="preserve"> for test methods described in Annexes I, II and III or in </w:t>
            </w:r>
            <w:r w:rsidRPr="0016342D">
              <w:rPr>
                <w:color w:val="FF0000"/>
                <w:sz w:val="16"/>
                <w:szCs w:val="16"/>
              </w:rPr>
              <w:t>three valid biological replicates</w:t>
            </w:r>
            <w:r>
              <w:rPr>
                <w:color w:val="FF0000"/>
                <w:sz w:val="16"/>
                <w:szCs w:val="16"/>
              </w:rPr>
              <w:t xml:space="preserve"> for test method described in Annex IV.</w:t>
            </w:r>
          </w:p>
        </w:tc>
      </w:tr>
      <w:tr w:rsidR="006D3377" w:rsidRPr="00F33C8B" w14:paraId="354CDD08" w14:textId="77777777" w:rsidTr="0069132F">
        <w:trPr>
          <w:trHeight w:val="1454"/>
          <w:jc w:val="center"/>
        </w:trPr>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BEBDD30" w14:textId="77777777" w:rsidR="006D3377" w:rsidRPr="00F33C8B" w:rsidRDefault="006D3377" w:rsidP="0069132F">
            <w:pPr>
              <w:autoSpaceDE w:val="0"/>
              <w:autoSpaceDN w:val="0"/>
              <w:adjustRightInd w:val="0"/>
              <w:spacing w:before="20" w:after="20"/>
              <w:jc w:val="center"/>
              <w:rPr>
                <w:b/>
                <w:bCs/>
                <w:color w:val="FF0000"/>
                <w:sz w:val="16"/>
                <w:szCs w:val="16"/>
              </w:rPr>
            </w:pPr>
            <w:r w:rsidRPr="00F33C8B">
              <w:rPr>
                <w:b/>
                <w:bCs/>
                <w:color w:val="FF0000"/>
                <w:sz w:val="16"/>
                <w:szCs w:val="16"/>
              </w:rPr>
              <w:t>1</w:t>
            </w:r>
          </w:p>
        </w:tc>
        <w:tc>
          <w:tcPr>
            <w:tcW w:w="14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2914969"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 xml:space="preserve">The mean cysteine/lysine % depletion &gt; 6.38% Or </w:t>
            </w:r>
          </w:p>
          <w:p w14:paraId="5ABA2C37"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the mean cysteine % depletion &gt; 13.89 %</w:t>
            </w:r>
          </w:p>
          <w:p w14:paraId="333F297A" w14:textId="77777777" w:rsidR="006D3377" w:rsidRPr="00F33C8B" w:rsidRDefault="006D3377" w:rsidP="0069132F">
            <w:pPr>
              <w:tabs>
                <w:tab w:val="left" w:pos="294"/>
              </w:tabs>
              <w:autoSpaceDE w:val="0"/>
              <w:autoSpaceDN w:val="0"/>
              <w:adjustRightInd w:val="0"/>
              <w:spacing w:before="20" w:after="20"/>
              <w:rPr>
                <w:color w:val="FF0000"/>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14:paraId="1926EB97"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 xml:space="preserve">The mean NAC and NAL % depletion ≥ 4.9% </w:t>
            </w:r>
          </w:p>
          <w:p w14:paraId="0528B12A"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Or</w:t>
            </w:r>
          </w:p>
          <w:p w14:paraId="0521394E"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NAC% depletion ≥</w:t>
            </w:r>
          </w:p>
          <w:p w14:paraId="66A01CC8"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5.6%</w:t>
            </w:r>
          </w:p>
        </w:tc>
        <w:tc>
          <w:tcPr>
            <w:tcW w:w="1196" w:type="dxa"/>
            <w:tcBorders>
              <w:top w:val="single" w:sz="4" w:space="0" w:color="auto"/>
              <w:left w:val="single" w:sz="4" w:space="0" w:color="auto"/>
              <w:bottom w:val="single" w:sz="4" w:space="0" w:color="auto"/>
              <w:right w:val="single" w:sz="4" w:space="0" w:color="auto"/>
            </w:tcBorders>
          </w:tcPr>
          <w:p w14:paraId="277D0E62"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N</w:t>
            </w:r>
            <w:r>
              <w:rPr>
                <w:color w:val="FF0000"/>
                <w:sz w:val="16"/>
                <w:szCs w:val="16"/>
              </w:rPr>
              <w:t>ot applicable</w:t>
            </w:r>
          </w:p>
        </w:tc>
        <w:tc>
          <w:tcPr>
            <w:tcW w:w="2114" w:type="dxa"/>
            <w:tcBorders>
              <w:top w:val="single" w:sz="4" w:space="0" w:color="auto"/>
              <w:left w:val="single" w:sz="4" w:space="0" w:color="auto"/>
              <w:bottom w:val="single" w:sz="4" w:space="0" w:color="auto"/>
              <w:right w:val="single" w:sz="4" w:space="0" w:color="auto"/>
            </w:tcBorders>
          </w:tcPr>
          <w:p w14:paraId="039D8465" w14:textId="77777777" w:rsidR="006D3377" w:rsidRPr="00F33C8B" w:rsidRDefault="006D3377" w:rsidP="0069132F">
            <w:pPr>
              <w:spacing w:before="40" w:after="40" w:line="180" w:lineRule="exact"/>
              <w:rPr>
                <w:color w:val="FF0000"/>
                <w:sz w:val="16"/>
                <w:szCs w:val="16"/>
              </w:rPr>
            </w:pPr>
            <w:r w:rsidRPr="00F33C8B">
              <w:rPr>
                <w:color w:val="FF0000"/>
                <w:sz w:val="16"/>
                <w:szCs w:val="16"/>
              </w:rPr>
              <w:t>The following 4 conditions are all met in 2 of 2 or in the same 2 of 3 repetitions:</w:t>
            </w:r>
          </w:p>
          <w:p w14:paraId="4CECD269" w14:textId="77777777" w:rsidR="006D3377" w:rsidRPr="00F33C8B" w:rsidRDefault="006D3377" w:rsidP="006D3377">
            <w:pPr>
              <w:pStyle w:val="ListParagraph"/>
              <w:numPr>
                <w:ilvl w:val="0"/>
                <w:numId w:val="33"/>
              </w:numPr>
              <w:suppressAutoHyphens w:val="0"/>
              <w:spacing w:before="40" w:after="40" w:line="180" w:lineRule="exact"/>
              <w:ind w:left="285" w:hanging="141"/>
              <w:rPr>
                <w:color w:val="FF0000"/>
                <w:sz w:val="16"/>
                <w:szCs w:val="16"/>
              </w:rPr>
            </w:pPr>
            <w:r w:rsidRPr="00F33C8B">
              <w:rPr>
                <w:color w:val="FF0000"/>
                <w:sz w:val="16"/>
                <w:szCs w:val="16"/>
              </w:rPr>
              <w:t>Imax equal or higher than (</w:t>
            </w:r>
            <w:r w:rsidRPr="00F33C8B">
              <w:rPr>
                <w:color w:val="FF0000"/>
                <w:sz w:val="16"/>
                <w:szCs w:val="16"/>
              </w:rPr>
              <w:sym w:font="Symbol" w:char="F0B3"/>
            </w:r>
            <w:r w:rsidRPr="00F33C8B">
              <w:rPr>
                <w:color w:val="FF0000"/>
                <w:sz w:val="16"/>
                <w:szCs w:val="16"/>
              </w:rPr>
              <w:t xml:space="preserve">) </w:t>
            </w:r>
            <w:proofErr w:type="gramStart"/>
            <w:r w:rsidRPr="00F33C8B">
              <w:rPr>
                <w:color w:val="FF0000"/>
                <w:sz w:val="16"/>
                <w:szCs w:val="16"/>
              </w:rPr>
              <w:t>1.5 fold</w:t>
            </w:r>
            <w:proofErr w:type="gramEnd"/>
            <w:r w:rsidRPr="00F33C8B">
              <w:rPr>
                <w:color w:val="FF0000"/>
                <w:sz w:val="16"/>
                <w:szCs w:val="16"/>
              </w:rPr>
              <w:t xml:space="preserve"> and statistically significantly different to the solvent control </w:t>
            </w:r>
          </w:p>
          <w:p w14:paraId="3450D711" w14:textId="77777777" w:rsidR="006D3377" w:rsidRPr="00F33C8B" w:rsidRDefault="006D3377" w:rsidP="006D3377">
            <w:pPr>
              <w:pStyle w:val="ListParagraph"/>
              <w:numPr>
                <w:ilvl w:val="0"/>
                <w:numId w:val="33"/>
              </w:numPr>
              <w:suppressAutoHyphens w:val="0"/>
              <w:spacing w:before="40" w:after="40" w:line="180" w:lineRule="exact"/>
              <w:ind w:left="285" w:hanging="141"/>
              <w:rPr>
                <w:color w:val="FF0000"/>
                <w:sz w:val="16"/>
                <w:szCs w:val="16"/>
              </w:rPr>
            </w:pPr>
            <w:r w:rsidRPr="00F33C8B">
              <w:rPr>
                <w:color w:val="FF0000"/>
                <w:sz w:val="16"/>
                <w:szCs w:val="16"/>
              </w:rPr>
              <w:t xml:space="preserve">The cellular viability is higher than (&gt;) 70% at the lowest concentration with induction of luciferase activity equal or above </w:t>
            </w:r>
            <w:proofErr w:type="gramStart"/>
            <w:r w:rsidRPr="00F33C8B">
              <w:rPr>
                <w:color w:val="FF0000"/>
                <w:sz w:val="16"/>
                <w:szCs w:val="16"/>
              </w:rPr>
              <w:t>1.5 fold</w:t>
            </w:r>
            <w:proofErr w:type="gramEnd"/>
            <w:r w:rsidRPr="00F33C8B">
              <w:rPr>
                <w:color w:val="FF0000"/>
                <w:sz w:val="16"/>
                <w:szCs w:val="16"/>
              </w:rPr>
              <w:t xml:space="preserve"> </w:t>
            </w:r>
          </w:p>
          <w:p w14:paraId="1C57879C" w14:textId="77777777" w:rsidR="006D3377" w:rsidRPr="00F33C8B" w:rsidRDefault="006D3377" w:rsidP="006D3377">
            <w:pPr>
              <w:pStyle w:val="ListParagraph"/>
              <w:numPr>
                <w:ilvl w:val="0"/>
                <w:numId w:val="33"/>
              </w:numPr>
              <w:suppressAutoHyphens w:val="0"/>
              <w:spacing w:before="40" w:after="40" w:line="180" w:lineRule="exact"/>
              <w:ind w:left="285" w:hanging="141"/>
              <w:rPr>
                <w:color w:val="FF0000"/>
                <w:sz w:val="16"/>
                <w:szCs w:val="16"/>
              </w:rPr>
            </w:pPr>
            <w:r w:rsidRPr="00F33C8B">
              <w:rPr>
                <w:color w:val="FF0000"/>
                <w:sz w:val="16"/>
                <w:szCs w:val="16"/>
              </w:rPr>
              <w:t>The EC</w:t>
            </w:r>
            <w:r w:rsidRPr="00F33C8B">
              <w:rPr>
                <w:color w:val="FF0000"/>
                <w:sz w:val="16"/>
                <w:szCs w:val="16"/>
                <w:vertAlign w:val="subscript"/>
              </w:rPr>
              <w:t>1.5</w:t>
            </w:r>
            <w:r w:rsidRPr="00F33C8B">
              <w:rPr>
                <w:color w:val="FF0000"/>
                <w:sz w:val="16"/>
                <w:szCs w:val="16"/>
              </w:rPr>
              <w:t xml:space="preserve"> value is less than (&lt;) 1000 µM (or &lt; 200 µg/mL for test chemicals with no defined MW)</w:t>
            </w:r>
          </w:p>
          <w:p w14:paraId="64FA3CBE" w14:textId="77777777" w:rsidR="006D3377" w:rsidRPr="00F33C8B" w:rsidRDefault="006D3377" w:rsidP="006D3377">
            <w:pPr>
              <w:pStyle w:val="ListParagraph"/>
              <w:numPr>
                <w:ilvl w:val="0"/>
                <w:numId w:val="33"/>
              </w:numPr>
              <w:suppressAutoHyphens w:val="0"/>
              <w:spacing w:before="40" w:after="40" w:line="180" w:lineRule="exact"/>
              <w:ind w:left="285" w:hanging="141"/>
              <w:rPr>
                <w:color w:val="FF0000"/>
                <w:sz w:val="16"/>
                <w:szCs w:val="16"/>
              </w:rPr>
            </w:pPr>
            <w:r w:rsidRPr="00F33C8B">
              <w:rPr>
                <w:color w:val="FF0000"/>
                <w:sz w:val="16"/>
                <w:szCs w:val="16"/>
              </w:rPr>
              <w:t>There is an apparent overall dose-dependent increase in luciferase induction</w:t>
            </w:r>
          </w:p>
        </w:tc>
        <w:tc>
          <w:tcPr>
            <w:tcW w:w="1572" w:type="dxa"/>
            <w:tcBorders>
              <w:top w:val="single" w:sz="4" w:space="0" w:color="auto"/>
              <w:left w:val="single" w:sz="4" w:space="0" w:color="auto"/>
              <w:bottom w:val="single" w:sz="4" w:space="0" w:color="auto"/>
              <w:right w:val="single" w:sz="4" w:space="0" w:color="auto"/>
            </w:tcBorders>
          </w:tcPr>
          <w:p w14:paraId="6EF93364" w14:textId="77777777" w:rsidR="006D3377" w:rsidRPr="00F33C8B" w:rsidRDefault="006D3377" w:rsidP="0069132F">
            <w:pPr>
              <w:spacing w:before="40" w:after="40" w:line="180" w:lineRule="exact"/>
              <w:rPr>
                <w:color w:val="FF0000"/>
                <w:sz w:val="16"/>
                <w:szCs w:val="16"/>
              </w:rPr>
            </w:pPr>
            <w:r w:rsidRPr="00F33C8B">
              <w:rPr>
                <w:color w:val="FF0000"/>
                <w:sz w:val="16"/>
                <w:szCs w:val="16"/>
              </w:rPr>
              <w:t>The following conditions are all met in 2 of 2 or in the same 2 of 3 repetitions:</w:t>
            </w:r>
          </w:p>
          <w:p w14:paraId="69357285" w14:textId="77777777" w:rsidR="006D3377" w:rsidRPr="00F33C8B" w:rsidRDefault="006D3377" w:rsidP="0069132F">
            <w:pPr>
              <w:spacing w:before="40" w:after="40" w:line="180" w:lineRule="exact"/>
              <w:ind w:left="194" w:hanging="194"/>
              <w:rPr>
                <w:color w:val="FF0000"/>
                <w:sz w:val="16"/>
                <w:szCs w:val="16"/>
              </w:rPr>
            </w:pPr>
            <w:r w:rsidRPr="00F33C8B">
              <w:rPr>
                <w:color w:val="FF0000"/>
                <w:sz w:val="16"/>
                <w:szCs w:val="16"/>
              </w:rPr>
              <w:t>1. A luciferase induction above or equal to (</w:t>
            </w:r>
            <w:r w:rsidRPr="00F33C8B">
              <w:rPr>
                <w:color w:val="FF0000"/>
                <w:sz w:val="16"/>
                <w:szCs w:val="16"/>
              </w:rPr>
              <w:sym w:font="Symbol" w:char="F0B3"/>
            </w:r>
            <w:r w:rsidRPr="00F33C8B">
              <w:rPr>
                <w:color w:val="FF0000"/>
                <w:sz w:val="16"/>
                <w:szCs w:val="16"/>
              </w:rPr>
              <w:t xml:space="preserve">) </w:t>
            </w:r>
            <w:proofErr w:type="gramStart"/>
            <w:r w:rsidRPr="00F33C8B">
              <w:rPr>
                <w:color w:val="FF0000"/>
                <w:sz w:val="16"/>
                <w:szCs w:val="16"/>
              </w:rPr>
              <w:t>1.5 fold</w:t>
            </w:r>
            <w:proofErr w:type="gramEnd"/>
            <w:r w:rsidRPr="00F33C8B">
              <w:rPr>
                <w:color w:val="FF0000"/>
                <w:sz w:val="16"/>
                <w:szCs w:val="16"/>
              </w:rPr>
              <w:t xml:space="preserve"> as compared to the solvent control is observed in at least 2 consecutive non-cytotoxic tested concentrations (i.e. cellular viability is equal or higher than (</w:t>
            </w:r>
            <w:r w:rsidRPr="00F33C8B">
              <w:rPr>
                <w:color w:val="FF0000"/>
                <w:sz w:val="16"/>
                <w:szCs w:val="16"/>
              </w:rPr>
              <w:sym w:font="Symbol" w:char="F0B3"/>
            </w:r>
            <w:r w:rsidRPr="00F33C8B">
              <w:rPr>
                <w:color w:val="FF0000"/>
                <w:sz w:val="16"/>
                <w:szCs w:val="16"/>
              </w:rPr>
              <w:t>) 70%)</w:t>
            </w:r>
          </w:p>
          <w:p w14:paraId="4277476F" w14:textId="77777777" w:rsidR="006D3377" w:rsidRPr="00F33C8B" w:rsidRDefault="006D3377" w:rsidP="0069132F">
            <w:pPr>
              <w:spacing w:before="40" w:after="40" w:line="180" w:lineRule="exact"/>
              <w:ind w:left="194" w:hanging="194"/>
              <w:rPr>
                <w:color w:val="FF0000"/>
                <w:sz w:val="16"/>
                <w:szCs w:val="16"/>
              </w:rPr>
            </w:pPr>
            <w:r w:rsidRPr="00F33C8B">
              <w:rPr>
                <w:color w:val="FF0000"/>
                <w:sz w:val="16"/>
                <w:szCs w:val="16"/>
              </w:rPr>
              <w:t>2. At least three tested concentrations should be non-cytotoxic (cellular viability equal or higher than (</w:t>
            </w:r>
            <w:r w:rsidRPr="00F33C8B">
              <w:rPr>
                <w:color w:val="FF0000"/>
                <w:sz w:val="16"/>
                <w:szCs w:val="16"/>
              </w:rPr>
              <w:sym w:font="Symbol" w:char="F0B3"/>
            </w:r>
            <w:r w:rsidRPr="00F33C8B">
              <w:rPr>
                <w:color w:val="FF0000"/>
                <w:sz w:val="16"/>
                <w:szCs w:val="16"/>
              </w:rPr>
              <w:t>) 70%).</w:t>
            </w:r>
          </w:p>
        </w:tc>
        <w:tc>
          <w:tcPr>
            <w:tcW w:w="1497" w:type="dxa"/>
            <w:tcBorders>
              <w:top w:val="single" w:sz="4" w:space="0" w:color="auto"/>
              <w:left w:val="single" w:sz="4" w:space="0" w:color="auto"/>
              <w:bottom w:val="single" w:sz="4" w:space="0" w:color="auto"/>
              <w:right w:val="single" w:sz="4" w:space="0" w:color="auto"/>
            </w:tcBorders>
          </w:tcPr>
          <w:p w14:paraId="74FC5579" w14:textId="77777777" w:rsidR="006D3377" w:rsidRPr="00F33C8B" w:rsidRDefault="006D3377" w:rsidP="0069132F">
            <w:pPr>
              <w:spacing w:before="40" w:after="40" w:line="180" w:lineRule="exact"/>
              <w:ind w:left="142"/>
              <w:rPr>
                <w:color w:val="FF0000"/>
                <w:sz w:val="16"/>
                <w:szCs w:val="16"/>
              </w:rPr>
            </w:pPr>
            <w:r w:rsidRPr="00F33C8B">
              <w:rPr>
                <w:color w:val="FF0000"/>
                <w:sz w:val="16"/>
                <w:szCs w:val="16"/>
              </w:rPr>
              <w:t>At least one of the following conditions is met in 2 of 2 or in at least 2 of 3 independent runs:</w:t>
            </w:r>
          </w:p>
          <w:p w14:paraId="0F67EF3B" w14:textId="77777777" w:rsidR="006D3377" w:rsidRPr="00F33C8B" w:rsidRDefault="006D3377" w:rsidP="0069132F">
            <w:pPr>
              <w:spacing w:before="40" w:after="40" w:line="180" w:lineRule="exact"/>
              <w:ind w:left="142"/>
              <w:rPr>
                <w:color w:val="FF0000"/>
                <w:sz w:val="16"/>
                <w:szCs w:val="16"/>
              </w:rPr>
            </w:pPr>
            <w:r w:rsidRPr="00F33C8B">
              <w:rPr>
                <w:color w:val="FF0000"/>
                <w:sz w:val="16"/>
                <w:szCs w:val="16"/>
              </w:rPr>
              <w:t xml:space="preserve">The Relative Fluorescence Intensity of CD86 is equal to or greater than 150% at any tested concentration (with cell viability ≥ 50%) </w:t>
            </w:r>
          </w:p>
          <w:p w14:paraId="2151700B" w14:textId="77777777" w:rsidR="006D3377" w:rsidRPr="00F33C8B" w:rsidRDefault="006D3377" w:rsidP="0069132F">
            <w:pPr>
              <w:spacing w:before="40" w:after="40" w:line="180" w:lineRule="exact"/>
              <w:ind w:left="142"/>
              <w:rPr>
                <w:color w:val="FF0000"/>
                <w:sz w:val="16"/>
                <w:szCs w:val="16"/>
              </w:rPr>
            </w:pPr>
            <w:r w:rsidRPr="00F33C8B">
              <w:rPr>
                <w:color w:val="FF0000"/>
                <w:sz w:val="16"/>
                <w:szCs w:val="16"/>
              </w:rPr>
              <w:t xml:space="preserve">or </w:t>
            </w:r>
          </w:p>
          <w:p w14:paraId="4C442605" w14:textId="77777777" w:rsidR="006D3377" w:rsidRPr="00F33C8B" w:rsidRDefault="006D3377" w:rsidP="0069132F">
            <w:pPr>
              <w:spacing w:before="40" w:after="40" w:line="180" w:lineRule="exact"/>
              <w:ind w:left="142"/>
              <w:rPr>
                <w:color w:val="FF0000"/>
                <w:sz w:val="16"/>
                <w:szCs w:val="16"/>
              </w:rPr>
            </w:pPr>
            <w:r w:rsidRPr="00F33C8B">
              <w:rPr>
                <w:color w:val="FF0000"/>
                <w:sz w:val="16"/>
                <w:szCs w:val="16"/>
              </w:rPr>
              <w:t>the Relative Fluorescence Intensity of CD54 is equal to or greater than 200% at any tested concentration (with cell viability ≥ 50%).</w:t>
            </w:r>
          </w:p>
        </w:tc>
        <w:tc>
          <w:tcPr>
            <w:tcW w:w="1559" w:type="dxa"/>
            <w:tcBorders>
              <w:top w:val="single" w:sz="4" w:space="0" w:color="auto"/>
              <w:left w:val="single" w:sz="4" w:space="0" w:color="auto"/>
              <w:bottom w:val="single" w:sz="4" w:space="0" w:color="auto"/>
              <w:right w:val="single" w:sz="4" w:space="0" w:color="auto"/>
            </w:tcBorders>
          </w:tcPr>
          <w:p w14:paraId="6D73675A" w14:textId="77777777" w:rsidR="006D3377" w:rsidRPr="00F33C8B" w:rsidRDefault="006D3377" w:rsidP="0069132F">
            <w:pPr>
              <w:spacing w:before="40" w:after="40" w:line="180" w:lineRule="exact"/>
              <w:ind w:left="142"/>
              <w:rPr>
                <w:color w:val="FF0000"/>
                <w:sz w:val="16"/>
                <w:szCs w:val="16"/>
              </w:rPr>
            </w:pPr>
            <w:r w:rsidRPr="00F33C8B">
              <w:rPr>
                <w:color w:val="FF0000"/>
                <w:sz w:val="16"/>
                <w:szCs w:val="16"/>
              </w:rPr>
              <w:t>The following condition is met in 2 of 2 or in at least 2 of 3 independent runs:</w:t>
            </w:r>
          </w:p>
          <w:p w14:paraId="7F50EA38" w14:textId="77777777" w:rsidR="006D3377" w:rsidRPr="00F33C8B" w:rsidRDefault="006D3377" w:rsidP="0069132F">
            <w:pPr>
              <w:spacing w:before="40" w:after="40" w:line="180" w:lineRule="exact"/>
              <w:ind w:left="142"/>
              <w:rPr>
                <w:color w:val="FF0000"/>
                <w:sz w:val="16"/>
                <w:szCs w:val="16"/>
              </w:rPr>
            </w:pPr>
            <w:r w:rsidRPr="00F33C8B">
              <w:rPr>
                <w:color w:val="FF0000"/>
                <w:sz w:val="16"/>
                <w:szCs w:val="16"/>
              </w:rPr>
              <w:t>The stimulation index of CD86 is equal or higher (</w:t>
            </w:r>
            <w:r w:rsidRPr="00F33C8B">
              <w:rPr>
                <w:color w:val="FF0000"/>
                <w:sz w:val="16"/>
                <w:szCs w:val="16"/>
              </w:rPr>
              <w:sym w:font="Symbol" w:char="F0B3"/>
            </w:r>
            <w:r w:rsidRPr="00F33C8B">
              <w:rPr>
                <w:color w:val="FF0000"/>
                <w:sz w:val="16"/>
                <w:szCs w:val="16"/>
              </w:rPr>
              <w:t>) than 150% and/or interference is observed</w:t>
            </w:r>
          </w:p>
        </w:tc>
        <w:tc>
          <w:tcPr>
            <w:tcW w:w="1338" w:type="dxa"/>
            <w:tcBorders>
              <w:top w:val="single" w:sz="4" w:space="0" w:color="auto"/>
              <w:left w:val="single" w:sz="4" w:space="0" w:color="auto"/>
              <w:bottom w:val="single" w:sz="4" w:space="0" w:color="auto"/>
              <w:right w:val="single" w:sz="4" w:space="0" w:color="auto"/>
            </w:tcBorders>
          </w:tcPr>
          <w:p w14:paraId="5E36505E" w14:textId="77777777" w:rsidR="006D3377" w:rsidRPr="00F33C8B" w:rsidRDefault="006D3377" w:rsidP="0069132F">
            <w:pPr>
              <w:spacing w:before="40" w:after="40" w:line="180" w:lineRule="exact"/>
              <w:ind w:left="142"/>
              <w:rPr>
                <w:color w:val="FF0000"/>
                <w:sz w:val="16"/>
                <w:szCs w:val="16"/>
              </w:rPr>
            </w:pPr>
            <w:r w:rsidRPr="00F33C8B">
              <w:rPr>
                <w:color w:val="FF0000"/>
                <w:sz w:val="16"/>
                <w:szCs w:val="16"/>
              </w:rPr>
              <w:t>The Ind-IL8LA is equal or higher than (</w:t>
            </w:r>
            <w:r w:rsidRPr="00F33C8B">
              <w:rPr>
                <w:color w:val="FF0000"/>
                <w:sz w:val="16"/>
                <w:szCs w:val="16"/>
              </w:rPr>
              <w:sym w:font="Symbol" w:char="F0B3"/>
            </w:r>
            <w:r w:rsidRPr="00F33C8B">
              <w:rPr>
                <w:color w:val="FF0000"/>
                <w:sz w:val="16"/>
                <w:szCs w:val="16"/>
              </w:rPr>
              <w:t>) 1.4 and the lower limit of the 95% confidence interval of Ind-IL8LA is equal or higher than (</w:t>
            </w:r>
            <w:r w:rsidRPr="00F33C8B">
              <w:rPr>
                <w:color w:val="FF0000"/>
                <w:sz w:val="16"/>
                <w:szCs w:val="16"/>
              </w:rPr>
              <w:sym w:font="Symbol" w:char="F0B3"/>
            </w:r>
            <w:r w:rsidRPr="00F33C8B">
              <w:rPr>
                <w:color w:val="FF0000"/>
                <w:sz w:val="16"/>
                <w:szCs w:val="16"/>
              </w:rPr>
              <w:t>) 1.0 in at least 2 out of a maximum of 4 independent runs</w:t>
            </w:r>
          </w:p>
        </w:tc>
        <w:tc>
          <w:tcPr>
            <w:tcW w:w="1338" w:type="dxa"/>
            <w:tcBorders>
              <w:top w:val="single" w:sz="4" w:space="0" w:color="auto"/>
              <w:left w:val="single" w:sz="4" w:space="0" w:color="auto"/>
              <w:bottom w:val="single" w:sz="4" w:space="0" w:color="auto"/>
              <w:right w:val="single" w:sz="4" w:space="0" w:color="auto"/>
            </w:tcBorders>
          </w:tcPr>
          <w:p w14:paraId="64B600E2" w14:textId="77777777" w:rsidR="006D3377" w:rsidRPr="00F33C8B" w:rsidRDefault="006D3377" w:rsidP="0069132F">
            <w:pPr>
              <w:spacing w:before="40" w:after="40" w:line="180" w:lineRule="exact"/>
              <w:ind w:left="142"/>
              <w:rPr>
                <w:color w:val="FF0000"/>
                <w:sz w:val="16"/>
                <w:szCs w:val="16"/>
              </w:rPr>
            </w:pPr>
            <w:r>
              <w:rPr>
                <w:color w:val="FF0000"/>
                <w:sz w:val="16"/>
                <w:szCs w:val="16"/>
              </w:rPr>
              <w:t xml:space="preserve">The mean Decision Value (DV) is </w:t>
            </w:r>
            <w:r w:rsidRPr="00101B72">
              <w:rPr>
                <w:color w:val="FF0000"/>
                <w:sz w:val="16"/>
                <w:szCs w:val="16"/>
              </w:rPr>
              <w:t>≥</w:t>
            </w:r>
            <w:r>
              <w:rPr>
                <w:color w:val="FF0000"/>
                <w:sz w:val="16"/>
                <w:szCs w:val="16"/>
              </w:rPr>
              <w:t>0</w:t>
            </w:r>
          </w:p>
        </w:tc>
      </w:tr>
      <w:tr w:rsidR="006D3377" w:rsidRPr="00F33C8B" w14:paraId="60CCA4E5" w14:textId="77777777" w:rsidTr="0069132F">
        <w:trPr>
          <w:trHeight w:val="20"/>
          <w:jc w:val="center"/>
        </w:trPr>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0C84A34" w14:textId="77777777" w:rsidR="006D3377" w:rsidRPr="00F33C8B" w:rsidRDefault="006D3377" w:rsidP="0069132F">
            <w:pPr>
              <w:autoSpaceDE w:val="0"/>
              <w:autoSpaceDN w:val="0"/>
              <w:adjustRightInd w:val="0"/>
              <w:spacing w:before="20" w:after="20"/>
              <w:jc w:val="center"/>
              <w:rPr>
                <w:b/>
                <w:bCs/>
                <w:color w:val="FF0000"/>
                <w:sz w:val="16"/>
                <w:szCs w:val="16"/>
              </w:rPr>
            </w:pPr>
            <w:r w:rsidRPr="00F33C8B">
              <w:rPr>
                <w:b/>
                <w:bCs/>
                <w:color w:val="FF0000"/>
                <w:sz w:val="16"/>
                <w:szCs w:val="16"/>
              </w:rPr>
              <w:t>1A</w:t>
            </w: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left w:w="57" w:type="dxa"/>
              <w:bottom w:w="57" w:type="dxa"/>
              <w:right w:w="57" w:type="dxa"/>
            </w:tcMar>
            <w:hideMark/>
          </w:tcPr>
          <w:p w14:paraId="7ED3A5F9" w14:textId="77777777" w:rsidR="006D3377" w:rsidRPr="00DC08EE" w:rsidRDefault="006D3377" w:rsidP="0069132F">
            <w:pPr>
              <w:pStyle w:val="Default"/>
              <w:spacing w:before="20" w:after="20"/>
              <w:rPr>
                <w:color w:val="FF0000"/>
                <w:sz w:val="16"/>
                <w:szCs w:val="16"/>
              </w:rPr>
            </w:pPr>
            <w:r w:rsidRPr="00DC08EE">
              <w:rPr>
                <w:color w:val="FF0000"/>
                <w:sz w:val="16"/>
                <w:szCs w:val="16"/>
              </w:rPr>
              <w:t>Not applicable</w:t>
            </w:r>
          </w:p>
        </w:tc>
        <w:tc>
          <w:tcPr>
            <w:tcW w:w="1417" w:type="dxa"/>
            <w:gridSpan w:val="2"/>
            <w:tcBorders>
              <w:top w:val="single" w:sz="4" w:space="0" w:color="auto"/>
              <w:left w:val="single" w:sz="4" w:space="0" w:color="auto"/>
              <w:bottom w:val="single" w:sz="4" w:space="0" w:color="auto"/>
              <w:right w:val="single" w:sz="4" w:space="0" w:color="auto"/>
            </w:tcBorders>
          </w:tcPr>
          <w:p w14:paraId="18932FAE" w14:textId="77777777" w:rsidR="006D3377" w:rsidRPr="00F33C8B" w:rsidRDefault="006D3377" w:rsidP="0069132F">
            <w:pPr>
              <w:pStyle w:val="Default"/>
              <w:spacing w:before="20" w:after="20"/>
              <w:ind w:left="109"/>
              <w:rPr>
                <w:color w:val="FF0000"/>
                <w:sz w:val="16"/>
                <w:szCs w:val="16"/>
              </w:rPr>
            </w:pPr>
          </w:p>
        </w:tc>
        <w:tc>
          <w:tcPr>
            <w:tcW w:w="1196" w:type="dxa"/>
            <w:tcBorders>
              <w:top w:val="single" w:sz="4" w:space="0" w:color="auto"/>
              <w:left w:val="single" w:sz="4" w:space="0" w:color="auto"/>
              <w:bottom w:val="single" w:sz="4" w:space="0" w:color="auto"/>
              <w:right w:val="single" w:sz="4" w:space="0" w:color="auto"/>
            </w:tcBorders>
          </w:tcPr>
          <w:p w14:paraId="6198E12E" w14:textId="77777777" w:rsidR="006D3377" w:rsidRPr="00F33C8B" w:rsidRDefault="006D3377" w:rsidP="0069132F">
            <w:pPr>
              <w:pStyle w:val="Default"/>
              <w:spacing w:before="20" w:after="20"/>
              <w:ind w:left="109"/>
              <w:rPr>
                <w:color w:val="FF0000"/>
                <w:sz w:val="16"/>
                <w:szCs w:val="16"/>
              </w:rPr>
            </w:pPr>
            <w:r w:rsidRPr="00F33C8B">
              <w:rPr>
                <w:color w:val="FF0000"/>
                <w:sz w:val="16"/>
                <w:szCs w:val="16"/>
              </w:rPr>
              <w:t xml:space="preserve">log </w:t>
            </w:r>
            <w:proofErr w:type="spellStart"/>
            <w:r w:rsidRPr="00F33C8B">
              <w:rPr>
                <w:color w:val="FF0000"/>
                <w:sz w:val="16"/>
                <w:szCs w:val="16"/>
              </w:rPr>
              <w:t>k</w:t>
            </w:r>
            <w:r w:rsidRPr="00F33C8B">
              <w:rPr>
                <w:color w:val="FF0000"/>
                <w:sz w:val="16"/>
                <w:szCs w:val="16"/>
                <w:vertAlign w:val="subscript"/>
              </w:rPr>
              <w:t>max</w:t>
            </w:r>
            <w:proofErr w:type="spellEnd"/>
            <w:r w:rsidRPr="00F33C8B">
              <w:rPr>
                <w:color w:val="FF0000"/>
                <w:sz w:val="16"/>
                <w:szCs w:val="16"/>
              </w:rPr>
              <w:t xml:space="preserve"> ≥ -2.0</w:t>
            </w:r>
          </w:p>
        </w:tc>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0379AD" w14:textId="77777777" w:rsidR="006D3377" w:rsidRPr="00165B44" w:rsidRDefault="006D3377" w:rsidP="0069132F">
            <w:pPr>
              <w:pStyle w:val="Default"/>
              <w:spacing w:before="20" w:after="20"/>
              <w:rPr>
                <w:strike/>
                <w:color w:val="FF0000"/>
                <w:sz w:val="16"/>
                <w:szCs w:val="16"/>
                <w:lang w:val="en-GB"/>
              </w:rPr>
            </w:pPr>
            <w:r w:rsidRPr="00A71911">
              <w:rPr>
                <w:color w:val="FF0000"/>
                <w:sz w:val="16"/>
                <w:szCs w:val="16"/>
              </w:rPr>
              <w:t>Not applicable</w:t>
            </w:r>
          </w:p>
        </w:tc>
        <w:tc>
          <w:tcPr>
            <w:tcW w:w="1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5FC521" w14:textId="77777777" w:rsidR="006D3377" w:rsidRPr="00165B44" w:rsidRDefault="006D3377" w:rsidP="0069132F">
            <w:pPr>
              <w:pStyle w:val="Default"/>
              <w:spacing w:before="20" w:after="20"/>
              <w:rPr>
                <w:strike/>
                <w:color w:val="FF0000"/>
                <w:sz w:val="16"/>
                <w:szCs w:val="16"/>
                <w:lang w:val="en-GB"/>
              </w:rPr>
            </w:pPr>
            <w:r w:rsidRPr="00A71911">
              <w:rPr>
                <w:color w:val="FF0000"/>
                <w:sz w:val="16"/>
                <w:szCs w:val="16"/>
              </w:rPr>
              <w:t>Not applicable</w:t>
            </w:r>
          </w:p>
        </w:tc>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1A5051" w14:textId="77777777" w:rsidR="006D3377" w:rsidRPr="00165B44" w:rsidRDefault="006D3377" w:rsidP="0069132F">
            <w:pPr>
              <w:pStyle w:val="Default"/>
              <w:spacing w:before="20" w:after="20"/>
              <w:rPr>
                <w:strike/>
                <w:color w:val="FF0000"/>
                <w:sz w:val="16"/>
                <w:szCs w:val="16"/>
                <w:lang w:val="en-GB"/>
              </w:rPr>
            </w:pPr>
            <w:r w:rsidRPr="00A71911">
              <w:rPr>
                <w:color w:val="FF0000"/>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7F848" w14:textId="77777777" w:rsidR="006D3377" w:rsidRPr="00165B44" w:rsidRDefault="006D3377" w:rsidP="0069132F">
            <w:pPr>
              <w:pStyle w:val="Default"/>
              <w:spacing w:before="20" w:after="20"/>
              <w:rPr>
                <w:strike/>
                <w:color w:val="FF0000"/>
                <w:sz w:val="16"/>
                <w:szCs w:val="16"/>
                <w:lang w:val="en-GB"/>
              </w:rPr>
            </w:pPr>
            <w:r w:rsidRPr="00A71911">
              <w:rPr>
                <w:color w:val="FF0000"/>
                <w:sz w:val="16"/>
                <w:szCs w:val="16"/>
              </w:rPr>
              <w:t>Not applicable</w:t>
            </w:r>
          </w:p>
        </w:tc>
        <w:tc>
          <w:tcPr>
            <w:tcW w:w="1338" w:type="dxa"/>
            <w:tcBorders>
              <w:top w:val="single" w:sz="4" w:space="0" w:color="auto"/>
              <w:left w:val="single" w:sz="4" w:space="0" w:color="auto"/>
              <w:bottom w:val="single" w:sz="4" w:space="0" w:color="auto"/>
              <w:right w:val="single" w:sz="4" w:space="0" w:color="auto"/>
            </w:tcBorders>
          </w:tcPr>
          <w:p w14:paraId="654CDF96" w14:textId="77777777" w:rsidR="006D3377" w:rsidRPr="00F33C8B" w:rsidRDefault="006D3377" w:rsidP="0069132F">
            <w:pPr>
              <w:pStyle w:val="Default"/>
              <w:spacing w:before="20" w:after="20"/>
              <w:rPr>
                <w:color w:val="FF0000"/>
                <w:sz w:val="16"/>
                <w:szCs w:val="16"/>
                <w:lang w:val="en-GB"/>
              </w:rPr>
            </w:pPr>
            <w:r w:rsidRPr="00DC08EE">
              <w:rPr>
                <w:color w:val="FF0000"/>
                <w:sz w:val="16"/>
                <w:szCs w:val="16"/>
              </w:rPr>
              <w:t>Not applicable</w:t>
            </w:r>
          </w:p>
        </w:tc>
        <w:tc>
          <w:tcPr>
            <w:tcW w:w="1338" w:type="dxa"/>
            <w:tcBorders>
              <w:top w:val="single" w:sz="4" w:space="0" w:color="auto"/>
              <w:left w:val="single" w:sz="4" w:space="0" w:color="auto"/>
              <w:bottom w:val="single" w:sz="4" w:space="0" w:color="auto"/>
              <w:right w:val="single" w:sz="4" w:space="0" w:color="auto"/>
            </w:tcBorders>
          </w:tcPr>
          <w:p w14:paraId="512A5A07" w14:textId="77777777" w:rsidR="006D3377" w:rsidRPr="00DC08EE" w:rsidRDefault="006D3377" w:rsidP="0069132F">
            <w:pPr>
              <w:pStyle w:val="Default"/>
              <w:spacing w:before="20" w:after="20"/>
              <w:rPr>
                <w:color w:val="FF0000"/>
                <w:sz w:val="16"/>
                <w:szCs w:val="16"/>
              </w:rPr>
            </w:pPr>
            <w:r w:rsidRPr="00D90F70">
              <w:rPr>
                <w:color w:val="FF0000"/>
                <w:sz w:val="16"/>
                <w:szCs w:val="16"/>
                <w:lang w:val="en-GB"/>
              </w:rPr>
              <w:t>Not applicable</w:t>
            </w:r>
          </w:p>
        </w:tc>
      </w:tr>
      <w:tr w:rsidR="006D3377" w:rsidRPr="00F33C8B" w14:paraId="4293786C" w14:textId="77777777" w:rsidTr="0069132F">
        <w:trPr>
          <w:jc w:val="center"/>
        </w:trPr>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5DEC3AE" w14:textId="77777777" w:rsidR="006D3377" w:rsidRPr="00F33C8B" w:rsidRDefault="006D3377" w:rsidP="0069132F">
            <w:pPr>
              <w:autoSpaceDE w:val="0"/>
              <w:autoSpaceDN w:val="0"/>
              <w:adjustRightInd w:val="0"/>
              <w:spacing w:before="20" w:after="20"/>
              <w:jc w:val="center"/>
              <w:rPr>
                <w:b/>
                <w:bCs/>
                <w:color w:val="FF0000"/>
                <w:sz w:val="16"/>
                <w:szCs w:val="16"/>
              </w:rPr>
            </w:pPr>
            <w:r w:rsidRPr="00F33C8B">
              <w:rPr>
                <w:b/>
                <w:bCs/>
                <w:color w:val="FF0000"/>
                <w:sz w:val="16"/>
                <w:szCs w:val="16"/>
              </w:rPr>
              <w:t>1B</w:t>
            </w: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059F8F" w14:textId="77777777" w:rsidR="006D3377" w:rsidRPr="00165B44" w:rsidRDefault="006D3377" w:rsidP="0069132F">
            <w:pPr>
              <w:pStyle w:val="Default"/>
              <w:spacing w:before="20" w:after="20"/>
              <w:rPr>
                <w:strike/>
                <w:color w:val="FF0000"/>
                <w:sz w:val="16"/>
                <w:szCs w:val="16"/>
                <w:lang w:val="en-GB"/>
              </w:rPr>
            </w:pPr>
            <w:r w:rsidRPr="00DC08EE">
              <w:rPr>
                <w:color w:val="FF0000"/>
                <w:sz w:val="16"/>
                <w:szCs w:val="16"/>
              </w:rPr>
              <w:t>Not applicable</w:t>
            </w:r>
            <w:r w:rsidRPr="00165B44">
              <w:rPr>
                <w:strike/>
                <w:color w:val="FF0000"/>
                <w:sz w:val="16"/>
                <w:szCs w:val="16"/>
                <w:lang w:val="en-GB"/>
              </w:rPr>
              <w:t xml:space="preserve">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8C71760" w14:textId="77777777" w:rsidR="006D3377" w:rsidRPr="00F33C8B" w:rsidRDefault="006D3377" w:rsidP="0069132F">
            <w:pPr>
              <w:pStyle w:val="Default"/>
              <w:spacing w:before="20" w:after="20"/>
              <w:ind w:left="109"/>
              <w:rPr>
                <w:color w:val="FF0000"/>
                <w:sz w:val="16"/>
                <w:szCs w:val="16"/>
                <w:lang w:val="en-GB"/>
              </w:rPr>
            </w:pPr>
            <w:r w:rsidRPr="00DC08EE">
              <w:rPr>
                <w:color w:val="FF0000"/>
                <w:sz w:val="16"/>
                <w:szCs w:val="16"/>
              </w:rPr>
              <w:t>Not applicable</w:t>
            </w:r>
          </w:p>
        </w:tc>
        <w:tc>
          <w:tcPr>
            <w:tcW w:w="1196" w:type="dxa"/>
            <w:tcBorders>
              <w:top w:val="single" w:sz="4" w:space="0" w:color="auto"/>
              <w:left w:val="single" w:sz="4" w:space="0" w:color="auto"/>
              <w:bottom w:val="single" w:sz="4" w:space="0" w:color="auto"/>
              <w:right w:val="single" w:sz="4" w:space="0" w:color="auto"/>
            </w:tcBorders>
            <w:vAlign w:val="center"/>
          </w:tcPr>
          <w:p w14:paraId="38D8A367" w14:textId="77777777" w:rsidR="006D3377" w:rsidRPr="00F33C8B" w:rsidRDefault="006D3377" w:rsidP="0069132F">
            <w:pPr>
              <w:pStyle w:val="Default"/>
              <w:spacing w:before="20" w:after="20"/>
              <w:ind w:left="109"/>
              <w:rPr>
                <w:color w:val="FF0000"/>
                <w:sz w:val="16"/>
                <w:szCs w:val="16"/>
                <w:lang w:val="en-GB"/>
              </w:rPr>
            </w:pPr>
            <w:r w:rsidRPr="00DC08EE">
              <w:rPr>
                <w:color w:val="FF0000"/>
                <w:sz w:val="16"/>
                <w:szCs w:val="16"/>
              </w:rPr>
              <w:t>Not applicable</w:t>
            </w:r>
          </w:p>
        </w:tc>
        <w:tc>
          <w:tcPr>
            <w:tcW w:w="2114" w:type="dxa"/>
            <w:tcBorders>
              <w:top w:val="single" w:sz="4" w:space="0" w:color="auto"/>
              <w:left w:val="single" w:sz="4" w:space="0" w:color="auto"/>
              <w:bottom w:val="single" w:sz="4" w:space="0" w:color="auto"/>
              <w:right w:val="single" w:sz="4" w:space="0" w:color="auto"/>
            </w:tcBorders>
          </w:tcPr>
          <w:p w14:paraId="6A0184FA" w14:textId="77777777" w:rsidR="006D3377" w:rsidRPr="00165B44" w:rsidRDefault="006D3377" w:rsidP="0069132F">
            <w:pPr>
              <w:autoSpaceDE w:val="0"/>
              <w:autoSpaceDN w:val="0"/>
              <w:adjustRightInd w:val="0"/>
              <w:spacing w:before="20" w:after="20"/>
              <w:rPr>
                <w:strike/>
                <w:color w:val="FF0000"/>
                <w:sz w:val="16"/>
                <w:szCs w:val="16"/>
              </w:rPr>
            </w:pPr>
            <w:r w:rsidRPr="00DC08EE">
              <w:rPr>
                <w:color w:val="FF0000"/>
                <w:sz w:val="16"/>
                <w:szCs w:val="16"/>
              </w:rPr>
              <w:t>Not applicable</w:t>
            </w:r>
          </w:p>
        </w:tc>
        <w:tc>
          <w:tcPr>
            <w:tcW w:w="1572" w:type="dxa"/>
            <w:tcBorders>
              <w:top w:val="single" w:sz="4" w:space="0" w:color="auto"/>
              <w:left w:val="single" w:sz="4" w:space="0" w:color="auto"/>
              <w:bottom w:val="single" w:sz="4" w:space="0" w:color="auto"/>
              <w:right w:val="single" w:sz="4" w:space="0" w:color="auto"/>
            </w:tcBorders>
          </w:tcPr>
          <w:p w14:paraId="57574D80" w14:textId="77777777" w:rsidR="006D3377" w:rsidRPr="00165B44" w:rsidRDefault="006D3377" w:rsidP="0069132F">
            <w:pPr>
              <w:autoSpaceDE w:val="0"/>
              <w:autoSpaceDN w:val="0"/>
              <w:adjustRightInd w:val="0"/>
              <w:spacing w:before="20" w:after="20"/>
              <w:rPr>
                <w:strike/>
                <w:color w:val="FF0000"/>
                <w:sz w:val="16"/>
                <w:szCs w:val="16"/>
              </w:rPr>
            </w:pPr>
            <w:r w:rsidRPr="00DC08EE">
              <w:rPr>
                <w:color w:val="FF0000"/>
                <w:sz w:val="16"/>
                <w:szCs w:val="16"/>
              </w:rPr>
              <w:t>Not applicable</w:t>
            </w:r>
          </w:p>
        </w:tc>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509CE" w14:textId="77777777" w:rsidR="006D3377" w:rsidRPr="00165B44" w:rsidRDefault="006D3377" w:rsidP="0069132F">
            <w:pPr>
              <w:autoSpaceDE w:val="0"/>
              <w:autoSpaceDN w:val="0"/>
              <w:adjustRightInd w:val="0"/>
              <w:spacing w:before="20" w:after="20"/>
              <w:rPr>
                <w:strike/>
                <w:color w:val="FF0000"/>
                <w:sz w:val="16"/>
                <w:szCs w:val="16"/>
              </w:rPr>
            </w:pPr>
            <w:r w:rsidRPr="006C1FF7">
              <w:rPr>
                <w:color w:val="FF0000"/>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9609AA" w14:textId="77777777" w:rsidR="006D3377" w:rsidRPr="00165B44" w:rsidRDefault="006D3377" w:rsidP="0069132F">
            <w:pPr>
              <w:autoSpaceDE w:val="0"/>
              <w:autoSpaceDN w:val="0"/>
              <w:adjustRightInd w:val="0"/>
              <w:spacing w:before="20" w:after="20"/>
              <w:rPr>
                <w:strike/>
                <w:color w:val="FF0000"/>
                <w:sz w:val="16"/>
                <w:szCs w:val="16"/>
              </w:rPr>
            </w:pPr>
            <w:r w:rsidRPr="006C1FF7">
              <w:rPr>
                <w:color w:val="FF0000"/>
                <w:sz w:val="16"/>
                <w:szCs w:val="16"/>
              </w:rPr>
              <w:t>Not applicable</w:t>
            </w:r>
          </w:p>
        </w:tc>
        <w:tc>
          <w:tcPr>
            <w:tcW w:w="1338" w:type="dxa"/>
            <w:tcBorders>
              <w:top w:val="single" w:sz="4" w:space="0" w:color="auto"/>
              <w:left w:val="single" w:sz="4" w:space="0" w:color="auto"/>
              <w:bottom w:val="single" w:sz="4" w:space="0" w:color="auto"/>
              <w:right w:val="single" w:sz="4" w:space="0" w:color="auto"/>
            </w:tcBorders>
          </w:tcPr>
          <w:p w14:paraId="40FD92D4" w14:textId="77777777" w:rsidR="006D3377" w:rsidRPr="00F33C8B" w:rsidRDefault="006D3377" w:rsidP="0069132F">
            <w:pPr>
              <w:autoSpaceDE w:val="0"/>
              <w:autoSpaceDN w:val="0"/>
              <w:adjustRightInd w:val="0"/>
              <w:spacing w:before="20" w:after="20"/>
              <w:rPr>
                <w:color w:val="FF0000"/>
                <w:sz w:val="16"/>
                <w:szCs w:val="16"/>
              </w:rPr>
            </w:pPr>
            <w:r w:rsidRPr="00DC08EE">
              <w:rPr>
                <w:color w:val="FF0000"/>
                <w:sz w:val="16"/>
                <w:szCs w:val="16"/>
              </w:rPr>
              <w:t>Not applicable</w:t>
            </w:r>
          </w:p>
        </w:tc>
        <w:tc>
          <w:tcPr>
            <w:tcW w:w="1338" w:type="dxa"/>
            <w:tcBorders>
              <w:top w:val="single" w:sz="4" w:space="0" w:color="auto"/>
              <w:left w:val="single" w:sz="4" w:space="0" w:color="auto"/>
              <w:bottom w:val="single" w:sz="4" w:space="0" w:color="auto"/>
              <w:right w:val="single" w:sz="4" w:space="0" w:color="auto"/>
            </w:tcBorders>
          </w:tcPr>
          <w:p w14:paraId="5AF6A136" w14:textId="77777777" w:rsidR="006D3377" w:rsidRPr="00DC08EE" w:rsidRDefault="006D3377" w:rsidP="0069132F">
            <w:pPr>
              <w:autoSpaceDE w:val="0"/>
              <w:autoSpaceDN w:val="0"/>
              <w:adjustRightInd w:val="0"/>
              <w:spacing w:before="20" w:after="20"/>
              <w:rPr>
                <w:color w:val="FF0000"/>
                <w:sz w:val="16"/>
                <w:szCs w:val="16"/>
              </w:rPr>
            </w:pPr>
            <w:r w:rsidRPr="00D90F70">
              <w:rPr>
                <w:color w:val="FF0000"/>
                <w:sz w:val="16"/>
                <w:szCs w:val="16"/>
              </w:rPr>
              <w:t>Not applicable</w:t>
            </w:r>
          </w:p>
        </w:tc>
      </w:tr>
      <w:tr w:rsidR="006D3377" w:rsidRPr="00F33C8B" w14:paraId="322B3C45" w14:textId="77777777" w:rsidTr="0069132F">
        <w:trPr>
          <w:jc w:val="center"/>
        </w:trPr>
        <w:tc>
          <w:tcPr>
            <w:tcW w:w="70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E7F9EFA" w14:textId="77777777" w:rsidR="006D3377" w:rsidRPr="00F33C8B" w:rsidRDefault="006D3377" w:rsidP="0069132F">
            <w:pPr>
              <w:autoSpaceDE w:val="0"/>
              <w:autoSpaceDN w:val="0"/>
              <w:adjustRightInd w:val="0"/>
              <w:spacing w:before="20" w:after="20"/>
              <w:jc w:val="center"/>
              <w:rPr>
                <w:b/>
                <w:bCs/>
                <w:color w:val="FF0000"/>
                <w:sz w:val="16"/>
                <w:szCs w:val="16"/>
              </w:rPr>
            </w:pPr>
            <w:r w:rsidRPr="00F33C8B">
              <w:rPr>
                <w:b/>
                <w:bCs/>
                <w:color w:val="FF0000"/>
                <w:sz w:val="16"/>
                <w:szCs w:val="16"/>
              </w:rPr>
              <w:t>Not classified</w:t>
            </w:r>
          </w:p>
        </w:tc>
        <w:tc>
          <w:tcPr>
            <w:tcW w:w="1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2AB31"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The mean cysteine/lysine % depletion ≤ 6.38%</w:t>
            </w:r>
          </w:p>
          <w:p w14:paraId="0E6E76DB"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 xml:space="preserve">or </w:t>
            </w:r>
          </w:p>
          <w:p w14:paraId="3ED2735E"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the mean cysteine % depletion ≤ 13.89 %</w:t>
            </w:r>
          </w:p>
          <w:p w14:paraId="2AA0C5C0" w14:textId="77777777" w:rsidR="006D3377" w:rsidRPr="00F33C8B" w:rsidRDefault="006D3377" w:rsidP="0069132F">
            <w:pPr>
              <w:pStyle w:val="Default"/>
              <w:spacing w:before="20" w:after="20"/>
              <w:rPr>
                <w:color w:val="FF0000"/>
                <w:sz w:val="16"/>
                <w:szCs w:val="16"/>
                <w:lang w:val="en-GB"/>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CF201A"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 xml:space="preserve">The mean NAC and NAL % depletion &lt; 4.9% </w:t>
            </w:r>
          </w:p>
          <w:p w14:paraId="490F7EFB"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Or</w:t>
            </w:r>
          </w:p>
          <w:p w14:paraId="72872EA2" w14:textId="77777777" w:rsidR="006D3377" w:rsidRPr="00F33C8B" w:rsidRDefault="006D3377" w:rsidP="0069132F">
            <w:pPr>
              <w:tabs>
                <w:tab w:val="left" w:pos="294"/>
              </w:tabs>
              <w:autoSpaceDE w:val="0"/>
              <w:autoSpaceDN w:val="0"/>
              <w:adjustRightInd w:val="0"/>
              <w:spacing w:before="20" w:after="20"/>
              <w:rPr>
                <w:color w:val="FF0000"/>
                <w:sz w:val="16"/>
                <w:szCs w:val="16"/>
              </w:rPr>
            </w:pPr>
            <w:r w:rsidRPr="00F33C8B">
              <w:rPr>
                <w:color w:val="FF0000"/>
                <w:sz w:val="16"/>
                <w:szCs w:val="16"/>
              </w:rPr>
              <w:t>NAC% depletion &lt; 5.6%</w:t>
            </w:r>
          </w:p>
        </w:tc>
        <w:tc>
          <w:tcPr>
            <w:tcW w:w="1196" w:type="dxa"/>
            <w:tcBorders>
              <w:top w:val="single" w:sz="4" w:space="0" w:color="auto"/>
              <w:left w:val="single" w:sz="4" w:space="0" w:color="auto"/>
              <w:bottom w:val="single" w:sz="4" w:space="0" w:color="auto"/>
              <w:right w:val="single" w:sz="4" w:space="0" w:color="auto"/>
            </w:tcBorders>
          </w:tcPr>
          <w:p w14:paraId="4714F9AF" w14:textId="77777777" w:rsidR="006D3377" w:rsidRPr="00F33C8B" w:rsidRDefault="006D3377" w:rsidP="0069132F">
            <w:pPr>
              <w:pStyle w:val="Default"/>
              <w:spacing w:before="20" w:after="20"/>
              <w:ind w:left="109"/>
              <w:rPr>
                <w:color w:val="FF0000"/>
                <w:sz w:val="16"/>
                <w:szCs w:val="16"/>
              </w:rPr>
            </w:pPr>
            <w:r>
              <w:rPr>
                <w:color w:val="FF0000"/>
                <w:sz w:val="16"/>
                <w:szCs w:val="16"/>
              </w:rPr>
              <w:t>Not applicable</w:t>
            </w:r>
          </w:p>
        </w:tc>
        <w:tc>
          <w:tcPr>
            <w:tcW w:w="2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79BB" w14:textId="77777777" w:rsidR="006D3377" w:rsidRPr="00F33C8B" w:rsidRDefault="006D3377" w:rsidP="0069132F">
            <w:pPr>
              <w:autoSpaceDE w:val="0"/>
              <w:autoSpaceDN w:val="0"/>
              <w:adjustRightInd w:val="0"/>
              <w:spacing w:before="20" w:after="20"/>
              <w:rPr>
                <w:color w:val="FF0000"/>
                <w:sz w:val="16"/>
                <w:szCs w:val="16"/>
              </w:rPr>
            </w:pPr>
            <w:r w:rsidRPr="00F33C8B">
              <w:rPr>
                <w:color w:val="FF0000"/>
                <w:sz w:val="16"/>
                <w:szCs w:val="16"/>
              </w:rPr>
              <w:t>At least one of the conditions for Category 1 is not met</w:t>
            </w:r>
          </w:p>
        </w:tc>
        <w:tc>
          <w:tcPr>
            <w:tcW w:w="1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39B587" w14:textId="77777777" w:rsidR="006D3377" w:rsidRPr="00F33C8B" w:rsidRDefault="006D3377" w:rsidP="0069132F">
            <w:pPr>
              <w:autoSpaceDE w:val="0"/>
              <w:autoSpaceDN w:val="0"/>
              <w:adjustRightInd w:val="0"/>
              <w:spacing w:before="20" w:after="20"/>
              <w:rPr>
                <w:color w:val="FF0000"/>
                <w:sz w:val="16"/>
                <w:szCs w:val="16"/>
              </w:rPr>
            </w:pPr>
            <w:r w:rsidRPr="00F33C8B">
              <w:rPr>
                <w:color w:val="FF0000"/>
                <w:sz w:val="16"/>
                <w:szCs w:val="16"/>
              </w:rPr>
              <w:t>At least one of the conditions for Category 1 is not met</w:t>
            </w:r>
          </w:p>
        </w:tc>
        <w:tc>
          <w:tcPr>
            <w:tcW w:w="1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5D788" w14:textId="77777777" w:rsidR="006D3377" w:rsidRPr="00F33C8B" w:rsidRDefault="006D3377" w:rsidP="0069132F">
            <w:pPr>
              <w:autoSpaceDE w:val="0"/>
              <w:autoSpaceDN w:val="0"/>
              <w:adjustRightInd w:val="0"/>
              <w:spacing w:before="20" w:after="20"/>
              <w:rPr>
                <w:color w:val="FF0000"/>
                <w:sz w:val="16"/>
                <w:szCs w:val="16"/>
              </w:rPr>
            </w:pPr>
            <w:r w:rsidRPr="00F33C8B">
              <w:rPr>
                <w:color w:val="FF0000"/>
                <w:sz w:val="16"/>
                <w:szCs w:val="16"/>
              </w:rPr>
              <w:t xml:space="preserve">None of the conditions for </w:t>
            </w:r>
            <w:proofErr w:type="spellStart"/>
            <w:r w:rsidRPr="00F33C8B">
              <w:rPr>
                <w:color w:val="FF0000"/>
                <w:sz w:val="16"/>
                <w:szCs w:val="16"/>
              </w:rPr>
              <w:t>Caterory</w:t>
            </w:r>
            <w:proofErr w:type="spellEnd"/>
            <w:r w:rsidRPr="00F33C8B">
              <w:rPr>
                <w:color w:val="FF0000"/>
                <w:sz w:val="16"/>
                <w:szCs w:val="16"/>
              </w:rPr>
              <w:t xml:space="preserve"> 1 is met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A4DED" w14:textId="77777777" w:rsidR="006D3377" w:rsidRPr="00F33C8B" w:rsidRDefault="006D3377" w:rsidP="0069132F">
            <w:pPr>
              <w:autoSpaceDE w:val="0"/>
              <w:autoSpaceDN w:val="0"/>
              <w:adjustRightInd w:val="0"/>
              <w:spacing w:before="20" w:after="20"/>
              <w:rPr>
                <w:color w:val="FF0000"/>
                <w:sz w:val="16"/>
                <w:szCs w:val="16"/>
              </w:rPr>
            </w:pPr>
            <w:r>
              <w:rPr>
                <w:color w:val="FF0000"/>
                <w:sz w:val="16"/>
                <w:szCs w:val="16"/>
              </w:rPr>
              <w:t>T</w:t>
            </w:r>
            <w:r w:rsidRPr="00F33C8B">
              <w:rPr>
                <w:color w:val="FF0000"/>
                <w:sz w:val="16"/>
                <w:szCs w:val="16"/>
              </w:rPr>
              <w:t>he stimulation index of CD86 is &lt; 150% at all non-cytotoxic concentrations (cell viability ≥ 70%) and if no interference is observed</w:t>
            </w:r>
          </w:p>
        </w:tc>
        <w:tc>
          <w:tcPr>
            <w:tcW w:w="1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C6EE9" w14:textId="77777777" w:rsidR="006D3377" w:rsidRPr="00F33C8B" w:rsidRDefault="006D3377" w:rsidP="0069132F">
            <w:pPr>
              <w:autoSpaceDE w:val="0"/>
              <w:autoSpaceDN w:val="0"/>
              <w:adjustRightInd w:val="0"/>
              <w:spacing w:before="20" w:after="20"/>
              <w:rPr>
                <w:color w:val="FF0000"/>
                <w:sz w:val="16"/>
                <w:szCs w:val="16"/>
              </w:rPr>
            </w:pPr>
            <w:r w:rsidRPr="00F33C8B">
              <w:rPr>
                <w:color w:val="FF0000"/>
                <w:sz w:val="16"/>
                <w:szCs w:val="16"/>
              </w:rPr>
              <w:t>The Ind-IL8LA is less than (&lt;) 1.4 and/or the lower limit of the 95% confidence interval of Ind-IL8LA is less than (&lt;) 1.0 in at least 3 out of a maximum of 4 independent runs</w:t>
            </w:r>
          </w:p>
        </w:tc>
        <w:tc>
          <w:tcPr>
            <w:tcW w:w="1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7DD8D" w14:textId="77777777" w:rsidR="006D3377" w:rsidRPr="00F33C8B" w:rsidRDefault="006D3377" w:rsidP="0069132F">
            <w:pPr>
              <w:autoSpaceDE w:val="0"/>
              <w:autoSpaceDN w:val="0"/>
              <w:adjustRightInd w:val="0"/>
              <w:spacing w:before="20" w:after="20"/>
              <w:rPr>
                <w:color w:val="FF0000"/>
                <w:sz w:val="16"/>
                <w:szCs w:val="16"/>
              </w:rPr>
            </w:pPr>
            <w:r w:rsidRPr="00101B72">
              <w:rPr>
                <w:color w:val="FF0000"/>
                <w:sz w:val="16"/>
                <w:szCs w:val="16"/>
              </w:rPr>
              <w:t xml:space="preserve">The mean Decision Value (DV) is </w:t>
            </w:r>
            <w:r>
              <w:rPr>
                <w:color w:val="FF0000"/>
                <w:sz w:val="16"/>
                <w:szCs w:val="16"/>
              </w:rPr>
              <w:t>&lt;</w:t>
            </w:r>
            <w:r w:rsidRPr="00101B72">
              <w:rPr>
                <w:color w:val="FF0000"/>
                <w:sz w:val="16"/>
                <w:szCs w:val="16"/>
              </w:rPr>
              <w:t>0</w:t>
            </w:r>
          </w:p>
        </w:tc>
      </w:tr>
    </w:tbl>
    <w:p w14:paraId="44150E81" w14:textId="77777777" w:rsidR="000443D9" w:rsidRPr="000443D9" w:rsidRDefault="000443D9" w:rsidP="000443D9">
      <w:pPr>
        <w:rPr>
          <w:color w:val="FF0000"/>
        </w:rPr>
      </w:pPr>
      <w:r w:rsidRPr="000443D9">
        <w:rPr>
          <w:color w:val="FF0000"/>
          <w:vertAlign w:val="superscript"/>
        </w:rPr>
        <w:t>a</w:t>
      </w:r>
      <w:r w:rsidRPr="000443D9">
        <w:rPr>
          <w:color w:val="FF0000"/>
        </w:rPr>
        <w:t xml:space="preserve"> Data can be used as stand-alone to conclude on classification in sub-category 1A </w:t>
      </w:r>
    </w:p>
    <w:p w14:paraId="76DA3E08" w14:textId="48D8E88E" w:rsidR="000443D9" w:rsidRPr="000443D9" w:rsidRDefault="000443D9" w:rsidP="000443D9">
      <w:pPr>
        <w:jc w:val="both"/>
        <w:rPr>
          <w:color w:val="FF0000"/>
        </w:rPr>
      </w:pPr>
      <w:r w:rsidRPr="000443D9">
        <w:rPr>
          <w:color w:val="FF0000"/>
          <w:vertAlign w:val="superscript"/>
        </w:rPr>
        <w:t>b</w:t>
      </w:r>
      <w:r w:rsidRPr="000443D9">
        <w:rPr>
          <w:color w:val="FF0000"/>
        </w:rPr>
        <w:t xml:space="preserve"> Data cannot be used as stand-alone to conclude on classification in Category 1 or on no classification in tier 1 but could be used to conclude on classification in category 1 in Tier</w:t>
      </w:r>
      <w:r>
        <w:rPr>
          <w:color w:val="FF0000"/>
        </w:rPr>
        <w:t> </w:t>
      </w:r>
      <w:r w:rsidRPr="000443D9">
        <w:rPr>
          <w:color w:val="FF0000"/>
        </w:rPr>
        <w:t>2.</w:t>
      </w:r>
    </w:p>
    <w:p w14:paraId="33F616AE" w14:textId="02D0D27A" w:rsidR="00664127" w:rsidRDefault="00664127" w:rsidP="0063521D">
      <w:pPr>
        <w:spacing w:before="240"/>
      </w:pPr>
    </w:p>
    <w:p w14:paraId="394EE29C" w14:textId="77777777" w:rsidR="00196F8A" w:rsidRDefault="00196F8A">
      <w:pPr>
        <w:suppressAutoHyphens w:val="0"/>
        <w:spacing w:line="240" w:lineRule="auto"/>
        <w:sectPr w:rsidR="00196F8A" w:rsidSect="0062434E">
          <w:headerReference w:type="even" r:id="rId20"/>
          <w:headerReference w:type="default" r:id="rId21"/>
          <w:footerReference w:type="even" r:id="rId22"/>
          <w:footerReference w:type="default" r:id="rId23"/>
          <w:endnotePr>
            <w:numFmt w:val="decimal"/>
          </w:endnotePr>
          <w:pgSz w:w="16840" w:h="11907" w:orient="landscape" w:code="9"/>
          <w:pgMar w:top="1134" w:right="1417" w:bottom="1134" w:left="1134" w:header="567" w:footer="567" w:gutter="0"/>
          <w:cols w:space="720"/>
          <w:docGrid w:linePitch="272"/>
        </w:sectPr>
      </w:pPr>
    </w:p>
    <w:p w14:paraId="1F24156F" w14:textId="77777777" w:rsidR="00E4366D" w:rsidRPr="00C36E19" w:rsidRDefault="00E4366D" w:rsidP="00E4366D">
      <w:pPr>
        <w:jc w:val="both"/>
        <w:rPr>
          <w:i/>
          <w:iCs/>
          <w:color w:val="FF0000"/>
        </w:rPr>
      </w:pPr>
      <w:r w:rsidRPr="00C36E19">
        <w:rPr>
          <w:i/>
          <w:iCs/>
          <w:color w:val="FF0000"/>
        </w:rPr>
        <w:t>References:</w:t>
      </w:r>
    </w:p>
    <w:p w14:paraId="465710F3" w14:textId="77777777" w:rsidR="00E4366D" w:rsidRPr="00C36E19" w:rsidRDefault="00E4366D" w:rsidP="00E4366D">
      <w:pPr>
        <w:jc w:val="both"/>
        <w:rPr>
          <w:color w:val="FF0000"/>
        </w:rPr>
      </w:pPr>
      <w:r w:rsidRPr="00C36E19">
        <w:rPr>
          <w:color w:val="FF0000"/>
        </w:rPr>
        <w:t xml:space="preserve">Johansson H., </w:t>
      </w:r>
      <w:proofErr w:type="spellStart"/>
      <w:r w:rsidRPr="00C36E19">
        <w:rPr>
          <w:color w:val="FF0000"/>
        </w:rPr>
        <w:t>Lindstedt</w:t>
      </w:r>
      <w:proofErr w:type="spellEnd"/>
      <w:r w:rsidRPr="00C36E19">
        <w:rPr>
          <w:color w:val="FF0000"/>
        </w:rPr>
        <w:t xml:space="preserve"> M., </w:t>
      </w:r>
      <w:proofErr w:type="spellStart"/>
      <w:r w:rsidRPr="00C36E19">
        <w:rPr>
          <w:color w:val="FF0000"/>
        </w:rPr>
        <w:t>Albrekt</w:t>
      </w:r>
      <w:proofErr w:type="spellEnd"/>
      <w:r w:rsidRPr="00C36E19">
        <w:rPr>
          <w:color w:val="FF0000"/>
        </w:rPr>
        <w:t xml:space="preserve"> A.S., </w:t>
      </w:r>
      <w:proofErr w:type="spellStart"/>
      <w:r w:rsidRPr="00C36E19">
        <w:rPr>
          <w:color w:val="FF0000"/>
        </w:rPr>
        <w:t>Borrebaeck</w:t>
      </w:r>
      <w:proofErr w:type="spellEnd"/>
      <w:r w:rsidRPr="00C36E19">
        <w:rPr>
          <w:color w:val="FF0000"/>
        </w:rPr>
        <w:t xml:space="preserve"> C.A. (2011) A genomic biomarker signature can predict skin sensitizers using a cell-based in vitro alternative to animal tests. BMC Genomics 12:399. Doi: 10.1186/1471-2164-12-399.</w:t>
      </w:r>
    </w:p>
    <w:p w14:paraId="15321B03" w14:textId="77777777" w:rsidR="00E4366D" w:rsidRPr="00C36E19" w:rsidRDefault="00E4366D" w:rsidP="00E4366D">
      <w:pPr>
        <w:jc w:val="both"/>
        <w:rPr>
          <w:color w:val="FF0000"/>
        </w:rPr>
      </w:pPr>
    </w:p>
    <w:p w14:paraId="3E4308AC" w14:textId="77777777" w:rsidR="00E4366D" w:rsidRPr="00C36E19" w:rsidRDefault="00E4366D" w:rsidP="00E4366D">
      <w:pPr>
        <w:jc w:val="both"/>
        <w:rPr>
          <w:color w:val="FF0000"/>
        </w:rPr>
      </w:pPr>
      <w:r w:rsidRPr="00C36E19">
        <w:rPr>
          <w:color w:val="FF0000"/>
        </w:rPr>
        <w:t xml:space="preserve">Johansson H., </w:t>
      </w:r>
      <w:proofErr w:type="spellStart"/>
      <w:r w:rsidRPr="00C36E19">
        <w:rPr>
          <w:color w:val="FF0000"/>
        </w:rPr>
        <w:t>Rydnert</w:t>
      </w:r>
      <w:proofErr w:type="spellEnd"/>
      <w:r w:rsidRPr="00C36E19">
        <w:rPr>
          <w:color w:val="FF0000"/>
        </w:rPr>
        <w:t xml:space="preserve"> F., </w:t>
      </w:r>
      <w:proofErr w:type="spellStart"/>
      <w:r w:rsidRPr="00C36E19">
        <w:rPr>
          <w:color w:val="FF0000"/>
        </w:rPr>
        <w:t>Kühnl</w:t>
      </w:r>
      <w:proofErr w:type="spellEnd"/>
      <w:r w:rsidRPr="00C36E19">
        <w:rPr>
          <w:color w:val="FF0000"/>
        </w:rPr>
        <w:t xml:space="preserve"> J., </w:t>
      </w:r>
      <w:proofErr w:type="spellStart"/>
      <w:r w:rsidRPr="00C36E19">
        <w:rPr>
          <w:color w:val="FF0000"/>
        </w:rPr>
        <w:t>Schepky</w:t>
      </w:r>
      <w:proofErr w:type="spellEnd"/>
      <w:r w:rsidRPr="00C36E19">
        <w:rPr>
          <w:color w:val="FF0000"/>
        </w:rPr>
        <w:t xml:space="preserve"> A., </w:t>
      </w:r>
      <w:proofErr w:type="spellStart"/>
      <w:r w:rsidRPr="00C36E19">
        <w:rPr>
          <w:color w:val="FF0000"/>
        </w:rPr>
        <w:t>Borrebaeck</w:t>
      </w:r>
      <w:proofErr w:type="spellEnd"/>
      <w:r w:rsidRPr="00C36E19">
        <w:rPr>
          <w:color w:val="FF0000"/>
        </w:rPr>
        <w:t xml:space="preserve"> C., </w:t>
      </w:r>
      <w:proofErr w:type="spellStart"/>
      <w:r w:rsidRPr="00C36E19">
        <w:rPr>
          <w:color w:val="FF0000"/>
        </w:rPr>
        <w:t>Lindstedt</w:t>
      </w:r>
      <w:proofErr w:type="spellEnd"/>
      <w:r w:rsidRPr="00C36E19">
        <w:rPr>
          <w:color w:val="FF0000"/>
        </w:rPr>
        <w:t xml:space="preserve"> M. (2014) Genomic allergen rapid detection in-house validation – A proof of concept. </w:t>
      </w:r>
      <w:proofErr w:type="spellStart"/>
      <w:r w:rsidRPr="00C36E19">
        <w:rPr>
          <w:color w:val="FF0000"/>
        </w:rPr>
        <w:t>Toxicol</w:t>
      </w:r>
      <w:proofErr w:type="spellEnd"/>
      <w:r w:rsidRPr="00C36E19">
        <w:rPr>
          <w:color w:val="FF0000"/>
        </w:rPr>
        <w:t>. Sci. 139(2):362- 370. Doi: 10.1093/</w:t>
      </w:r>
      <w:proofErr w:type="spellStart"/>
      <w:r w:rsidRPr="00C36E19">
        <w:rPr>
          <w:color w:val="FF0000"/>
        </w:rPr>
        <w:t>toxsci</w:t>
      </w:r>
      <w:proofErr w:type="spellEnd"/>
      <w:r w:rsidRPr="00C36E19">
        <w:rPr>
          <w:color w:val="FF0000"/>
        </w:rPr>
        <w:t>/kfu046.</w:t>
      </w:r>
    </w:p>
    <w:p w14:paraId="2CB08C5F" w14:textId="77777777" w:rsidR="00E4366D" w:rsidRPr="00C36E19" w:rsidRDefault="00E4366D" w:rsidP="00E4366D">
      <w:pPr>
        <w:jc w:val="both"/>
        <w:rPr>
          <w:color w:val="FF0000"/>
        </w:rPr>
      </w:pPr>
    </w:p>
    <w:p w14:paraId="0C05E2D8" w14:textId="77777777" w:rsidR="00E4366D" w:rsidRPr="00C36E19" w:rsidRDefault="00E4366D" w:rsidP="00E4366D">
      <w:pPr>
        <w:jc w:val="both"/>
        <w:rPr>
          <w:color w:val="FF0000"/>
        </w:rPr>
      </w:pPr>
      <w:r w:rsidRPr="00C36E19">
        <w:rPr>
          <w:color w:val="FF0000"/>
        </w:rPr>
        <w:t xml:space="preserve">Johansson H., Gradin R., </w:t>
      </w:r>
      <w:proofErr w:type="spellStart"/>
      <w:r w:rsidRPr="00C36E19">
        <w:rPr>
          <w:color w:val="FF0000"/>
        </w:rPr>
        <w:t>Forreryd</w:t>
      </w:r>
      <w:proofErr w:type="spellEnd"/>
      <w:r w:rsidRPr="00C36E19">
        <w:rPr>
          <w:color w:val="FF0000"/>
        </w:rPr>
        <w:t xml:space="preserve"> A., </w:t>
      </w:r>
      <w:proofErr w:type="spellStart"/>
      <w:r w:rsidRPr="00C36E19">
        <w:rPr>
          <w:color w:val="FF0000"/>
        </w:rPr>
        <w:t>Agemark</w:t>
      </w:r>
      <w:proofErr w:type="spellEnd"/>
      <w:r w:rsidRPr="00C36E19">
        <w:rPr>
          <w:color w:val="FF0000"/>
        </w:rPr>
        <w:t xml:space="preserve"> M., Zeller K., Johansson A., Larne O., van Vliet E., </w:t>
      </w:r>
      <w:proofErr w:type="spellStart"/>
      <w:r w:rsidRPr="00C36E19">
        <w:rPr>
          <w:color w:val="FF0000"/>
        </w:rPr>
        <w:t>Borrebaeck</w:t>
      </w:r>
      <w:proofErr w:type="spellEnd"/>
      <w:r w:rsidRPr="00C36E19">
        <w:rPr>
          <w:color w:val="FF0000"/>
        </w:rPr>
        <w:t xml:space="preserve"> C., </w:t>
      </w:r>
      <w:proofErr w:type="spellStart"/>
      <w:r w:rsidRPr="00C36E19">
        <w:rPr>
          <w:color w:val="FF0000"/>
        </w:rPr>
        <w:t>Lindstedt</w:t>
      </w:r>
      <w:proofErr w:type="spellEnd"/>
      <w:r w:rsidRPr="00C36E19">
        <w:rPr>
          <w:color w:val="FF0000"/>
        </w:rPr>
        <w:t xml:space="preserve"> M. (2017) Evaluation of the GARD assay in a blind Cosmetics Europe study. ALTEX 34(4):515-523. Doi: 10.14573/altex.1701121.</w:t>
      </w:r>
    </w:p>
    <w:p w14:paraId="58DC3323" w14:textId="77777777" w:rsidR="00E4366D" w:rsidRPr="00C36E19" w:rsidRDefault="00E4366D" w:rsidP="00E4366D">
      <w:pPr>
        <w:jc w:val="both"/>
        <w:rPr>
          <w:color w:val="FF0000"/>
        </w:rPr>
      </w:pPr>
    </w:p>
    <w:p w14:paraId="12A2A82C" w14:textId="77777777" w:rsidR="00E4366D" w:rsidRPr="00C36E19" w:rsidRDefault="00E4366D" w:rsidP="00E4366D">
      <w:pPr>
        <w:jc w:val="both"/>
        <w:rPr>
          <w:color w:val="FF0000"/>
        </w:rPr>
      </w:pPr>
      <w:r w:rsidRPr="00C36E19">
        <w:rPr>
          <w:color w:val="FF0000"/>
        </w:rPr>
        <w:t xml:space="preserve">Gradin R., Johansson A., </w:t>
      </w:r>
      <w:proofErr w:type="spellStart"/>
      <w:r w:rsidRPr="00C36E19">
        <w:rPr>
          <w:color w:val="FF0000"/>
        </w:rPr>
        <w:t>Forreryd</w:t>
      </w:r>
      <w:proofErr w:type="spellEnd"/>
      <w:r w:rsidRPr="00C36E19">
        <w:rPr>
          <w:color w:val="FF0000"/>
        </w:rPr>
        <w:t xml:space="preserve"> A., </w:t>
      </w:r>
      <w:proofErr w:type="spellStart"/>
      <w:r w:rsidRPr="00C36E19">
        <w:rPr>
          <w:color w:val="FF0000"/>
        </w:rPr>
        <w:t>Aaltonen</w:t>
      </w:r>
      <w:proofErr w:type="spellEnd"/>
      <w:r w:rsidRPr="00C36E19">
        <w:rPr>
          <w:color w:val="FF0000"/>
        </w:rPr>
        <w:t xml:space="preserve"> E., </w:t>
      </w:r>
      <w:proofErr w:type="spellStart"/>
      <w:r w:rsidRPr="00C36E19">
        <w:rPr>
          <w:color w:val="FF0000"/>
        </w:rPr>
        <w:t>Jerre</w:t>
      </w:r>
      <w:proofErr w:type="spellEnd"/>
      <w:r w:rsidRPr="00C36E19">
        <w:rPr>
          <w:color w:val="FF0000"/>
        </w:rPr>
        <w:t xml:space="preserve"> A., Larne O., Mattson U., Johansson H. (2020) The </w:t>
      </w:r>
      <w:proofErr w:type="spellStart"/>
      <w:r w:rsidRPr="00C36E19">
        <w:rPr>
          <w:color w:val="FF0000"/>
        </w:rPr>
        <w:t>GARDpotency</w:t>
      </w:r>
      <w:proofErr w:type="spellEnd"/>
      <w:r w:rsidRPr="00C36E19">
        <w:rPr>
          <w:color w:val="FF0000"/>
        </w:rPr>
        <w:t xml:space="preserve"> assay for potency-associated subclassification of chemical skin sensitizers – Rationale, method development, and ring trial results of predictive performance and reproducibility. </w:t>
      </w:r>
      <w:proofErr w:type="spellStart"/>
      <w:r w:rsidRPr="00C36E19">
        <w:rPr>
          <w:color w:val="FF0000"/>
        </w:rPr>
        <w:t>Toxicol</w:t>
      </w:r>
      <w:proofErr w:type="spellEnd"/>
      <w:r w:rsidRPr="00C36E19">
        <w:rPr>
          <w:color w:val="FF0000"/>
        </w:rPr>
        <w:t>. Sci. 176(2):423-432. Doi: 10.1093/</w:t>
      </w:r>
      <w:proofErr w:type="spellStart"/>
      <w:r w:rsidRPr="00C36E19">
        <w:rPr>
          <w:color w:val="FF0000"/>
        </w:rPr>
        <w:t>toxsci</w:t>
      </w:r>
      <w:proofErr w:type="spellEnd"/>
      <w:r w:rsidRPr="00C36E19">
        <w:rPr>
          <w:color w:val="FF0000"/>
        </w:rPr>
        <w:t>/kfaa068.</w:t>
      </w:r>
    </w:p>
    <w:p w14:paraId="051A6D64" w14:textId="77777777" w:rsidR="00E4366D" w:rsidRPr="00C36E19" w:rsidRDefault="00E4366D" w:rsidP="00E4366D">
      <w:pPr>
        <w:jc w:val="both"/>
        <w:rPr>
          <w:color w:val="FF0000"/>
        </w:rPr>
      </w:pPr>
    </w:p>
    <w:p w14:paraId="61E33ACA" w14:textId="77777777" w:rsidR="00E4366D" w:rsidRPr="00C36E19" w:rsidRDefault="00E4366D" w:rsidP="00E4366D">
      <w:pPr>
        <w:jc w:val="both"/>
        <w:rPr>
          <w:color w:val="FF0000"/>
        </w:rPr>
      </w:pPr>
      <w:r w:rsidRPr="00C36E19">
        <w:rPr>
          <w:color w:val="FF0000"/>
        </w:rPr>
        <w:t xml:space="preserve">Zeller K.S., </w:t>
      </w:r>
      <w:proofErr w:type="spellStart"/>
      <w:r w:rsidRPr="00C36E19">
        <w:rPr>
          <w:color w:val="FF0000"/>
        </w:rPr>
        <w:t>Forreryd</w:t>
      </w:r>
      <w:proofErr w:type="spellEnd"/>
      <w:r w:rsidRPr="00C36E19">
        <w:rPr>
          <w:color w:val="FF0000"/>
        </w:rPr>
        <w:t xml:space="preserve"> A., Lindberg T., Gradin R., </w:t>
      </w:r>
      <w:proofErr w:type="spellStart"/>
      <w:r w:rsidRPr="00C36E19">
        <w:rPr>
          <w:color w:val="FF0000"/>
        </w:rPr>
        <w:t>Chawade</w:t>
      </w:r>
      <w:proofErr w:type="spellEnd"/>
      <w:r w:rsidRPr="00C36E19">
        <w:rPr>
          <w:color w:val="FF0000"/>
        </w:rPr>
        <w:t xml:space="preserve"> A., </w:t>
      </w:r>
      <w:proofErr w:type="spellStart"/>
      <w:r w:rsidRPr="00C36E19">
        <w:rPr>
          <w:color w:val="FF0000"/>
        </w:rPr>
        <w:t>Lindstedt</w:t>
      </w:r>
      <w:proofErr w:type="spellEnd"/>
      <w:r w:rsidRPr="00C36E19">
        <w:rPr>
          <w:color w:val="FF0000"/>
        </w:rPr>
        <w:t xml:space="preserve"> M. (2017) The GARD platform for potency assessment of skin sensitizing chemicals. ALTEX 34(4):539-559. Doi: 10.14573/altex.1701101.</w:t>
      </w:r>
    </w:p>
    <w:p w14:paraId="655350B1" w14:textId="77777777" w:rsidR="00E4366D" w:rsidRPr="00C36E19" w:rsidRDefault="00E4366D" w:rsidP="00E4366D">
      <w:pPr>
        <w:jc w:val="both"/>
        <w:rPr>
          <w:color w:val="FF0000"/>
        </w:rPr>
      </w:pPr>
    </w:p>
    <w:p w14:paraId="484B7310" w14:textId="77777777" w:rsidR="00E4366D" w:rsidRPr="00C36E19" w:rsidRDefault="00E4366D" w:rsidP="00E4366D">
      <w:pPr>
        <w:jc w:val="both"/>
        <w:rPr>
          <w:color w:val="FF0000"/>
        </w:rPr>
      </w:pPr>
      <w:proofErr w:type="spellStart"/>
      <w:r w:rsidRPr="00C36E19">
        <w:rPr>
          <w:color w:val="FF0000"/>
        </w:rPr>
        <w:t>Corsini</w:t>
      </w:r>
      <w:proofErr w:type="spellEnd"/>
      <w:r w:rsidRPr="00C36E19">
        <w:rPr>
          <w:color w:val="FF0000"/>
        </w:rPr>
        <w:t xml:space="preserve">, E., </w:t>
      </w:r>
      <w:proofErr w:type="spellStart"/>
      <w:r w:rsidRPr="00C36E19">
        <w:rPr>
          <w:color w:val="FF0000"/>
        </w:rPr>
        <w:t>Clewell</w:t>
      </w:r>
      <w:proofErr w:type="spellEnd"/>
      <w:r w:rsidRPr="00C36E19">
        <w:rPr>
          <w:color w:val="FF0000"/>
        </w:rPr>
        <w:t xml:space="preserve">, R., </w:t>
      </w:r>
      <w:proofErr w:type="spellStart"/>
      <w:r w:rsidRPr="00C36E19">
        <w:rPr>
          <w:color w:val="FF0000"/>
        </w:rPr>
        <w:t>Cotgreave</w:t>
      </w:r>
      <w:proofErr w:type="spellEnd"/>
      <w:r w:rsidRPr="00C36E19">
        <w:rPr>
          <w:color w:val="FF0000"/>
        </w:rPr>
        <w:t xml:space="preserve">, I., </w:t>
      </w:r>
      <w:proofErr w:type="spellStart"/>
      <w:r w:rsidRPr="00C36E19">
        <w:rPr>
          <w:color w:val="FF0000"/>
        </w:rPr>
        <w:t>Eskes</w:t>
      </w:r>
      <w:proofErr w:type="spellEnd"/>
      <w:r w:rsidRPr="00C36E19">
        <w:rPr>
          <w:color w:val="FF0000"/>
        </w:rPr>
        <w:t xml:space="preserve">, C., Kopp-Schneider, A., Westmoreland, C., Alves, P.M., </w:t>
      </w:r>
      <w:proofErr w:type="spellStart"/>
      <w:r w:rsidRPr="00C36E19">
        <w:rPr>
          <w:color w:val="FF0000"/>
        </w:rPr>
        <w:t>Navas</w:t>
      </w:r>
      <w:proofErr w:type="spellEnd"/>
      <w:r w:rsidRPr="00C36E19">
        <w:rPr>
          <w:color w:val="FF0000"/>
        </w:rPr>
        <w:t xml:space="preserve">, J.M. and </w:t>
      </w:r>
      <w:proofErr w:type="spellStart"/>
      <w:r w:rsidRPr="00C36E19">
        <w:rPr>
          <w:color w:val="FF0000"/>
        </w:rPr>
        <w:t>Piersma</w:t>
      </w:r>
      <w:proofErr w:type="spellEnd"/>
      <w:r w:rsidRPr="00C36E19">
        <w:rPr>
          <w:color w:val="FF0000"/>
        </w:rPr>
        <w:t xml:space="preserve">, A., ESAC Opinion on the Scientific Validity of the </w:t>
      </w:r>
      <w:proofErr w:type="spellStart"/>
      <w:r w:rsidRPr="00C36E19">
        <w:rPr>
          <w:color w:val="FF0000"/>
        </w:rPr>
        <w:t>GARDskin</w:t>
      </w:r>
      <w:proofErr w:type="spellEnd"/>
      <w:r w:rsidRPr="00C36E19">
        <w:rPr>
          <w:color w:val="FF0000"/>
        </w:rPr>
        <w:t xml:space="preserve"> and </w:t>
      </w:r>
      <w:proofErr w:type="spellStart"/>
      <w:r w:rsidRPr="00C36E19">
        <w:rPr>
          <w:color w:val="FF0000"/>
        </w:rPr>
        <w:t>GARDpotency</w:t>
      </w:r>
      <w:proofErr w:type="spellEnd"/>
      <w:r w:rsidRPr="00C36E19">
        <w:rPr>
          <w:color w:val="FF0000"/>
        </w:rPr>
        <w:t xml:space="preserve"> Test Methods, </w:t>
      </w:r>
      <w:proofErr w:type="spellStart"/>
      <w:r w:rsidRPr="00C36E19">
        <w:rPr>
          <w:color w:val="FF0000"/>
        </w:rPr>
        <w:t>Asturiol</w:t>
      </w:r>
      <w:proofErr w:type="spellEnd"/>
      <w:r w:rsidRPr="00C36E19">
        <w:rPr>
          <w:color w:val="FF0000"/>
        </w:rPr>
        <w:t xml:space="preserve"> </w:t>
      </w:r>
      <w:proofErr w:type="spellStart"/>
      <w:r w:rsidRPr="00C36E19">
        <w:rPr>
          <w:color w:val="FF0000"/>
        </w:rPr>
        <w:t>Bofill</w:t>
      </w:r>
      <w:proofErr w:type="spellEnd"/>
      <w:r w:rsidRPr="00C36E19">
        <w:rPr>
          <w:color w:val="FF0000"/>
        </w:rPr>
        <w:t xml:space="preserve">, D., </w:t>
      </w:r>
      <w:proofErr w:type="spellStart"/>
      <w:r w:rsidRPr="00C36E19">
        <w:rPr>
          <w:color w:val="FF0000"/>
        </w:rPr>
        <w:t>Casati</w:t>
      </w:r>
      <w:proofErr w:type="spellEnd"/>
      <w:r w:rsidRPr="00C36E19">
        <w:rPr>
          <w:color w:val="FF0000"/>
        </w:rPr>
        <w:t xml:space="preserve">, S. and </w:t>
      </w:r>
      <w:proofErr w:type="spellStart"/>
      <w:r w:rsidRPr="00C36E19">
        <w:rPr>
          <w:color w:val="FF0000"/>
        </w:rPr>
        <w:t>Viegas</w:t>
      </w:r>
      <w:proofErr w:type="spellEnd"/>
      <w:r w:rsidRPr="00C36E19">
        <w:rPr>
          <w:color w:val="FF0000"/>
        </w:rPr>
        <w:t xml:space="preserve"> Barroso, J.F. editor(s), Publications Office of the European Union, Luxembourg, 2021, ISBN 978-92-76-40345-6, doi:10.2760/626728, JRC125963.</w:t>
      </w:r>
    </w:p>
    <w:p w14:paraId="118A01B6" w14:textId="77777777" w:rsidR="00E4366D" w:rsidRPr="00C36E19" w:rsidRDefault="00E4366D" w:rsidP="00E4366D">
      <w:pPr>
        <w:jc w:val="both"/>
        <w:rPr>
          <w:color w:val="FF0000"/>
        </w:rPr>
      </w:pPr>
    </w:p>
    <w:p w14:paraId="76704EDF" w14:textId="77777777" w:rsidR="00E4366D" w:rsidRPr="00C36E19" w:rsidRDefault="00E4366D" w:rsidP="00E4366D">
      <w:pPr>
        <w:jc w:val="both"/>
        <w:rPr>
          <w:color w:val="FF0000"/>
        </w:rPr>
      </w:pPr>
      <w:proofErr w:type="spellStart"/>
      <w:r w:rsidRPr="00014522">
        <w:rPr>
          <w:color w:val="FF0000"/>
          <w:lang w:val="fr-CA"/>
        </w:rPr>
        <w:t>Cottrez</w:t>
      </w:r>
      <w:proofErr w:type="spellEnd"/>
      <w:r w:rsidRPr="00014522">
        <w:rPr>
          <w:color w:val="FF0000"/>
          <w:lang w:val="fr-CA"/>
        </w:rPr>
        <w:t xml:space="preserve"> F, </w:t>
      </w:r>
      <w:proofErr w:type="spellStart"/>
      <w:r w:rsidRPr="00014522">
        <w:rPr>
          <w:color w:val="FF0000"/>
          <w:lang w:val="fr-CA"/>
        </w:rPr>
        <w:t>Boitel</w:t>
      </w:r>
      <w:proofErr w:type="spellEnd"/>
      <w:r w:rsidRPr="00014522">
        <w:rPr>
          <w:color w:val="FF0000"/>
          <w:lang w:val="fr-CA"/>
        </w:rPr>
        <w:t xml:space="preserve"> E, </w:t>
      </w:r>
      <w:proofErr w:type="spellStart"/>
      <w:r w:rsidRPr="00014522">
        <w:rPr>
          <w:color w:val="FF0000"/>
          <w:lang w:val="fr-CA"/>
        </w:rPr>
        <w:t>Auriault</w:t>
      </w:r>
      <w:proofErr w:type="spellEnd"/>
      <w:r w:rsidRPr="00014522">
        <w:rPr>
          <w:color w:val="FF0000"/>
          <w:lang w:val="fr-CA"/>
        </w:rPr>
        <w:t xml:space="preserve"> C, </w:t>
      </w:r>
      <w:proofErr w:type="spellStart"/>
      <w:r w:rsidRPr="00014522">
        <w:rPr>
          <w:color w:val="FF0000"/>
          <w:lang w:val="fr-CA"/>
        </w:rPr>
        <w:t>Aeby</w:t>
      </w:r>
      <w:proofErr w:type="spellEnd"/>
      <w:r w:rsidRPr="00014522">
        <w:rPr>
          <w:color w:val="FF0000"/>
          <w:lang w:val="fr-CA"/>
        </w:rPr>
        <w:t xml:space="preserve"> P, Groux H.</w:t>
      </w:r>
      <w:hyperlink r:id="rId24" w:history="1">
        <w:r w:rsidRPr="00C36E19">
          <w:rPr>
            <w:rStyle w:val="Hyperlink"/>
            <w:rFonts w:eastAsiaTheme="minorHAnsi"/>
            <w:color w:val="FF0000"/>
          </w:rPr>
          <w:t>Genes specifically modulated in sensitized skins allow the detection of sensitizers in a reconstructed human skin model. Development of the SENS-IS assay.</w:t>
        </w:r>
      </w:hyperlink>
      <w:r w:rsidRPr="00C36E19">
        <w:rPr>
          <w:color w:val="FF0000"/>
        </w:rPr>
        <w:t xml:space="preserve"> </w:t>
      </w:r>
      <w:proofErr w:type="spellStart"/>
      <w:r w:rsidRPr="00C36E19">
        <w:rPr>
          <w:color w:val="FF0000"/>
        </w:rPr>
        <w:t>Toxicol</w:t>
      </w:r>
      <w:proofErr w:type="spellEnd"/>
      <w:r w:rsidRPr="00C36E19">
        <w:rPr>
          <w:color w:val="FF0000"/>
        </w:rPr>
        <w:t xml:space="preserve"> In Vitro. 2015 Jun;29(4):787-802. </w:t>
      </w:r>
      <w:proofErr w:type="spellStart"/>
      <w:r w:rsidRPr="00C36E19">
        <w:rPr>
          <w:color w:val="FF0000"/>
        </w:rPr>
        <w:t>doi</w:t>
      </w:r>
      <w:proofErr w:type="spellEnd"/>
      <w:r w:rsidRPr="00C36E19">
        <w:rPr>
          <w:color w:val="FF0000"/>
        </w:rPr>
        <w:t>: 10.1016/j.tiv.2015.02.012.</w:t>
      </w:r>
    </w:p>
    <w:p w14:paraId="4D8EC436" w14:textId="77777777" w:rsidR="00E4366D" w:rsidRPr="00C36E19" w:rsidRDefault="00E4366D" w:rsidP="00E4366D">
      <w:pPr>
        <w:jc w:val="both"/>
        <w:rPr>
          <w:color w:val="FF0000"/>
        </w:rPr>
      </w:pPr>
    </w:p>
    <w:p w14:paraId="790A278D" w14:textId="77777777" w:rsidR="00E4366D" w:rsidRPr="00C36E19" w:rsidRDefault="00E4366D" w:rsidP="00E4366D">
      <w:pPr>
        <w:jc w:val="both"/>
        <w:rPr>
          <w:color w:val="FF0000"/>
        </w:rPr>
      </w:pPr>
      <w:proofErr w:type="spellStart"/>
      <w:r w:rsidRPr="00C36E19">
        <w:rPr>
          <w:color w:val="FF0000"/>
        </w:rPr>
        <w:t>Cottrez</w:t>
      </w:r>
      <w:proofErr w:type="spellEnd"/>
      <w:r w:rsidRPr="00C36E19">
        <w:rPr>
          <w:color w:val="FF0000"/>
        </w:rPr>
        <w:t xml:space="preserve"> F, </w:t>
      </w:r>
      <w:proofErr w:type="spellStart"/>
      <w:r w:rsidRPr="00C36E19">
        <w:rPr>
          <w:color w:val="FF0000"/>
        </w:rPr>
        <w:t>Boitel</w:t>
      </w:r>
      <w:proofErr w:type="spellEnd"/>
      <w:r w:rsidRPr="00C36E19">
        <w:rPr>
          <w:color w:val="FF0000"/>
        </w:rPr>
        <w:t xml:space="preserve"> E, </w:t>
      </w:r>
      <w:proofErr w:type="spellStart"/>
      <w:r w:rsidRPr="00C36E19">
        <w:rPr>
          <w:color w:val="FF0000"/>
        </w:rPr>
        <w:t>Ourlin</w:t>
      </w:r>
      <w:proofErr w:type="spellEnd"/>
      <w:r w:rsidRPr="00C36E19">
        <w:rPr>
          <w:color w:val="FF0000"/>
        </w:rPr>
        <w:t xml:space="preserve"> JC, </w:t>
      </w:r>
      <w:proofErr w:type="spellStart"/>
      <w:r w:rsidRPr="00C36E19">
        <w:rPr>
          <w:color w:val="FF0000"/>
        </w:rPr>
        <w:t>Peiffer</w:t>
      </w:r>
      <w:proofErr w:type="spellEnd"/>
      <w:r w:rsidRPr="00C36E19">
        <w:rPr>
          <w:color w:val="FF0000"/>
        </w:rPr>
        <w:t xml:space="preserve"> JL, Fabre I, </w:t>
      </w:r>
      <w:proofErr w:type="spellStart"/>
      <w:r w:rsidRPr="00C36E19">
        <w:rPr>
          <w:color w:val="FF0000"/>
        </w:rPr>
        <w:t>Henaoui</w:t>
      </w:r>
      <w:proofErr w:type="spellEnd"/>
      <w:r w:rsidRPr="00C36E19">
        <w:rPr>
          <w:color w:val="FF0000"/>
        </w:rPr>
        <w:t xml:space="preserve"> IS, Mari B, </w:t>
      </w:r>
      <w:proofErr w:type="spellStart"/>
      <w:r w:rsidRPr="00C36E19">
        <w:rPr>
          <w:color w:val="FF0000"/>
        </w:rPr>
        <w:t>Vallauri</w:t>
      </w:r>
      <w:proofErr w:type="spellEnd"/>
      <w:r w:rsidRPr="00C36E19">
        <w:rPr>
          <w:color w:val="FF0000"/>
        </w:rPr>
        <w:t xml:space="preserve"> A, Paquet A, </w:t>
      </w:r>
      <w:proofErr w:type="spellStart"/>
      <w:r w:rsidRPr="00C36E19">
        <w:rPr>
          <w:color w:val="FF0000"/>
        </w:rPr>
        <w:t>Barbry</w:t>
      </w:r>
      <w:proofErr w:type="spellEnd"/>
      <w:r w:rsidRPr="00C36E19">
        <w:rPr>
          <w:color w:val="FF0000"/>
        </w:rPr>
        <w:t xml:space="preserve"> P, </w:t>
      </w:r>
      <w:proofErr w:type="spellStart"/>
      <w:r w:rsidRPr="00C36E19">
        <w:rPr>
          <w:color w:val="FF0000"/>
        </w:rPr>
        <w:t>Auriault</w:t>
      </w:r>
      <w:proofErr w:type="spellEnd"/>
      <w:r w:rsidRPr="00C36E19">
        <w:rPr>
          <w:color w:val="FF0000"/>
        </w:rPr>
        <w:t xml:space="preserve"> C, </w:t>
      </w:r>
      <w:proofErr w:type="spellStart"/>
      <w:r w:rsidRPr="00C36E19">
        <w:rPr>
          <w:color w:val="FF0000"/>
        </w:rPr>
        <w:t>Aeby</w:t>
      </w:r>
      <w:proofErr w:type="spellEnd"/>
      <w:r w:rsidRPr="00C36E19">
        <w:rPr>
          <w:color w:val="FF0000"/>
        </w:rPr>
        <w:t xml:space="preserve"> P, </w:t>
      </w:r>
      <w:proofErr w:type="spellStart"/>
      <w:r w:rsidRPr="00C36E19">
        <w:rPr>
          <w:color w:val="FF0000"/>
        </w:rPr>
        <w:t>Groux</w:t>
      </w:r>
      <w:proofErr w:type="spellEnd"/>
      <w:r w:rsidRPr="00C36E19">
        <w:rPr>
          <w:color w:val="FF0000"/>
        </w:rPr>
        <w:t xml:space="preserve"> H. SENS-IS, a 3D reconstituted </w:t>
      </w:r>
      <w:proofErr w:type="gramStart"/>
      <w:r w:rsidRPr="00C36E19">
        <w:rPr>
          <w:color w:val="FF0000"/>
        </w:rPr>
        <w:t>epidermis based</w:t>
      </w:r>
      <w:proofErr w:type="gramEnd"/>
      <w:r w:rsidRPr="00C36E19">
        <w:rPr>
          <w:color w:val="FF0000"/>
        </w:rPr>
        <w:t xml:space="preserve"> model for quantifying chemical sensitization potency: Reproducibility and predictivity results from an inter-laboratory study. </w:t>
      </w:r>
      <w:proofErr w:type="spellStart"/>
      <w:r w:rsidRPr="00C36E19">
        <w:rPr>
          <w:color w:val="FF0000"/>
        </w:rPr>
        <w:t>Toxicol</w:t>
      </w:r>
      <w:proofErr w:type="spellEnd"/>
      <w:r w:rsidRPr="00C36E19">
        <w:rPr>
          <w:color w:val="FF0000"/>
        </w:rPr>
        <w:t xml:space="preserve"> In Vitro 2016 </w:t>
      </w:r>
      <w:proofErr w:type="gramStart"/>
      <w:r w:rsidRPr="00C36E19">
        <w:rPr>
          <w:color w:val="FF0000"/>
        </w:rPr>
        <w:t>Apr;32:248</w:t>
      </w:r>
      <w:proofErr w:type="gramEnd"/>
      <w:r w:rsidRPr="00C36E19">
        <w:rPr>
          <w:color w:val="FF0000"/>
        </w:rPr>
        <w:t xml:space="preserve">-60. </w:t>
      </w:r>
      <w:proofErr w:type="spellStart"/>
      <w:r w:rsidRPr="00C36E19">
        <w:rPr>
          <w:color w:val="FF0000"/>
        </w:rPr>
        <w:t>doi</w:t>
      </w:r>
      <w:proofErr w:type="spellEnd"/>
      <w:r w:rsidRPr="00C36E19">
        <w:rPr>
          <w:color w:val="FF0000"/>
        </w:rPr>
        <w:t>: 10.1016/j.tiv.2016.01.007.</w:t>
      </w:r>
    </w:p>
    <w:p w14:paraId="159C478F" w14:textId="77777777" w:rsidR="00E4366D" w:rsidRPr="00C36E19" w:rsidRDefault="00E4366D" w:rsidP="00E4366D">
      <w:pPr>
        <w:jc w:val="both"/>
        <w:rPr>
          <w:color w:val="FF0000"/>
        </w:rPr>
      </w:pPr>
    </w:p>
    <w:p w14:paraId="2771EBD4" w14:textId="77777777" w:rsidR="00E4366D" w:rsidRPr="00C36E19" w:rsidRDefault="00E4366D" w:rsidP="00E4366D">
      <w:pPr>
        <w:jc w:val="both"/>
        <w:rPr>
          <w:color w:val="FF0000"/>
        </w:rPr>
      </w:pPr>
      <w:r w:rsidRPr="00C36E19">
        <w:rPr>
          <w:color w:val="FF0000"/>
        </w:rPr>
        <w:t xml:space="preserve">OECD 2016a. Guidance Document on the Reporting of Defined Approaches and Individual Information Sources to be Used Within Integrated Approaches to Testing and Assessment (IATA) for Skin Sensitisation. Series on Testing &amp; Assessment No. 256. </w:t>
      </w:r>
      <w:hyperlink r:id="rId25" w:history="1">
        <w:r w:rsidRPr="00C36E19">
          <w:rPr>
            <w:rStyle w:val="Hyperlink"/>
            <w:rFonts w:eastAsiaTheme="minorHAnsi"/>
            <w:color w:val="FF0000"/>
          </w:rPr>
          <w:t>http://www.oecd.org/chemicalsafety/risk-assessment/iata-integrated-approaches-to-testing-and-assessment.htm</w:t>
        </w:r>
      </w:hyperlink>
    </w:p>
    <w:p w14:paraId="5870E44E" w14:textId="77777777" w:rsidR="00E4366D" w:rsidRPr="00C36E19" w:rsidRDefault="00E4366D" w:rsidP="00E4366D">
      <w:pPr>
        <w:jc w:val="both"/>
        <w:rPr>
          <w:color w:val="FF0000"/>
        </w:rPr>
      </w:pPr>
    </w:p>
    <w:p w14:paraId="7DF35854" w14:textId="77777777" w:rsidR="00E4366D" w:rsidRPr="00C36E19" w:rsidRDefault="00E4366D" w:rsidP="00E4366D">
      <w:pPr>
        <w:jc w:val="both"/>
        <w:rPr>
          <w:color w:val="FF0000"/>
        </w:rPr>
      </w:pPr>
      <w:bookmarkStart w:id="9" w:name="_Hlk90822925"/>
      <w:r w:rsidRPr="00C36E19">
        <w:rPr>
          <w:color w:val="FF0000"/>
        </w:rPr>
        <w:t>OECD 2016b</w:t>
      </w:r>
      <w:bookmarkEnd w:id="9"/>
      <w:r w:rsidRPr="00C36E19">
        <w:rPr>
          <w:color w:val="FF0000"/>
        </w:rPr>
        <w:t xml:space="preserve">. Annex I: Case Studies to the Guidance Document on the Reporting of Defined Approaches and Individual Information Sources to be Used Within Integrated Approaches to Testing and Assessment (IATA) for Skin Sensitisation. Series on Testing &amp; Assessment No. 256. </w:t>
      </w:r>
      <w:hyperlink r:id="rId26" w:history="1">
        <w:r w:rsidRPr="00C36E19">
          <w:rPr>
            <w:rStyle w:val="Hyperlink"/>
            <w:rFonts w:eastAsiaTheme="minorHAnsi"/>
            <w:color w:val="FF0000"/>
          </w:rPr>
          <w:t>http://www.oecd.org/chemicalsafety/risk-assessment/iata-integrated-approaches-to-testing-and-assessment.htm</w:t>
        </w:r>
      </w:hyperlink>
    </w:p>
    <w:p w14:paraId="7B90801B" w14:textId="77777777" w:rsidR="00E4366D" w:rsidRPr="00014522" w:rsidRDefault="00E4366D" w:rsidP="00E4366D">
      <w:pPr>
        <w:jc w:val="both"/>
        <w:rPr>
          <w:color w:val="FF0000"/>
          <w:lang w:val="en-CA" w:eastAsia="zh-CN"/>
        </w:rPr>
      </w:pPr>
    </w:p>
    <w:p w14:paraId="718F73BB" w14:textId="77777777" w:rsidR="00E4366D" w:rsidRPr="00014522" w:rsidRDefault="00E4366D" w:rsidP="00E4366D">
      <w:pPr>
        <w:jc w:val="both"/>
        <w:rPr>
          <w:color w:val="FF0000"/>
        </w:rPr>
      </w:pPr>
      <w:r w:rsidRPr="00014522">
        <w:rPr>
          <w:color w:val="FF0000"/>
        </w:rPr>
        <w:t>OECD (2012). Series on Testing and Assessment No. 168. The Adverse Outcome Pathway for Skin Sensitisation Initiated by Covalent Binding to Proteins. Part 1: Scientific Evidence. Organisation for Economic Cooperation and Development, Paris. Available at [https://www.oecd.org/chemicalsafety/testing/series-testingassessment-publications-number.htm]</w:t>
      </w:r>
    </w:p>
    <w:p w14:paraId="2757CABD" w14:textId="77777777" w:rsidR="00E4366D" w:rsidRPr="00014522" w:rsidRDefault="00E4366D" w:rsidP="00E4366D">
      <w:pPr>
        <w:jc w:val="both"/>
        <w:rPr>
          <w:color w:val="FF0000"/>
        </w:rPr>
      </w:pPr>
    </w:p>
    <w:p w14:paraId="6E098D99" w14:textId="77777777" w:rsidR="00E4366D" w:rsidRPr="00014522" w:rsidRDefault="00E4366D" w:rsidP="00E4366D">
      <w:pPr>
        <w:jc w:val="both"/>
        <w:rPr>
          <w:color w:val="FF0000"/>
        </w:rPr>
      </w:pPr>
      <w:r w:rsidRPr="00014522">
        <w:rPr>
          <w:color w:val="FF0000"/>
        </w:rPr>
        <w:t xml:space="preserve">Saito K, </w:t>
      </w:r>
      <w:proofErr w:type="spellStart"/>
      <w:r w:rsidRPr="00014522">
        <w:rPr>
          <w:color w:val="FF0000"/>
        </w:rPr>
        <w:t>Takenouchi</w:t>
      </w:r>
      <w:proofErr w:type="spellEnd"/>
      <w:r w:rsidRPr="00014522">
        <w:rPr>
          <w:color w:val="FF0000"/>
        </w:rPr>
        <w:t xml:space="preserve"> O, </w:t>
      </w:r>
      <w:proofErr w:type="spellStart"/>
      <w:r w:rsidRPr="00014522">
        <w:rPr>
          <w:color w:val="FF0000"/>
        </w:rPr>
        <w:t>Nukada</w:t>
      </w:r>
      <w:proofErr w:type="spellEnd"/>
      <w:r w:rsidRPr="00014522">
        <w:rPr>
          <w:color w:val="FF0000"/>
        </w:rPr>
        <w:t xml:space="preserve"> Y, Miyazawa M, </w:t>
      </w:r>
      <w:proofErr w:type="spellStart"/>
      <w:r w:rsidRPr="00014522">
        <w:rPr>
          <w:color w:val="FF0000"/>
        </w:rPr>
        <w:t>Sakaguchi</w:t>
      </w:r>
      <w:proofErr w:type="spellEnd"/>
      <w:r w:rsidRPr="00014522">
        <w:rPr>
          <w:color w:val="FF0000"/>
        </w:rPr>
        <w:t xml:space="preserve"> H. </w:t>
      </w:r>
      <w:hyperlink r:id="rId27" w:history="1">
        <w:r w:rsidRPr="00014522">
          <w:rPr>
            <w:color w:val="FF0000"/>
          </w:rPr>
          <w:t xml:space="preserve">An in vitro skin sensitization assay termed </w:t>
        </w:r>
        <w:proofErr w:type="spellStart"/>
        <w:r w:rsidRPr="00014522">
          <w:rPr>
            <w:color w:val="FF0000"/>
          </w:rPr>
          <w:t>EpiSensA</w:t>
        </w:r>
        <w:proofErr w:type="spellEnd"/>
        <w:r w:rsidRPr="00014522">
          <w:rPr>
            <w:color w:val="FF0000"/>
          </w:rPr>
          <w:t xml:space="preserve"> for broad sets of chemicals including lipophilic chemicals and pre/pro-</w:t>
        </w:r>
        <w:proofErr w:type="spellStart"/>
        <w:r w:rsidRPr="00014522">
          <w:rPr>
            <w:color w:val="FF0000"/>
          </w:rPr>
          <w:t>haptens</w:t>
        </w:r>
        <w:proofErr w:type="spellEnd"/>
        <w:r w:rsidRPr="00014522">
          <w:t>.</w:t>
        </w:r>
      </w:hyperlink>
    </w:p>
    <w:p w14:paraId="7F8A17B8" w14:textId="77777777" w:rsidR="00E4366D" w:rsidRPr="00014522" w:rsidRDefault="00E4366D" w:rsidP="00E4366D">
      <w:pPr>
        <w:jc w:val="both"/>
        <w:rPr>
          <w:color w:val="FF0000"/>
        </w:rPr>
      </w:pPr>
      <w:r w:rsidRPr="00766535">
        <w:rPr>
          <w:color w:val="FF0000"/>
          <w:lang w:val="it-IT"/>
        </w:rPr>
        <w:t xml:space="preserve">Toxicol In Vitro. 2017 Apr;40:11-25. doi: 10.1016/j.tiv.2016.12.005. </w:t>
      </w:r>
      <w:proofErr w:type="spellStart"/>
      <w:r w:rsidRPr="00014522">
        <w:rPr>
          <w:color w:val="FF0000"/>
        </w:rPr>
        <w:t>Epub</w:t>
      </w:r>
      <w:proofErr w:type="spellEnd"/>
      <w:r w:rsidRPr="00014522">
        <w:rPr>
          <w:color w:val="FF0000"/>
        </w:rPr>
        <w:t xml:space="preserve"> 2016 Dec </w:t>
      </w:r>
      <w:proofErr w:type="gramStart"/>
      <w:r w:rsidRPr="00014522">
        <w:rPr>
          <w:color w:val="FF0000"/>
        </w:rPr>
        <w:t>10.PMID</w:t>
      </w:r>
      <w:proofErr w:type="gramEnd"/>
      <w:r w:rsidRPr="00014522">
        <w:rPr>
          <w:color w:val="FF0000"/>
        </w:rPr>
        <w:t>: 27965148</w:t>
      </w:r>
    </w:p>
    <w:p w14:paraId="6FBCF8D5" w14:textId="77777777" w:rsidR="00E4366D" w:rsidRPr="00C36E19" w:rsidRDefault="00E4366D" w:rsidP="00E4366D">
      <w:pPr>
        <w:autoSpaceDE w:val="0"/>
        <w:autoSpaceDN w:val="0"/>
        <w:adjustRightInd w:val="0"/>
        <w:jc w:val="both"/>
        <w:rPr>
          <w:rFonts w:ascii="TimesNewRomanPSMT" w:eastAsiaTheme="minorEastAsia" w:hAnsi="TimesNewRomanPSMT" w:cs="TimesNewRomanPSMT"/>
          <w:color w:val="FF0000"/>
          <w:szCs w:val="22"/>
          <w:lang w:eastAsia="zh-CN"/>
        </w:rPr>
      </w:pPr>
    </w:p>
    <w:p w14:paraId="0241AEC4" w14:textId="4882F0E7" w:rsidR="00EE42D3" w:rsidRPr="00587EDB" w:rsidRDefault="00E4366D" w:rsidP="00E4366D">
      <w:pPr>
        <w:spacing w:before="240"/>
        <w:jc w:val="center"/>
      </w:pPr>
      <w:r>
        <w:rPr>
          <w:u w:val="single"/>
        </w:rPr>
        <w:tab/>
      </w:r>
      <w:r>
        <w:rPr>
          <w:u w:val="single"/>
        </w:rPr>
        <w:tab/>
      </w:r>
      <w:r>
        <w:rPr>
          <w:u w:val="single"/>
        </w:rPr>
        <w:tab/>
      </w:r>
    </w:p>
    <w:sectPr w:rsidR="00EE42D3" w:rsidRPr="00587EDB" w:rsidSect="00587EDB">
      <w:headerReference w:type="even" r:id="rId28"/>
      <w:headerReference w:type="default" r:id="rId29"/>
      <w:footerReference w:type="even" r:id="rId30"/>
      <w:footerReference w:type="default" r:id="rId3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4A85" w14:textId="77777777" w:rsidR="00491B50" w:rsidRDefault="00491B50"/>
  </w:endnote>
  <w:endnote w:type="continuationSeparator" w:id="0">
    <w:p w14:paraId="65055C3B" w14:textId="77777777" w:rsidR="00491B50" w:rsidRDefault="00491B50"/>
  </w:endnote>
  <w:endnote w:type="continuationNotice" w:id="1">
    <w:p w14:paraId="198CFC7C" w14:textId="77777777" w:rsidR="00491B50" w:rsidRDefault="0049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323639810"/>
      <w:docPartObj>
        <w:docPartGallery w:val="Page Numbers (Bottom of Page)"/>
        <w:docPartUnique/>
      </w:docPartObj>
    </w:sdtPr>
    <w:sdtEndPr>
      <w:rPr>
        <w:noProof/>
      </w:rPr>
    </w:sdtEndPr>
    <w:sdtContent>
      <w:p w14:paraId="48CE2E64" w14:textId="49422580" w:rsidR="008A59AE" w:rsidRPr="008A59AE" w:rsidRDefault="008A59AE">
        <w:pPr>
          <w:pStyle w:val="Footer"/>
          <w:rPr>
            <w:b/>
            <w:bCs/>
          </w:rPr>
        </w:pPr>
        <w:r w:rsidRPr="008A59AE">
          <w:rPr>
            <w:b/>
            <w:bCs/>
          </w:rPr>
          <w:fldChar w:fldCharType="begin"/>
        </w:r>
        <w:r w:rsidRPr="008A59AE">
          <w:rPr>
            <w:b/>
            <w:bCs/>
          </w:rPr>
          <w:instrText xml:space="preserve"> PAGE   \* MERGEFORMAT </w:instrText>
        </w:r>
        <w:r w:rsidRPr="008A59AE">
          <w:rPr>
            <w:b/>
            <w:bCs/>
          </w:rPr>
          <w:fldChar w:fldCharType="separate"/>
        </w:r>
        <w:r w:rsidRPr="008A59AE">
          <w:rPr>
            <w:b/>
            <w:bCs/>
            <w:noProof/>
          </w:rPr>
          <w:t>2</w:t>
        </w:r>
        <w:r w:rsidRPr="008A59AE">
          <w:rPr>
            <w:b/>
            <w:bCs/>
            <w:noProof/>
          </w:rPr>
          <w:fldChar w:fldCharType="end"/>
        </w:r>
      </w:p>
    </w:sdtContent>
  </w:sdt>
  <w:p w14:paraId="66F0E252" w14:textId="77777777" w:rsidR="0061770D" w:rsidRDefault="0061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80442414"/>
      <w:docPartObj>
        <w:docPartGallery w:val="Page Numbers (Bottom of Page)"/>
        <w:docPartUnique/>
      </w:docPartObj>
    </w:sdtPr>
    <w:sdtEndPr>
      <w:rPr>
        <w:noProof/>
      </w:rPr>
    </w:sdtEndPr>
    <w:sdtContent>
      <w:p w14:paraId="54E300C2" w14:textId="7314A8E0" w:rsidR="003462CE" w:rsidRPr="003462CE" w:rsidRDefault="003462CE">
        <w:pPr>
          <w:pStyle w:val="Footer"/>
          <w:jc w:val="right"/>
          <w:rPr>
            <w:b/>
            <w:bCs/>
          </w:rPr>
        </w:pPr>
        <w:r w:rsidRPr="003462CE">
          <w:rPr>
            <w:b/>
            <w:bCs/>
          </w:rPr>
          <w:fldChar w:fldCharType="begin"/>
        </w:r>
        <w:r w:rsidRPr="003462CE">
          <w:rPr>
            <w:b/>
            <w:bCs/>
          </w:rPr>
          <w:instrText xml:space="preserve"> PAGE   \* MERGEFORMAT </w:instrText>
        </w:r>
        <w:r w:rsidRPr="003462CE">
          <w:rPr>
            <w:b/>
            <w:bCs/>
          </w:rPr>
          <w:fldChar w:fldCharType="separate"/>
        </w:r>
        <w:r w:rsidRPr="003462CE">
          <w:rPr>
            <w:b/>
            <w:bCs/>
            <w:noProof/>
          </w:rPr>
          <w:t>2</w:t>
        </w:r>
        <w:r w:rsidRPr="003462CE">
          <w:rPr>
            <w:b/>
            <w:bCs/>
            <w:noProof/>
          </w:rPr>
          <w:fldChar w:fldCharType="end"/>
        </w:r>
      </w:p>
    </w:sdtContent>
  </w:sdt>
  <w:p w14:paraId="77CD0BA3" w14:textId="77777777" w:rsidR="0061770D" w:rsidRDefault="00617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A800" w14:textId="22E5C2C6" w:rsidR="0062434E" w:rsidRPr="0062434E" w:rsidRDefault="0062434E" w:rsidP="0062434E">
    <w:pPr>
      <w:pStyle w:val="Footer"/>
    </w:pPr>
    <w:r>
      <w:rPr>
        <w:noProof/>
      </w:rPr>
      <mc:AlternateContent>
        <mc:Choice Requires="wps">
          <w:drawing>
            <wp:anchor distT="0" distB="0" distL="114300" distR="114300" simplePos="0" relativeHeight="251658241" behindDoc="0" locked="0" layoutInCell="1" allowOverlap="1" wp14:anchorId="636DF128" wp14:editId="0219A81C">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6733B90" w14:textId="77777777" w:rsidR="0062434E" w:rsidRPr="0099001C" w:rsidRDefault="0062434E" w:rsidP="0062434E">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18</w:t>
                          </w:r>
                          <w:r w:rsidRPr="0099001C">
                            <w:rPr>
                              <w:b/>
                              <w:sz w:val="18"/>
                            </w:rPr>
                            <w:fldChar w:fldCharType="end"/>
                          </w:r>
                          <w:r>
                            <w:rPr>
                              <w:sz w:val="18"/>
                            </w:rPr>
                            <w:tab/>
                          </w:r>
                        </w:p>
                        <w:p w14:paraId="3F630AE9" w14:textId="77777777" w:rsidR="0062434E" w:rsidRDefault="006243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36DF128" id="_x0000_t202" coordsize="21600,21600" o:spt="202" path="m,l,21600r21600,l21600,xe">
              <v:stroke joinstyle="miter"/>
              <v:path gradientshapeok="t" o:connecttype="rect"/>
            </v:shapetype>
            <v:shape id="Text Box 5" o:spid="_x0000_s1040"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6733B90" w14:textId="77777777" w:rsidR="0062434E" w:rsidRPr="0099001C" w:rsidRDefault="0062434E" w:rsidP="0062434E">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18</w:t>
                    </w:r>
                    <w:r w:rsidRPr="0099001C">
                      <w:rPr>
                        <w:b/>
                        <w:sz w:val="18"/>
                      </w:rPr>
                      <w:fldChar w:fldCharType="end"/>
                    </w:r>
                    <w:r>
                      <w:rPr>
                        <w:sz w:val="18"/>
                      </w:rPr>
                      <w:tab/>
                    </w:r>
                  </w:p>
                  <w:p w14:paraId="3F630AE9" w14:textId="77777777" w:rsidR="0062434E" w:rsidRDefault="0062434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F576" w14:textId="1EC8BD9A" w:rsidR="0062434E" w:rsidRPr="0062434E" w:rsidRDefault="0062434E" w:rsidP="0062434E">
    <w:pPr>
      <w:pStyle w:val="Footer"/>
    </w:pPr>
    <w:r>
      <w:rPr>
        <w:noProof/>
      </w:rPr>
      <mc:AlternateContent>
        <mc:Choice Requires="wps">
          <w:drawing>
            <wp:anchor distT="0" distB="0" distL="114300" distR="114300" simplePos="0" relativeHeight="251658243" behindDoc="0" locked="0" layoutInCell="1" allowOverlap="1" wp14:anchorId="161E7C1D" wp14:editId="1B26D559">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EAE1A45" w14:textId="77777777" w:rsidR="0062434E" w:rsidRPr="0099001C" w:rsidRDefault="0062434E" w:rsidP="0062434E">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19</w:t>
                          </w:r>
                          <w:r w:rsidRPr="0099001C">
                            <w:rPr>
                              <w:b/>
                              <w:sz w:val="18"/>
                            </w:rPr>
                            <w:fldChar w:fldCharType="end"/>
                          </w:r>
                        </w:p>
                        <w:p w14:paraId="481EAD57" w14:textId="77777777" w:rsidR="0062434E" w:rsidRDefault="006243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1E7C1D" id="_x0000_t202" coordsize="21600,21600" o:spt="202" path="m,l,21600r21600,l21600,xe">
              <v:stroke joinstyle="miter"/>
              <v:path gradientshapeok="t" o:connecttype="rect"/>
            </v:shapetype>
            <v:shape id="Text Box 12" o:spid="_x0000_s1041"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iGjAIAAC0FAAAOAAAAZHJzL2Uyb0RvYy54bWysVMFu2zAMvQ/YPwi6r05StNiCOkXWrsOA&#10;oi2QDj0zshwbkEVNUhJnX78nOW63bodh2EWmKeqJfHzUxWXfGbHTPrRsSzk9mUihreKqtZtSfn28&#10;efdeihDJVmTY6lIedJCXi7dvLvZurmfcsKm0FwCxYb53pWxidPOiCKrRHYUTdtpis2bfUcSv3xSV&#10;pz3QO1PMJpPzYs++cp6VDgHe62FTLjJ+XWsV7+s66ChMKZFbzKvP6zqtxeKC5htPrmnVMQ36hyw6&#10;ai0ufYa6pkhi69vfoLpWeQ5cxxPFXcF13Sqda0A108mralYNOZ1rATnBPdMU/h+suts9eNFW6N1M&#10;CksdevSo+yg+ci/gAj97F+YIWzkExh5+xI7+AGcqu699l74oSGAfTB+e2U1oCs7Z9OzDBDsKW+dT&#10;lHua6S9eTjsf4mfNnUhGKT26l0ml3W2IyAShY0i6LLBpq5vWmPyTFKOvjBc7Qq9JKW3jdDhuXEOD&#10;e7wx6ytFZ9BfgIwVeyR4epZSJUiyNhRhdg4kBbuRgswGWlfRZ3TLKYWso5TcNYVmuCujDgLzvLVV&#10;Dmk0VZ9sJeLBgWmLmZDpuk5XUhgN2GTlyEit+ZtIkGIsykhtGtqRrNiv+9zW07FVa64O6KDnYQaC&#10;Uzct8r2lEB/IQ/SoF4Mc77HUhpEUHy0pGvbf/+RP8aVMK6rAEIGgb1vyqMl8sVApIONo+NFYj4bd&#10;dleMXk3xRDiVTRzw0Yxm7bl7wnwv0y3YIquQSSlx22BexWGU8T4ovVzmIMyVo3hrV04l6KSN1JfH&#10;/om8OyorQpN3PI4XzV8JbIhNJy0vt5HrNqsv8TqweKQbM5n1c3w/0tD//J+jXl65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obSYh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EAE1A45" w14:textId="77777777" w:rsidR="0062434E" w:rsidRPr="0099001C" w:rsidRDefault="0062434E" w:rsidP="0062434E">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Pr>
                        <w:b/>
                        <w:sz w:val="18"/>
                      </w:rPr>
                      <w:t>19</w:t>
                    </w:r>
                    <w:r w:rsidRPr="0099001C">
                      <w:rPr>
                        <w:b/>
                        <w:sz w:val="18"/>
                      </w:rPr>
                      <w:fldChar w:fldCharType="end"/>
                    </w:r>
                  </w:p>
                  <w:p w14:paraId="481EAD57" w14:textId="77777777" w:rsidR="0062434E" w:rsidRDefault="0062434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4591" w14:textId="70D25DF5" w:rsidR="00587EDB" w:rsidRPr="00587EDB" w:rsidRDefault="00587EDB" w:rsidP="00587EDB">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4203" w14:textId="4E3CD091" w:rsidR="00587EDB" w:rsidRPr="00587EDB" w:rsidRDefault="00587EDB" w:rsidP="00587EDB">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99A7" w14:textId="77777777" w:rsidR="00491B50" w:rsidRPr="000B175B" w:rsidRDefault="00491B50" w:rsidP="000B175B">
      <w:pPr>
        <w:tabs>
          <w:tab w:val="right" w:pos="2155"/>
        </w:tabs>
        <w:spacing w:after="80"/>
        <w:ind w:left="680"/>
        <w:rPr>
          <w:u w:val="single"/>
        </w:rPr>
      </w:pPr>
      <w:r>
        <w:rPr>
          <w:u w:val="single"/>
        </w:rPr>
        <w:tab/>
      </w:r>
    </w:p>
  </w:footnote>
  <w:footnote w:type="continuationSeparator" w:id="0">
    <w:p w14:paraId="79EC7A2B" w14:textId="77777777" w:rsidR="00491B50" w:rsidRPr="00FC68B7" w:rsidRDefault="00491B50" w:rsidP="00FC68B7">
      <w:pPr>
        <w:tabs>
          <w:tab w:val="left" w:pos="2155"/>
        </w:tabs>
        <w:spacing w:after="80"/>
        <w:ind w:left="680"/>
        <w:rPr>
          <w:u w:val="single"/>
        </w:rPr>
      </w:pPr>
      <w:r>
        <w:rPr>
          <w:u w:val="single"/>
        </w:rPr>
        <w:tab/>
      </w:r>
    </w:p>
  </w:footnote>
  <w:footnote w:type="continuationNotice" w:id="1">
    <w:p w14:paraId="28398493" w14:textId="77777777" w:rsidR="00491B50" w:rsidRDefault="00491B50"/>
  </w:footnote>
  <w:footnote w:id="2">
    <w:p w14:paraId="0CD7D2EC" w14:textId="535AEF3D" w:rsidR="00786A3B" w:rsidRDefault="00786A3B" w:rsidP="00BF400F">
      <w:pPr>
        <w:pStyle w:val="FootnoteText"/>
        <w:tabs>
          <w:tab w:val="left" w:pos="1418"/>
        </w:tabs>
        <w:ind w:firstLine="0"/>
      </w:pPr>
      <w:r>
        <w:rPr>
          <w:rStyle w:val="FootnoteReference"/>
        </w:rPr>
        <w:footnoteRef/>
      </w:r>
      <w:r>
        <w:t xml:space="preserve"> </w:t>
      </w:r>
      <w:r>
        <w:tab/>
      </w:r>
      <w:r w:rsidR="00BF400F">
        <w:t>S</w:t>
      </w:r>
      <w:r>
        <w:t>ee ST/SG/AC.10/C.4/78</w:t>
      </w:r>
    </w:p>
  </w:footnote>
  <w:footnote w:id="3">
    <w:p w14:paraId="4EC34F12" w14:textId="1AFE6587" w:rsidR="00786A3B" w:rsidRDefault="00786A3B" w:rsidP="00BF400F">
      <w:pPr>
        <w:pStyle w:val="FootnoteText"/>
        <w:tabs>
          <w:tab w:val="clear" w:pos="1021"/>
          <w:tab w:val="left" w:pos="1134"/>
          <w:tab w:val="left" w:pos="1418"/>
        </w:tabs>
        <w:ind w:firstLine="0"/>
      </w:pPr>
      <w:r>
        <w:rPr>
          <w:rStyle w:val="FootnoteReference"/>
        </w:rPr>
        <w:footnoteRef/>
      </w:r>
      <w:r>
        <w:t xml:space="preserve"> </w:t>
      </w:r>
      <w:r>
        <w:tab/>
      </w:r>
      <w:r w:rsidR="00BF400F">
        <w:t>S</w:t>
      </w:r>
      <w:r>
        <w:t xml:space="preserve">ee informal documents </w:t>
      </w:r>
      <w:r>
        <w:rPr>
          <w:bCs/>
          <w:szCs w:val="18"/>
        </w:rPr>
        <w:t>INF</w:t>
      </w:r>
      <w:r>
        <w:t>.18 (40</w:t>
      </w:r>
      <w:r w:rsidRPr="00F91BE2">
        <w:rPr>
          <w:vertAlign w:val="superscript"/>
        </w:rPr>
        <w:t>th</w:t>
      </w:r>
      <w:r>
        <w:t xml:space="preserve"> session) and </w:t>
      </w:r>
      <w:r>
        <w:rPr>
          <w:bCs/>
          <w:szCs w:val="18"/>
        </w:rPr>
        <w:t>INF</w:t>
      </w:r>
      <w:r>
        <w:t>.11 (41</w:t>
      </w:r>
      <w:r w:rsidRPr="00E71C93">
        <w:rPr>
          <w:vertAlign w:val="superscript"/>
        </w:rPr>
        <w:t>st</w:t>
      </w:r>
      <w:r>
        <w:t xml:space="preserve"> session)</w:t>
      </w:r>
    </w:p>
  </w:footnote>
  <w:footnote w:id="4">
    <w:p w14:paraId="33BFE61B" w14:textId="77777777" w:rsidR="00F01F35" w:rsidRPr="00B117AA" w:rsidRDefault="00F01F35" w:rsidP="00F01F35">
      <w:pPr>
        <w:pStyle w:val="FootnoteText"/>
        <w:tabs>
          <w:tab w:val="right" w:pos="1560"/>
        </w:tabs>
        <w:ind w:left="1418" w:right="119" w:hanging="284"/>
        <w:rPr>
          <w:i/>
          <w:iCs/>
          <w:color w:val="FF0000"/>
        </w:rPr>
      </w:pPr>
      <w:r w:rsidRPr="00781D8D">
        <w:rPr>
          <w:rStyle w:val="FootnoteReference"/>
          <w:color w:val="4F81BD" w:themeColor="accent1"/>
        </w:rPr>
        <w:footnoteRef/>
      </w:r>
      <w:r w:rsidRPr="00781D8D">
        <w:rPr>
          <w:color w:val="4F81BD" w:themeColor="accent1"/>
        </w:rPr>
        <w:t xml:space="preserve"> </w:t>
      </w:r>
      <w:r w:rsidRPr="00B117AA">
        <w:rPr>
          <w:color w:val="FF0000"/>
        </w:rPr>
        <w:tab/>
      </w:r>
      <w:r w:rsidRPr="00781D8D">
        <w:rPr>
          <w:i/>
          <w:iCs/>
          <w:color w:val="4F81BD" w:themeColor="accent1"/>
        </w:rPr>
        <w:t>Additional defined approaches have been proposed for skin sensit</w:t>
      </w:r>
      <w:r>
        <w:rPr>
          <w:i/>
          <w:iCs/>
          <w:color w:val="4F81BD" w:themeColor="accent1"/>
        </w:rPr>
        <w:t>iz</w:t>
      </w:r>
      <w:r w:rsidRPr="00781D8D">
        <w:rPr>
          <w:i/>
          <w:iCs/>
          <w:color w:val="4F81BD" w:themeColor="accent1"/>
        </w:rPr>
        <w:t>ation (OECD 2016b</w:t>
      </w:r>
      <w:r w:rsidRPr="00781D8D">
        <w:rPr>
          <w:i/>
          <w:iCs/>
          <w:color w:val="4F81BD" w:themeColor="accent1"/>
        </w:rPr>
        <w:t>) but no classification criteria have yet been agreed internationally.</w:t>
      </w:r>
    </w:p>
  </w:footnote>
  <w:footnote w:id="5">
    <w:p w14:paraId="37DA3BAD" w14:textId="77777777" w:rsidR="00696A5B" w:rsidRPr="00FE191B" w:rsidRDefault="00696A5B" w:rsidP="00696A5B">
      <w:pPr>
        <w:pStyle w:val="FootnoteText"/>
        <w:ind w:left="1418" w:hanging="284"/>
      </w:pPr>
      <w:r w:rsidRPr="00B117AA">
        <w:rPr>
          <w:rStyle w:val="FootnoteReference"/>
          <w:color w:val="FF0000"/>
        </w:rPr>
        <w:footnoteRef/>
      </w:r>
      <w:r w:rsidRPr="00B117AA">
        <w:rPr>
          <w:color w:val="FF0000"/>
        </w:rPr>
        <w:t xml:space="preserve">     </w:t>
      </w:r>
      <w:r w:rsidRPr="0080543C">
        <w:rPr>
          <w:i/>
          <w:iCs/>
          <w:color w:val="4F81BD" w:themeColor="accent1"/>
        </w:rPr>
        <w:t xml:space="preserve">Additional in </w:t>
      </w:r>
      <w:r w:rsidRPr="0080543C">
        <w:rPr>
          <w:i/>
          <w:iCs/>
          <w:color w:val="4F81BD" w:themeColor="accent1"/>
        </w:rPr>
        <w:t>chemico/in vitro methods have been proposed for skin sensitisation (see 3.4.5.3.5.1) but no classification criteria have yet been agreed internationally.</w:t>
      </w:r>
    </w:p>
  </w:footnote>
  <w:footnote w:id="6">
    <w:p w14:paraId="1BC972BA" w14:textId="77777777" w:rsidR="00664127" w:rsidRPr="007D7000" w:rsidRDefault="00664127" w:rsidP="00664127">
      <w:pPr>
        <w:pStyle w:val="FootnoteText"/>
        <w:tabs>
          <w:tab w:val="clear" w:pos="1021"/>
          <w:tab w:val="left" w:pos="567"/>
        </w:tabs>
        <w:spacing w:after="60" w:line="240" w:lineRule="auto"/>
        <w:ind w:left="0" w:right="-1" w:firstLine="0"/>
        <w:jc w:val="both"/>
        <w:rPr>
          <w:sz w:val="20"/>
        </w:rPr>
      </w:pPr>
      <w:r w:rsidRPr="007A3E6C">
        <w:rPr>
          <w:rStyle w:val="FootnoteReference"/>
        </w:rPr>
        <w:footnoteRef/>
      </w:r>
      <w:r w:rsidRPr="007D7000">
        <w:t xml:space="preserve"> </w:t>
      </w:r>
      <w:r w:rsidRPr="007D7000">
        <w:tab/>
      </w:r>
      <w:r w:rsidRPr="007D7000">
        <w:rPr>
          <w:i/>
          <w:sz w:val="20"/>
        </w:rPr>
        <w:t>For specific concentration limits, see “The use of cut-off values/concentration limits” in Chapter 1.3, paragraph 1.3.3.2.</w:t>
      </w:r>
    </w:p>
  </w:footnote>
  <w:footnote w:id="7">
    <w:p w14:paraId="1A431913" w14:textId="77777777" w:rsidR="00664127" w:rsidRPr="007D7000" w:rsidRDefault="00664127" w:rsidP="00664127">
      <w:pPr>
        <w:pStyle w:val="FootnoteText"/>
        <w:tabs>
          <w:tab w:val="clear" w:pos="1021"/>
          <w:tab w:val="left" w:pos="567"/>
        </w:tabs>
        <w:spacing w:after="60" w:line="240" w:lineRule="auto"/>
        <w:ind w:left="0" w:right="-1" w:firstLine="0"/>
        <w:jc w:val="both"/>
        <w:rPr>
          <w:sz w:val="20"/>
        </w:rPr>
      </w:pPr>
      <w:r w:rsidRPr="000E0449">
        <w:rPr>
          <w:rStyle w:val="FootnoteReference"/>
          <w:sz w:val="20"/>
        </w:rPr>
        <w:footnoteRef/>
      </w:r>
      <w:r w:rsidRPr="007D7000">
        <w:rPr>
          <w:sz w:val="20"/>
        </w:rPr>
        <w:t xml:space="preserve"> </w:t>
      </w:r>
      <w:r w:rsidRPr="007D7000">
        <w:rPr>
          <w:sz w:val="20"/>
        </w:rPr>
        <w:tab/>
      </w:r>
      <w:r w:rsidRPr="007D7000">
        <w:rPr>
          <w:i/>
          <w:sz w:val="20"/>
        </w:rPr>
        <w:t>See 3.4.4.2.</w:t>
      </w:r>
    </w:p>
  </w:footnote>
  <w:footnote w:id="8">
    <w:p w14:paraId="1B25A22B" w14:textId="77777777" w:rsidR="00664127" w:rsidRPr="007D7000" w:rsidRDefault="00664127" w:rsidP="00664127">
      <w:pPr>
        <w:pStyle w:val="FootnoteText"/>
        <w:tabs>
          <w:tab w:val="clear" w:pos="1021"/>
          <w:tab w:val="left" w:pos="567"/>
        </w:tabs>
        <w:spacing w:after="60" w:line="240" w:lineRule="auto"/>
        <w:ind w:left="0" w:right="-1" w:firstLine="0"/>
        <w:jc w:val="both"/>
        <w:rPr>
          <w:sz w:val="20"/>
        </w:rPr>
      </w:pPr>
      <w:r w:rsidRPr="000E0449">
        <w:rPr>
          <w:rStyle w:val="FootnoteReference"/>
          <w:sz w:val="20"/>
        </w:rPr>
        <w:footnoteRef/>
      </w:r>
      <w:r w:rsidRPr="007D7000">
        <w:rPr>
          <w:sz w:val="20"/>
        </w:rPr>
        <w:t xml:space="preserve"> </w:t>
      </w:r>
      <w:r w:rsidRPr="007D7000">
        <w:rPr>
          <w:sz w:val="20"/>
        </w:rPr>
        <w:tab/>
      </w:r>
      <w:r w:rsidRPr="007D7000">
        <w:rPr>
          <w:i/>
          <w:sz w:val="20"/>
        </w:rPr>
        <w:t>See 3.4.2.1.1 for details on use of Category 1 sub-categories.</w:t>
      </w:r>
    </w:p>
  </w:footnote>
  <w:footnote w:id="9">
    <w:p w14:paraId="069B9FED" w14:textId="77777777" w:rsidR="000126CC" w:rsidRPr="007D7000" w:rsidRDefault="000126CC" w:rsidP="000126CC">
      <w:pPr>
        <w:pStyle w:val="FootnoteText"/>
        <w:tabs>
          <w:tab w:val="clear" w:pos="1021"/>
        </w:tabs>
        <w:spacing w:after="60" w:line="240" w:lineRule="auto"/>
        <w:ind w:left="0" w:right="0" w:firstLine="0"/>
        <w:jc w:val="both"/>
        <w:rPr>
          <w:sz w:val="20"/>
        </w:rPr>
      </w:pPr>
      <w:r w:rsidRPr="007D7000">
        <w:rPr>
          <w:rStyle w:val="FootnoteReference"/>
          <w:bCs/>
          <w:sz w:val="20"/>
        </w:rPr>
        <w:t>3</w:t>
      </w:r>
      <w:r w:rsidRPr="007D7000">
        <w:rPr>
          <w:b/>
          <w:bCs/>
          <w:sz w:val="20"/>
        </w:rPr>
        <w:t xml:space="preserve"> </w:t>
      </w:r>
      <w:r w:rsidRPr="007D7000">
        <w:rPr>
          <w:sz w:val="20"/>
        </w:rPr>
        <w:tab/>
      </w:r>
      <w:r w:rsidRPr="007D7000">
        <w:rPr>
          <w:i/>
          <w:sz w:val="20"/>
        </w:rPr>
        <w:t>For specific concentration limits, see “The use of cut-off values/concentration limits” in Chapter 1.3, paragraph 1.3.3.2.</w:t>
      </w:r>
    </w:p>
  </w:footnote>
  <w:footnote w:id="10">
    <w:p w14:paraId="1B52FF12" w14:textId="77777777" w:rsidR="000126CC" w:rsidRPr="007D7000" w:rsidRDefault="000126CC" w:rsidP="000126CC">
      <w:pPr>
        <w:pStyle w:val="FootnoteText"/>
        <w:tabs>
          <w:tab w:val="clear" w:pos="1021"/>
        </w:tabs>
        <w:spacing w:after="60" w:line="240" w:lineRule="auto"/>
        <w:ind w:left="0" w:right="0" w:firstLine="0"/>
        <w:jc w:val="both"/>
        <w:rPr>
          <w:sz w:val="20"/>
        </w:rPr>
      </w:pPr>
      <w:r w:rsidRPr="007D7000">
        <w:rPr>
          <w:rStyle w:val="FootnoteReference"/>
          <w:bCs/>
          <w:sz w:val="20"/>
        </w:rPr>
        <w:t>4</w:t>
      </w:r>
      <w:r w:rsidRPr="007D7000">
        <w:rPr>
          <w:b/>
          <w:bCs/>
          <w:sz w:val="20"/>
        </w:rPr>
        <w:t xml:space="preserve"> </w:t>
      </w:r>
      <w:r w:rsidRPr="007D7000">
        <w:rPr>
          <w:sz w:val="20"/>
        </w:rPr>
        <w:tab/>
      </w:r>
      <w:r w:rsidRPr="007D7000">
        <w:rPr>
          <w:i/>
          <w:sz w:val="20"/>
        </w:rPr>
        <w:t>See 3.4.4.2.</w:t>
      </w:r>
    </w:p>
  </w:footnote>
  <w:footnote w:id="11">
    <w:p w14:paraId="5A102350" w14:textId="77777777" w:rsidR="000126CC" w:rsidRPr="007D7000" w:rsidRDefault="000126CC" w:rsidP="000126CC">
      <w:pPr>
        <w:pStyle w:val="FootnoteText"/>
        <w:tabs>
          <w:tab w:val="clear" w:pos="1021"/>
        </w:tabs>
        <w:spacing w:after="60" w:line="240" w:lineRule="auto"/>
        <w:ind w:left="0" w:right="0" w:firstLine="0"/>
        <w:jc w:val="both"/>
        <w:rPr>
          <w:sz w:val="20"/>
        </w:rPr>
      </w:pPr>
      <w:r w:rsidRPr="000E0449">
        <w:rPr>
          <w:rStyle w:val="FootnoteReference"/>
          <w:sz w:val="20"/>
        </w:rPr>
        <w:footnoteRef/>
      </w:r>
      <w:r w:rsidRPr="007D7000">
        <w:rPr>
          <w:b/>
          <w:bCs/>
          <w:sz w:val="20"/>
        </w:rPr>
        <w:t xml:space="preserve"> </w:t>
      </w:r>
      <w:r w:rsidRPr="007D7000">
        <w:rPr>
          <w:sz w:val="20"/>
        </w:rPr>
        <w:tab/>
      </w:r>
      <w:r w:rsidRPr="007D7000">
        <w:rPr>
          <w:i/>
          <w:sz w:val="20"/>
        </w:rPr>
        <w:t>See 3.4.2.2.1 for details on use of Category 1 sub-categories.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0A4D" w14:textId="1D0F6AC0" w:rsidR="0061770D" w:rsidRPr="0061770D" w:rsidRDefault="0061770D">
    <w:pPr>
      <w:pStyle w:val="Header"/>
      <w:rPr>
        <w:lang w:val="fr-CH"/>
      </w:rPr>
    </w:pPr>
    <w:r>
      <w:rPr>
        <w:lang w:val="fr-CH"/>
      </w:rPr>
      <w:t>UN/SCEGHS/42/INF.16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6231" w14:textId="1C4E9CA4" w:rsidR="003462CE" w:rsidRDefault="003462CE" w:rsidP="00361772">
    <w:pPr>
      <w:pStyle w:val="Header"/>
      <w:pBdr>
        <w:bottom w:val="none" w:sz="0" w:space="0" w:color="auto"/>
      </w:pBdr>
      <w:jc w:val="right"/>
    </w:pPr>
  </w:p>
  <w:p w14:paraId="33AE70E5" w14:textId="198A5B16" w:rsidR="0061770D" w:rsidRDefault="009632F4" w:rsidP="00DE790E">
    <w:pPr>
      <w:pStyle w:val="Header"/>
      <w:pBdr>
        <w:bottom w:val="single" w:sz="4" w:space="1" w:color="auto"/>
      </w:pBdr>
      <w:jc w:val="right"/>
    </w:pPr>
    <w:r>
      <w:t>UN/SCEGHS/42/INF.16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602C" w14:textId="77777777" w:rsidR="009632F4" w:rsidRDefault="009632F4" w:rsidP="00DE790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DFD9" w14:textId="712B4BC7" w:rsidR="0062434E" w:rsidRPr="0062434E" w:rsidRDefault="0062434E" w:rsidP="0062434E">
    <w:r>
      <w:rPr>
        <w:noProof/>
      </w:rPr>
      <mc:AlternateContent>
        <mc:Choice Requires="wps">
          <w:drawing>
            <wp:anchor distT="0" distB="0" distL="114300" distR="114300" simplePos="0" relativeHeight="251658240" behindDoc="0" locked="0" layoutInCell="1" allowOverlap="1" wp14:anchorId="25070E46" wp14:editId="19C717E9">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12BDE0" w14:textId="0C901656" w:rsidR="0062434E" w:rsidRPr="0099001C" w:rsidRDefault="0062434E" w:rsidP="0062434E">
                          <w:pPr>
                            <w:pStyle w:val="Header"/>
                          </w:pPr>
                          <w:r w:rsidRPr="007A1AF5">
                            <w:t>UN/SCEGHS/42/INF.1</w:t>
                          </w:r>
                          <w:r w:rsidR="003462CE">
                            <w:t>6</w:t>
                          </w:r>
                        </w:p>
                        <w:p w14:paraId="6D7F8383" w14:textId="77777777" w:rsidR="0062434E" w:rsidRDefault="006243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070E46" id="_x0000_t202" coordsize="21600,21600" o:spt="202" path="m,l,21600r21600,l21600,xe">
              <v:stroke joinstyle="miter"/>
              <v:path gradientshapeok="t" o:connecttype="rect"/>
            </v:shapetype>
            <v:shape id="Text Box 1" o:spid="_x0000_s1038"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7B12BDE0" w14:textId="0C901656" w:rsidR="0062434E" w:rsidRPr="0099001C" w:rsidRDefault="0062434E" w:rsidP="0062434E">
                    <w:pPr>
                      <w:pStyle w:val="Header"/>
                    </w:pPr>
                    <w:r w:rsidRPr="007A1AF5">
                      <w:t>UN/SCEGHS/42/INF.1</w:t>
                    </w:r>
                    <w:r w:rsidR="003462CE">
                      <w:t>6</w:t>
                    </w:r>
                  </w:p>
                  <w:p w14:paraId="6D7F8383" w14:textId="77777777" w:rsidR="0062434E" w:rsidRDefault="0062434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EB4B" w14:textId="7077EABB" w:rsidR="0062434E" w:rsidRPr="0062434E" w:rsidRDefault="0062434E" w:rsidP="0062434E">
    <w:r>
      <w:rPr>
        <w:noProof/>
      </w:rPr>
      <mc:AlternateContent>
        <mc:Choice Requires="wps">
          <w:drawing>
            <wp:anchor distT="0" distB="0" distL="114300" distR="114300" simplePos="0" relativeHeight="251658242" behindDoc="0" locked="0" layoutInCell="1" allowOverlap="1" wp14:anchorId="437502E4" wp14:editId="7E75A1A2">
              <wp:simplePos x="0" y="0"/>
              <wp:positionH relativeFrom="page">
                <wp:posOffset>9935845</wp:posOffset>
              </wp:positionH>
              <wp:positionV relativeFrom="margin">
                <wp:posOffset>0</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DE4F098" w14:textId="6002FCFB" w:rsidR="0062434E" w:rsidRPr="0099001C" w:rsidRDefault="0062434E" w:rsidP="0062434E">
                          <w:pPr>
                            <w:pStyle w:val="Header"/>
                            <w:jc w:val="right"/>
                          </w:pPr>
                          <w:r>
                            <w:t>UN/SCEGHS/4</w:t>
                          </w:r>
                          <w:r w:rsidR="003462CE">
                            <w:t>2</w:t>
                          </w:r>
                          <w:r>
                            <w:t>/INF.</w:t>
                          </w:r>
                          <w:r w:rsidR="003462CE">
                            <w:t>16</w:t>
                          </w:r>
                        </w:p>
                        <w:p w14:paraId="761337FA" w14:textId="77777777" w:rsidR="0062434E" w:rsidRDefault="006243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37502E4" id="_x0000_t202" coordsize="21600,21600" o:spt="202" path="m,l,21600r21600,l21600,xe">
              <v:stroke joinstyle="miter"/>
              <v:path gradientshapeok="t" o:connecttype="rect"/>
            </v:shapetype>
            <v:shape id="Text Box 7" o:spid="_x0000_s1039"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qtUgIAAKwEAAAOAAAAZHJzL2Uyb0RvYy54bWysVMFu2zAMvQ/YPwi6L7ZTtN2MOEWWIsOA&#10;oC2QDD0zshwbk0VNUmJnXz9KjtOu22nYRaYkio98j/Tsrm8VO0rrGtQFzyYpZ1ILLBu9L/i37erD&#10;R86cB12CQi0LfpKO383fv5t1JpdTrFGV0jIKol3emYLX3ps8SZyoZQtugkZquqzQtuBpa/dJaaGj&#10;6K1Kpml6k3RoS2NRSOfo9H645PMYv6qk8I9V5aRnquCUm4+rjesurMl8BvnegqkbcU4D/iGLFhpN&#10;oJdQ9+CBHWzzR6i2ERYdVn4isE2wqhohYw1UTZa+qWZTg5GxFiLHmQtN7v+FFQ/HJ8uasuC3nGlo&#10;SaKt7D37jD27Dex0xuXktDHk5ns6JpVjpc6sUXx35JK88hkeOPIObPSVbcOX6mT0kAQ4XUgPKIIO&#10;p9n1p5RuBF3dZMTCVVQleXltrPNfJLYsGAW3JGrMAI5r5wM+5KNLAHOomnLVKBU3oZHkUll2BGoB&#10;EEJqPxQAytQwHI+Ise2Cdwz6WyClWUcJXl2nEVtjQBjAlT5zMJQd2PD9ro+sZiOHOyxPRKHFoQWd&#10;EauGylmD809gqeeIApoj/0hLpZCw8GxxVqP9+bfz4F/wsHLWUQ8X3P04gJWcqa+amiQ0/GjY0diN&#10;hj60SyROMppQI6JJD6xXo1lZbJ9pvBYBha5AC8qk4IQ2mEs/TBKNp5CLRXSitjbg13pjxNgpQZxt&#10;/wzWnBX0pP0Djt0N+RshB9+gnsbFwWPVRJUDrwOLZ7ppJKJO5/ENM/d6H71efjLzX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1ZbarV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7DE4F098" w14:textId="6002FCFB" w:rsidR="0062434E" w:rsidRPr="0099001C" w:rsidRDefault="0062434E" w:rsidP="0062434E">
                    <w:pPr>
                      <w:pStyle w:val="Header"/>
                      <w:jc w:val="right"/>
                    </w:pPr>
                    <w:r>
                      <w:t>UN/SCEGHS/4</w:t>
                    </w:r>
                    <w:r w:rsidR="003462CE">
                      <w:t>2</w:t>
                    </w:r>
                    <w:r>
                      <w:t>/INF.</w:t>
                    </w:r>
                    <w:r w:rsidR="003462CE">
                      <w:t>16</w:t>
                    </w:r>
                  </w:p>
                  <w:p w14:paraId="761337FA" w14:textId="77777777" w:rsidR="0062434E" w:rsidRDefault="0062434E"/>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2695" w14:textId="34868EDD" w:rsidR="00587EDB" w:rsidRPr="00BE2EBA" w:rsidRDefault="00BE2EBA" w:rsidP="00587EDB">
    <w:pPr>
      <w:pStyle w:val="Header"/>
      <w:rPr>
        <w:lang w:val="fr-CH"/>
      </w:rPr>
    </w:pPr>
    <w:r>
      <w:rPr>
        <w:lang w:val="fr-CH"/>
      </w:rPr>
      <w:t>UN/SCEGHS/42/INF.16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A172" w14:textId="3922318F" w:rsidR="00587EDB" w:rsidRPr="00587EDB" w:rsidRDefault="00491B50" w:rsidP="00587EDB">
    <w:pPr>
      <w:pStyle w:val="Header"/>
      <w:jc w:val="right"/>
    </w:pPr>
    <w:r>
      <w:fldChar w:fldCharType="begin"/>
    </w:r>
    <w:r>
      <w:instrText xml:space="preserve"> TITLE  \* MERGEFORMAT </w:instrText>
    </w:r>
    <w:r>
      <w:fldChar w:fldCharType="separate"/>
    </w:r>
    <w:r w:rsidR="003E0CBE">
      <w:t>UN/SCEGHS/19/INF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84FD6"/>
    <w:multiLevelType w:val="hybridMultilevel"/>
    <w:tmpl w:val="AE36043C"/>
    <w:lvl w:ilvl="0" w:tplc="2098BA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80B37B3"/>
    <w:multiLevelType w:val="hybridMultilevel"/>
    <w:tmpl w:val="26F83D22"/>
    <w:lvl w:ilvl="0" w:tplc="08090017">
      <w:start w:val="1"/>
      <w:numFmt w:val="lowerLetter"/>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8A1E94"/>
    <w:multiLevelType w:val="hybridMultilevel"/>
    <w:tmpl w:val="814CC3EE"/>
    <w:lvl w:ilvl="0" w:tplc="D92648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D6D0C6C"/>
    <w:multiLevelType w:val="hybridMultilevel"/>
    <w:tmpl w:val="ED7C4AF8"/>
    <w:lvl w:ilvl="0" w:tplc="37DA2ED4">
      <w:start w:val="1"/>
      <w:numFmt w:val="decimal"/>
      <w:lvlText w:val="%1."/>
      <w:lvlJc w:val="left"/>
      <w:pPr>
        <w:ind w:left="1710" w:hanging="564"/>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9990823"/>
    <w:multiLevelType w:val="hybridMultilevel"/>
    <w:tmpl w:val="C108C684"/>
    <w:lvl w:ilvl="0" w:tplc="B1FED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0"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3356CF"/>
    <w:multiLevelType w:val="hybridMultilevel"/>
    <w:tmpl w:val="0C382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15:restartNumberingAfterBreak="0">
    <w:nsid w:val="67A56842"/>
    <w:multiLevelType w:val="hybridMultilevel"/>
    <w:tmpl w:val="C5F0FEE8"/>
    <w:lvl w:ilvl="0" w:tplc="666C9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7" w15:restartNumberingAfterBreak="0">
    <w:nsid w:val="6CAD7784"/>
    <w:multiLevelType w:val="hybridMultilevel"/>
    <w:tmpl w:val="038C5DBA"/>
    <w:lvl w:ilvl="0" w:tplc="010804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9" w15:restartNumberingAfterBreak="0">
    <w:nsid w:val="6F892037"/>
    <w:multiLevelType w:val="hybridMultilevel"/>
    <w:tmpl w:val="B57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E2A36"/>
    <w:multiLevelType w:val="hybridMultilevel"/>
    <w:tmpl w:val="2A402A5A"/>
    <w:lvl w:ilvl="0" w:tplc="F90E470C">
      <w:start w:val="1"/>
      <w:numFmt w:val="lowerLetter"/>
      <w:lvlText w:val="(%1)"/>
      <w:lvlJc w:val="left"/>
      <w:pPr>
        <w:ind w:left="2472" w:hanging="360"/>
      </w:pPr>
      <w:rPr>
        <w:rFonts w:hint="default"/>
      </w:rPr>
    </w:lvl>
    <w:lvl w:ilvl="1" w:tplc="10090019" w:tentative="1">
      <w:start w:val="1"/>
      <w:numFmt w:val="lowerLetter"/>
      <w:lvlText w:val="%2."/>
      <w:lvlJc w:val="left"/>
      <w:pPr>
        <w:ind w:left="3192" w:hanging="360"/>
      </w:pPr>
    </w:lvl>
    <w:lvl w:ilvl="2" w:tplc="1009001B" w:tentative="1">
      <w:start w:val="1"/>
      <w:numFmt w:val="lowerRoman"/>
      <w:lvlText w:val="%3."/>
      <w:lvlJc w:val="right"/>
      <w:pPr>
        <w:ind w:left="3912" w:hanging="180"/>
      </w:pPr>
    </w:lvl>
    <w:lvl w:ilvl="3" w:tplc="1009000F" w:tentative="1">
      <w:start w:val="1"/>
      <w:numFmt w:val="decimal"/>
      <w:lvlText w:val="%4."/>
      <w:lvlJc w:val="left"/>
      <w:pPr>
        <w:ind w:left="4632" w:hanging="360"/>
      </w:pPr>
    </w:lvl>
    <w:lvl w:ilvl="4" w:tplc="10090019" w:tentative="1">
      <w:start w:val="1"/>
      <w:numFmt w:val="lowerLetter"/>
      <w:lvlText w:val="%5."/>
      <w:lvlJc w:val="left"/>
      <w:pPr>
        <w:ind w:left="5352" w:hanging="360"/>
      </w:pPr>
    </w:lvl>
    <w:lvl w:ilvl="5" w:tplc="1009001B" w:tentative="1">
      <w:start w:val="1"/>
      <w:numFmt w:val="lowerRoman"/>
      <w:lvlText w:val="%6."/>
      <w:lvlJc w:val="right"/>
      <w:pPr>
        <w:ind w:left="6072" w:hanging="180"/>
      </w:pPr>
    </w:lvl>
    <w:lvl w:ilvl="6" w:tplc="1009000F" w:tentative="1">
      <w:start w:val="1"/>
      <w:numFmt w:val="decimal"/>
      <w:lvlText w:val="%7."/>
      <w:lvlJc w:val="left"/>
      <w:pPr>
        <w:ind w:left="6792" w:hanging="360"/>
      </w:pPr>
    </w:lvl>
    <w:lvl w:ilvl="7" w:tplc="10090019" w:tentative="1">
      <w:start w:val="1"/>
      <w:numFmt w:val="lowerLetter"/>
      <w:lvlText w:val="%8."/>
      <w:lvlJc w:val="left"/>
      <w:pPr>
        <w:ind w:left="7512" w:hanging="360"/>
      </w:pPr>
    </w:lvl>
    <w:lvl w:ilvl="8" w:tplc="1009001B" w:tentative="1">
      <w:start w:val="1"/>
      <w:numFmt w:val="lowerRoman"/>
      <w:lvlText w:val="%9."/>
      <w:lvlJc w:val="right"/>
      <w:pPr>
        <w:ind w:left="8232" w:hanging="180"/>
      </w:pPr>
    </w:lvl>
  </w:abstractNum>
  <w:abstractNum w:abstractNumId="31"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25"/>
  </w:num>
  <w:num w:numId="3">
    <w:abstractNumId w:val="17"/>
  </w:num>
  <w:num w:numId="4">
    <w:abstractNumId w:val="7"/>
  </w:num>
  <w:num w:numId="5">
    <w:abstractNumId w:val="8"/>
  </w:num>
  <w:num w:numId="6">
    <w:abstractNumId w:val="9"/>
  </w:num>
  <w:num w:numId="7">
    <w:abstractNumId w:val="31"/>
  </w:num>
  <w:num w:numId="8">
    <w:abstractNumId w:val="1"/>
  </w:num>
  <w:num w:numId="9">
    <w:abstractNumId w:val="3"/>
  </w:num>
  <w:num w:numId="10">
    <w:abstractNumId w:val="2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6"/>
  </w:num>
  <w:num w:numId="16">
    <w:abstractNumId w:val="28"/>
  </w:num>
  <w:num w:numId="17">
    <w:abstractNumId w:val="13"/>
  </w:num>
  <w:num w:numId="18">
    <w:abstractNumId w:val="10"/>
  </w:num>
  <w:num w:numId="19">
    <w:abstractNumId w:val="23"/>
  </w:num>
  <w:num w:numId="20">
    <w:abstractNumId w:val="2"/>
  </w:num>
  <w:num w:numId="21">
    <w:abstractNumId w:val="4"/>
  </w:num>
  <w:num w:numId="22">
    <w:abstractNumId w:val="30"/>
  </w:num>
  <w:num w:numId="23">
    <w:abstractNumId w:val="16"/>
  </w:num>
  <w:num w:numId="24">
    <w:abstractNumId w:val="18"/>
  </w:num>
  <w:num w:numId="25">
    <w:abstractNumId w:val="15"/>
  </w:num>
  <w:num w:numId="26">
    <w:abstractNumId w:val="6"/>
  </w:num>
  <w:num w:numId="27">
    <w:abstractNumId w:val="27"/>
  </w:num>
  <w:num w:numId="28">
    <w:abstractNumId w:val="22"/>
  </w:num>
  <w:num w:numId="29">
    <w:abstractNumId w:val="11"/>
  </w:num>
  <w:num w:numId="30">
    <w:abstractNumId w:val="24"/>
  </w:num>
  <w:num w:numId="31">
    <w:abstractNumId w:val="14"/>
  </w:num>
  <w:num w:numId="32">
    <w:abstractNumId w:val="21"/>
  </w:num>
  <w:num w:numId="33">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activeWritingStyle w:appName="MSWord" w:lang="en-AU" w:vendorID="64" w:dllVersion="0" w:nlCheck="1" w:checkStyle="0"/>
  <w:activeWritingStyle w:appName="MSWord" w:lang="es-E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11A6C"/>
    <w:rsid w:val="00011B38"/>
    <w:rsid w:val="00012269"/>
    <w:rsid w:val="000126CC"/>
    <w:rsid w:val="00015281"/>
    <w:rsid w:val="00016322"/>
    <w:rsid w:val="00016F90"/>
    <w:rsid w:val="0001762F"/>
    <w:rsid w:val="00021F69"/>
    <w:rsid w:val="00023D11"/>
    <w:rsid w:val="000247DA"/>
    <w:rsid w:val="000248C1"/>
    <w:rsid w:val="000309E1"/>
    <w:rsid w:val="00030DD3"/>
    <w:rsid w:val="00033B3D"/>
    <w:rsid w:val="00036757"/>
    <w:rsid w:val="00041588"/>
    <w:rsid w:val="00041F29"/>
    <w:rsid w:val="000443D9"/>
    <w:rsid w:val="000465C7"/>
    <w:rsid w:val="0004671B"/>
    <w:rsid w:val="00050F6B"/>
    <w:rsid w:val="00053700"/>
    <w:rsid w:val="0005585B"/>
    <w:rsid w:val="00056ADD"/>
    <w:rsid w:val="0006093B"/>
    <w:rsid w:val="00062FE6"/>
    <w:rsid w:val="00065DE6"/>
    <w:rsid w:val="00072C8C"/>
    <w:rsid w:val="00073D8C"/>
    <w:rsid w:val="00074E61"/>
    <w:rsid w:val="00081647"/>
    <w:rsid w:val="00085D2B"/>
    <w:rsid w:val="00086CD6"/>
    <w:rsid w:val="00092477"/>
    <w:rsid w:val="000931C0"/>
    <w:rsid w:val="00093AA0"/>
    <w:rsid w:val="000A48A1"/>
    <w:rsid w:val="000A6544"/>
    <w:rsid w:val="000A6AF2"/>
    <w:rsid w:val="000B037C"/>
    <w:rsid w:val="000B0443"/>
    <w:rsid w:val="000B175B"/>
    <w:rsid w:val="000B17CF"/>
    <w:rsid w:val="000B3A0F"/>
    <w:rsid w:val="000B3D62"/>
    <w:rsid w:val="000C6544"/>
    <w:rsid w:val="000D10AA"/>
    <w:rsid w:val="000D37A9"/>
    <w:rsid w:val="000D4EE2"/>
    <w:rsid w:val="000D5A91"/>
    <w:rsid w:val="000E0415"/>
    <w:rsid w:val="000F599C"/>
    <w:rsid w:val="0010146C"/>
    <w:rsid w:val="00105C37"/>
    <w:rsid w:val="001074C7"/>
    <w:rsid w:val="00111760"/>
    <w:rsid w:val="00115ECB"/>
    <w:rsid w:val="001220B8"/>
    <w:rsid w:val="00135B50"/>
    <w:rsid w:val="00140DE6"/>
    <w:rsid w:val="00141658"/>
    <w:rsid w:val="00142E4D"/>
    <w:rsid w:val="0015005D"/>
    <w:rsid w:val="00154087"/>
    <w:rsid w:val="00156444"/>
    <w:rsid w:val="00156F3C"/>
    <w:rsid w:val="00160207"/>
    <w:rsid w:val="00162BF7"/>
    <w:rsid w:val="00170DBB"/>
    <w:rsid w:val="001748C5"/>
    <w:rsid w:val="001772DB"/>
    <w:rsid w:val="0018104F"/>
    <w:rsid w:val="00181192"/>
    <w:rsid w:val="00190AEA"/>
    <w:rsid w:val="00191F6F"/>
    <w:rsid w:val="00195871"/>
    <w:rsid w:val="00196E86"/>
    <w:rsid w:val="00196F8A"/>
    <w:rsid w:val="001976A3"/>
    <w:rsid w:val="001A0F7B"/>
    <w:rsid w:val="001A2FA5"/>
    <w:rsid w:val="001B4B04"/>
    <w:rsid w:val="001B5F24"/>
    <w:rsid w:val="001B69DC"/>
    <w:rsid w:val="001C6663"/>
    <w:rsid w:val="001C7895"/>
    <w:rsid w:val="001D02FD"/>
    <w:rsid w:val="001D13BA"/>
    <w:rsid w:val="001D1E83"/>
    <w:rsid w:val="001D26DF"/>
    <w:rsid w:val="001D3206"/>
    <w:rsid w:val="001D648C"/>
    <w:rsid w:val="001E47FD"/>
    <w:rsid w:val="001E7F58"/>
    <w:rsid w:val="001F0115"/>
    <w:rsid w:val="001F661F"/>
    <w:rsid w:val="00202FFC"/>
    <w:rsid w:val="002115B7"/>
    <w:rsid w:val="00211E0B"/>
    <w:rsid w:val="002122AE"/>
    <w:rsid w:val="00213E9F"/>
    <w:rsid w:val="00217B78"/>
    <w:rsid w:val="00221DF0"/>
    <w:rsid w:val="00231C90"/>
    <w:rsid w:val="002353CC"/>
    <w:rsid w:val="002366A3"/>
    <w:rsid w:val="002405A7"/>
    <w:rsid w:val="00245FA7"/>
    <w:rsid w:val="00247C31"/>
    <w:rsid w:val="0025322D"/>
    <w:rsid w:val="002544BF"/>
    <w:rsid w:val="00254C1C"/>
    <w:rsid w:val="00257E45"/>
    <w:rsid w:val="00261190"/>
    <w:rsid w:val="00262488"/>
    <w:rsid w:val="002706F2"/>
    <w:rsid w:val="00271E2A"/>
    <w:rsid w:val="0027295D"/>
    <w:rsid w:val="00273022"/>
    <w:rsid w:val="002737DA"/>
    <w:rsid w:val="00283970"/>
    <w:rsid w:val="00283EA1"/>
    <w:rsid w:val="00285190"/>
    <w:rsid w:val="0028578C"/>
    <w:rsid w:val="00286FDE"/>
    <w:rsid w:val="002B1884"/>
    <w:rsid w:val="002B37B6"/>
    <w:rsid w:val="002B3D6F"/>
    <w:rsid w:val="002C7A9B"/>
    <w:rsid w:val="002D037D"/>
    <w:rsid w:val="002D0C22"/>
    <w:rsid w:val="002D1005"/>
    <w:rsid w:val="002D1872"/>
    <w:rsid w:val="002D2D8D"/>
    <w:rsid w:val="002D2FB8"/>
    <w:rsid w:val="002D33A5"/>
    <w:rsid w:val="002D3A9B"/>
    <w:rsid w:val="002D59D3"/>
    <w:rsid w:val="002D6144"/>
    <w:rsid w:val="002E3936"/>
    <w:rsid w:val="00303789"/>
    <w:rsid w:val="003107FA"/>
    <w:rsid w:val="003127A2"/>
    <w:rsid w:val="003229D8"/>
    <w:rsid w:val="00322FAA"/>
    <w:rsid w:val="0032550E"/>
    <w:rsid w:val="00327615"/>
    <w:rsid w:val="003327F0"/>
    <w:rsid w:val="00335925"/>
    <w:rsid w:val="0033745A"/>
    <w:rsid w:val="00337A81"/>
    <w:rsid w:val="00337F26"/>
    <w:rsid w:val="00341051"/>
    <w:rsid w:val="003462CE"/>
    <w:rsid w:val="00357D6F"/>
    <w:rsid w:val="00361772"/>
    <w:rsid w:val="003642AF"/>
    <w:rsid w:val="00366CA7"/>
    <w:rsid w:val="0037026E"/>
    <w:rsid w:val="00370421"/>
    <w:rsid w:val="00373660"/>
    <w:rsid w:val="0037693E"/>
    <w:rsid w:val="0039277A"/>
    <w:rsid w:val="003936C1"/>
    <w:rsid w:val="00395157"/>
    <w:rsid w:val="003956BB"/>
    <w:rsid w:val="0039696D"/>
    <w:rsid w:val="003972E0"/>
    <w:rsid w:val="003A3AEF"/>
    <w:rsid w:val="003A3BBF"/>
    <w:rsid w:val="003A6F49"/>
    <w:rsid w:val="003A737A"/>
    <w:rsid w:val="003A7753"/>
    <w:rsid w:val="003B0C4F"/>
    <w:rsid w:val="003B2CBD"/>
    <w:rsid w:val="003B3A99"/>
    <w:rsid w:val="003C2CC4"/>
    <w:rsid w:val="003C3936"/>
    <w:rsid w:val="003C3E16"/>
    <w:rsid w:val="003D0D56"/>
    <w:rsid w:val="003D2270"/>
    <w:rsid w:val="003D4009"/>
    <w:rsid w:val="003D4B23"/>
    <w:rsid w:val="003D4D01"/>
    <w:rsid w:val="003D57CD"/>
    <w:rsid w:val="003E0CBE"/>
    <w:rsid w:val="003E1828"/>
    <w:rsid w:val="003E4C6B"/>
    <w:rsid w:val="003E6173"/>
    <w:rsid w:val="003F1ED3"/>
    <w:rsid w:val="003F548D"/>
    <w:rsid w:val="00404110"/>
    <w:rsid w:val="00404648"/>
    <w:rsid w:val="0040593A"/>
    <w:rsid w:val="00421612"/>
    <w:rsid w:val="00422AA7"/>
    <w:rsid w:val="00425CB5"/>
    <w:rsid w:val="00426F57"/>
    <w:rsid w:val="00427C61"/>
    <w:rsid w:val="004325CB"/>
    <w:rsid w:val="004449CC"/>
    <w:rsid w:val="00446DE4"/>
    <w:rsid w:val="00455E21"/>
    <w:rsid w:val="00460165"/>
    <w:rsid w:val="00460DD9"/>
    <w:rsid w:val="0046499D"/>
    <w:rsid w:val="00467F71"/>
    <w:rsid w:val="004705A6"/>
    <w:rsid w:val="0047442B"/>
    <w:rsid w:val="00474F1C"/>
    <w:rsid w:val="00477371"/>
    <w:rsid w:val="00481AF5"/>
    <w:rsid w:val="004827D3"/>
    <w:rsid w:val="00485881"/>
    <w:rsid w:val="00491B50"/>
    <w:rsid w:val="00492FBB"/>
    <w:rsid w:val="00496EBE"/>
    <w:rsid w:val="004975BF"/>
    <w:rsid w:val="00497EF1"/>
    <w:rsid w:val="004A371D"/>
    <w:rsid w:val="004A41CA"/>
    <w:rsid w:val="004A4C5A"/>
    <w:rsid w:val="004A4EB2"/>
    <w:rsid w:val="004A4F3D"/>
    <w:rsid w:val="004B0298"/>
    <w:rsid w:val="004B036A"/>
    <w:rsid w:val="004B073A"/>
    <w:rsid w:val="004B2692"/>
    <w:rsid w:val="004B288E"/>
    <w:rsid w:val="004B748C"/>
    <w:rsid w:val="004C2C20"/>
    <w:rsid w:val="004C3441"/>
    <w:rsid w:val="004C6E9B"/>
    <w:rsid w:val="004D0C85"/>
    <w:rsid w:val="004E0B23"/>
    <w:rsid w:val="004E31C7"/>
    <w:rsid w:val="004E33F9"/>
    <w:rsid w:val="004E36F5"/>
    <w:rsid w:val="004E3E6C"/>
    <w:rsid w:val="004E7ED6"/>
    <w:rsid w:val="004F6FA2"/>
    <w:rsid w:val="004F7D12"/>
    <w:rsid w:val="005014A3"/>
    <w:rsid w:val="00503228"/>
    <w:rsid w:val="005034AA"/>
    <w:rsid w:val="00505384"/>
    <w:rsid w:val="00507958"/>
    <w:rsid w:val="005163CC"/>
    <w:rsid w:val="00530929"/>
    <w:rsid w:val="0053092F"/>
    <w:rsid w:val="00530B20"/>
    <w:rsid w:val="00532617"/>
    <w:rsid w:val="005326D7"/>
    <w:rsid w:val="00532EF8"/>
    <w:rsid w:val="00533DBE"/>
    <w:rsid w:val="0053503F"/>
    <w:rsid w:val="00535116"/>
    <w:rsid w:val="00535BDE"/>
    <w:rsid w:val="0053769E"/>
    <w:rsid w:val="00540050"/>
    <w:rsid w:val="00541C35"/>
    <w:rsid w:val="005420F2"/>
    <w:rsid w:val="00543A6D"/>
    <w:rsid w:val="0054407A"/>
    <w:rsid w:val="00545F0E"/>
    <w:rsid w:val="00546218"/>
    <w:rsid w:val="005547AA"/>
    <w:rsid w:val="005560AA"/>
    <w:rsid w:val="005745F6"/>
    <w:rsid w:val="00583B10"/>
    <w:rsid w:val="00587EDB"/>
    <w:rsid w:val="005906CF"/>
    <w:rsid w:val="00596A1F"/>
    <w:rsid w:val="005A0C61"/>
    <w:rsid w:val="005A3BFC"/>
    <w:rsid w:val="005A6542"/>
    <w:rsid w:val="005B0D15"/>
    <w:rsid w:val="005B2C89"/>
    <w:rsid w:val="005B3DB3"/>
    <w:rsid w:val="005B758B"/>
    <w:rsid w:val="005C47BF"/>
    <w:rsid w:val="005D1A62"/>
    <w:rsid w:val="005D23F3"/>
    <w:rsid w:val="005D2A49"/>
    <w:rsid w:val="005D7387"/>
    <w:rsid w:val="005E1EDC"/>
    <w:rsid w:val="005E22FE"/>
    <w:rsid w:val="005E5FFD"/>
    <w:rsid w:val="005F7D6B"/>
    <w:rsid w:val="00601906"/>
    <w:rsid w:val="00603CBF"/>
    <w:rsid w:val="0060668D"/>
    <w:rsid w:val="00611326"/>
    <w:rsid w:val="0061196B"/>
    <w:rsid w:val="00611FC4"/>
    <w:rsid w:val="0061427C"/>
    <w:rsid w:val="006170FC"/>
    <w:rsid w:val="006176FB"/>
    <w:rsid w:val="0061770D"/>
    <w:rsid w:val="00617FFE"/>
    <w:rsid w:val="00623801"/>
    <w:rsid w:val="0062434E"/>
    <w:rsid w:val="00625098"/>
    <w:rsid w:val="00627ED0"/>
    <w:rsid w:val="006326F0"/>
    <w:rsid w:val="00635219"/>
    <w:rsid w:val="0063521D"/>
    <w:rsid w:val="00635EF4"/>
    <w:rsid w:val="00640B26"/>
    <w:rsid w:val="00645B5D"/>
    <w:rsid w:val="00664127"/>
    <w:rsid w:val="006653E5"/>
    <w:rsid w:val="00665595"/>
    <w:rsid w:val="00680CDA"/>
    <w:rsid w:val="006866A5"/>
    <w:rsid w:val="0068708F"/>
    <w:rsid w:val="00691F20"/>
    <w:rsid w:val="00693543"/>
    <w:rsid w:val="00696A5B"/>
    <w:rsid w:val="00697787"/>
    <w:rsid w:val="006A7392"/>
    <w:rsid w:val="006A7757"/>
    <w:rsid w:val="006A7857"/>
    <w:rsid w:val="006A7DFD"/>
    <w:rsid w:val="006B1B5A"/>
    <w:rsid w:val="006B2509"/>
    <w:rsid w:val="006B6238"/>
    <w:rsid w:val="006C16AC"/>
    <w:rsid w:val="006C2521"/>
    <w:rsid w:val="006D3377"/>
    <w:rsid w:val="006E032B"/>
    <w:rsid w:val="006E10E3"/>
    <w:rsid w:val="006E2481"/>
    <w:rsid w:val="006E3197"/>
    <w:rsid w:val="006E564B"/>
    <w:rsid w:val="006F0395"/>
    <w:rsid w:val="007043A6"/>
    <w:rsid w:val="007107D8"/>
    <w:rsid w:val="0071248A"/>
    <w:rsid w:val="0071349F"/>
    <w:rsid w:val="00714AEE"/>
    <w:rsid w:val="00717623"/>
    <w:rsid w:val="00720DEB"/>
    <w:rsid w:val="0072632A"/>
    <w:rsid w:val="00727A68"/>
    <w:rsid w:val="00732654"/>
    <w:rsid w:val="00733AAE"/>
    <w:rsid w:val="00734A5D"/>
    <w:rsid w:val="007361DA"/>
    <w:rsid w:val="007439EB"/>
    <w:rsid w:val="007506A9"/>
    <w:rsid w:val="00754226"/>
    <w:rsid w:val="007560E6"/>
    <w:rsid w:val="0076223F"/>
    <w:rsid w:val="007640D5"/>
    <w:rsid w:val="007673C7"/>
    <w:rsid w:val="007719BA"/>
    <w:rsid w:val="007750CB"/>
    <w:rsid w:val="00775EC7"/>
    <w:rsid w:val="00781A60"/>
    <w:rsid w:val="00784208"/>
    <w:rsid w:val="00786A3B"/>
    <w:rsid w:val="00787DA4"/>
    <w:rsid w:val="00791BCB"/>
    <w:rsid w:val="00793314"/>
    <w:rsid w:val="007A0B22"/>
    <w:rsid w:val="007A1AF5"/>
    <w:rsid w:val="007A7E59"/>
    <w:rsid w:val="007B525C"/>
    <w:rsid w:val="007B5399"/>
    <w:rsid w:val="007B6BA5"/>
    <w:rsid w:val="007C1201"/>
    <w:rsid w:val="007C3390"/>
    <w:rsid w:val="007C4F4B"/>
    <w:rsid w:val="007C5418"/>
    <w:rsid w:val="007C5A03"/>
    <w:rsid w:val="007C6F15"/>
    <w:rsid w:val="007C710E"/>
    <w:rsid w:val="007C7B1E"/>
    <w:rsid w:val="007D2D6D"/>
    <w:rsid w:val="007D4D7A"/>
    <w:rsid w:val="007D61DF"/>
    <w:rsid w:val="007D7920"/>
    <w:rsid w:val="007E0557"/>
    <w:rsid w:val="007F0B83"/>
    <w:rsid w:val="007F48EF"/>
    <w:rsid w:val="007F4FCD"/>
    <w:rsid w:val="007F6611"/>
    <w:rsid w:val="00802916"/>
    <w:rsid w:val="00802F98"/>
    <w:rsid w:val="0080653A"/>
    <w:rsid w:val="00807005"/>
    <w:rsid w:val="0081004A"/>
    <w:rsid w:val="00811719"/>
    <w:rsid w:val="008121E9"/>
    <w:rsid w:val="00815255"/>
    <w:rsid w:val="0081732C"/>
    <w:rsid w:val="008175E9"/>
    <w:rsid w:val="008242D7"/>
    <w:rsid w:val="00826F10"/>
    <w:rsid w:val="0082702F"/>
    <w:rsid w:val="00827E05"/>
    <w:rsid w:val="008308E6"/>
    <w:rsid w:val="008311A3"/>
    <w:rsid w:val="00832AD0"/>
    <w:rsid w:val="00832B3A"/>
    <w:rsid w:val="00836AF7"/>
    <w:rsid w:val="0084107B"/>
    <w:rsid w:val="00843C36"/>
    <w:rsid w:val="0084467B"/>
    <w:rsid w:val="00862FF3"/>
    <w:rsid w:val="00864872"/>
    <w:rsid w:val="008705FA"/>
    <w:rsid w:val="00871FD5"/>
    <w:rsid w:val="008748E0"/>
    <w:rsid w:val="00875CAA"/>
    <w:rsid w:val="008762FC"/>
    <w:rsid w:val="00877165"/>
    <w:rsid w:val="00882806"/>
    <w:rsid w:val="00883D22"/>
    <w:rsid w:val="00884C4B"/>
    <w:rsid w:val="00887D87"/>
    <w:rsid w:val="00887F74"/>
    <w:rsid w:val="00891141"/>
    <w:rsid w:val="00893791"/>
    <w:rsid w:val="00893960"/>
    <w:rsid w:val="0089738F"/>
    <w:rsid w:val="008979B1"/>
    <w:rsid w:val="008A32BF"/>
    <w:rsid w:val="008A583E"/>
    <w:rsid w:val="008A59AE"/>
    <w:rsid w:val="008A6B25"/>
    <w:rsid w:val="008A6C4F"/>
    <w:rsid w:val="008A6CA6"/>
    <w:rsid w:val="008B2AE3"/>
    <w:rsid w:val="008B33DF"/>
    <w:rsid w:val="008B6E26"/>
    <w:rsid w:val="008C63EB"/>
    <w:rsid w:val="008C7D7C"/>
    <w:rsid w:val="008C7F06"/>
    <w:rsid w:val="008D16E2"/>
    <w:rsid w:val="008D513D"/>
    <w:rsid w:val="008E0E46"/>
    <w:rsid w:val="008E302A"/>
    <w:rsid w:val="008E4C4C"/>
    <w:rsid w:val="008F08B4"/>
    <w:rsid w:val="008F2D8E"/>
    <w:rsid w:val="008F2E36"/>
    <w:rsid w:val="008F5985"/>
    <w:rsid w:val="008F6FE3"/>
    <w:rsid w:val="008F7879"/>
    <w:rsid w:val="00907AD2"/>
    <w:rsid w:val="00911047"/>
    <w:rsid w:val="00917E75"/>
    <w:rsid w:val="00924BEA"/>
    <w:rsid w:val="009302FB"/>
    <w:rsid w:val="009315AB"/>
    <w:rsid w:val="009321E9"/>
    <w:rsid w:val="00944678"/>
    <w:rsid w:val="009464AD"/>
    <w:rsid w:val="00947761"/>
    <w:rsid w:val="0096014D"/>
    <w:rsid w:val="009605A3"/>
    <w:rsid w:val="00961A01"/>
    <w:rsid w:val="009632F4"/>
    <w:rsid w:val="00963CBA"/>
    <w:rsid w:val="009650E6"/>
    <w:rsid w:val="00965932"/>
    <w:rsid w:val="0096617E"/>
    <w:rsid w:val="009717C3"/>
    <w:rsid w:val="00971BB4"/>
    <w:rsid w:val="00974A8D"/>
    <w:rsid w:val="00987B97"/>
    <w:rsid w:val="0099001C"/>
    <w:rsid w:val="00991261"/>
    <w:rsid w:val="00992F6B"/>
    <w:rsid w:val="009A1558"/>
    <w:rsid w:val="009A1717"/>
    <w:rsid w:val="009A276C"/>
    <w:rsid w:val="009A5C6B"/>
    <w:rsid w:val="009B1741"/>
    <w:rsid w:val="009B7F3C"/>
    <w:rsid w:val="009C127C"/>
    <w:rsid w:val="009C12F6"/>
    <w:rsid w:val="009C2E40"/>
    <w:rsid w:val="009D26EF"/>
    <w:rsid w:val="009D555E"/>
    <w:rsid w:val="009E2F92"/>
    <w:rsid w:val="009E46E9"/>
    <w:rsid w:val="009F1B31"/>
    <w:rsid w:val="009F1D82"/>
    <w:rsid w:val="009F3A17"/>
    <w:rsid w:val="009F3D53"/>
    <w:rsid w:val="009F7870"/>
    <w:rsid w:val="00A00230"/>
    <w:rsid w:val="00A01958"/>
    <w:rsid w:val="00A021BA"/>
    <w:rsid w:val="00A02F4C"/>
    <w:rsid w:val="00A07DC2"/>
    <w:rsid w:val="00A10E05"/>
    <w:rsid w:val="00A1427D"/>
    <w:rsid w:val="00A17045"/>
    <w:rsid w:val="00A17323"/>
    <w:rsid w:val="00A2158F"/>
    <w:rsid w:val="00A230AE"/>
    <w:rsid w:val="00A250EB"/>
    <w:rsid w:val="00A2678C"/>
    <w:rsid w:val="00A31083"/>
    <w:rsid w:val="00A32AEE"/>
    <w:rsid w:val="00A352D7"/>
    <w:rsid w:val="00A37265"/>
    <w:rsid w:val="00A426FB"/>
    <w:rsid w:val="00A47476"/>
    <w:rsid w:val="00A55FB2"/>
    <w:rsid w:val="00A57424"/>
    <w:rsid w:val="00A62A71"/>
    <w:rsid w:val="00A62DA8"/>
    <w:rsid w:val="00A63E4A"/>
    <w:rsid w:val="00A64D33"/>
    <w:rsid w:val="00A72F22"/>
    <w:rsid w:val="00A73939"/>
    <w:rsid w:val="00A74632"/>
    <w:rsid w:val="00A748A6"/>
    <w:rsid w:val="00A80459"/>
    <w:rsid w:val="00A805EB"/>
    <w:rsid w:val="00A80F63"/>
    <w:rsid w:val="00A8573F"/>
    <w:rsid w:val="00A85E95"/>
    <w:rsid w:val="00A8760B"/>
    <w:rsid w:val="00A8762E"/>
    <w:rsid w:val="00A87771"/>
    <w:rsid w:val="00A879A4"/>
    <w:rsid w:val="00A90064"/>
    <w:rsid w:val="00AA1504"/>
    <w:rsid w:val="00AA42B2"/>
    <w:rsid w:val="00AA496B"/>
    <w:rsid w:val="00AA68B6"/>
    <w:rsid w:val="00AB19FE"/>
    <w:rsid w:val="00AB3547"/>
    <w:rsid w:val="00AB38F8"/>
    <w:rsid w:val="00AC5C02"/>
    <w:rsid w:val="00AC6691"/>
    <w:rsid w:val="00AC6CF5"/>
    <w:rsid w:val="00AD275E"/>
    <w:rsid w:val="00AD30B7"/>
    <w:rsid w:val="00AD6198"/>
    <w:rsid w:val="00AD6396"/>
    <w:rsid w:val="00AD67E3"/>
    <w:rsid w:val="00AE0FFC"/>
    <w:rsid w:val="00AE122F"/>
    <w:rsid w:val="00AE1248"/>
    <w:rsid w:val="00AE1926"/>
    <w:rsid w:val="00AE50AE"/>
    <w:rsid w:val="00AE5F9C"/>
    <w:rsid w:val="00AE71F3"/>
    <w:rsid w:val="00AF3DD5"/>
    <w:rsid w:val="00B012DF"/>
    <w:rsid w:val="00B1225A"/>
    <w:rsid w:val="00B13651"/>
    <w:rsid w:val="00B13801"/>
    <w:rsid w:val="00B14DCA"/>
    <w:rsid w:val="00B150D8"/>
    <w:rsid w:val="00B1615F"/>
    <w:rsid w:val="00B163F4"/>
    <w:rsid w:val="00B266A4"/>
    <w:rsid w:val="00B30179"/>
    <w:rsid w:val="00B30BA7"/>
    <w:rsid w:val="00B30D47"/>
    <w:rsid w:val="00B30E8F"/>
    <w:rsid w:val="00B32301"/>
    <w:rsid w:val="00B32782"/>
    <w:rsid w:val="00B33EC0"/>
    <w:rsid w:val="00B543C9"/>
    <w:rsid w:val="00B5760A"/>
    <w:rsid w:val="00B656C2"/>
    <w:rsid w:val="00B724A0"/>
    <w:rsid w:val="00B72D24"/>
    <w:rsid w:val="00B735E2"/>
    <w:rsid w:val="00B760A8"/>
    <w:rsid w:val="00B76F60"/>
    <w:rsid w:val="00B770F6"/>
    <w:rsid w:val="00B77928"/>
    <w:rsid w:val="00B80297"/>
    <w:rsid w:val="00B80CCF"/>
    <w:rsid w:val="00B81E12"/>
    <w:rsid w:val="00B8484B"/>
    <w:rsid w:val="00B912C5"/>
    <w:rsid w:val="00B91C47"/>
    <w:rsid w:val="00B91E3A"/>
    <w:rsid w:val="00B97D28"/>
    <w:rsid w:val="00BA69AB"/>
    <w:rsid w:val="00BC74E9"/>
    <w:rsid w:val="00BD13EB"/>
    <w:rsid w:val="00BD1504"/>
    <w:rsid w:val="00BD1EA1"/>
    <w:rsid w:val="00BD2146"/>
    <w:rsid w:val="00BD37C9"/>
    <w:rsid w:val="00BD62B0"/>
    <w:rsid w:val="00BE2EBA"/>
    <w:rsid w:val="00BE3F8A"/>
    <w:rsid w:val="00BE4F74"/>
    <w:rsid w:val="00BE59FB"/>
    <w:rsid w:val="00BE618E"/>
    <w:rsid w:val="00BF0B77"/>
    <w:rsid w:val="00BF2962"/>
    <w:rsid w:val="00BF2C8E"/>
    <w:rsid w:val="00BF400F"/>
    <w:rsid w:val="00BF4542"/>
    <w:rsid w:val="00BF7F4E"/>
    <w:rsid w:val="00C01530"/>
    <w:rsid w:val="00C0361E"/>
    <w:rsid w:val="00C07CD9"/>
    <w:rsid w:val="00C164A6"/>
    <w:rsid w:val="00C17699"/>
    <w:rsid w:val="00C1778D"/>
    <w:rsid w:val="00C21C71"/>
    <w:rsid w:val="00C22EE1"/>
    <w:rsid w:val="00C27390"/>
    <w:rsid w:val="00C31445"/>
    <w:rsid w:val="00C3770A"/>
    <w:rsid w:val="00C41A28"/>
    <w:rsid w:val="00C44200"/>
    <w:rsid w:val="00C463DD"/>
    <w:rsid w:val="00C51B20"/>
    <w:rsid w:val="00C524BA"/>
    <w:rsid w:val="00C56EB4"/>
    <w:rsid w:val="00C56F3F"/>
    <w:rsid w:val="00C60A9D"/>
    <w:rsid w:val="00C60AC5"/>
    <w:rsid w:val="00C6127E"/>
    <w:rsid w:val="00C6210B"/>
    <w:rsid w:val="00C66551"/>
    <w:rsid w:val="00C745C3"/>
    <w:rsid w:val="00C77D44"/>
    <w:rsid w:val="00C8043E"/>
    <w:rsid w:val="00C80ECA"/>
    <w:rsid w:val="00C84CBF"/>
    <w:rsid w:val="00C8562E"/>
    <w:rsid w:val="00C86EEF"/>
    <w:rsid w:val="00C9219C"/>
    <w:rsid w:val="00C945EB"/>
    <w:rsid w:val="00C95AB8"/>
    <w:rsid w:val="00CA2305"/>
    <w:rsid w:val="00CB4208"/>
    <w:rsid w:val="00CB6800"/>
    <w:rsid w:val="00CC1C83"/>
    <w:rsid w:val="00CC4CCF"/>
    <w:rsid w:val="00CC65B7"/>
    <w:rsid w:val="00CD14FE"/>
    <w:rsid w:val="00CD2354"/>
    <w:rsid w:val="00CD3C6C"/>
    <w:rsid w:val="00CD6C80"/>
    <w:rsid w:val="00CD7653"/>
    <w:rsid w:val="00CD7685"/>
    <w:rsid w:val="00CD7D8E"/>
    <w:rsid w:val="00CE0A90"/>
    <w:rsid w:val="00CE4865"/>
    <w:rsid w:val="00CE4A8F"/>
    <w:rsid w:val="00CF22A3"/>
    <w:rsid w:val="00CF6AE6"/>
    <w:rsid w:val="00D03FFD"/>
    <w:rsid w:val="00D04E00"/>
    <w:rsid w:val="00D055EB"/>
    <w:rsid w:val="00D0666B"/>
    <w:rsid w:val="00D16719"/>
    <w:rsid w:val="00D2031B"/>
    <w:rsid w:val="00D22C96"/>
    <w:rsid w:val="00D2318A"/>
    <w:rsid w:val="00D25FE2"/>
    <w:rsid w:val="00D26258"/>
    <w:rsid w:val="00D27AEC"/>
    <w:rsid w:val="00D317BB"/>
    <w:rsid w:val="00D34FBA"/>
    <w:rsid w:val="00D350A0"/>
    <w:rsid w:val="00D355AF"/>
    <w:rsid w:val="00D35D8F"/>
    <w:rsid w:val="00D36906"/>
    <w:rsid w:val="00D37411"/>
    <w:rsid w:val="00D4297A"/>
    <w:rsid w:val="00D43252"/>
    <w:rsid w:val="00D470D5"/>
    <w:rsid w:val="00D515A1"/>
    <w:rsid w:val="00D527B3"/>
    <w:rsid w:val="00D53C77"/>
    <w:rsid w:val="00D55E97"/>
    <w:rsid w:val="00D60489"/>
    <w:rsid w:val="00D62155"/>
    <w:rsid w:val="00D6273B"/>
    <w:rsid w:val="00D63881"/>
    <w:rsid w:val="00D6703D"/>
    <w:rsid w:val="00D7387D"/>
    <w:rsid w:val="00D833D0"/>
    <w:rsid w:val="00D85614"/>
    <w:rsid w:val="00D96E16"/>
    <w:rsid w:val="00D978C6"/>
    <w:rsid w:val="00DA1089"/>
    <w:rsid w:val="00DA284A"/>
    <w:rsid w:val="00DA559E"/>
    <w:rsid w:val="00DA67AD"/>
    <w:rsid w:val="00DB4371"/>
    <w:rsid w:val="00DB4CDB"/>
    <w:rsid w:val="00DB5D0F"/>
    <w:rsid w:val="00DB63C8"/>
    <w:rsid w:val="00DC0F28"/>
    <w:rsid w:val="00DC3242"/>
    <w:rsid w:val="00DD6914"/>
    <w:rsid w:val="00DD6C58"/>
    <w:rsid w:val="00DE167F"/>
    <w:rsid w:val="00DE30D2"/>
    <w:rsid w:val="00DE790E"/>
    <w:rsid w:val="00DE7F20"/>
    <w:rsid w:val="00DF03A4"/>
    <w:rsid w:val="00DF0793"/>
    <w:rsid w:val="00DF12F7"/>
    <w:rsid w:val="00DF1C68"/>
    <w:rsid w:val="00DF1C69"/>
    <w:rsid w:val="00DF2C64"/>
    <w:rsid w:val="00DF3AAD"/>
    <w:rsid w:val="00E024BA"/>
    <w:rsid w:val="00E02C81"/>
    <w:rsid w:val="00E041AA"/>
    <w:rsid w:val="00E04A75"/>
    <w:rsid w:val="00E06EAB"/>
    <w:rsid w:val="00E1025A"/>
    <w:rsid w:val="00E120AF"/>
    <w:rsid w:val="00E130AB"/>
    <w:rsid w:val="00E137B8"/>
    <w:rsid w:val="00E21BBE"/>
    <w:rsid w:val="00E22E6E"/>
    <w:rsid w:val="00E2519A"/>
    <w:rsid w:val="00E2641E"/>
    <w:rsid w:val="00E31C87"/>
    <w:rsid w:val="00E32E6C"/>
    <w:rsid w:val="00E366A9"/>
    <w:rsid w:val="00E366C2"/>
    <w:rsid w:val="00E40F55"/>
    <w:rsid w:val="00E412E9"/>
    <w:rsid w:val="00E4366D"/>
    <w:rsid w:val="00E458FC"/>
    <w:rsid w:val="00E4605C"/>
    <w:rsid w:val="00E50FEB"/>
    <w:rsid w:val="00E5372F"/>
    <w:rsid w:val="00E54C89"/>
    <w:rsid w:val="00E677EC"/>
    <w:rsid w:val="00E70663"/>
    <w:rsid w:val="00E70DD9"/>
    <w:rsid w:val="00E70DF5"/>
    <w:rsid w:val="00E7260F"/>
    <w:rsid w:val="00E72804"/>
    <w:rsid w:val="00E80F5F"/>
    <w:rsid w:val="00E81B89"/>
    <w:rsid w:val="00E82B4A"/>
    <w:rsid w:val="00E84CF6"/>
    <w:rsid w:val="00E87921"/>
    <w:rsid w:val="00E94075"/>
    <w:rsid w:val="00E95364"/>
    <w:rsid w:val="00E96630"/>
    <w:rsid w:val="00EA2284"/>
    <w:rsid w:val="00EA264E"/>
    <w:rsid w:val="00EA3A41"/>
    <w:rsid w:val="00EA612C"/>
    <w:rsid w:val="00EB3EB6"/>
    <w:rsid w:val="00EC01FD"/>
    <w:rsid w:val="00ED1541"/>
    <w:rsid w:val="00ED157F"/>
    <w:rsid w:val="00ED3980"/>
    <w:rsid w:val="00ED71D9"/>
    <w:rsid w:val="00ED76D4"/>
    <w:rsid w:val="00ED7A2A"/>
    <w:rsid w:val="00EE0215"/>
    <w:rsid w:val="00EE42D3"/>
    <w:rsid w:val="00EE5E9B"/>
    <w:rsid w:val="00EE7E6D"/>
    <w:rsid w:val="00EF17EB"/>
    <w:rsid w:val="00EF1D7F"/>
    <w:rsid w:val="00EF358F"/>
    <w:rsid w:val="00EF60B2"/>
    <w:rsid w:val="00F012BE"/>
    <w:rsid w:val="00F01F35"/>
    <w:rsid w:val="00F02CCD"/>
    <w:rsid w:val="00F07968"/>
    <w:rsid w:val="00F124A0"/>
    <w:rsid w:val="00F15589"/>
    <w:rsid w:val="00F3471F"/>
    <w:rsid w:val="00F40D25"/>
    <w:rsid w:val="00F41C2D"/>
    <w:rsid w:val="00F451D9"/>
    <w:rsid w:val="00F452A5"/>
    <w:rsid w:val="00F47494"/>
    <w:rsid w:val="00F47732"/>
    <w:rsid w:val="00F47E0F"/>
    <w:rsid w:val="00F53EDA"/>
    <w:rsid w:val="00F61319"/>
    <w:rsid w:val="00F64BCC"/>
    <w:rsid w:val="00F6576F"/>
    <w:rsid w:val="00F66B60"/>
    <w:rsid w:val="00F72F74"/>
    <w:rsid w:val="00F73015"/>
    <w:rsid w:val="00F73D20"/>
    <w:rsid w:val="00F7753D"/>
    <w:rsid w:val="00F82328"/>
    <w:rsid w:val="00F845C0"/>
    <w:rsid w:val="00F85F34"/>
    <w:rsid w:val="00F911C3"/>
    <w:rsid w:val="00F9701C"/>
    <w:rsid w:val="00F97C71"/>
    <w:rsid w:val="00FA06F7"/>
    <w:rsid w:val="00FA0878"/>
    <w:rsid w:val="00FA7DBC"/>
    <w:rsid w:val="00FB171A"/>
    <w:rsid w:val="00FB6A32"/>
    <w:rsid w:val="00FB6CAB"/>
    <w:rsid w:val="00FC09B8"/>
    <w:rsid w:val="00FC0D04"/>
    <w:rsid w:val="00FC68B7"/>
    <w:rsid w:val="00FD10AB"/>
    <w:rsid w:val="00FD27F5"/>
    <w:rsid w:val="00FD4450"/>
    <w:rsid w:val="00FD4F7E"/>
    <w:rsid w:val="00FD5D25"/>
    <w:rsid w:val="00FD7BF6"/>
    <w:rsid w:val="00FF01E3"/>
    <w:rsid w:val="00FF0C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uiPriority w:val="99"/>
    <w:rsid w:val="00C21C71"/>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table" w:styleId="GridTable1Light">
    <w:name w:val="Grid Table 1 Light"/>
    <w:basedOn w:val="TableNormal"/>
    <w:uiPriority w:val="46"/>
    <w:rsid w:val="00625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E032B"/>
    <w:rPr>
      <w:color w:val="605E5C"/>
      <w:shd w:val="clear" w:color="auto" w:fill="E1DFDD"/>
    </w:rPr>
  </w:style>
  <w:style w:type="character" w:customStyle="1" w:styleId="Heading2Char">
    <w:name w:val="Heading 2 Char"/>
    <w:aliases w:val="GHS Chapter Heading Char"/>
    <w:basedOn w:val="DefaultParagraphFont"/>
    <w:link w:val="Heading2"/>
    <w:rsid w:val="00F01F35"/>
    <w:rPr>
      <w:lang w:eastAsia="en-US"/>
    </w:rPr>
  </w:style>
  <w:style w:type="paragraph" w:customStyle="1" w:styleId="GHSHeading5">
    <w:name w:val="GHSHeading5"/>
    <w:basedOn w:val="Normal"/>
    <w:rsid w:val="00F01F35"/>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GHSHeading3">
    <w:name w:val="GHSHeading3"/>
    <w:basedOn w:val="Heading3"/>
    <w:rsid w:val="00F01F35"/>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F01F35"/>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F01F35"/>
    <w:rPr>
      <w:sz w:val="22"/>
      <w:lang w:eastAsia="en-US"/>
    </w:rPr>
  </w:style>
  <w:style w:type="paragraph" w:customStyle="1" w:styleId="StyleGHSHeading410pt">
    <w:name w:val="Style GHSHeading4 + 10 pt"/>
    <w:basedOn w:val="Normal"/>
    <w:rsid w:val="00F01F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paragraph" w:customStyle="1" w:styleId="GHStext">
    <w:name w:val="GHS_text"/>
    <w:basedOn w:val="Normal"/>
    <w:link w:val="GHStextChar"/>
    <w:qFormat/>
    <w:rsid w:val="00F01F35"/>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F01F35"/>
    <w:rPr>
      <w:rFonts w:eastAsia="SimSun"/>
      <w:snapToGrid w:val="0"/>
      <w:color w:val="000000"/>
      <w:szCs w:val="22"/>
      <w:lang w:val="es-ES" w:eastAsia="en-US"/>
    </w:rPr>
  </w:style>
  <w:style w:type="paragraph" w:customStyle="1" w:styleId="GHSSubparas1">
    <w:name w:val="GHS Subparas1"/>
    <w:basedOn w:val="Normal"/>
    <w:qFormat/>
    <w:rsid w:val="00F01F35"/>
    <w:pPr>
      <w:suppressAutoHyphens w:val="0"/>
      <w:spacing w:after="240" w:line="240" w:lineRule="auto"/>
      <w:ind w:left="1973" w:hanging="561"/>
      <w:jc w:val="both"/>
    </w:pPr>
    <w:rPr>
      <w:bCs/>
      <w:color w:val="000000"/>
      <w:szCs w:val="24"/>
    </w:rPr>
  </w:style>
  <w:style w:type="paragraph" w:customStyle="1" w:styleId="GHS1stline">
    <w:name w:val="GHS_1st line"/>
    <w:basedOn w:val="GHSBodyText"/>
    <w:qFormat/>
    <w:rsid w:val="00F01F35"/>
    <w:pPr>
      <w:ind w:firstLine="1418"/>
    </w:pPr>
    <w:rPr>
      <w:sz w:val="20"/>
    </w:rPr>
  </w:style>
  <w:style w:type="paragraph" w:styleId="BodyText">
    <w:name w:val="Body Text"/>
    <w:basedOn w:val="Normal"/>
    <w:link w:val="BodyTextChar"/>
    <w:semiHidden/>
    <w:unhideWhenUsed/>
    <w:rsid w:val="00F01F35"/>
    <w:pPr>
      <w:spacing w:after="120"/>
    </w:pPr>
  </w:style>
  <w:style w:type="character" w:customStyle="1" w:styleId="BodyTextChar">
    <w:name w:val="Body Text Char"/>
    <w:basedOn w:val="DefaultParagraphFont"/>
    <w:link w:val="BodyText"/>
    <w:semiHidden/>
    <w:rsid w:val="00F01F35"/>
    <w:rPr>
      <w:lang w:eastAsia="en-US"/>
    </w:rPr>
  </w:style>
  <w:style w:type="character" w:customStyle="1" w:styleId="ListParagraphChar">
    <w:name w:val="List Paragraph Char"/>
    <w:basedOn w:val="DefaultParagraphFont"/>
    <w:link w:val="ListParagraph"/>
    <w:uiPriority w:val="34"/>
    <w:locked/>
    <w:rsid w:val="009A5C6B"/>
    <w:rPr>
      <w:lang w:eastAsia="en-US"/>
    </w:rPr>
  </w:style>
  <w:style w:type="paragraph" w:styleId="NormalIndent">
    <w:name w:val="Normal Indent"/>
    <w:basedOn w:val="Normal"/>
    <w:uiPriority w:val="99"/>
    <w:rsid w:val="00B656C2"/>
    <w:pPr>
      <w:suppressAutoHyphens w:val="0"/>
      <w:spacing w:line="240" w:lineRule="auto"/>
      <w:ind w:left="720"/>
    </w:pPr>
    <w:rPr>
      <w:sz w:val="22"/>
      <w:szCs w:val="24"/>
    </w:rPr>
  </w:style>
  <w:style w:type="paragraph" w:customStyle="1" w:styleId="Style1">
    <w:name w:val="Style1"/>
    <w:basedOn w:val="Normal"/>
    <w:rsid w:val="00DD6914"/>
    <w:pPr>
      <w:suppressAutoHyphens w:val="0"/>
      <w:spacing w:line="240" w:lineRule="auto"/>
    </w:pPr>
    <w:rPr>
      <w:sz w:val="22"/>
      <w:szCs w:val="24"/>
    </w:rPr>
  </w:style>
  <w:style w:type="paragraph" w:customStyle="1" w:styleId="GHSHeading4">
    <w:name w:val="GHSHeading4"/>
    <w:basedOn w:val="Normal"/>
    <w:rsid w:val="00664127"/>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StyleGHSHeading410ptAuto">
    <w:name w:val="Style GHSHeading4 + 10 pt Auto"/>
    <w:basedOn w:val="GHSHeading4"/>
    <w:rsid w:val="00664127"/>
    <w:pPr>
      <w:spacing w:after="240"/>
    </w:pPr>
    <w:rPr>
      <w:color w:val="auto"/>
      <w:sz w:val="20"/>
    </w:rPr>
  </w:style>
  <w:style w:type="paragraph" w:customStyle="1" w:styleId="paragraph">
    <w:name w:val="paragraph"/>
    <w:basedOn w:val="Normal"/>
    <w:rsid w:val="00041588"/>
    <w:pPr>
      <w:suppressAutoHyphens w:val="0"/>
      <w:spacing w:before="100" w:beforeAutospacing="1" w:after="100" w:afterAutospacing="1" w:line="240" w:lineRule="auto"/>
    </w:pPr>
    <w:rPr>
      <w:sz w:val="24"/>
      <w:szCs w:val="24"/>
      <w:lang w:val="it-IT" w:eastAsia="it-IT"/>
    </w:rPr>
  </w:style>
  <w:style w:type="character" w:customStyle="1" w:styleId="normaltextrun">
    <w:name w:val="normaltextrun"/>
    <w:basedOn w:val="DefaultParagraphFont"/>
    <w:rsid w:val="00041588"/>
  </w:style>
  <w:style w:type="character" w:customStyle="1" w:styleId="spellingerror">
    <w:name w:val="spellingerror"/>
    <w:basedOn w:val="DefaultParagraphFont"/>
    <w:rsid w:val="00041588"/>
  </w:style>
  <w:style w:type="character" w:customStyle="1" w:styleId="eop">
    <w:name w:val="eop"/>
    <w:basedOn w:val="DefaultParagraphFont"/>
    <w:rsid w:val="00041588"/>
  </w:style>
  <w:style w:type="character" w:customStyle="1" w:styleId="FooterChar">
    <w:name w:val="Footer Char"/>
    <w:aliases w:val="3_G Char"/>
    <w:basedOn w:val="DefaultParagraphFont"/>
    <w:link w:val="Footer"/>
    <w:uiPriority w:val="99"/>
    <w:rsid w:val="008A59AE"/>
    <w:rPr>
      <w:sz w:val="16"/>
      <w:lang w:eastAsia="en-US"/>
    </w:rPr>
  </w:style>
  <w:style w:type="character" w:customStyle="1" w:styleId="HeaderChar">
    <w:name w:val="Header Char"/>
    <w:aliases w:val="6_G Char"/>
    <w:basedOn w:val="DefaultParagraphFont"/>
    <w:link w:val="Header"/>
    <w:uiPriority w:val="99"/>
    <w:rsid w:val="00303789"/>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2133">
      <w:bodyDiv w:val="1"/>
      <w:marLeft w:val="0"/>
      <w:marRight w:val="0"/>
      <w:marTop w:val="0"/>
      <w:marBottom w:val="0"/>
      <w:divBdr>
        <w:top w:val="none" w:sz="0" w:space="0" w:color="auto"/>
        <w:left w:val="none" w:sz="0" w:space="0" w:color="auto"/>
        <w:bottom w:val="none" w:sz="0" w:space="0" w:color="auto"/>
        <w:right w:val="none" w:sz="0" w:space="0" w:color="auto"/>
      </w:divBdr>
      <w:divsChild>
        <w:div w:id="1605964295">
          <w:marLeft w:val="0"/>
          <w:marRight w:val="0"/>
          <w:marTop w:val="0"/>
          <w:marBottom w:val="0"/>
          <w:divBdr>
            <w:top w:val="none" w:sz="0" w:space="0" w:color="auto"/>
            <w:left w:val="none" w:sz="0" w:space="0" w:color="auto"/>
            <w:bottom w:val="none" w:sz="0" w:space="0" w:color="auto"/>
            <w:right w:val="none" w:sz="0" w:space="0" w:color="auto"/>
          </w:divBdr>
        </w:div>
      </w:divsChild>
    </w:div>
    <w:div w:id="14848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hyperlink" Target="http://www.oecd.org/chemicalsafety/risk-assessment/iata-integrated-approaches-to-testing-and-assessment.ht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5" Type="http://schemas.openxmlformats.org/officeDocument/2006/relationships/hyperlink" Target="http://www.oecd.org/chemicalsafety/risk-assessment/iata-integrated-approaches-to-testing-and-assessment.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ubmed.ncbi.nlm.nih.gov/2572417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 Id="rId27" Type="http://schemas.openxmlformats.org/officeDocument/2006/relationships/hyperlink" Target="https://pubmed.ncbi.nlm.nih.gov/27965148/"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B281DF1-736B-4FE0-A30E-08F77D071F10}">
  <ds:schemaRefs>
    <ds:schemaRef ds:uri="http://schemas.openxmlformats.org/officeDocument/2006/bibliography"/>
  </ds:schemaRefs>
</ds:datastoreItem>
</file>

<file path=customXml/itemProps3.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4.xml><?xml version="1.0" encoding="utf-8"?>
<ds:datastoreItem xmlns:ds="http://schemas.openxmlformats.org/officeDocument/2006/customXml" ds:itemID="{8BFA5C5E-440B-4FD0-998C-E0BAB4C74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34</TotalTime>
  <Pages>20</Pages>
  <Words>8385</Words>
  <Characters>47799</Characters>
  <Application>Microsoft Office Word</Application>
  <DocSecurity>0</DocSecurity>
  <Lines>398</Lines>
  <Paragraphs>112</Paragraphs>
  <ScaleCrop>false</ScaleCrop>
  <HeadingPairs>
    <vt:vector size="8" baseType="variant">
      <vt:variant>
        <vt:lpstr>Title</vt:lpstr>
      </vt:variant>
      <vt:variant>
        <vt:i4>1</vt:i4>
      </vt:variant>
      <vt:variant>
        <vt:lpstr>Headings</vt:lpstr>
      </vt:variant>
      <vt:variant>
        <vt:i4>3</vt:i4>
      </vt:variant>
      <vt:variant>
        <vt:lpstr>Otsikko</vt:lpstr>
      </vt:variant>
      <vt:variant>
        <vt:i4>1</vt:i4>
      </vt:variant>
      <vt:variant>
        <vt:lpstr>Titre</vt:lpstr>
      </vt:variant>
      <vt:variant>
        <vt:i4>1</vt:i4>
      </vt:variant>
    </vt:vector>
  </HeadingPairs>
  <TitlesOfParts>
    <vt:vector size="6" baseType="lpstr">
      <vt:lpstr>UN/SCEGHS/19/INF</vt:lpstr>
      <vt:lpstr>    “CHAPTER 3.4</vt:lpstr>
      <vt:lpstr>        3.4.1	Definitions and general considerations</vt:lpstr>
      <vt:lpstr>        3.4.2	Classification criteria for substances</vt:lpstr>
      <vt:lpstr>UN/SCEGHS/19/INF</vt:lpstr>
      <vt:lpstr>UN/SCEGHS/19/INF</vt:lpstr>
    </vt:vector>
  </TitlesOfParts>
  <Company>CSD</Company>
  <LinksUpToDate>false</LinksUpToDate>
  <CharactersWithSpaces>56072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34</cp:revision>
  <cp:lastPrinted>2022-06-22T12:18:00Z</cp:lastPrinted>
  <dcterms:created xsi:type="dcterms:W3CDTF">2022-06-21T12:04:00Z</dcterms:created>
  <dcterms:modified xsi:type="dcterms:W3CDTF">2022-06-22T12:18:00Z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y fmtid="{D5CDD505-2E9C-101B-9397-08002B2CF9AE}" pid="10" name="MediaServiceImageTags">
    <vt:lpwstr/>
  </property>
</Properties>
</file>