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79BE144F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04AC72E" w14:textId="77777777" w:rsidR="00132EA9" w:rsidRPr="00DB58B5" w:rsidRDefault="00132EA9" w:rsidP="00F0173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C7E83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3241171" w14:textId="443993FE" w:rsidR="00132EA9" w:rsidRPr="00DB58B5" w:rsidRDefault="00C77763" w:rsidP="00C77763">
            <w:pPr>
              <w:jc w:val="right"/>
            </w:pPr>
            <w:r w:rsidRPr="00C77763">
              <w:rPr>
                <w:sz w:val="40"/>
              </w:rPr>
              <w:t>ST</w:t>
            </w:r>
            <w:r>
              <w:t>/SG/AC.10/C.4/2022/6</w:t>
            </w:r>
          </w:p>
        </w:tc>
      </w:tr>
      <w:tr w:rsidR="00132EA9" w:rsidRPr="00DB58B5" w14:paraId="03EE59CE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1E08FF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12DE00" wp14:editId="7CDB944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4BE07F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74B163" w14:textId="77777777" w:rsidR="00132EA9" w:rsidRDefault="00C77763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FECBA2E" w14:textId="615CD43F" w:rsidR="00C77763" w:rsidRDefault="00C77763" w:rsidP="00C77763">
            <w:pPr>
              <w:spacing w:line="240" w:lineRule="exact"/>
            </w:pPr>
            <w:r>
              <w:t>21 avril 2022</w:t>
            </w:r>
          </w:p>
          <w:p w14:paraId="600CC75D" w14:textId="77777777" w:rsidR="00C77763" w:rsidRDefault="00C77763" w:rsidP="00C77763">
            <w:pPr>
              <w:spacing w:line="240" w:lineRule="exact"/>
            </w:pPr>
            <w:r>
              <w:t>Français</w:t>
            </w:r>
          </w:p>
          <w:p w14:paraId="34F05B61" w14:textId="6B139FAB" w:rsidR="00C77763" w:rsidRPr="00DB58B5" w:rsidRDefault="00C77763" w:rsidP="00C77763">
            <w:pPr>
              <w:spacing w:line="240" w:lineRule="exact"/>
            </w:pPr>
            <w:r>
              <w:t>Original : anglais</w:t>
            </w:r>
          </w:p>
        </w:tc>
      </w:tr>
    </w:tbl>
    <w:p w14:paraId="4E4D4F9F" w14:textId="5D20FE12" w:rsidR="00C77763" w:rsidRPr="00CA0680" w:rsidRDefault="00C77763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proofErr w:type="gramStart"/>
      <w:r w:rsidRPr="00CA0680">
        <w:rPr>
          <w:b/>
          <w:sz w:val="24"/>
          <w:szCs w:val="24"/>
        </w:rPr>
        <w:t>et</w:t>
      </w:r>
      <w:proofErr w:type="gramEnd"/>
      <w:r w:rsidRPr="00CA0680">
        <w:rPr>
          <w:b/>
          <w:sz w:val="24"/>
          <w:szCs w:val="24"/>
        </w:rPr>
        <w:t xml:space="preserve">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06F46C38" w14:textId="678FD6B0" w:rsidR="00C77763" w:rsidRPr="00C77763" w:rsidRDefault="00C77763" w:rsidP="000305D3">
      <w:pPr>
        <w:spacing w:before="120"/>
        <w:rPr>
          <w:b/>
          <w:bCs/>
        </w:rPr>
      </w:pPr>
      <w:r w:rsidRPr="00C77763">
        <w:rPr>
          <w:b/>
          <w:bCs/>
        </w:rPr>
        <w:t xml:space="preserve">Sous-Comité d’experts du Système général harmonisé de classification </w:t>
      </w:r>
      <w:r>
        <w:rPr>
          <w:b/>
          <w:bCs/>
        </w:rPr>
        <w:br/>
      </w:r>
      <w:r w:rsidRPr="00C77763">
        <w:rPr>
          <w:b/>
          <w:bCs/>
        </w:rPr>
        <w:t>et d’étiquetage des produits chimiques</w:t>
      </w:r>
    </w:p>
    <w:p w14:paraId="69E85192" w14:textId="7FCDAEB7" w:rsidR="00C77763" w:rsidRDefault="00C77763" w:rsidP="000305D3">
      <w:pPr>
        <w:spacing w:before="120"/>
        <w:rPr>
          <w:b/>
        </w:rPr>
      </w:pPr>
      <w:r>
        <w:rPr>
          <w:b/>
        </w:rPr>
        <w:t xml:space="preserve">Quarante-deuxième </w:t>
      </w:r>
      <w:r w:rsidRPr="00CA0680">
        <w:rPr>
          <w:b/>
        </w:rPr>
        <w:t>session</w:t>
      </w:r>
    </w:p>
    <w:p w14:paraId="108E34D8" w14:textId="06D7C250" w:rsidR="00C77763" w:rsidRDefault="00C77763" w:rsidP="000305D3">
      <w:r>
        <w:t>Genève, 6-8 juillet 2022</w:t>
      </w:r>
    </w:p>
    <w:p w14:paraId="3A8DFE0A" w14:textId="3950FB7D" w:rsidR="00C77763" w:rsidRDefault="00C77763" w:rsidP="000305D3">
      <w:r>
        <w:t>Point 3 d) de l’ordre du jour provisoire</w:t>
      </w:r>
    </w:p>
    <w:p w14:paraId="3F02B627" w14:textId="04DE20AD" w:rsidR="00C77763" w:rsidRPr="00C77763" w:rsidRDefault="00C77763" w:rsidP="00C77763">
      <w:pPr>
        <w:rPr>
          <w:b/>
          <w:bCs/>
        </w:rPr>
      </w:pPr>
      <w:r w:rsidRPr="00C77763">
        <w:rPr>
          <w:b/>
          <w:bCs/>
        </w:rPr>
        <w:t xml:space="preserve">Application du Système général harmonisé de classification </w:t>
      </w:r>
      <w:r>
        <w:rPr>
          <w:b/>
          <w:bCs/>
        </w:rPr>
        <w:br/>
      </w:r>
      <w:r w:rsidRPr="00C77763">
        <w:rPr>
          <w:b/>
          <w:bCs/>
        </w:rPr>
        <w:t xml:space="preserve">et d’étiquetage des produits chimiques : </w:t>
      </w:r>
      <w:r>
        <w:rPr>
          <w:b/>
          <w:bCs/>
        </w:rPr>
        <w:t>a</w:t>
      </w:r>
      <w:r w:rsidRPr="00C77763">
        <w:rPr>
          <w:b/>
          <w:bCs/>
        </w:rPr>
        <w:t>utres questions</w:t>
      </w:r>
    </w:p>
    <w:p w14:paraId="6612C211" w14:textId="5BE30B10" w:rsidR="00C77763" w:rsidRPr="009152C3" w:rsidRDefault="00C77763" w:rsidP="00C77763">
      <w:pPr>
        <w:pStyle w:val="HChG"/>
      </w:pPr>
      <w:r w:rsidRPr="009152C3">
        <w:tab/>
      </w:r>
      <w:r w:rsidRPr="009152C3">
        <w:tab/>
        <w:t xml:space="preserve">Activités </w:t>
      </w:r>
      <w:r w:rsidRPr="00E3588A">
        <w:t>visant à favoriser l</w:t>
      </w:r>
      <w:r>
        <w:t>’</w:t>
      </w:r>
      <w:r w:rsidRPr="00E3588A">
        <w:t>application</w:t>
      </w:r>
      <w:r>
        <w:t xml:space="preserve"> </w:t>
      </w:r>
      <w:r w:rsidRPr="00E3588A">
        <w:t>du</w:t>
      </w:r>
      <w:r w:rsidRPr="009152C3">
        <w:t xml:space="preserve"> Système général harmonisé de classification et d</w:t>
      </w:r>
      <w:r>
        <w:t>’</w:t>
      </w:r>
      <w:r w:rsidRPr="009152C3">
        <w:t>étiquetage des produits chimiques</w:t>
      </w:r>
    </w:p>
    <w:p w14:paraId="78AC0673" w14:textId="71D6A913" w:rsidR="00C77763" w:rsidRPr="009152C3" w:rsidRDefault="00C77763" w:rsidP="00C77763">
      <w:pPr>
        <w:pStyle w:val="H1G"/>
      </w:pPr>
      <w:r w:rsidRPr="009152C3">
        <w:tab/>
      </w:r>
      <w:r w:rsidRPr="009152C3">
        <w:tab/>
        <w:t>Communication de l</w:t>
      </w:r>
      <w:r>
        <w:t>’</w:t>
      </w:r>
      <w:r w:rsidRPr="009152C3">
        <w:t>expert de la Suède</w:t>
      </w:r>
      <w:r w:rsidRPr="00C7776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A8068C7" w14:textId="77777777" w:rsidR="00C77763" w:rsidRPr="009152C3" w:rsidRDefault="00C77763" w:rsidP="00C77763">
      <w:pPr>
        <w:pStyle w:val="HChG"/>
      </w:pPr>
      <w:r w:rsidRPr="009152C3">
        <w:tab/>
      </w:r>
      <w:r w:rsidRPr="009152C3">
        <w:tab/>
        <w:t>Généralités</w:t>
      </w:r>
    </w:p>
    <w:p w14:paraId="2B409600" w14:textId="77777777" w:rsidR="00C77763" w:rsidRPr="009152C3" w:rsidRDefault="00C77763" w:rsidP="00C77763">
      <w:pPr>
        <w:pStyle w:val="SingleTxtG"/>
      </w:pPr>
      <w:r w:rsidRPr="009152C3">
        <w:t>1.</w:t>
      </w:r>
      <w:r w:rsidRPr="009152C3">
        <w:tab/>
        <w:t>En décembre 2021, à la quarante et unième session du Sous-Comité, l</w:t>
      </w:r>
      <w:r>
        <w:t>’</w:t>
      </w:r>
      <w:r w:rsidRPr="009152C3">
        <w:t>expert de la Suède a présenté le document informel INF.4</w:t>
      </w:r>
      <w:r>
        <w:t>,</w:t>
      </w:r>
      <w:r w:rsidRPr="009152C3">
        <w:t xml:space="preserve"> </w:t>
      </w:r>
      <w:r>
        <w:t xml:space="preserve">qui contient </w:t>
      </w:r>
      <w:r w:rsidRPr="009152C3">
        <w:t>des informations sur les activités menées par l</w:t>
      </w:r>
      <w:r>
        <w:t>’</w:t>
      </w:r>
      <w:r w:rsidRPr="009152C3">
        <w:t xml:space="preserve">Agence suédoise des produits chimiques pour </w:t>
      </w:r>
      <w:r w:rsidRPr="00E3588A">
        <w:t>favoriser l</w:t>
      </w:r>
      <w:r>
        <w:t>’</w:t>
      </w:r>
      <w:r w:rsidRPr="00E3588A">
        <w:t>application</w:t>
      </w:r>
      <w:r>
        <w:t xml:space="preserve"> </w:t>
      </w:r>
      <w:r w:rsidRPr="009152C3">
        <w:t>du Système général harmonisé de classification et d</w:t>
      </w:r>
      <w:r>
        <w:t>’</w:t>
      </w:r>
      <w:r w:rsidRPr="009152C3">
        <w:t>étiquetage des produits chimiques (SGH) dans les pays à revenu faible ou intermédiaire, dans le cadre de projets de coopération pour le développement.</w:t>
      </w:r>
    </w:p>
    <w:p w14:paraId="67C753A4" w14:textId="49A11CC1" w:rsidR="00C77763" w:rsidRPr="00C77763" w:rsidRDefault="00C77763" w:rsidP="00C77763">
      <w:pPr>
        <w:pStyle w:val="SingleTxtG"/>
      </w:pPr>
      <w:r w:rsidRPr="009152C3">
        <w:t>2.</w:t>
      </w:r>
      <w:r w:rsidRPr="009152C3">
        <w:tab/>
      </w:r>
      <w:r>
        <w:t>C</w:t>
      </w:r>
      <w:r w:rsidRPr="009152C3">
        <w:t>e document avait pour objet de souligner que le Sous-Comité a</w:t>
      </w:r>
      <w:r>
        <w:t>vait</w:t>
      </w:r>
      <w:r w:rsidRPr="009152C3">
        <w:t xml:space="preserve"> pour mandat </w:t>
      </w:r>
      <w:r>
        <w:t>non seulement</w:t>
      </w:r>
      <w:r w:rsidRPr="009152C3">
        <w:t xml:space="preserve"> de réviser et d</w:t>
      </w:r>
      <w:r>
        <w:t>’</w:t>
      </w:r>
      <w:r w:rsidRPr="009152C3">
        <w:t>actualiser régulièrement</w:t>
      </w:r>
      <w:r w:rsidRPr="00493F30">
        <w:t xml:space="preserve"> </w:t>
      </w:r>
      <w:r>
        <w:t>le</w:t>
      </w:r>
      <w:r w:rsidRPr="009152C3">
        <w:t xml:space="preserve"> SGH</w:t>
      </w:r>
      <w:r>
        <w:t>, mais aussi</w:t>
      </w:r>
      <w:r w:rsidRPr="009152C3">
        <w:t xml:space="preserve"> de promouvoir </w:t>
      </w:r>
      <w:r>
        <w:t>son application</w:t>
      </w:r>
      <w:r w:rsidRPr="009152C3">
        <w:t xml:space="preserve">. </w:t>
      </w:r>
      <w:r>
        <w:t>L</w:t>
      </w:r>
      <w:r w:rsidRPr="009152C3">
        <w:t>e paragraphe 6 du préambule du SGH</w:t>
      </w:r>
      <w:r w:rsidR="003278EC">
        <w:t xml:space="preserve"> </w:t>
      </w:r>
      <w:r>
        <w:t xml:space="preserve">dispose que </w:t>
      </w:r>
      <w:r w:rsidR="003278EC">
        <w:t>l</w:t>
      </w:r>
      <w:r w:rsidRPr="00D81EEA">
        <w:t>e Sous-Comité SGH est chargé du suivi du SGH, de promouvoir s</w:t>
      </w:r>
      <w:r>
        <w:t>on application</w:t>
      </w:r>
      <w:r w:rsidRPr="00D81EEA">
        <w:t xml:space="preserve"> et de fournir des directives supplémentaires en fonction des besoins en assurant la stabilité du système pour encourager son adoption.</w:t>
      </w:r>
    </w:p>
    <w:p w14:paraId="64E0AC05" w14:textId="44D8E524" w:rsidR="00C77763" w:rsidRPr="009152C3" w:rsidRDefault="00C77763" w:rsidP="00C77763">
      <w:pPr>
        <w:pStyle w:val="SingleTxtG"/>
      </w:pPr>
      <w:r w:rsidRPr="009152C3">
        <w:t>3.</w:t>
      </w:r>
      <w:r w:rsidRPr="009152C3">
        <w:tab/>
      </w:r>
      <w:r>
        <w:t>C</w:t>
      </w:r>
      <w:r w:rsidRPr="009152C3">
        <w:t xml:space="preserve">e </w:t>
      </w:r>
      <w:r>
        <w:t>paragraphe ne précise pas ce qu’on entend par adoption</w:t>
      </w:r>
      <w:r w:rsidRPr="009152C3">
        <w:t xml:space="preserve">, </w:t>
      </w:r>
      <w:r>
        <w:t>mais on estime</w:t>
      </w:r>
      <w:r w:rsidRPr="009152C3">
        <w:t xml:space="preserve"> généralement </w:t>
      </w:r>
      <w:r>
        <w:t>que le SGH est adopté lorsqu’il e</w:t>
      </w:r>
      <w:r w:rsidRPr="009152C3">
        <w:t>st intégré dans la législation nationale,</w:t>
      </w:r>
      <w:r w:rsidRPr="002E7565">
        <w:t xml:space="preserve"> </w:t>
      </w:r>
      <w:r>
        <w:t>ce qui implique également que</w:t>
      </w:r>
      <w:r w:rsidRPr="009152C3">
        <w:t xml:space="preserve"> </w:t>
      </w:r>
      <w:r>
        <w:t>le rôle et les</w:t>
      </w:r>
      <w:r w:rsidRPr="009152C3">
        <w:t xml:space="preserve"> responsabilités </w:t>
      </w:r>
      <w:r>
        <w:t>des</w:t>
      </w:r>
      <w:r w:rsidRPr="009152C3">
        <w:t xml:space="preserve"> autorités et </w:t>
      </w:r>
      <w:r>
        <w:t xml:space="preserve">du </w:t>
      </w:r>
      <w:r w:rsidRPr="009152C3">
        <w:t xml:space="preserve">secteur </w:t>
      </w:r>
      <w:r>
        <w:t xml:space="preserve">soient </w:t>
      </w:r>
      <w:r w:rsidRPr="009152C3">
        <w:t>bien définies.</w:t>
      </w:r>
    </w:p>
    <w:p w14:paraId="1A3415CF" w14:textId="2EC876AB" w:rsidR="00C77763" w:rsidRPr="009152C3" w:rsidRDefault="00C77763" w:rsidP="00C77763">
      <w:pPr>
        <w:pStyle w:val="SingleTxtG"/>
      </w:pPr>
      <w:r w:rsidRPr="009152C3">
        <w:t>4.</w:t>
      </w:r>
      <w:r w:rsidRPr="009152C3">
        <w:tab/>
        <w:t>L</w:t>
      </w:r>
      <w:r>
        <w:t>’</w:t>
      </w:r>
      <w:r w:rsidRPr="009152C3">
        <w:t>expert de la Suède a proposé au Sous-Comité</w:t>
      </w:r>
      <w:r>
        <w:t xml:space="preserve"> une réflexion sur la manière d’améliorer la promotion et le contrôle </w:t>
      </w:r>
      <w:r w:rsidRPr="009152C3">
        <w:t xml:space="preserve">de </w:t>
      </w:r>
      <w:r>
        <w:t>l’application</w:t>
      </w:r>
      <w:r w:rsidRPr="009152C3">
        <w:t xml:space="preserve"> du SGH </w:t>
      </w:r>
      <w:r>
        <w:t>à l’échelle mondiale</w:t>
      </w:r>
      <w:r w:rsidRPr="009152C3">
        <w:t>. Cette</w:t>
      </w:r>
      <w:r>
        <w:t> </w:t>
      </w:r>
      <w:r w:rsidRPr="009152C3">
        <w:t xml:space="preserve">proposition a été </w:t>
      </w:r>
      <w:r>
        <w:t xml:space="preserve">accueillie très favorablement </w:t>
      </w:r>
      <w:r w:rsidRPr="009152C3">
        <w:t>et l</w:t>
      </w:r>
      <w:r>
        <w:t>’</w:t>
      </w:r>
      <w:r w:rsidRPr="009152C3">
        <w:t xml:space="preserve">expert de la Suède a été invité à élaborer une proposition </w:t>
      </w:r>
      <w:r>
        <w:t>sur la marche à suivre</w:t>
      </w:r>
      <w:r w:rsidRPr="009152C3">
        <w:t>, pour examen par le Sous-Comité.</w:t>
      </w:r>
    </w:p>
    <w:p w14:paraId="5B355F71" w14:textId="77777777" w:rsidR="00C77763" w:rsidRPr="009152C3" w:rsidRDefault="00C77763" w:rsidP="00C77763">
      <w:pPr>
        <w:pStyle w:val="SingleTxtG"/>
      </w:pPr>
      <w:r w:rsidRPr="009152C3">
        <w:lastRenderedPageBreak/>
        <w:t>5.</w:t>
      </w:r>
      <w:r w:rsidRPr="009152C3">
        <w:tab/>
      </w:r>
      <w:r>
        <w:t>À cet égard, le</w:t>
      </w:r>
      <w:r w:rsidRPr="009152C3">
        <w:t xml:space="preserve"> Sous-Comité </w:t>
      </w:r>
      <w:r>
        <w:t>trouvera dans le présent document des propositions de questions à examiner et de mesures à prendre</w:t>
      </w:r>
      <w:r w:rsidRPr="009152C3">
        <w:t>.</w:t>
      </w:r>
    </w:p>
    <w:p w14:paraId="299B6990" w14:textId="77777777" w:rsidR="00C77763" w:rsidRPr="009152C3" w:rsidRDefault="00C77763" w:rsidP="00C77763">
      <w:pPr>
        <w:pStyle w:val="HChG"/>
      </w:pPr>
      <w:r w:rsidRPr="009152C3">
        <w:tab/>
      </w:r>
      <w:r w:rsidRPr="009152C3">
        <w:tab/>
        <w:t>Questions à examiner</w:t>
      </w:r>
    </w:p>
    <w:p w14:paraId="4A2D8849" w14:textId="79783D52" w:rsidR="00C77763" w:rsidRPr="009152C3" w:rsidRDefault="00C77763" w:rsidP="00C77763">
      <w:pPr>
        <w:pStyle w:val="SingleTxtG"/>
      </w:pPr>
      <w:r w:rsidRPr="009152C3">
        <w:t>6.</w:t>
      </w:r>
      <w:r w:rsidRPr="009152C3">
        <w:tab/>
        <w:t>L</w:t>
      </w:r>
      <w:r>
        <w:t>’</w:t>
      </w:r>
      <w:r w:rsidRPr="009152C3">
        <w:t>expert de la Suède invite le Sous-Comité à examiner les questions suivantes :</w:t>
      </w:r>
    </w:p>
    <w:p w14:paraId="4FD24397" w14:textId="14D5637C" w:rsidR="00C77763" w:rsidRPr="009152C3" w:rsidRDefault="00C77763" w:rsidP="00C77763">
      <w:pPr>
        <w:pStyle w:val="SingleTxtG"/>
        <w:ind w:left="2268" w:hanging="567"/>
      </w:pPr>
      <w:r w:rsidRPr="009152C3">
        <w:t>a)</w:t>
      </w:r>
      <w:r w:rsidRPr="009152C3">
        <w:tab/>
      </w:r>
      <w:r>
        <w:t xml:space="preserve">Appliquer le </w:t>
      </w:r>
      <w:r w:rsidRPr="009152C3">
        <w:t xml:space="preserve">SGH peut </w:t>
      </w:r>
      <w:r>
        <w:t>signifier plusieurs choses, de</w:t>
      </w:r>
      <w:r w:rsidRPr="009152C3">
        <w:t xml:space="preserve"> la promotion de l</w:t>
      </w:r>
      <w:r>
        <w:t>’implication</w:t>
      </w:r>
      <w:r w:rsidRPr="009152C3">
        <w:t xml:space="preserve"> politique</w:t>
      </w:r>
      <w:r>
        <w:t xml:space="preserve"> à la vérification du respect des obligations, en passant par </w:t>
      </w:r>
      <w:r w:rsidRPr="009152C3">
        <w:t>l</w:t>
      </w:r>
      <w:r>
        <w:t>’</w:t>
      </w:r>
      <w:r w:rsidRPr="009152C3">
        <w:t>élaboration d</w:t>
      </w:r>
      <w:r>
        <w:t>’</w:t>
      </w:r>
      <w:r w:rsidRPr="009152C3">
        <w:t xml:space="preserve">un cadre juridique et de mécanismes </w:t>
      </w:r>
      <w:r>
        <w:t>de mise en application</w:t>
      </w:r>
      <w:r w:rsidRPr="009152C3">
        <w:t>.</w:t>
      </w:r>
    </w:p>
    <w:p w14:paraId="5077E759" w14:textId="7DED4605" w:rsidR="00C77763" w:rsidRPr="009152C3" w:rsidRDefault="00C77763" w:rsidP="00C77763">
      <w:pPr>
        <w:pStyle w:val="SingleTxtG"/>
        <w:ind w:left="2268"/>
      </w:pPr>
      <w:r w:rsidRPr="009152C3">
        <w:t xml:space="preserve">Quelles sont, aux yeux du Sous-Comité, les activités à </w:t>
      </w:r>
      <w:r>
        <w:t>mener</w:t>
      </w:r>
      <w:r w:rsidRPr="009152C3">
        <w:t xml:space="preserve"> pour promouvoir </w:t>
      </w:r>
      <w:r>
        <w:t>l’application</w:t>
      </w:r>
      <w:r w:rsidRPr="009152C3">
        <w:t xml:space="preserve"> du SGH</w:t>
      </w:r>
      <w:r w:rsidR="00CA0F01">
        <w:t xml:space="preserve"> </w:t>
      </w:r>
      <w:r w:rsidRPr="009152C3">
        <w:t>et rendre le système opérationnel dans un pays ?</w:t>
      </w:r>
    </w:p>
    <w:p w14:paraId="22F325F6" w14:textId="77777777" w:rsidR="00C77763" w:rsidRPr="009152C3" w:rsidRDefault="00C77763" w:rsidP="00C77763">
      <w:pPr>
        <w:pStyle w:val="SingleTxtG"/>
        <w:ind w:left="2268" w:hanging="567"/>
      </w:pPr>
      <w:r w:rsidRPr="009152C3">
        <w:t>b)</w:t>
      </w:r>
      <w:r w:rsidRPr="009152C3">
        <w:tab/>
      </w:r>
      <w:r>
        <w:t>Un pays peut avoir de nombreuses motivations différentes pour appliquer le SGH : ses avantages</w:t>
      </w:r>
      <w:r w:rsidRPr="009152C3">
        <w:t xml:space="preserve"> écologiques ou sanitaires, l</w:t>
      </w:r>
      <w:r>
        <w:t>’</w:t>
      </w:r>
      <w:r w:rsidRPr="009152C3">
        <w:t>adhésion à une association régionale ou économique ou la facilitation des échanges</w:t>
      </w:r>
      <w:r>
        <w:t>, par exemple</w:t>
      </w:r>
      <w:r w:rsidRPr="009152C3">
        <w:t>.</w:t>
      </w:r>
    </w:p>
    <w:p w14:paraId="65042608" w14:textId="12A417C5" w:rsidR="00C77763" w:rsidRPr="009152C3" w:rsidRDefault="00C77763" w:rsidP="00C77763">
      <w:pPr>
        <w:pStyle w:val="SingleTxtG"/>
        <w:ind w:left="2268"/>
      </w:pPr>
      <w:r>
        <w:t xml:space="preserve">Le </w:t>
      </w:r>
      <w:r w:rsidRPr="009152C3">
        <w:t>Sous-Comité</w:t>
      </w:r>
      <w:r>
        <w:t xml:space="preserve"> sait-il, fort de ses observations et de ses réflexions, ce qui peut inciter un </w:t>
      </w:r>
      <w:r w:rsidRPr="009152C3">
        <w:t xml:space="preserve">pays </w:t>
      </w:r>
      <w:r>
        <w:t xml:space="preserve">à appliquer </w:t>
      </w:r>
      <w:r w:rsidRPr="009152C3">
        <w:t>le SGH ?</w:t>
      </w:r>
      <w:r>
        <w:t xml:space="preserve"> </w:t>
      </w:r>
      <w:r w:rsidRPr="009152C3">
        <w:t>Y a-t-il des entités (</w:t>
      </w:r>
      <w:r>
        <w:t>par exemple</w:t>
      </w:r>
      <w:r w:rsidRPr="009152C3">
        <w:t xml:space="preserve"> des associations régionales ou l</w:t>
      </w:r>
      <w:r>
        <w:t>’</w:t>
      </w:r>
      <w:r w:rsidRPr="009152C3">
        <w:t>Organisation mondiale du commerce) avec lesquelles</w:t>
      </w:r>
      <w:r w:rsidRPr="00B656B9">
        <w:t xml:space="preserve"> </w:t>
      </w:r>
      <w:r>
        <w:t>il</w:t>
      </w:r>
      <w:r w:rsidRPr="009152C3">
        <w:t xml:space="preserve"> devrait </w:t>
      </w:r>
      <w:r>
        <w:t>essayer de</w:t>
      </w:r>
      <w:r w:rsidRPr="009152C3">
        <w:t xml:space="preserve"> collaborer directement ?</w:t>
      </w:r>
    </w:p>
    <w:p w14:paraId="6B33EEAD" w14:textId="3CC95D70" w:rsidR="00C77763" w:rsidRPr="009152C3" w:rsidRDefault="00C77763" w:rsidP="00C77763">
      <w:pPr>
        <w:pStyle w:val="SingleTxtG"/>
        <w:ind w:left="2268" w:hanging="567"/>
      </w:pPr>
      <w:r w:rsidRPr="009152C3">
        <w:t>c)</w:t>
      </w:r>
      <w:r w:rsidRPr="009152C3">
        <w:tab/>
        <w:t xml:space="preserve">Le point permanent </w:t>
      </w:r>
      <w:r>
        <w:t>de</w:t>
      </w:r>
      <w:r w:rsidRPr="009152C3">
        <w:t xml:space="preserve"> l</w:t>
      </w:r>
      <w:r>
        <w:t>’</w:t>
      </w:r>
      <w:r w:rsidRPr="009152C3">
        <w:t>ordre du jour sur le renforcement des capacités donne aux participants du Sous-Comité la possibilité de s</w:t>
      </w:r>
      <w:r>
        <w:t>’</w:t>
      </w:r>
      <w:r w:rsidRPr="009152C3">
        <w:t>informer mutuellement des activités menées en la matière.</w:t>
      </w:r>
    </w:p>
    <w:p w14:paraId="09B2285F" w14:textId="77777777" w:rsidR="00C77763" w:rsidRDefault="00C77763" w:rsidP="00C77763">
      <w:pPr>
        <w:pStyle w:val="SingleTxtG"/>
        <w:ind w:left="2835" w:hanging="567"/>
      </w:pPr>
      <w:r w:rsidRPr="009152C3">
        <w:t>i)</w:t>
      </w:r>
      <w:r w:rsidRPr="009152C3">
        <w:tab/>
        <w:t>Dans quelle mesure ce point de l</w:t>
      </w:r>
      <w:r>
        <w:t>’</w:t>
      </w:r>
      <w:r w:rsidRPr="009152C3">
        <w:t>ordre du jour peut-il être utilisé par les participants pour s</w:t>
      </w:r>
      <w:r>
        <w:t>’</w:t>
      </w:r>
      <w:r w:rsidRPr="009152C3">
        <w:t>informer mutuellement mais aussi pour échanger des données d</w:t>
      </w:r>
      <w:r>
        <w:t>’</w:t>
      </w:r>
      <w:r w:rsidRPr="009152C3">
        <w:t xml:space="preserve">expérience plus détaillées sur les résultats des activités menées et </w:t>
      </w:r>
      <w:r>
        <w:t>débattre</w:t>
      </w:r>
      <w:r w:rsidRPr="009152C3">
        <w:t xml:space="preserve"> des initiatives prévues ? Dans quelle mesure ce point de l</w:t>
      </w:r>
      <w:r>
        <w:t>’</w:t>
      </w:r>
      <w:r w:rsidRPr="009152C3">
        <w:t xml:space="preserve">ordre du jour peut-il également être </w:t>
      </w:r>
      <w:r>
        <w:t xml:space="preserve">mis à profit </w:t>
      </w:r>
      <w:r w:rsidRPr="009152C3">
        <w:t>pour chercher à mettre sur pied des initiatives conjointes et pour inviter d</w:t>
      </w:r>
      <w:r>
        <w:t>’</w:t>
      </w:r>
      <w:r w:rsidRPr="009152C3">
        <w:t xml:space="preserve">autres </w:t>
      </w:r>
      <w:r>
        <w:t xml:space="preserve">organismes ou </w:t>
      </w:r>
      <w:r w:rsidRPr="009152C3">
        <w:t>entités qui ne font pas officiellement partie du Sous</w:t>
      </w:r>
      <w:r>
        <w:noBreakHyphen/>
      </w:r>
      <w:r w:rsidRPr="009152C3">
        <w:t>Comité à contribuer à la mise en œuvre de ces activités ?</w:t>
      </w:r>
    </w:p>
    <w:p w14:paraId="4EB556C1" w14:textId="2DC64604" w:rsidR="00C77763" w:rsidRPr="009152C3" w:rsidRDefault="00C77763" w:rsidP="00C77763">
      <w:pPr>
        <w:pStyle w:val="SingleTxtG"/>
        <w:ind w:left="2835" w:hanging="567"/>
      </w:pPr>
      <w:r w:rsidRPr="009152C3">
        <w:t>ii)</w:t>
      </w:r>
      <w:r w:rsidRPr="009152C3">
        <w:tab/>
      </w:r>
      <w:r w:rsidRPr="00BC433D">
        <w:t xml:space="preserve">Les </w:t>
      </w:r>
      <w:r>
        <w:t>coordonnateurs</w:t>
      </w:r>
      <w:r w:rsidRPr="00BC433D">
        <w:t xml:space="preserve"> du Sous-Comité peuvent </w:t>
      </w:r>
      <w:r>
        <w:t xml:space="preserve">ne </w:t>
      </w:r>
      <w:r w:rsidRPr="00BC433D">
        <w:t>pas venir de services</w:t>
      </w:r>
      <w:r>
        <w:t>, d’organismes</w:t>
      </w:r>
      <w:r w:rsidRPr="00BC433D">
        <w:t xml:space="preserve"> ou </w:t>
      </w:r>
      <w:r w:rsidRPr="009152C3">
        <w:t>d</w:t>
      </w:r>
      <w:r>
        <w:t>’</w:t>
      </w:r>
      <w:r w:rsidRPr="009152C3">
        <w:t>entités</w:t>
      </w:r>
      <w:r w:rsidRPr="00FE3BCF">
        <w:t xml:space="preserve"> </w:t>
      </w:r>
      <w:r>
        <w:t xml:space="preserve">ayant des budgets ou des objectifs de </w:t>
      </w:r>
      <w:r w:rsidRPr="009152C3">
        <w:t>développement international. Dans quelle mesure les membres du Sous</w:t>
      </w:r>
      <w:r>
        <w:noBreakHyphen/>
      </w:r>
      <w:r w:rsidRPr="009152C3">
        <w:t xml:space="preserve">Comité peuvent-ils </w:t>
      </w:r>
      <w:r>
        <w:t xml:space="preserve">essayer de </w:t>
      </w:r>
      <w:r w:rsidRPr="009152C3">
        <w:t xml:space="preserve">collaborer avec les parties prenantes de leur pays pour contribuer directement au renforcement des capacités, avec les </w:t>
      </w:r>
      <w:r>
        <w:t>organes de liaison</w:t>
      </w:r>
      <w:r w:rsidRPr="009152C3">
        <w:t xml:space="preserve"> du Sous-Comité pour </w:t>
      </w:r>
      <w:r w:rsidR="00CA0F01">
        <w:t>l</w:t>
      </w:r>
      <w:r w:rsidRPr="009152C3">
        <w:t>e renforcement des capacités relatives au SGH, à savoir l</w:t>
      </w:r>
      <w:r>
        <w:t>’</w:t>
      </w:r>
      <w:r w:rsidRPr="009152C3">
        <w:t>OIT et l</w:t>
      </w:r>
      <w:r>
        <w:t>’</w:t>
      </w:r>
      <w:r w:rsidRPr="009152C3">
        <w:t>UNITAR, ou avec d</w:t>
      </w:r>
      <w:r>
        <w:t>’</w:t>
      </w:r>
      <w:r w:rsidRPr="009152C3">
        <w:t>autres entités actives dans le renforcement des capacités sur le plan international ?</w:t>
      </w:r>
    </w:p>
    <w:p w14:paraId="1DCE0F45" w14:textId="77777777" w:rsidR="00C77763" w:rsidRPr="009152C3" w:rsidRDefault="00C77763" w:rsidP="00C77763">
      <w:pPr>
        <w:pStyle w:val="SingleTxtG"/>
        <w:ind w:left="2268" w:hanging="567"/>
      </w:pPr>
      <w:r w:rsidRPr="009152C3">
        <w:t>d)</w:t>
      </w:r>
      <w:r w:rsidRPr="009152C3">
        <w:tab/>
        <w:t>Le point de l</w:t>
      </w:r>
      <w:r>
        <w:t>’</w:t>
      </w:r>
      <w:r w:rsidRPr="009152C3">
        <w:t xml:space="preserve">ordre du jour </w:t>
      </w:r>
      <w:r>
        <w:t>consacré à l’application</w:t>
      </w:r>
      <w:r w:rsidRPr="009152C3">
        <w:t xml:space="preserve"> du SGH </w:t>
      </w:r>
      <w:r>
        <w:t xml:space="preserve">comprend </w:t>
      </w:r>
      <w:r w:rsidRPr="009152C3">
        <w:t>l</w:t>
      </w:r>
      <w:r>
        <w:t>’</w:t>
      </w:r>
      <w:r w:rsidRPr="009152C3">
        <w:t>examen de rapports sur l</w:t>
      </w:r>
      <w:r>
        <w:t>’</w:t>
      </w:r>
      <w:r w:rsidRPr="009152C3">
        <w:t>état de l</w:t>
      </w:r>
      <w:r>
        <w:t>’application</w:t>
      </w:r>
      <w:r w:rsidRPr="009152C3">
        <w:t xml:space="preserve"> de cet instrument.</w:t>
      </w:r>
    </w:p>
    <w:p w14:paraId="052C85CA" w14:textId="0D922EC0" w:rsidR="00C77763" w:rsidRPr="009152C3" w:rsidRDefault="00C77763" w:rsidP="00C77763">
      <w:pPr>
        <w:pStyle w:val="SingleTxtG"/>
        <w:ind w:left="2268"/>
      </w:pPr>
      <w:r>
        <w:t xml:space="preserve">Au titre de ce point de l’ordre du jour, serait-il possible d’examiner conjointement </w:t>
      </w:r>
      <w:r w:rsidRPr="009152C3">
        <w:t xml:space="preserve">les résultats des enquêtes et des rapports (par exemple la </w:t>
      </w:r>
      <w:r>
        <w:t>synthèse</w:t>
      </w:r>
      <w:r w:rsidRPr="009152C3">
        <w:t xml:space="preserve"> établie par le Cefic sur l</w:t>
      </w:r>
      <w:r>
        <w:t>’</w:t>
      </w:r>
      <w:r w:rsidRPr="009152C3">
        <w:t>état de l</w:t>
      </w:r>
      <w:r>
        <w:t>’application</w:t>
      </w:r>
      <w:r w:rsidRPr="009152C3">
        <w:t xml:space="preserve"> au niveau mondial) </w:t>
      </w:r>
      <w:r>
        <w:t>en vue d’une analyse du rythme auquel progresse l’application</w:t>
      </w:r>
      <w:r w:rsidR="00CA0F01">
        <w:t xml:space="preserve"> </w:t>
      </w:r>
      <w:r w:rsidRPr="009152C3">
        <w:t>du SGH</w:t>
      </w:r>
      <w:r w:rsidR="00CA0F01">
        <w:t> </w:t>
      </w:r>
      <w:r w:rsidRPr="009152C3">
        <w:t>?</w:t>
      </w:r>
    </w:p>
    <w:p w14:paraId="181540F2" w14:textId="3C1840D6" w:rsidR="00C77763" w:rsidRPr="009152C3" w:rsidRDefault="00C77763" w:rsidP="00C77763">
      <w:pPr>
        <w:pStyle w:val="SingleTxtG"/>
        <w:ind w:left="2268" w:hanging="567"/>
      </w:pPr>
      <w:r w:rsidRPr="009152C3">
        <w:t>e)</w:t>
      </w:r>
      <w:r w:rsidRPr="009152C3">
        <w:tab/>
        <w:t xml:space="preserve">Dans la mesure où le SGH est révisé tous les deux ans, les pays </w:t>
      </w:r>
      <w:r>
        <w:t>doivent</w:t>
      </w:r>
      <w:r w:rsidRPr="009152C3">
        <w:t xml:space="preserve"> constamment </w:t>
      </w:r>
      <w:r>
        <w:t>s’efforcer de s’adapter aux</w:t>
      </w:r>
      <w:r w:rsidRPr="009152C3">
        <w:t xml:space="preserve"> nouvelles versions et se trouvent en décalage les uns par rapport aux autres, de sorte que </w:t>
      </w:r>
      <w:r>
        <w:t>l’application</w:t>
      </w:r>
      <w:r w:rsidRPr="009152C3">
        <w:t xml:space="preserve"> du SGH n</w:t>
      </w:r>
      <w:r>
        <w:t>’</w:t>
      </w:r>
      <w:r w:rsidRPr="009152C3">
        <w:t>est jamais harmonisée à l</w:t>
      </w:r>
      <w:r>
        <w:t>’</w:t>
      </w:r>
      <w:r w:rsidRPr="009152C3">
        <w:t>échelle mondiale.</w:t>
      </w:r>
    </w:p>
    <w:p w14:paraId="02693DFD" w14:textId="62855B43" w:rsidR="00C77763" w:rsidRPr="009152C3" w:rsidRDefault="00C77763" w:rsidP="00C77763">
      <w:pPr>
        <w:pStyle w:val="SingleTxtG"/>
        <w:ind w:left="2268"/>
      </w:pPr>
      <w:r w:rsidRPr="009152C3">
        <w:t xml:space="preserve">Serait-il </w:t>
      </w:r>
      <w:r>
        <w:t>judicieux</w:t>
      </w:r>
      <w:r w:rsidRPr="009152C3">
        <w:t xml:space="preserve"> de mieux prendre en compte cet aspect dans les travaux futurs ?</w:t>
      </w:r>
    </w:p>
    <w:p w14:paraId="1A7BBD9F" w14:textId="345B4AF6" w:rsidR="00C77763" w:rsidRPr="009152C3" w:rsidRDefault="00C77763" w:rsidP="00CA0F01">
      <w:pPr>
        <w:pStyle w:val="SingleTxtG"/>
        <w:keepNext/>
        <w:keepLines/>
        <w:ind w:left="2268" w:hanging="567"/>
      </w:pPr>
      <w:r w:rsidRPr="009152C3">
        <w:lastRenderedPageBreak/>
        <w:t>f)</w:t>
      </w:r>
      <w:r w:rsidRPr="009152C3">
        <w:tab/>
        <w:t xml:space="preserve">À la quarante et unième session du Sous-Comité, en décembre 2021, </w:t>
      </w:r>
      <w:r>
        <w:t xml:space="preserve">on a fait observer qu’il avait existé </w:t>
      </w:r>
      <w:r w:rsidRPr="009152C3">
        <w:t>un groupe de travail des questions relatives à l</w:t>
      </w:r>
      <w:r>
        <w:t>’application</w:t>
      </w:r>
      <w:r w:rsidRPr="009152C3">
        <w:t xml:space="preserve"> du SGH et que ce groupe pourrait être réactivé. </w:t>
      </w:r>
      <w:r>
        <w:t>La constitution dudit groupe avait été décidée à</w:t>
      </w:r>
      <w:r w:rsidRPr="009152C3">
        <w:t xml:space="preserve"> la treizième session du Sous-Comité</w:t>
      </w:r>
      <w:r>
        <w:t>. S</w:t>
      </w:r>
      <w:r w:rsidRPr="009152C3">
        <w:t>es</w:t>
      </w:r>
      <w:r>
        <w:t> </w:t>
      </w:r>
      <w:r w:rsidRPr="009152C3">
        <w:t>travaux, initialement dirigés par l</w:t>
      </w:r>
      <w:r>
        <w:t>’</w:t>
      </w:r>
      <w:r w:rsidRPr="009152C3">
        <w:t>Australie, portaient principalement sur la mise en place d</w:t>
      </w:r>
      <w:r>
        <w:t>’</w:t>
      </w:r>
      <w:r w:rsidRPr="009152C3">
        <w:t xml:space="preserve">une </w:t>
      </w:r>
      <w:r>
        <w:t>application</w:t>
      </w:r>
      <w:r w:rsidRPr="009152C3">
        <w:t xml:space="preserve"> harmonisée du SGH</w:t>
      </w:r>
      <w:r>
        <w:t>. I</w:t>
      </w:r>
      <w:r w:rsidRPr="009152C3">
        <w:t xml:space="preserve">ls </w:t>
      </w:r>
      <w:r>
        <w:t>s’étaient étalés sur plusieurs</w:t>
      </w:r>
      <w:r w:rsidRPr="009152C3">
        <w:t xml:space="preserve"> années</w:t>
      </w:r>
      <w:r>
        <w:t xml:space="preserve">, mais </w:t>
      </w:r>
      <w:r w:rsidRPr="009152C3">
        <w:t>vers 2010</w:t>
      </w:r>
      <w:r>
        <w:t>-</w:t>
      </w:r>
      <w:r w:rsidRPr="009152C3">
        <w:t>2011, l</w:t>
      </w:r>
      <w:r>
        <w:t>’</w:t>
      </w:r>
      <w:r w:rsidRPr="009152C3">
        <w:t>expert de l</w:t>
      </w:r>
      <w:r>
        <w:t>’</w:t>
      </w:r>
      <w:r w:rsidRPr="009152C3">
        <w:t>Australie a</w:t>
      </w:r>
      <w:r>
        <w:t>yant</w:t>
      </w:r>
      <w:r w:rsidRPr="009152C3">
        <w:t xml:space="preserve"> quitté le Sous-Comité </w:t>
      </w:r>
      <w:r>
        <w:t>et aucu</w:t>
      </w:r>
      <w:r w:rsidRPr="009152C3">
        <w:t xml:space="preserve">ne autre délégation </w:t>
      </w:r>
      <w:r>
        <w:t>n’ayant proposé de prendre sa relève, ils s’étaient arrêtés</w:t>
      </w:r>
      <w:r w:rsidRPr="009152C3">
        <w:t xml:space="preserve">. </w:t>
      </w:r>
      <w:r>
        <w:t>L</w:t>
      </w:r>
      <w:r w:rsidRPr="009152C3">
        <w:t xml:space="preserve">e Sous-Comité </w:t>
      </w:r>
      <w:r>
        <w:t>pourrait-il envisager la</w:t>
      </w:r>
      <w:r w:rsidRPr="009152C3">
        <w:t xml:space="preserve"> reprise de ces travaux dans le cadre d</w:t>
      </w:r>
      <w:r>
        <w:t>’</w:t>
      </w:r>
      <w:r w:rsidRPr="009152C3">
        <w:t>un groupe de travail informel, en mettant l</w:t>
      </w:r>
      <w:r>
        <w:t>’</w:t>
      </w:r>
      <w:r w:rsidRPr="009152C3">
        <w:t>accent sur l</w:t>
      </w:r>
      <w:r>
        <w:t>’</w:t>
      </w:r>
      <w:r w:rsidRPr="009152C3">
        <w:t>intensification de l</w:t>
      </w:r>
      <w:r>
        <w:t>’application</w:t>
      </w:r>
      <w:r w:rsidRPr="009152C3">
        <w:t xml:space="preserve"> du SGH</w:t>
      </w:r>
      <w:r>
        <w:t>, ou estime-t-il suffisant</w:t>
      </w:r>
      <w:r w:rsidRPr="009152C3">
        <w:t xml:space="preserve">, comme cela a été proposé, </w:t>
      </w:r>
      <w:r>
        <w:t xml:space="preserve">que </w:t>
      </w:r>
      <w:r w:rsidRPr="009152C3">
        <w:t xml:space="preserve">cette question </w:t>
      </w:r>
      <w:r>
        <w:t xml:space="preserve">bénéficie d’un surcroît d’attention </w:t>
      </w:r>
      <w:r w:rsidRPr="009152C3">
        <w:t>aux séances plénières du Sous-Comité ?</w:t>
      </w:r>
    </w:p>
    <w:p w14:paraId="182644C6" w14:textId="77777777" w:rsidR="00C77763" w:rsidRPr="009152C3" w:rsidRDefault="00C77763" w:rsidP="00C77763">
      <w:pPr>
        <w:pStyle w:val="HChG"/>
      </w:pPr>
      <w:r w:rsidRPr="009152C3">
        <w:tab/>
      </w:r>
      <w:r w:rsidRPr="009152C3">
        <w:tab/>
        <w:t>Proposition de mesures à prendre</w:t>
      </w:r>
    </w:p>
    <w:p w14:paraId="0F291967" w14:textId="77777777" w:rsidR="00C77763" w:rsidRPr="009152C3" w:rsidRDefault="00C77763" w:rsidP="00C77763">
      <w:pPr>
        <w:pStyle w:val="SingleTxtG"/>
      </w:pPr>
      <w:r w:rsidRPr="009152C3">
        <w:t>7.</w:t>
      </w:r>
      <w:r w:rsidRPr="009152C3">
        <w:tab/>
        <w:t>L</w:t>
      </w:r>
      <w:r>
        <w:t>’</w:t>
      </w:r>
      <w:r w:rsidRPr="009152C3">
        <w:t xml:space="preserve">expert de la Suède invite le Sous-Comité à envisager de prendre les mesures suivantes pour </w:t>
      </w:r>
      <w:r>
        <w:t xml:space="preserve">mieux </w:t>
      </w:r>
      <w:r w:rsidRPr="009152C3">
        <w:t xml:space="preserve">promouvoir et </w:t>
      </w:r>
      <w:r>
        <w:t xml:space="preserve">contrôler l’application </w:t>
      </w:r>
      <w:r w:rsidRPr="009152C3">
        <w:t>du SGH au niveau mondial :</w:t>
      </w:r>
    </w:p>
    <w:p w14:paraId="36C0441C" w14:textId="77777777" w:rsidR="00C77763" w:rsidRPr="009152C3" w:rsidRDefault="00C77763" w:rsidP="00C77763">
      <w:pPr>
        <w:pStyle w:val="SingleTxtG"/>
        <w:ind w:left="2268" w:hanging="567"/>
      </w:pPr>
      <w:r w:rsidRPr="009152C3">
        <w:t>a)</w:t>
      </w:r>
      <w:r w:rsidRPr="009152C3">
        <w:tab/>
        <w:t>Ajouter à l</w:t>
      </w:r>
      <w:r>
        <w:t>’</w:t>
      </w:r>
      <w:r w:rsidRPr="009152C3">
        <w:t>ordre du jour des sessions du Sous-Comité un résumé des débats du groupe consultatif pour le programme</w:t>
      </w:r>
      <w:r>
        <w:t xml:space="preserve"> donnant au</w:t>
      </w:r>
      <w:r w:rsidRPr="009152C3">
        <w:t xml:space="preserve"> Sous-Comité </w:t>
      </w:r>
      <w:r>
        <w:t xml:space="preserve">la possibilité d’examiner les </w:t>
      </w:r>
      <w:r w:rsidRPr="009152C3">
        <w:t>résultats.</w:t>
      </w:r>
    </w:p>
    <w:p w14:paraId="0901A8C9" w14:textId="1034C00A" w:rsidR="00C77763" w:rsidRPr="009152C3" w:rsidRDefault="00C77763" w:rsidP="00C77763">
      <w:pPr>
        <w:pStyle w:val="SingleTxtG"/>
        <w:ind w:left="2268" w:hanging="567"/>
      </w:pPr>
      <w:r w:rsidRPr="009152C3">
        <w:t>b)</w:t>
      </w:r>
      <w:r w:rsidRPr="009152C3">
        <w:tab/>
        <w:t>Ajouter, au titre du point de l</w:t>
      </w:r>
      <w:r>
        <w:t>’</w:t>
      </w:r>
      <w:r w:rsidRPr="009152C3">
        <w:t xml:space="preserve">ordre du jour du Sous-Comité consacré au renforcement des capacités, une rubrique </w:t>
      </w:r>
      <w:r>
        <w:t>concernant</w:t>
      </w:r>
      <w:r w:rsidRPr="009152C3">
        <w:t xml:space="preserve"> l</w:t>
      </w:r>
      <w:r>
        <w:t>’</w:t>
      </w:r>
      <w:r w:rsidRPr="009152C3">
        <w:t>analyse, la mise en commun et l</w:t>
      </w:r>
      <w:r>
        <w:t>’</w:t>
      </w:r>
      <w:r w:rsidRPr="009152C3">
        <w:t>examen des données d</w:t>
      </w:r>
      <w:r>
        <w:t>’</w:t>
      </w:r>
      <w:r w:rsidRPr="009152C3">
        <w:t>expérience et des résultats de différents types d</w:t>
      </w:r>
      <w:r>
        <w:t>’</w:t>
      </w:r>
      <w:r w:rsidRPr="009152C3">
        <w:t xml:space="preserve">activités </w:t>
      </w:r>
      <w:r>
        <w:t xml:space="preserve">menées </w:t>
      </w:r>
      <w:r w:rsidRPr="009152C3">
        <w:t xml:space="preserve">dans le but de promouvoir </w:t>
      </w:r>
      <w:r>
        <w:t xml:space="preserve">l’application </w:t>
      </w:r>
      <w:r w:rsidRPr="009152C3">
        <w:t>du SGH (ou</w:t>
      </w:r>
      <w:r>
        <w:t> </w:t>
      </w:r>
      <w:r w:rsidRPr="009152C3">
        <w:t xml:space="preserve">ajouter un nouveau point). Ce </w:t>
      </w:r>
      <w:r>
        <w:t xml:space="preserve">point de l’ordre du jour </w:t>
      </w:r>
      <w:r w:rsidRPr="009152C3">
        <w:t xml:space="preserve">pourrait </w:t>
      </w:r>
      <w:r>
        <w:t xml:space="preserve">aussi inclure un bilan à la lumière </w:t>
      </w:r>
      <w:r w:rsidRPr="009152C3">
        <w:t>des débats du Partenariat mondial pour l</w:t>
      </w:r>
      <w:r>
        <w:t>’application</w:t>
      </w:r>
      <w:r w:rsidRPr="009152C3">
        <w:t xml:space="preserve"> du SGH (dont l</w:t>
      </w:r>
      <w:r>
        <w:t>’</w:t>
      </w:r>
      <w:r w:rsidRPr="009152C3">
        <w:t>OIT, l</w:t>
      </w:r>
      <w:r>
        <w:t>’</w:t>
      </w:r>
      <w:r w:rsidRPr="009152C3">
        <w:t>OCDE et l</w:t>
      </w:r>
      <w:r>
        <w:t>’</w:t>
      </w:r>
      <w:r w:rsidRPr="009152C3">
        <w:t xml:space="preserve">UNITAR sont coresponsables) et </w:t>
      </w:r>
      <w:r>
        <w:t>le</w:t>
      </w:r>
      <w:r w:rsidRPr="009152C3">
        <w:t xml:space="preserve"> </w:t>
      </w:r>
      <w:proofErr w:type="gramStart"/>
      <w:r w:rsidRPr="009152C3">
        <w:t>recense</w:t>
      </w:r>
      <w:r>
        <w:t>ment</w:t>
      </w:r>
      <w:r w:rsidRPr="009152C3">
        <w:t xml:space="preserve"> </w:t>
      </w:r>
      <w:r>
        <w:t xml:space="preserve"> des</w:t>
      </w:r>
      <w:proofErr w:type="gramEnd"/>
      <w:r>
        <w:t xml:space="preserve"> </w:t>
      </w:r>
      <w:r w:rsidRPr="009152C3">
        <w:t xml:space="preserve">synergies entre </w:t>
      </w:r>
      <w:r>
        <w:t>c</w:t>
      </w:r>
      <w:r w:rsidRPr="009152C3">
        <w:t xml:space="preserve">e </w:t>
      </w:r>
      <w:r w:rsidR="00CA0F01">
        <w:t>p</w:t>
      </w:r>
      <w:r w:rsidRPr="009152C3">
        <w:t>artenariat et les activités du Sous-Comité.</w:t>
      </w:r>
    </w:p>
    <w:p w14:paraId="1FB4ECDB" w14:textId="77777777" w:rsidR="00C77763" w:rsidRPr="009152C3" w:rsidRDefault="00C77763" w:rsidP="00C77763">
      <w:pPr>
        <w:pStyle w:val="SingleTxtG"/>
        <w:ind w:left="2268"/>
      </w:pPr>
      <w:r>
        <w:t>Il pourrait par exemple être envisagé d’aider les</w:t>
      </w:r>
      <w:r w:rsidRPr="009152C3">
        <w:t xml:space="preserve"> pays </w:t>
      </w:r>
      <w:r>
        <w:t>à mener des</w:t>
      </w:r>
      <w:r w:rsidRPr="009152C3">
        <w:t xml:space="preserve"> activités de plaidoyer</w:t>
      </w:r>
      <w:r>
        <w:t xml:space="preserve"> ou</w:t>
      </w:r>
      <w:r w:rsidRPr="009152C3">
        <w:t xml:space="preserve"> </w:t>
      </w:r>
      <w:r>
        <w:t>à légiférer</w:t>
      </w:r>
      <w:r w:rsidRPr="009152C3">
        <w:t xml:space="preserve"> (</w:t>
      </w:r>
      <w:r>
        <w:t>par exemple pour mettre en place une</w:t>
      </w:r>
      <w:r w:rsidRPr="009152C3">
        <w:t xml:space="preserve"> classification et </w:t>
      </w:r>
      <w:r>
        <w:t xml:space="preserve">un </w:t>
      </w:r>
      <w:r w:rsidRPr="009152C3">
        <w:t xml:space="preserve">étiquetage conformes au SGH), </w:t>
      </w:r>
      <w:r>
        <w:t xml:space="preserve">de </w:t>
      </w:r>
      <w:r w:rsidRPr="009152C3">
        <w:t xml:space="preserve">proposer des formations destinées à rendre le système opérationnel ou des ateliers avec les différentes parties prenantes, </w:t>
      </w:r>
      <w:r>
        <w:t xml:space="preserve">de </w:t>
      </w:r>
      <w:r w:rsidRPr="009152C3">
        <w:t xml:space="preserve">diffuser des enquêtes et des questionnaires, </w:t>
      </w:r>
      <w:r>
        <w:t>d’</w:t>
      </w:r>
      <w:r w:rsidRPr="009152C3">
        <w:t xml:space="preserve">élaborer des supports de formation ou encore </w:t>
      </w:r>
      <w:r>
        <w:t xml:space="preserve">de </w:t>
      </w:r>
      <w:r w:rsidRPr="009152C3">
        <w:t>créer un centre d</w:t>
      </w:r>
      <w:r>
        <w:t>’</w:t>
      </w:r>
      <w:r w:rsidRPr="009152C3">
        <w:t xml:space="preserve">apprentissage sur le SGH pour les pays et les parties intéressés. </w:t>
      </w:r>
      <w:r>
        <w:t xml:space="preserve">Pour </w:t>
      </w:r>
      <w:r w:rsidRPr="009152C3">
        <w:t>que le Sous-Comité puisse suivre l</w:t>
      </w:r>
      <w:r>
        <w:t>’</w:t>
      </w:r>
      <w:r w:rsidRPr="009152C3">
        <w:t xml:space="preserve">évolution de la situation, ce point </w:t>
      </w:r>
      <w:r>
        <w:t xml:space="preserve">de l’ordre du jour </w:t>
      </w:r>
      <w:r w:rsidRPr="009152C3">
        <w:t xml:space="preserve">pourrait </w:t>
      </w:r>
      <w:r>
        <w:t xml:space="preserve">être </w:t>
      </w:r>
      <w:r w:rsidRPr="009152C3">
        <w:t>récurrent.</w:t>
      </w:r>
    </w:p>
    <w:p w14:paraId="7AEF4C1F" w14:textId="7C4BDAF5" w:rsidR="00C77763" w:rsidRPr="009152C3" w:rsidRDefault="00C77763" w:rsidP="00C77763">
      <w:pPr>
        <w:pStyle w:val="SingleTxtG"/>
        <w:ind w:left="2268" w:hanging="567"/>
      </w:pPr>
      <w:r w:rsidRPr="009152C3">
        <w:t>c)</w:t>
      </w:r>
      <w:r w:rsidRPr="009152C3">
        <w:tab/>
        <w:t>Contribuer au processus de l</w:t>
      </w:r>
      <w:r>
        <w:t>’</w:t>
      </w:r>
      <w:r w:rsidRPr="009152C3">
        <w:t>Approche stratégique de la gestion internationale des produits chimiques</w:t>
      </w:r>
      <w:r w:rsidRPr="00234AA4">
        <w:t xml:space="preserve"> après 2020</w:t>
      </w:r>
      <w:r>
        <w:rPr>
          <w:rStyle w:val="FootnoteReference"/>
        </w:rPr>
        <w:footnoteReference w:id="3"/>
      </w:r>
      <w:r>
        <w:t xml:space="preserve">, afin que </w:t>
      </w:r>
      <w:r w:rsidRPr="009152C3">
        <w:t>certains objectifs liés à l</w:t>
      </w:r>
      <w:r>
        <w:t>’</w:t>
      </w:r>
      <w:r w:rsidRPr="009152C3">
        <w:t>a</w:t>
      </w:r>
      <w:r>
        <w:t>pplication</w:t>
      </w:r>
      <w:r w:rsidRPr="009152C3">
        <w:t xml:space="preserve"> du SGH au niveau mondial et </w:t>
      </w:r>
      <w:r>
        <w:t xml:space="preserve">certains </w:t>
      </w:r>
      <w:r w:rsidRPr="009152C3">
        <w:t xml:space="preserve">indicateurs </w:t>
      </w:r>
      <w:r>
        <w:t xml:space="preserve">importants soient </w:t>
      </w:r>
      <w:r w:rsidRPr="009152C3">
        <w:t>pris en compte, y</w:t>
      </w:r>
      <w:r w:rsidR="00CA0F01">
        <w:t> </w:t>
      </w:r>
      <w:r w:rsidRPr="009152C3">
        <w:t xml:space="preserve">compris </w:t>
      </w:r>
      <w:r>
        <w:t xml:space="preserve">au moyen </w:t>
      </w:r>
      <w:r w:rsidRPr="009152C3">
        <w:t xml:space="preserve">de mécanismes de suivi forts qui pourraient </w:t>
      </w:r>
      <w:r>
        <w:t>permettre de recueillir</w:t>
      </w:r>
      <w:r w:rsidRPr="009152C3">
        <w:t xml:space="preserve"> des informations sur le degré d</w:t>
      </w:r>
      <w:r>
        <w:t>’application du SGH par l</w:t>
      </w:r>
      <w:r w:rsidRPr="009152C3">
        <w:t>es pays (par exemple</w:t>
      </w:r>
      <w:r w:rsidR="00CA0F01">
        <w:t>,</w:t>
      </w:r>
      <w:r w:rsidRPr="009152C3">
        <w:t xml:space="preserve"> </w:t>
      </w:r>
      <w:r>
        <w:t>par</w:t>
      </w:r>
      <w:r w:rsidRPr="009152C3">
        <w:t xml:space="preserve"> secteur). Pour référence, </w:t>
      </w:r>
      <w:r>
        <w:t>l’objectif qu’il est</w:t>
      </w:r>
      <w:r w:rsidRPr="009152C3">
        <w:t xml:space="preserve"> actuel</w:t>
      </w:r>
      <w:r>
        <w:t>lement</w:t>
      </w:r>
      <w:r w:rsidRPr="009152C3">
        <w:t xml:space="preserve"> proposé </w:t>
      </w:r>
      <w:r>
        <w:t>de poursuivre au titre</w:t>
      </w:r>
      <w:r w:rsidRPr="009152C3">
        <w:t xml:space="preserve"> du processus </w:t>
      </w:r>
      <w:r>
        <w:t>pour l’après-</w:t>
      </w:r>
      <w:r w:rsidRPr="009152C3">
        <w:t>2020</w:t>
      </w:r>
      <w:r>
        <w:t xml:space="preserve"> s’énonce comme suit</w:t>
      </w:r>
      <w:r w:rsidRPr="009152C3">
        <w:t> :</w:t>
      </w:r>
    </w:p>
    <w:p w14:paraId="69F7E4D6" w14:textId="6F43216E" w:rsidR="00C77763" w:rsidRPr="008C64C4" w:rsidRDefault="00C77763" w:rsidP="00C77763">
      <w:pPr>
        <w:pStyle w:val="SingleTxtG"/>
        <w:ind w:left="2268"/>
        <w:rPr>
          <w:spacing w:val="-1"/>
        </w:rPr>
      </w:pPr>
      <w:r w:rsidRPr="008C64C4">
        <w:rPr>
          <w:i/>
          <w:iCs/>
          <w:spacing w:val="-1"/>
        </w:rPr>
        <w:t>« D’ici à 20XX (année à préciser), tous les gouvernements ont dûment mis en vigueur et font appliquer le Système général harmonisé de classification et d’étiquetage des produits chimiques (SGH) dans tous les secteurs pertinents. »</w:t>
      </w:r>
      <w:r w:rsidR="008C64C4" w:rsidRPr="008C64C4">
        <w:rPr>
          <w:spacing w:val="-1"/>
        </w:rPr>
        <w:t>.</w:t>
      </w:r>
    </w:p>
    <w:p w14:paraId="0657333D" w14:textId="7E2BBA55" w:rsidR="00446FE5" w:rsidRPr="00C77763" w:rsidRDefault="00C77763" w:rsidP="00C7776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C77763" w:rsidSect="00C7776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ADF6" w14:textId="77777777" w:rsidR="009C2192" w:rsidRDefault="009C2192" w:rsidP="00F95C08">
      <w:pPr>
        <w:spacing w:line="240" w:lineRule="auto"/>
      </w:pPr>
    </w:p>
  </w:endnote>
  <w:endnote w:type="continuationSeparator" w:id="0">
    <w:p w14:paraId="4025235E" w14:textId="77777777" w:rsidR="009C2192" w:rsidRPr="00AC3823" w:rsidRDefault="009C2192" w:rsidP="00AC3823">
      <w:pPr>
        <w:pStyle w:val="Footer"/>
      </w:pPr>
    </w:p>
  </w:endnote>
  <w:endnote w:type="continuationNotice" w:id="1">
    <w:p w14:paraId="5AC80ECF" w14:textId="77777777" w:rsidR="009C2192" w:rsidRDefault="009C21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6310" w14:textId="5D9F0823" w:rsidR="00C77763" w:rsidRPr="00C77763" w:rsidRDefault="00C77763" w:rsidP="00C77763">
    <w:pPr>
      <w:pStyle w:val="Footer"/>
      <w:tabs>
        <w:tab w:val="right" w:pos="9638"/>
      </w:tabs>
    </w:pPr>
    <w:r w:rsidRPr="00C77763">
      <w:rPr>
        <w:b/>
        <w:sz w:val="18"/>
      </w:rPr>
      <w:fldChar w:fldCharType="begin"/>
    </w:r>
    <w:r w:rsidRPr="00C77763">
      <w:rPr>
        <w:b/>
        <w:sz w:val="18"/>
      </w:rPr>
      <w:instrText xml:space="preserve"> PAGE  \* MERGEFORMAT </w:instrText>
    </w:r>
    <w:r w:rsidRPr="00C77763">
      <w:rPr>
        <w:b/>
        <w:sz w:val="18"/>
      </w:rPr>
      <w:fldChar w:fldCharType="separate"/>
    </w:r>
    <w:r w:rsidRPr="00C77763">
      <w:rPr>
        <w:b/>
        <w:noProof/>
        <w:sz w:val="18"/>
      </w:rPr>
      <w:t>2</w:t>
    </w:r>
    <w:r w:rsidRPr="00C77763">
      <w:rPr>
        <w:b/>
        <w:sz w:val="18"/>
      </w:rPr>
      <w:fldChar w:fldCharType="end"/>
    </w:r>
    <w:r>
      <w:rPr>
        <w:b/>
        <w:sz w:val="18"/>
      </w:rPr>
      <w:tab/>
    </w:r>
    <w:r>
      <w:t>GE.22-05883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27A0" w14:textId="19210DD2" w:rsidR="00C77763" w:rsidRPr="00C77763" w:rsidRDefault="00C77763" w:rsidP="00C77763">
    <w:pPr>
      <w:pStyle w:val="Footer"/>
      <w:tabs>
        <w:tab w:val="right" w:pos="9638"/>
      </w:tabs>
      <w:rPr>
        <w:b/>
        <w:sz w:val="18"/>
      </w:rPr>
    </w:pPr>
    <w:r>
      <w:t>GE.22-05883</w:t>
    </w:r>
    <w:r>
      <w:tab/>
    </w:r>
    <w:r w:rsidRPr="00C77763">
      <w:rPr>
        <w:b/>
        <w:sz w:val="18"/>
      </w:rPr>
      <w:fldChar w:fldCharType="begin"/>
    </w:r>
    <w:r w:rsidRPr="00C77763">
      <w:rPr>
        <w:b/>
        <w:sz w:val="18"/>
      </w:rPr>
      <w:instrText xml:space="preserve"> PAGE  \* MERGEFORMAT </w:instrText>
    </w:r>
    <w:r w:rsidRPr="00C77763">
      <w:rPr>
        <w:b/>
        <w:sz w:val="18"/>
      </w:rPr>
      <w:fldChar w:fldCharType="separate"/>
    </w:r>
    <w:r w:rsidRPr="00C77763">
      <w:rPr>
        <w:b/>
        <w:noProof/>
        <w:sz w:val="18"/>
      </w:rPr>
      <w:t>3</w:t>
    </w:r>
    <w:r w:rsidRPr="00C777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E062" w14:textId="5142AF76" w:rsidR="0068456F" w:rsidRPr="00C77763" w:rsidRDefault="00C77763" w:rsidP="00C77763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426FE2A" wp14:editId="70EE67E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05883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3695A0" wp14:editId="6731851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190522    190522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E97A" w14:textId="77777777" w:rsidR="009C2192" w:rsidRPr="00AC3823" w:rsidRDefault="009C219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F01A07" w14:textId="77777777" w:rsidR="009C2192" w:rsidRPr="00AC3823" w:rsidRDefault="009C219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EEDCB5" w14:textId="77777777" w:rsidR="009C2192" w:rsidRPr="00AC3823" w:rsidRDefault="009C2192">
      <w:pPr>
        <w:spacing w:line="240" w:lineRule="auto"/>
        <w:rPr>
          <w:sz w:val="2"/>
          <w:szCs w:val="2"/>
        </w:rPr>
      </w:pPr>
    </w:p>
  </w:footnote>
  <w:footnote w:id="2">
    <w:p w14:paraId="532129E0" w14:textId="0D4D339A" w:rsidR="00C77763" w:rsidRPr="00C77763" w:rsidRDefault="00C77763">
      <w:pPr>
        <w:pStyle w:val="FootnoteText"/>
      </w:pPr>
      <w:r>
        <w:rPr>
          <w:rStyle w:val="FootnoteReference"/>
        </w:rPr>
        <w:tab/>
      </w:r>
      <w:r w:rsidRPr="00C7776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 20.51.</w:t>
      </w:r>
    </w:p>
  </w:footnote>
  <w:footnote w:id="3">
    <w:p w14:paraId="4A391E2B" w14:textId="6C3E2492" w:rsidR="00C77763" w:rsidRDefault="00C7776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Approche stratégique et gestion rationnelle des produits chimiques et des déchets au-delà de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76D0" w14:textId="09AA3961" w:rsidR="00C77763" w:rsidRPr="00C77763" w:rsidRDefault="008424A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ST/SG/AC.10/C.4/2022/6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49FD" w14:textId="47189D84" w:rsidR="00C77763" w:rsidRPr="00C77763" w:rsidRDefault="008424AE" w:rsidP="00C7776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ST/SG/AC.10/C.4/2022/6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92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278EC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424AE"/>
    <w:rsid w:val="00871C75"/>
    <w:rsid w:val="008776DC"/>
    <w:rsid w:val="008B40CD"/>
    <w:rsid w:val="008C64C4"/>
    <w:rsid w:val="009705C8"/>
    <w:rsid w:val="009C1CF4"/>
    <w:rsid w:val="009C2192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C77763"/>
    <w:rsid w:val="00CA0F01"/>
    <w:rsid w:val="00D3439C"/>
    <w:rsid w:val="00DB1831"/>
    <w:rsid w:val="00DD3BFD"/>
    <w:rsid w:val="00DF6678"/>
    <w:rsid w:val="00EF2E22"/>
    <w:rsid w:val="00F01738"/>
    <w:rsid w:val="00F660DF"/>
    <w:rsid w:val="00F71350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41F0EA"/>
  <w15:docId w15:val="{E1033E34-F9D4-4404-B994-FC56435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C4D2B77-EB14-4DA7-9F8F-9C4DEBEE7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5F3CB6-5D1A-4D97-9FF7-E5DE4728DE60}"/>
</file>

<file path=customXml/itemProps3.xml><?xml version="1.0" encoding="utf-8"?>
<ds:datastoreItem xmlns:ds="http://schemas.openxmlformats.org/officeDocument/2006/customXml" ds:itemID="{0BC2A15C-5C5D-463F-8F6F-9FF4D1A2744E}"/>
</file>

<file path=customXml/itemProps4.xml><?xml version="1.0" encoding="utf-8"?>
<ds:datastoreItem xmlns:ds="http://schemas.openxmlformats.org/officeDocument/2006/customXml" ds:itemID="{A5EDA42D-9AAB-4076-BFB6-D59DC34EB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ST/SG/AC.10/C.4/2022/6</vt:lpstr>
    </vt:vector>
  </TitlesOfParts>
  <Company>DCM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ST/SG/AC.10/C.4/2022/6</dc:title>
  <dc:subject/>
  <dc:creator>Marie DESCHAMPS</dc:creator>
  <cp:keywords/>
  <cp:lastModifiedBy>Laurence Berthet</cp:lastModifiedBy>
  <cp:revision>3</cp:revision>
  <cp:lastPrinted>2022-06-14T12:40:00Z</cp:lastPrinted>
  <dcterms:created xsi:type="dcterms:W3CDTF">2022-06-14T12:40:00Z</dcterms:created>
  <dcterms:modified xsi:type="dcterms:W3CDTF">2022-06-14T12:40:00Z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