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22D9D52" w14:textId="77777777" w:rsidTr="00F01738">
        <w:trPr>
          <w:trHeight w:hRule="exact" w:val="851"/>
        </w:trPr>
        <w:tc>
          <w:tcPr>
            <w:tcW w:w="1276" w:type="dxa"/>
            <w:tcBorders>
              <w:bottom w:val="single" w:sz="4" w:space="0" w:color="auto"/>
            </w:tcBorders>
          </w:tcPr>
          <w:p w14:paraId="0D36C247" w14:textId="77777777" w:rsidR="00132EA9" w:rsidRPr="00DB58B5" w:rsidRDefault="00132EA9" w:rsidP="00F01738"/>
        </w:tc>
        <w:tc>
          <w:tcPr>
            <w:tcW w:w="2268" w:type="dxa"/>
            <w:tcBorders>
              <w:bottom w:val="single" w:sz="4" w:space="0" w:color="auto"/>
            </w:tcBorders>
            <w:vAlign w:val="bottom"/>
          </w:tcPr>
          <w:p w14:paraId="08C7D7F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B3EA3A" w14:textId="69D81D82" w:rsidR="00132EA9" w:rsidRPr="00DB58B5" w:rsidRDefault="007D41A8" w:rsidP="007D41A8">
            <w:pPr>
              <w:jc w:val="right"/>
            </w:pPr>
            <w:r w:rsidRPr="007D41A8">
              <w:rPr>
                <w:sz w:val="40"/>
              </w:rPr>
              <w:t>ST</w:t>
            </w:r>
            <w:r>
              <w:t>/SG/AC.10/C.3/2022/23</w:t>
            </w:r>
          </w:p>
        </w:tc>
      </w:tr>
      <w:tr w:rsidR="00132EA9" w:rsidRPr="00DB58B5" w14:paraId="670CB5E0" w14:textId="77777777" w:rsidTr="00F01738">
        <w:trPr>
          <w:trHeight w:hRule="exact" w:val="2835"/>
        </w:trPr>
        <w:tc>
          <w:tcPr>
            <w:tcW w:w="1276" w:type="dxa"/>
            <w:tcBorders>
              <w:top w:val="single" w:sz="4" w:space="0" w:color="auto"/>
              <w:bottom w:val="single" w:sz="12" w:space="0" w:color="auto"/>
            </w:tcBorders>
          </w:tcPr>
          <w:p w14:paraId="7AF91C24" w14:textId="77777777" w:rsidR="00132EA9" w:rsidRPr="00DB58B5" w:rsidRDefault="00132EA9" w:rsidP="00F01738">
            <w:pPr>
              <w:spacing w:before="120"/>
              <w:jc w:val="center"/>
            </w:pPr>
            <w:r>
              <w:rPr>
                <w:noProof/>
                <w:lang w:eastAsia="fr-CH"/>
              </w:rPr>
              <w:drawing>
                <wp:inline distT="0" distB="0" distL="0" distR="0" wp14:anchorId="37F5A30B" wp14:editId="657CC0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B98A9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982F17A" w14:textId="77777777" w:rsidR="00132EA9" w:rsidRDefault="007D41A8" w:rsidP="00F01738">
            <w:pPr>
              <w:spacing w:before="240"/>
            </w:pPr>
            <w:r>
              <w:t>Distr. générale</w:t>
            </w:r>
          </w:p>
          <w:p w14:paraId="7FE0FD7F" w14:textId="6E380DCC" w:rsidR="007D41A8" w:rsidRDefault="007D41A8" w:rsidP="007D41A8">
            <w:pPr>
              <w:spacing w:line="240" w:lineRule="exact"/>
            </w:pPr>
            <w:r>
              <w:t>7 avril 2022</w:t>
            </w:r>
          </w:p>
          <w:p w14:paraId="62DA1987" w14:textId="77777777" w:rsidR="007D41A8" w:rsidRDefault="007D41A8" w:rsidP="007D41A8">
            <w:pPr>
              <w:spacing w:line="240" w:lineRule="exact"/>
            </w:pPr>
            <w:r>
              <w:t>Français</w:t>
            </w:r>
          </w:p>
          <w:p w14:paraId="0607747E" w14:textId="0F21D674" w:rsidR="007D41A8" w:rsidRPr="007D41A8" w:rsidRDefault="007D41A8" w:rsidP="007D41A8">
            <w:pPr>
              <w:spacing w:line="240" w:lineRule="exact"/>
            </w:pPr>
            <w:r w:rsidRPr="007D41A8">
              <w:t>Original : anglais, espagnol et français</w:t>
            </w:r>
          </w:p>
        </w:tc>
      </w:tr>
    </w:tbl>
    <w:p w14:paraId="1A76F552" w14:textId="77777777" w:rsidR="007D41A8" w:rsidRPr="00CA0680" w:rsidRDefault="007D41A8" w:rsidP="007D41A8">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60AE0A8D" w14:textId="77777777" w:rsidR="007D41A8" w:rsidRPr="00CA0680" w:rsidRDefault="007D41A8" w:rsidP="007D41A8">
      <w:pPr>
        <w:spacing w:before="120"/>
        <w:rPr>
          <w:b/>
        </w:rPr>
      </w:pPr>
      <w:r w:rsidRPr="00CA0680">
        <w:rPr>
          <w:b/>
        </w:rPr>
        <w:t>Sous</w:t>
      </w:r>
      <w:r>
        <w:rPr>
          <w:b/>
        </w:rPr>
        <w:t>-</w:t>
      </w:r>
      <w:r w:rsidRPr="00CA0680">
        <w:rPr>
          <w:b/>
        </w:rPr>
        <w:t>Comité d’experts du transport des marchandises dangereuses</w:t>
      </w:r>
    </w:p>
    <w:p w14:paraId="0FD7B32B" w14:textId="77777777" w:rsidR="007D41A8" w:rsidRDefault="007D41A8" w:rsidP="007D41A8">
      <w:pPr>
        <w:spacing w:before="120"/>
        <w:rPr>
          <w:b/>
        </w:rPr>
      </w:pPr>
      <w:r>
        <w:rPr>
          <w:b/>
        </w:rPr>
        <w:t xml:space="preserve">Soixantième </w:t>
      </w:r>
      <w:r w:rsidRPr="00CA0680">
        <w:rPr>
          <w:b/>
        </w:rPr>
        <w:t>session</w:t>
      </w:r>
    </w:p>
    <w:p w14:paraId="61013A55" w14:textId="77777777" w:rsidR="007D41A8" w:rsidRDefault="007D41A8" w:rsidP="007D41A8">
      <w:r>
        <w:t>Genève, 27 juin-6 juillet 2022</w:t>
      </w:r>
    </w:p>
    <w:p w14:paraId="0727B430" w14:textId="22D887B1" w:rsidR="007D41A8" w:rsidRDefault="007D41A8" w:rsidP="007D41A8">
      <w:r>
        <w:t>Point 6 d) de l’ordre du jour provisoire</w:t>
      </w:r>
    </w:p>
    <w:p w14:paraId="50A87E37" w14:textId="008CFD69" w:rsidR="004610C5" w:rsidRPr="00DD4676" w:rsidRDefault="004610C5" w:rsidP="004610C5">
      <w:pPr>
        <w:rPr>
          <w:b/>
          <w:bCs/>
          <w:lang w:val="fr-FR"/>
        </w:rPr>
      </w:pPr>
      <w:r w:rsidRPr="00DD4676">
        <w:rPr>
          <w:b/>
          <w:bCs/>
          <w:lang w:val="fr-FR"/>
        </w:rPr>
        <w:t>Propositions diverses d</w:t>
      </w:r>
      <w:r>
        <w:rPr>
          <w:b/>
          <w:bCs/>
          <w:lang w:val="fr-FR"/>
        </w:rPr>
        <w:t>’</w:t>
      </w:r>
      <w:r w:rsidRPr="00DD4676">
        <w:rPr>
          <w:b/>
          <w:bCs/>
          <w:lang w:val="fr-FR"/>
        </w:rPr>
        <w:t xml:space="preserve">amendements au Règlement type pour le transport </w:t>
      </w:r>
      <w:r>
        <w:rPr>
          <w:b/>
          <w:bCs/>
          <w:lang w:val="fr-FR"/>
        </w:rPr>
        <w:br/>
      </w:r>
      <w:r w:rsidRPr="00DD4676">
        <w:rPr>
          <w:b/>
          <w:bCs/>
          <w:lang w:val="fr-FR"/>
        </w:rPr>
        <w:t>des marchandises dangereuses</w:t>
      </w:r>
      <w:r>
        <w:rPr>
          <w:b/>
          <w:bCs/>
          <w:lang w:val="fr-FR"/>
        </w:rPr>
        <w:t> </w:t>
      </w:r>
      <w:r w:rsidRPr="00DD4676">
        <w:rPr>
          <w:b/>
          <w:bCs/>
          <w:lang w:val="fr-FR"/>
        </w:rPr>
        <w:t>: autres propositions diverses</w:t>
      </w:r>
    </w:p>
    <w:p w14:paraId="6AFEF4F8" w14:textId="77777777" w:rsidR="004610C5" w:rsidRPr="00DD4676" w:rsidRDefault="004610C5" w:rsidP="004610C5">
      <w:pPr>
        <w:pStyle w:val="HChG"/>
        <w:rPr>
          <w:sz w:val="22"/>
          <w:szCs w:val="22"/>
          <w:lang w:val="fr-FR"/>
        </w:rPr>
      </w:pPr>
      <w:r w:rsidRPr="00DD4676">
        <w:rPr>
          <w:lang w:val="fr-FR"/>
        </w:rPr>
        <w:tab/>
      </w:r>
      <w:r w:rsidRPr="00DD4676">
        <w:rPr>
          <w:lang w:val="fr-FR"/>
        </w:rPr>
        <w:tab/>
        <w:t>Taux de remplissage et degré de remplissage</w:t>
      </w:r>
    </w:p>
    <w:p w14:paraId="5208CB00" w14:textId="7B6D2FB6" w:rsidR="004610C5" w:rsidRPr="00DD4676" w:rsidRDefault="004610C5" w:rsidP="004610C5">
      <w:pPr>
        <w:pStyle w:val="H1G"/>
        <w:rPr>
          <w:rFonts w:asciiTheme="majorBidi" w:hAnsiTheme="majorBidi" w:cstheme="majorBidi"/>
          <w:color w:val="000000" w:themeColor="text1"/>
          <w:lang w:val="fr-FR"/>
        </w:rPr>
      </w:pPr>
      <w:r w:rsidRPr="00DD4676">
        <w:rPr>
          <w:lang w:val="fr-FR"/>
        </w:rPr>
        <w:tab/>
      </w:r>
      <w:r w:rsidRPr="00DD4676">
        <w:rPr>
          <w:lang w:val="fr-FR"/>
        </w:rPr>
        <w:tab/>
        <w:t>Communication de l</w:t>
      </w:r>
      <w:r>
        <w:rPr>
          <w:lang w:val="fr-FR"/>
        </w:rPr>
        <w:t>’</w:t>
      </w:r>
      <w:r w:rsidRPr="00DD4676">
        <w:rPr>
          <w:lang w:val="fr-FR"/>
        </w:rPr>
        <w:t>expert de l</w:t>
      </w:r>
      <w:r>
        <w:rPr>
          <w:lang w:val="fr-FR"/>
        </w:rPr>
        <w:t>’</w:t>
      </w:r>
      <w:r w:rsidRPr="00DD4676">
        <w:rPr>
          <w:lang w:val="fr-FR"/>
        </w:rPr>
        <w:t>Espagne</w:t>
      </w:r>
      <w:r w:rsidRPr="004610C5">
        <w:rPr>
          <w:rStyle w:val="FootnoteReference"/>
          <w:b w:val="0"/>
          <w:bCs/>
          <w:sz w:val="20"/>
          <w:vertAlign w:val="baseline"/>
        </w:rPr>
        <w:footnoteReference w:customMarkFollows="1" w:id="2"/>
        <w:t>*</w:t>
      </w:r>
    </w:p>
    <w:p w14:paraId="3660910C" w14:textId="77777777" w:rsidR="004610C5" w:rsidRPr="00DD4676" w:rsidRDefault="004610C5" w:rsidP="004610C5">
      <w:pPr>
        <w:pStyle w:val="HChG"/>
        <w:rPr>
          <w:rFonts w:asciiTheme="majorBidi" w:hAnsiTheme="majorBidi" w:cstheme="majorBidi"/>
          <w:lang w:val="fr-FR"/>
        </w:rPr>
      </w:pPr>
      <w:r w:rsidRPr="00DD4676">
        <w:rPr>
          <w:lang w:val="fr-FR"/>
        </w:rPr>
        <w:tab/>
      </w:r>
      <w:r w:rsidRPr="00DD4676">
        <w:rPr>
          <w:lang w:val="fr-FR"/>
        </w:rPr>
        <w:tab/>
        <w:t>Introduction</w:t>
      </w:r>
    </w:p>
    <w:p w14:paraId="31A94F3A" w14:textId="504F48E0" w:rsidR="004610C5" w:rsidRPr="00DD4676" w:rsidRDefault="004610C5" w:rsidP="004610C5">
      <w:pPr>
        <w:pStyle w:val="SingleTxtG"/>
        <w:rPr>
          <w:lang w:val="fr-FR"/>
        </w:rPr>
      </w:pPr>
      <w:r w:rsidRPr="00DD4676">
        <w:rPr>
          <w:lang w:val="fr-FR"/>
        </w:rPr>
        <w:t>1.</w:t>
      </w:r>
      <w:r w:rsidRPr="00DD4676">
        <w:rPr>
          <w:lang w:val="fr-FR"/>
        </w:rPr>
        <w:tab/>
        <w:t>Au chapitre</w:t>
      </w:r>
      <w:r>
        <w:rPr>
          <w:lang w:val="fr-FR"/>
        </w:rPr>
        <w:t> </w:t>
      </w:r>
      <w:r w:rsidRPr="00DD4676">
        <w:rPr>
          <w:lang w:val="fr-FR"/>
        </w:rPr>
        <w:t>1.2 du Règlement type, le « taux de remplissage » est défini comme « le</w:t>
      </w:r>
      <w:r w:rsidR="001502B6">
        <w:rPr>
          <w:lang w:val="fr-FR"/>
        </w:rPr>
        <w:t> </w:t>
      </w:r>
      <w:r w:rsidRPr="00DD4676">
        <w:rPr>
          <w:lang w:val="fr-FR"/>
        </w:rPr>
        <w:t>rapport entre la masse de gaz et la masse d</w:t>
      </w:r>
      <w:r>
        <w:rPr>
          <w:lang w:val="fr-FR"/>
        </w:rPr>
        <w:t>’</w:t>
      </w:r>
      <w:r w:rsidRPr="00DD4676">
        <w:rPr>
          <w:lang w:val="fr-FR"/>
        </w:rPr>
        <w:t>eau à 15</w:t>
      </w:r>
      <w:r>
        <w:rPr>
          <w:lang w:val="fr-FR"/>
        </w:rPr>
        <w:t> </w:t>
      </w:r>
      <w:r w:rsidRPr="00DD4676">
        <w:rPr>
          <w:lang w:val="fr-FR"/>
        </w:rPr>
        <w:t>°C qui remplirait complétement un récipient à pression prêt à l</w:t>
      </w:r>
      <w:r>
        <w:rPr>
          <w:lang w:val="fr-FR"/>
        </w:rPr>
        <w:t>’</w:t>
      </w:r>
      <w:r w:rsidRPr="00DD4676">
        <w:rPr>
          <w:lang w:val="fr-FR"/>
        </w:rPr>
        <w:t>emploi ». Cette définition s</w:t>
      </w:r>
      <w:r>
        <w:rPr>
          <w:lang w:val="fr-FR"/>
        </w:rPr>
        <w:t>’</w:t>
      </w:r>
      <w:r w:rsidRPr="00DD4676">
        <w:rPr>
          <w:lang w:val="fr-FR"/>
        </w:rPr>
        <w:t>applique à tous les types de gaz, et seulement aux gaz. Elle a été ajoutée en même temps que d</w:t>
      </w:r>
      <w:r>
        <w:rPr>
          <w:lang w:val="fr-FR"/>
        </w:rPr>
        <w:t>’</w:t>
      </w:r>
      <w:r w:rsidRPr="00DD4676">
        <w:rPr>
          <w:lang w:val="fr-FR"/>
        </w:rPr>
        <w:t>autres dispositions générales relatives au transport de gaz comme suite à une proposition formulée par l</w:t>
      </w:r>
      <w:r>
        <w:rPr>
          <w:lang w:val="fr-FR"/>
        </w:rPr>
        <w:t>’</w:t>
      </w:r>
      <w:r w:rsidRPr="00DD4676">
        <w:rPr>
          <w:lang w:val="fr-FR"/>
        </w:rPr>
        <w:t>Association européenne des gaz industriels (EIGA) en l</w:t>
      </w:r>
      <w:r>
        <w:rPr>
          <w:lang w:val="fr-FR"/>
        </w:rPr>
        <w:t>’</w:t>
      </w:r>
      <w:r w:rsidRPr="00DD4676">
        <w:rPr>
          <w:lang w:val="fr-FR"/>
        </w:rPr>
        <w:t>an 2000.</w:t>
      </w:r>
    </w:p>
    <w:p w14:paraId="4751440E" w14:textId="2EBF8532" w:rsidR="004610C5" w:rsidRPr="00DD4676" w:rsidRDefault="004610C5" w:rsidP="004610C5">
      <w:pPr>
        <w:pStyle w:val="SingleTxtG"/>
        <w:rPr>
          <w:lang w:val="fr-FR"/>
        </w:rPr>
      </w:pPr>
      <w:r w:rsidRPr="00DD4676">
        <w:rPr>
          <w:lang w:val="fr-FR"/>
        </w:rPr>
        <w:t>2.</w:t>
      </w:r>
      <w:r w:rsidRPr="00DD4676">
        <w:rPr>
          <w:lang w:val="fr-FR"/>
        </w:rPr>
        <w:tab/>
        <w:t>Le terme « degré de remplissage », réservé aux matières liquides et aux matières solides, n</w:t>
      </w:r>
      <w:r>
        <w:rPr>
          <w:lang w:val="fr-FR"/>
        </w:rPr>
        <w:t>’</w:t>
      </w:r>
      <w:r w:rsidRPr="00DD4676">
        <w:rPr>
          <w:lang w:val="fr-FR"/>
        </w:rPr>
        <w:t>est quant à lui pas défini au</w:t>
      </w:r>
      <w:r w:rsidR="001502B6">
        <w:rPr>
          <w:lang w:val="fr-FR"/>
        </w:rPr>
        <w:t> </w:t>
      </w:r>
      <w:r w:rsidRPr="00DD4676">
        <w:rPr>
          <w:lang w:val="fr-FR"/>
        </w:rPr>
        <w:t>1.2.1.</w:t>
      </w:r>
    </w:p>
    <w:p w14:paraId="13AC9AB7" w14:textId="77777777" w:rsidR="004610C5" w:rsidRPr="00DD4676" w:rsidRDefault="004610C5" w:rsidP="004610C5">
      <w:pPr>
        <w:pStyle w:val="HChG"/>
        <w:rPr>
          <w:szCs w:val="28"/>
          <w:lang w:val="fr-FR"/>
        </w:rPr>
      </w:pPr>
      <w:r w:rsidRPr="00DD4676">
        <w:rPr>
          <w:lang w:val="fr-FR"/>
        </w:rPr>
        <w:tab/>
      </w:r>
      <w:r w:rsidRPr="00DD4676">
        <w:rPr>
          <w:lang w:val="fr-FR"/>
        </w:rPr>
        <w:tab/>
        <w:t>Emploi de « degré de remplissage » pour les gaz</w:t>
      </w:r>
    </w:p>
    <w:p w14:paraId="5FB818D9" w14:textId="77777777" w:rsidR="004610C5" w:rsidRPr="00DD4676" w:rsidRDefault="004610C5" w:rsidP="004610C5">
      <w:pPr>
        <w:pStyle w:val="SingleTxtG"/>
        <w:rPr>
          <w:lang w:val="fr-FR"/>
        </w:rPr>
      </w:pPr>
      <w:r w:rsidRPr="00DD4676">
        <w:rPr>
          <w:lang w:val="fr-FR"/>
        </w:rPr>
        <w:t>3.</w:t>
      </w:r>
      <w:r w:rsidRPr="00DD4676">
        <w:rPr>
          <w:lang w:val="fr-FR"/>
        </w:rPr>
        <w:tab/>
        <w:t>Si l</w:t>
      </w:r>
      <w:r>
        <w:rPr>
          <w:lang w:val="fr-FR"/>
        </w:rPr>
        <w:t>’</w:t>
      </w:r>
      <w:r w:rsidRPr="00DD4676">
        <w:rPr>
          <w:lang w:val="fr-FR"/>
        </w:rPr>
        <w:t>on analyse l</w:t>
      </w:r>
      <w:r>
        <w:rPr>
          <w:lang w:val="fr-FR"/>
        </w:rPr>
        <w:t>’</w:t>
      </w:r>
      <w:r w:rsidRPr="00DD4676">
        <w:rPr>
          <w:lang w:val="fr-FR"/>
        </w:rPr>
        <w:t>emploi des termes « taux de remplissage » et « degré de remplissage » dans le Règlement type, il semble clair que seul « taux de remplissage » devrait être associé aux gaz. Néanmoins, le Règlement type est parsemé d</w:t>
      </w:r>
      <w:r>
        <w:rPr>
          <w:lang w:val="fr-FR"/>
        </w:rPr>
        <w:t>’</w:t>
      </w:r>
      <w:r w:rsidRPr="00DD4676">
        <w:rPr>
          <w:lang w:val="fr-FR"/>
        </w:rPr>
        <w:t>occurrences de « degré de remplissage ». Toutes ces occurrences ont été examinées individuellement et devraient être systématiquement remplacées par « taux de remplissage » lorsqu</w:t>
      </w:r>
      <w:r>
        <w:rPr>
          <w:lang w:val="fr-FR"/>
        </w:rPr>
        <w:t>’</w:t>
      </w:r>
      <w:r w:rsidRPr="00DD4676">
        <w:rPr>
          <w:lang w:val="fr-FR"/>
        </w:rPr>
        <w:t>il est question de gaz, à des fins de clarté. De même, il convient de modifier le libellé dans les cas où « taux de remplissage » a été employé pour des matières liquides ou solides.</w:t>
      </w:r>
    </w:p>
    <w:p w14:paraId="602D0040" w14:textId="77777777" w:rsidR="004610C5" w:rsidRDefault="004610C5" w:rsidP="004610C5">
      <w:pPr>
        <w:pStyle w:val="SingleTxtG"/>
        <w:rPr>
          <w:lang w:val="fr-FR"/>
        </w:rPr>
      </w:pPr>
      <w:r w:rsidRPr="00DD4676">
        <w:rPr>
          <w:lang w:val="fr-FR"/>
        </w:rPr>
        <w:t>4.</w:t>
      </w:r>
      <w:r w:rsidRPr="00DD4676">
        <w:rPr>
          <w:lang w:val="fr-FR"/>
        </w:rPr>
        <w:tab/>
        <w:t>L</w:t>
      </w:r>
      <w:r>
        <w:rPr>
          <w:lang w:val="fr-FR"/>
        </w:rPr>
        <w:t>’</w:t>
      </w:r>
      <w:r w:rsidRPr="00DD4676">
        <w:rPr>
          <w:lang w:val="fr-FR"/>
        </w:rPr>
        <w:t>Espagne a examiné l</w:t>
      </w:r>
      <w:r>
        <w:rPr>
          <w:lang w:val="fr-FR"/>
        </w:rPr>
        <w:t>’</w:t>
      </w:r>
      <w:r w:rsidRPr="00DD4676">
        <w:rPr>
          <w:lang w:val="fr-FR"/>
        </w:rPr>
        <w:t>emploi de ces termes dans les versions française, anglaise et espagnole du Règlement type, car ils n</w:t>
      </w:r>
      <w:r>
        <w:rPr>
          <w:lang w:val="fr-FR"/>
        </w:rPr>
        <w:t>’</w:t>
      </w:r>
      <w:r w:rsidRPr="00DD4676">
        <w:rPr>
          <w:lang w:val="fr-FR"/>
        </w:rPr>
        <w:t>ont pas été utilisés de manière cohérente lors de la traduction d</w:t>
      </w:r>
      <w:r>
        <w:rPr>
          <w:lang w:val="fr-FR"/>
        </w:rPr>
        <w:t>’</w:t>
      </w:r>
      <w:r w:rsidRPr="00DD4676">
        <w:rPr>
          <w:lang w:val="fr-FR"/>
        </w:rPr>
        <w:t>une langue à l</w:t>
      </w:r>
      <w:r>
        <w:rPr>
          <w:lang w:val="fr-FR"/>
        </w:rPr>
        <w:t>’</w:t>
      </w:r>
      <w:r w:rsidRPr="00DD4676">
        <w:rPr>
          <w:lang w:val="fr-FR"/>
        </w:rPr>
        <w:t>autre.</w:t>
      </w:r>
    </w:p>
    <w:p w14:paraId="3822337A" w14:textId="0637EFAA" w:rsidR="004610C5" w:rsidRPr="00DD4676" w:rsidRDefault="004610C5" w:rsidP="004610C5">
      <w:pPr>
        <w:pStyle w:val="SingleTxtG"/>
        <w:keepNext/>
        <w:keepLines/>
        <w:rPr>
          <w:lang w:val="fr-FR"/>
        </w:rPr>
      </w:pPr>
      <w:r w:rsidRPr="00DD4676">
        <w:rPr>
          <w:lang w:val="fr-FR"/>
        </w:rPr>
        <w:lastRenderedPageBreak/>
        <w:t>5.</w:t>
      </w:r>
      <w:r w:rsidRPr="00DD4676">
        <w:rPr>
          <w:lang w:val="fr-FR"/>
        </w:rPr>
        <w:tab/>
        <w:t>Les définitions équivalentes suivantes figurent dans les trois versions linguistiques</w:t>
      </w:r>
      <w:r>
        <w:rPr>
          <w:lang w:val="fr-FR"/>
        </w:rPr>
        <w:t> </w:t>
      </w:r>
      <w:r w:rsidRPr="00DD4676">
        <w:rPr>
          <w:lang w:val="fr-FR"/>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941"/>
        <w:gridCol w:w="1941"/>
        <w:gridCol w:w="1942"/>
      </w:tblGrid>
      <w:tr w:rsidR="004610C5" w:rsidRPr="00DD4676" w14:paraId="5AE12D7E" w14:textId="77777777" w:rsidTr="004610C5">
        <w:tc>
          <w:tcPr>
            <w:tcW w:w="1633" w:type="dxa"/>
          </w:tcPr>
          <w:p w14:paraId="131DA69D" w14:textId="77777777" w:rsidR="004610C5" w:rsidRPr="00DD4676" w:rsidRDefault="004610C5" w:rsidP="004610C5">
            <w:pPr>
              <w:keepNext/>
              <w:keepLines/>
              <w:spacing w:before="60" w:after="60"/>
              <w:rPr>
                <w:lang w:val="fr-FR"/>
              </w:rPr>
            </w:pPr>
          </w:p>
        </w:tc>
        <w:tc>
          <w:tcPr>
            <w:tcW w:w="1941" w:type="dxa"/>
          </w:tcPr>
          <w:p w14:paraId="738D9FF6" w14:textId="77777777" w:rsidR="004610C5" w:rsidRPr="00DD4676" w:rsidRDefault="004610C5" w:rsidP="004610C5">
            <w:pPr>
              <w:keepNext/>
              <w:keepLines/>
              <w:spacing w:before="60" w:after="60"/>
              <w:jc w:val="center"/>
              <w:rPr>
                <w:lang w:val="fr-FR"/>
              </w:rPr>
            </w:pPr>
            <w:r w:rsidRPr="00DD4676">
              <w:rPr>
                <w:lang w:val="fr-FR"/>
              </w:rPr>
              <w:t>Anglais</w:t>
            </w:r>
          </w:p>
        </w:tc>
        <w:tc>
          <w:tcPr>
            <w:tcW w:w="1941" w:type="dxa"/>
          </w:tcPr>
          <w:p w14:paraId="1B3E92C9" w14:textId="77777777" w:rsidR="004610C5" w:rsidRPr="00DD4676" w:rsidRDefault="004610C5" w:rsidP="004610C5">
            <w:pPr>
              <w:keepNext/>
              <w:keepLines/>
              <w:spacing w:before="60" w:after="60"/>
              <w:jc w:val="center"/>
              <w:rPr>
                <w:lang w:val="fr-FR"/>
              </w:rPr>
            </w:pPr>
            <w:r w:rsidRPr="00DD4676">
              <w:rPr>
                <w:lang w:val="fr-FR"/>
              </w:rPr>
              <w:t>Français</w:t>
            </w:r>
          </w:p>
        </w:tc>
        <w:tc>
          <w:tcPr>
            <w:tcW w:w="1942" w:type="dxa"/>
          </w:tcPr>
          <w:p w14:paraId="4A91EA95" w14:textId="77777777" w:rsidR="004610C5" w:rsidRPr="00DD4676" w:rsidRDefault="004610C5" w:rsidP="004610C5">
            <w:pPr>
              <w:keepNext/>
              <w:keepLines/>
              <w:spacing w:before="60" w:after="60"/>
              <w:jc w:val="center"/>
              <w:rPr>
                <w:lang w:val="fr-FR"/>
              </w:rPr>
            </w:pPr>
            <w:r w:rsidRPr="00DD4676">
              <w:rPr>
                <w:lang w:val="fr-FR"/>
              </w:rPr>
              <w:t>Espagnol</w:t>
            </w:r>
          </w:p>
        </w:tc>
      </w:tr>
      <w:tr w:rsidR="004610C5" w:rsidRPr="00DD4676" w14:paraId="1C70DDB0" w14:textId="77777777" w:rsidTr="004610C5">
        <w:tc>
          <w:tcPr>
            <w:tcW w:w="1633" w:type="dxa"/>
          </w:tcPr>
          <w:p w14:paraId="0B9B3309" w14:textId="77777777" w:rsidR="004610C5" w:rsidRPr="00DD4676" w:rsidRDefault="004610C5" w:rsidP="004610C5">
            <w:pPr>
              <w:spacing w:before="60" w:after="60"/>
              <w:rPr>
                <w:lang w:val="fr-FR"/>
              </w:rPr>
            </w:pPr>
            <w:r w:rsidRPr="00DD4676">
              <w:rPr>
                <w:lang w:val="fr-FR"/>
              </w:rPr>
              <w:t>Gaz (tels que définis au 1.2.1)</w:t>
            </w:r>
          </w:p>
        </w:tc>
        <w:tc>
          <w:tcPr>
            <w:tcW w:w="1941" w:type="dxa"/>
          </w:tcPr>
          <w:p w14:paraId="5C01A833" w14:textId="77777777" w:rsidR="004610C5" w:rsidRPr="00DD4676" w:rsidRDefault="004610C5" w:rsidP="004610C5">
            <w:pPr>
              <w:spacing w:before="60" w:after="60"/>
              <w:jc w:val="center"/>
              <w:rPr>
                <w:lang w:val="fr-FR"/>
              </w:rPr>
            </w:pPr>
            <w:r w:rsidRPr="00DD4676">
              <w:rPr>
                <w:lang w:val="fr-FR"/>
              </w:rPr>
              <w:t>Filling ratio</w:t>
            </w:r>
          </w:p>
        </w:tc>
        <w:tc>
          <w:tcPr>
            <w:tcW w:w="1941" w:type="dxa"/>
          </w:tcPr>
          <w:p w14:paraId="469E94C1" w14:textId="77777777" w:rsidR="004610C5" w:rsidRPr="00DD4676" w:rsidRDefault="004610C5" w:rsidP="004610C5">
            <w:pPr>
              <w:spacing w:before="60" w:after="60"/>
              <w:jc w:val="center"/>
              <w:rPr>
                <w:lang w:val="fr-FR"/>
              </w:rPr>
            </w:pPr>
            <w:r w:rsidRPr="00DD4676">
              <w:rPr>
                <w:lang w:val="fr-FR"/>
              </w:rPr>
              <w:t>Taux de remplissage</w:t>
            </w:r>
          </w:p>
        </w:tc>
        <w:tc>
          <w:tcPr>
            <w:tcW w:w="1942" w:type="dxa"/>
          </w:tcPr>
          <w:p w14:paraId="4CBD7CFD" w14:textId="03437BEA" w:rsidR="004610C5" w:rsidRPr="00DD4676" w:rsidRDefault="004610C5" w:rsidP="004610C5">
            <w:pPr>
              <w:spacing w:before="60" w:after="60"/>
              <w:jc w:val="center"/>
              <w:rPr>
                <w:lang w:val="fr-FR"/>
              </w:rPr>
            </w:pPr>
            <w:r w:rsidRPr="00DD4676">
              <w:rPr>
                <w:lang w:val="fr-FR"/>
              </w:rPr>
              <w:t>Tasa/razón de</w:t>
            </w:r>
            <w:r>
              <w:rPr>
                <w:lang w:val="fr-FR"/>
              </w:rPr>
              <w:t> </w:t>
            </w:r>
            <w:r w:rsidRPr="00DD4676">
              <w:rPr>
                <w:lang w:val="fr-FR"/>
              </w:rPr>
              <w:t>llenado</w:t>
            </w:r>
          </w:p>
        </w:tc>
      </w:tr>
      <w:tr w:rsidR="004610C5" w:rsidRPr="00DD4676" w14:paraId="1929E65B" w14:textId="77777777" w:rsidTr="004610C5">
        <w:tc>
          <w:tcPr>
            <w:tcW w:w="1633" w:type="dxa"/>
          </w:tcPr>
          <w:p w14:paraId="30F5725E" w14:textId="77777777" w:rsidR="004610C5" w:rsidRPr="00DD4676" w:rsidRDefault="004610C5" w:rsidP="004610C5">
            <w:pPr>
              <w:spacing w:before="60" w:after="60"/>
              <w:rPr>
                <w:lang w:val="fr-FR"/>
              </w:rPr>
            </w:pPr>
            <w:r w:rsidRPr="00DD4676">
              <w:rPr>
                <w:lang w:val="fr-FR"/>
              </w:rPr>
              <w:t>Matières liquides ou solides</w:t>
            </w:r>
          </w:p>
        </w:tc>
        <w:tc>
          <w:tcPr>
            <w:tcW w:w="1941" w:type="dxa"/>
          </w:tcPr>
          <w:p w14:paraId="53315A49" w14:textId="77777777" w:rsidR="004610C5" w:rsidRPr="00DD4676" w:rsidRDefault="004610C5" w:rsidP="004610C5">
            <w:pPr>
              <w:spacing w:before="60" w:after="60"/>
              <w:jc w:val="center"/>
              <w:rPr>
                <w:lang w:val="fr-FR"/>
              </w:rPr>
            </w:pPr>
            <w:r w:rsidRPr="00DD4676">
              <w:rPr>
                <w:lang w:val="fr-FR"/>
              </w:rPr>
              <w:t>Degree of filling</w:t>
            </w:r>
          </w:p>
        </w:tc>
        <w:tc>
          <w:tcPr>
            <w:tcW w:w="1941" w:type="dxa"/>
          </w:tcPr>
          <w:p w14:paraId="27619011" w14:textId="77777777" w:rsidR="004610C5" w:rsidRPr="00DD4676" w:rsidRDefault="004610C5" w:rsidP="004610C5">
            <w:pPr>
              <w:spacing w:before="60" w:after="60"/>
              <w:jc w:val="center"/>
              <w:rPr>
                <w:lang w:val="fr-FR"/>
              </w:rPr>
            </w:pPr>
            <w:r w:rsidRPr="00DD4676">
              <w:rPr>
                <w:lang w:val="fr-FR"/>
              </w:rPr>
              <w:t>Degré de remplissage</w:t>
            </w:r>
          </w:p>
        </w:tc>
        <w:tc>
          <w:tcPr>
            <w:tcW w:w="1942" w:type="dxa"/>
          </w:tcPr>
          <w:p w14:paraId="64E0A514" w14:textId="77777777" w:rsidR="004610C5" w:rsidRPr="00DD4676" w:rsidRDefault="004610C5" w:rsidP="004610C5">
            <w:pPr>
              <w:spacing w:before="60" w:after="60"/>
              <w:jc w:val="center"/>
              <w:rPr>
                <w:lang w:val="fr-FR"/>
              </w:rPr>
            </w:pPr>
            <w:r w:rsidRPr="00DD4676">
              <w:rPr>
                <w:lang w:val="fr-FR"/>
              </w:rPr>
              <w:t>Grado de llenado</w:t>
            </w:r>
          </w:p>
        </w:tc>
      </w:tr>
    </w:tbl>
    <w:p w14:paraId="7776EEB9" w14:textId="381A3C35" w:rsidR="004610C5" w:rsidRPr="00DD4676" w:rsidRDefault="004610C5" w:rsidP="004610C5">
      <w:pPr>
        <w:pStyle w:val="SingleTxtG"/>
        <w:spacing w:before="120"/>
        <w:rPr>
          <w:lang w:val="fr-FR"/>
        </w:rPr>
      </w:pPr>
      <w:r w:rsidRPr="00DD4676">
        <w:rPr>
          <w:lang w:val="fr-FR"/>
        </w:rPr>
        <w:t>6.</w:t>
      </w:r>
      <w:r w:rsidRPr="00DD4676">
        <w:rPr>
          <w:lang w:val="fr-FR"/>
        </w:rPr>
        <w:tab/>
        <w:t>Le cas des gaz liquéfiés mérite une mention particulière. Pour décrire correctement la quantité de gaz liquéfié qui se trouve dans un récipient à pression, on doit indiquer le rapport entre la masse totale de gaz (phase liquide et phase gazeuse) contenue dans le récipient et la masse d</w:t>
      </w:r>
      <w:r>
        <w:rPr>
          <w:lang w:val="fr-FR"/>
        </w:rPr>
        <w:t>’</w:t>
      </w:r>
      <w:r w:rsidRPr="00DD4676">
        <w:rPr>
          <w:lang w:val="fr-FR"/>
        </w:rPr>
        <w:t>eau à 15</w:t>
      </w:r>
      <w:r>
        <w:rPr>
          <w:lang w:val="fr-FR"/>
        </w:rPr>
        <w:t> </w:t>
      </w:r>
      <w:r w:rsidRPr="00DD4676">
        <w:rPr>
          <w:lang w:val="fr-FR"/>
        </w:rPr>
        <w:t>°C qui remplirait complétement ce récipient, ce qui correspond exactement à la définition de « taux de remplissage ». Il convient donc d</w:t>
      </w:r>
      <w:r>
        <w:rPr>
          <w:lang w:val="fr-FR"/>
        </w:rPr>
        <w:t>’</w:t>
      </w:r>
      <w:r w:rsidRPr="00DD4676">
        <w:rPr>
          <w:lang w:val="fr-FR"/>
        </w:rPr>
        <w:t>employer « taux de remplissage » pour les gaz liquéfiés de manière générale.</w:t>
      </w:r>
    </w:p>
    <w:p w14:paraId="28B11BDB" w14:textId="3474BE9C" w:rsidR="004610C5" w:rsidRPr="00DD4676" w:rsidRDefault="004610C5" w:rsidP="004610C5">
      <w:pPr>
        <w:pStyle w:val="SingleTxtG"/>
        <w:rPr>
          <w:lang w:val="fr-FR"/>
        </w:rPr>
      </w:pPr>
      <w:r w:rsidRPr="00DD4676">
        <w:rPr>
          <w:lang w:val="fr-FR"/>
        </w:rPr>
        <w:t>7.</w:t>
      </w:r>
      <w:r w:rsidRPr="00DD4676">
        <w:rPr>
          <w:lang w:val="fr-FR"/>
        </w:rPr>
        <w:tab/>
        <w:t>L</w:t>
      </w:r>
      <w:r>
        <w:rPr>
          <w:lang w:val="fr-FR"/>
        </w:rPr>
        <w:t>’</w:t>
      </w:r>
      <w:r w:rsidRPr="00DD4676">
        <w:rPr>
          <w:lang w:val="fr-FR"/>
        </w:rPr>
        <w:t>annexe du présent document comprend un tableau qui indique dans quelles dispositions du Règlement type les termes « taux de remplissage » et « degré de remplissage » ont été employés et s</w:t>
      </w:r>
      <w:r>
        <w:rPr>
          <w:lang w:val="fr-FR"/>
        </w:rPr>
        <w:t>’</w:t>
      </w:r>
      <w:r w:rsidRPr="00DD4676">
        <w:rPr>
          <w:lang w:val="fr-FR"/>
        </w:rPr>
        <w:t>il convient ou non de modifier le libellé actuel dans les langues concernées. Ce tableau récapitule les propositions de modification détaillées aux paragraphes</w:t>
      </w:r>
      <w:r>
        <w:rPr>
          <w:lang w:val="fr-FR"/>
        </w:rPr>
        <w:t> </w:t>
      </w:r>
      <w:r w:rsidRPr="00DD4676">
        <w:rPr>
          <w:lang w:val="fr-FR"/>
        </w:rPr>
        <w:t>12 à 53, classées par langue.</w:t>
      </w:r>
    </w:p>
    <w:p w14:paraId="2D8662B9" w14:textId="77777777" w:rsidR="004610C5" w:rsidRPr="00DD4676" w:rsidRDefault="004610C5" w:rsidP="004610C5">
      <w:pPr>
        <w:pStyle w:val="HChG"/>
        <w:rPr>
          <w:rFonts w:asciiTheme="majorBidi" w:hAnsiTheme="majorBidi" w:cstheme="majorBidi"/>
          <w:lang w:val="fr-FR"/>
        </w:rPr>
      </w:pPr>
      <w:r w:rsidRPr="00DD4676">
        <w:rPr>
          <w:lang w:val="fr-FR"/>
        </w:rPr>
        <w:tab/>
      </w:r>
      <w:r w:rsidRPr="00DD4676">
        <w:rPr>
          <w:lang w:val="fr-FR"/>
        </w:rPr>
        <w:tab/>
        <w:t>Introduction d</w:t>
      </w:r>
      <w:r>
        <w:rPr>
          <w:lang w:val="fr-FR"/>
        </w:rPr>
        <w:t>’</w:t>
      </w:r>
      <w:r w:rsidRPr="00DD4676">
        <w:rPr>
          <w:lang w:val="fr-FR"/>
        </w:rPr>
        <w:t>une définition pour « degré de remplissage »</w:t>
      </w:r>
    </w:p>
    <w:p w14:paraId="17861599" w14:textId="1D1ED6FC" w:rsidR="004610C5" w:rsidRPr="00DD4676" w:rsidRDefault="004610C5" w:rsidP="004610C5">
      <w:pPr>
        <w:pStyle w:val="SingleTxtG"/>
        <w:rPr>
          <w:lang w:val="fr-FR"/>
        </w:rPr>
      </w:pPr>
      <w:r w:rsidRPr="00DD4676">
        <w:rPr>
          <w:lang w:val="fr-FR"/>
        </w:rPr>
        <w:t>8.</w:t>
      </w:r>
      <w:r w:rsidRPr="00DD4676">
        <w:rPr>
          <w:lang w:val="fr-FR"/>
        </w:rPr>
        <w:tab/>
        <w:t>Dans le Règlement type, le terme « taux de remplissage », destiné aux gaz, est défini au chapitre</w:t>
      </w:r>
      <w:r>
        <w:rPr>
          <w:lang w:val="fr-FR"/>
        </w:rPr>
        <w:t> </w:t>
      </w:r>
      <w:r w:rsidRPr="00DD4676">
        <w:rPr>
          <w:lang w:val="fr-FR"/>
        </w:rPr>
        <w:t>1.2. Le terme «</w:t>
      </w:r>
      <w:r>
        <w:rPr>
          <w:lang w:val="fr-FR"/>
        </w:rPr>
        <w:t> </w:t>
      </w:r>
      <w:r w:rsidRPr="00DD4676">
        <w:rPr>
          <w:lang w:val="fr-FR"/>
        </w:rPr>
        <w:t>degré de remplissage</w:t>
      </w:r>
      <w:r>
        <w:rPr>
          <w:lang w:val="fr-FR"/>
        </w:rPr>
        <w:t> </w:t>
      </w:r>
      <w:r w:rsidRPr="00DD4676">
        <w:rPr>
          <w:lang w:val="fr-FR"/>
        </w:rPr>
        <w:t>», destiné aux matières liquides et aux matières solides, n</w:t>
      </w:r>
      <w:r>
        <w:rPr>
          <w:lang w:val="fr-FR"/>
        </w:rPr>
        <w:t>’</w:t>
      </w:r>
      <w:r w:rsidRPr="00DD4676">
        <w:rPr>
          <w:lang w:val="fr-FR"/>
        </w:rPr>
        <w:t>est quant à lui pas défini.</w:t>
      </w:r>
    </w:p>
    <w:p w14:paraId="0DF73F83" w14:textId="4809D8C7" w:rsidR="004610C5" w:rsidRPr="00DD4676" w:rsidRDefault="004610C5" w:rsidP="004610C5">
      <w:pPr>
        <w:pStyle w:val="SingleTxtG"/>
        <w:rPr>
          <w:lang w:val="fr-FR"/>
        </w:rPr>
      </w:pPr>
      <w:r w:rsidRPr="00DD4676">
        <w:rPr>
          <w:lang w:val="fr-FR"/>
        </w:rPr>
        <w:t>9.</w:t>
      </w:r>
      <w:r w:rsidRPr="00DD4676">
        <w:rPr>
          <w:lang w:val="fr-FR"/>
        </w:rPr>
        <w:tab/>
        <w:t>Une définition du « degré de remplissage » pourrait être ajoutée au 1.2.1, ce qui permettrait de distinguer l</w:t>
      </w:r>
      <w:r>
        <w:rPr>
          <w:lang w:val="fr-FR"/>
        </w:rPr>
        <w:t>’</w:t>
      </w:r>
      <w:r w:rsidRPr="00DD4676">
        <w:rPr>
          <w:lang w:val="fr-FR"/>
        </w:rPr>
        <w:t>emploi des deux termes dans le Règlement type (voir le paragraphe</w:t>
      </w:r>
      <w:r>
        <w:rPr>
          <w:lang w:val="fr-FR"/>
        </w:rPr>
        <w:t> </w:t>
      </w:r>
      <w:r w:rsidRPr="00DD4676">
        <w:rPr>
          <w:lang w:val="fr-FR"/>
        </w:rPr>
        <w:t>54 ci-dessous) et, partant, d</w:t>
      </w:r>
      <w:r>
        <w:rPr>
          <w:lang w:val="fr-FR"/>
        </w:rPr>
        <w:t>’</w:t>
      </w:r>
      <w:r w:rsidRPr="00DD4676">
        <w:rPr>
          <w:lang w:val="fr-FR"/>
        </w:rPr>
        <w:t>éviter toute nouvelle confusion.</w:t>
      </w:r>
    </w:p>
    <w:p w14:paraId="614C4F84" w14:textId="1A9AD5CD" w:rsidR="004610C5" w:rsidRPr="00DD4676" w:rsidRDefault="004610C5" w:rsidP="004610C5">
      <w:pPr>
        <w:pStyle w:val="HChG"/>
        <w:rPr>
          <w:rFonts w:asciiTheme="majorBidi" w:hAnsiTheme="majorBidi" w:cstheme="majorBidi"/>
          <w:lang w:val="fr-FR"/>
        </w:rPr>
      </w:pPr>
      <w:r w:rsidRPr="00DD4676">
        <w:rPr>
          <w:lang w:val="fr-FR"/>
        </w:rPr>
        <w:tab/>
      </w:r>
      <w:r w:rsidRPr="00DD4676">
        <w:rPr>
          <w:lang w:val="fr-FR"/>
        </w:rPr>
        <w:tab/>
        <w:t>Modification de la définition de « taux de remplissage » en</w:t>
      </w:r>
      <w:r>
        <w:rPr>
          <w:lang w:val="fr-FR"/>
        </w:rPr>
        <w:t> </w:t>
      </w:r>
      <w:r w:rsidRPr="00DD4676">
        <w:rPr>
          <w:lang w:val="fr-FR"/>
        </w:rPr>
        <w:t>espagnol</w:t>
      </w:r>
    </w:p>
    <w:p w14:paraId="47936D5E" w14:textId="0DB069A7" w:rsidR="004610C5" w:rsidRPr="00DD4676" w:rsidRDefault="004610C5" w:rsidP="004610C5">
      <w:pPr>
        <w:pStyle w:val="SingleTxtG"/>
        <w:rPr>
          <w:lang w:val="fr-FR"/>
        </w:rPr>
      </w:pPr>
      <w:r w:rsidRPr="00DD4676">
        <w:rPr>
          <w:lang w:val="fr-FR"/>
        </w:rPr>
        <w:t>10.</w:t>
      </w:r>
      <w:r w:rsidRPr="00DD4676">
        <w:rPr>
          <w:lang w:val="fr-FR"/>
        </w:rPr>
        <w:tab/>
        <w:t>Dans la version espagnole du Règlement, deux termes sont associés à la définition de « taux de remplissage », à savoir « tasa de llenado » et « razón de llenado ». Ils sont tous deux corrects sur le plan technique et équivalents. Cependant, dans le reste du Règlement type, le Code maritime international des marchandises dangereuses (Code IMDG) et les Instructions techniques de l</w:t>
      </w:r>
      <w:r>
        <w:rPr>
          <w:lang w:val="fr-FR"/>
        </w:rPr>
        <w:t>’</w:t>
      </w:r>
      <w:r w:rsidRPr="00DD4676">
        <w:rPr>
          <w:lang w:val="fr-FR"/>
        </w:rPr>
        <w:t>Organisation de l</w:t>
      </w:r>
      <w:r>
        <w:rPr>
          <w:lang w:val="fr-FR"/>
        </w:rPr>
        <w:t>’</w:t>
      </w:r>
      <w:r w:rsidRPr="00DD4676">
        <w:rPr>
          <w:lang w:val="fr-FR"/>
        </w:rPr>
        <w:t>aviation civile internationale (OACI), seul « razón de llenado » est employé en espagnol. Il n</w:t>
      </w:r>
      <w:r>
        <w:rPr>
          <w:lang w:val="fr-FR"/>
        </w:rPr>
        <w:t>’</w:t>
      </w:r>
      <w:r w:rsidRPr="00DD4676">
        <w:rPr>
          <w:lang w:val="fr-FR"/>
        </w:rPr>
        <w:t>est même pas fait mention de « tasa de llenado » dans les sections du Code IMDG et des Instructions techniques réservées aux</w:t>
      </w:r>
      <w:r>
        <w:rPr>
          <w:lang w:val="fr-FR"/>
        </w:rPr>
        <w:t> </w:t>
      </w:r>
      <w:r w:rsidRPr="00DD4676">
        <w:rPr>
          <w:lang w:val="fr-FR"/>
        </w:rPr>
        <w:t>définitions.</w:t>
      </w:r>
    </w:p>
    <w:p w14:paraId="7DD796FF" w14:textId="68783CEF" w:rsidR="004610C5" w:rsidRPr="00DD4676" w:rsidRDefault="004610C5" w:rsidP="004610C5">
      <w:pPr>
        <w:pStyle w:val="SingleTxtG"/>
        <w:rPr>
          <w:lang w:val="fr-FR"/>
        </w:rPr>
      </w:pPr>
      <w:r w:rsidRPr="00DD4676">
        <w:rPr>
          <w:lang w:val="fr-FR"/>
        </w:rPr>
        <w:t>11.</w:t>
      </w:r>
      <w:r w:rsidRPr="00DD4676">
        <w:rPr>
          <w:lang w:val="fr-FR"/>
        </w:rPr>
        <w:tab/>
        <w:t>Il semblerait donc logique de supprimer « tasa de llenado » dans les définitions du Règlement type (voir la proposition figurant au paragraphe</w:t>
      </w:r>
      <w:r>
        <w:rPr>
          <w:lang w:val="fr-FR"/>
        </w:rPr>
        <w:t> </w:t>
      </w:r>
      <w:r w:rsidRPr="00DD4676">
        <w:rPr>
          <w:lang w:val="fr-FR"/>
        </w:rPr>
        <w:t>44 ci-dessous).</w:t>
      </w:r>
    </w:p>
    <w:p w14:paraId="52C8AB66" w14:textId="2807C34F" w:rsidR="004610C5" w:rsidRPr="00DD4676" w:rsidRDefault="004610C5" w:rsidP="004610C5">
      <w:pPr>
        <w:pStyle w:val="HChG"/>
        <w:rPr>
          <w:lang w:val="fr-FR"/>
        </w:rPr>
      </w:pPr>
      <w:r>
        <w:rPr>
          <w:lang w:val="fr-FR"/>
        </w:rPr>
        <w:tab/>
      </w:r>
      <w:r>
        <w:rPr>
          <w:lang w:val="fr-FR"/>
        </w:rPr>
        <w:tab/>
      </w:r>
      <w:r w:rsidRPr="00DD4676">
        <w:rPr>
          <w:lang w:val="fr-FR"/>
        </w:rPr>
        <w:t>Propositions tendant à modifier la version anglaise</w:t>
      </w:r>
    </w:p>
    <w:p w14:paraId="77643E25" w14:textId="77777777" w:rsidR="004610C5" w:rsidRPr="00DD4676" w:rsidRDefault="004610C5" w:rsidP="004610C5">
      <w:pPr>
        <w:pStyle w:val="SingleTxtG"/>
        <w:rPr>
          <w:lang w:val="fr-FR"/>
        </w:rPr>
      </w:pPr>
      <w:r w:rsidRPr="00DD4676">
        <w:rPr>
          <w:lang w:val="fr-FR"/>
        </w:rPr>
        <w:t>12.</w:t>
      </w:r>
      <w:r w:rsidRPr="00DD4676">
        <w:rPr>
          <w:lang w:val="fr-FR"/>
        </w:rPr>
        <w:tab/>
        <w:t>Toutes les modifications qu</w:t>
      </w:r>
      <w:r>
        <w:rPr>
          <w:lang w:val="fr-FR"/>
        </w:rPr>
        <w:t>’</w:t>
      </w:r>
      <w:r w:rsidRPr="00DD4676">
        <w:rPr>
          <w:lang w:val="fr-FR"/>
        </w:rPr>
        <w:t>il est proposé d</w:t>
      </w:r>
      <w:r>
        <w:rPr>
          <w:lang w:val="fr-FR"/>
        </w:rPr>
        <w:t>’</w:t>
      </w:r>
      <w:r w:rsidRPr="00DD4676">
        <w:rPr>
          <w:lang w:val="fr-FR"/>
        </w:rPr>
        <w:t xml:space="preserve">apporter figurent en caractères </w:t>
      </w:r>
      <w:r w:rsidRPr="00DD4676">
        <w:rPr>
          <w:b/>
          <w:bCs/>
          <w:lang w:val="fr-FR"/>
        </w:rPr>
        <w:t>gras</w:t>
      </w:r>
      <w:r w:rsidRPr="00DD4676">
        <w:rPr>
          <w:lang w:val="fr-FR"/>
        </w:rPr>
        <w:t xml:space="preserve"> pour les ajouts et </w:t>
      </w:r>
      <w:r w:rsidRPr="00DD4676">
        <w:rPr>
          <w:strike/>
          <w:lang w:val="fr-FR"/>
        </w:rPr>
        <w:t>biffés</w:t>
      </w:r>
      <w:r w:rsidRPr="00DD4676">
        <w:rPr>
          <w:lang w:val="fr-FR"/>
        </w:rPr>
        <w:t xml:space="preserve"> pour les suppressions.</w:t>
      </w:r>
    </w:p>
    <w:p w14:paraId="5BB10654" w14:textId="05A4CE59" w:rsidR="004610C5" w:rsidRPr="00DD4676" w:rsidRDefault="004610C5" w:rsidP="004610C5">
      <w:pPr>
        <w:pStyle w:val="SingleTxtG"/>
        <w:rPr>
          <w:lang w:val="fr-FR"/>
        </w:rPr>
      </w:pPr>
      <w:r w:rsidRPr="00DD4676">
        <w:rPr>
          <w:lang w:val="fr-FR"/>
        </w:rPr>
        <w:t>13.</w:t>
      </w:r>
      <w:r w:rsidRPr="00DD4676">
        <w:rPr>
          <w:lang w:val="fr-FR"/>
        </w:rPr>
        <w:tab/>
        <w:t>Modifier la section</w:t>
      </w:r>
      <w:r>
        <w:rPr>
          <w:lang w:val="fr-FR"/>
        </w:rPr>
        <w:t> </w:t>
      </w:r>
      <w:r w:rsidRPr="00DD4676">
        <w:rPr>
          <w:lang w:val="fr-FR"/>
        </w:rPr>
        <w:t>9.6 du Formulaire de renseignements comme suit</w:t>
      </w:r>
      <w:r>
        <w:rPr>
          <w:lang w:val="fr-FR"/>
        </w:rPr>
        <w:t> </w:t>
      </w:r>
      <w:r w:rsidRPr="00DD4676">
        <w:rPr>
          <w:lang w:val="fr-FR"/>
        </w:rPr>
        <w:t>:</w:t>
      </w:r>
    </w:p>
    <w:p w14:paraId="314CAC25" w14:textId="517BD139" w:rsidR="004610C5" w:rsidRPr="00D1508F" w:rsidRDefault="004610C5" w:rsidP="004610C5">
      <w:pPr>
        <w:pStyle w:val="SingleTxtG"/>
        <w:ind w:left="1701"/>
        <w:rPr>
          <w:b/>
          <w:lang w:val="en-US"/>
        </w:rPr>
      </w:pPr>
      <w:r w:rsidRPr="00D1508F">
        <w:rPr>
          <w:lang w:val="en-US"/>
        </w:rPr>
        <w:t>« 9.6</w:t>
      </w:r>
      <w:r>
        <w:rPr>
          <w:lang w:val="en-US"/>
        </w:rPr>
        <w:tab/>
      </w:r>
      <w:r w:rsidRPr="00D1508F">
        <w:rPr>
          <w:strike/>
          <w:lang w:val="en-US"/>
        </w:rPr>
        <w:t>Degree of filling</w:t>
      </w:r>
      <w:r w:rsidRPr="00D1508F">
        <w:rPr>
          <w:lang w:val="en-US"/>
        </w:rPr>
        <w:t xml:space="preserve"> </w:t>
      </w:r>
      <w:r w:rsidRPr="00D1508F">
        <w:rPr>
          <w:b/>
          <w:bCs/>
          <w:lang w:val="en-US"/>
        </w:rPr>
        <w:t>ratio </w:t>
      </w:r>
      <w:r w:rsidRPr="004610C5">
        <w:rPr>
          <w:lang w:val="en-US"/>
        </w:rPr>
        <w:t>».</w:t>
      </w:r>
    </w:p>
    <w:p w14:paraId="6574C2EF" w14:textId="1984237D" w:rsidR="004610C5" w:rsidRPr="00DD4676" w:rsidRDefault="004610C5" w:rsidP="004610C5">
      <w:pPr>
        <w:pStyle w:val="SingleTxtG"/>
        <w:rPr>
          <w:lang w:val="fr-FR"/>
        </w:rPr>
      </w:pPr>
      <w:r w:rsidRPr="00DD4676">
        <w:rPr>
          <w:lang w:val="fr-FR"/>
        </w:rPr>
        <w:t>14.</w:t>
      </w:r>
      <w:r w:rsidRPr="00DD4676">
        <w:rPr>
          <w:lang w:val="fr-FR"/>
        </w:rPr>
        <w:tab/>
        <w:t>Au point</w:t>
      </w:r>
      <w:r>
        <w:rPr>
          <w:lang w:val="fr-FR"/>
        </w:rPr>
        <w:t> </w:t>
      </w:r>
      <w:r w:rsidRPr="00DD4676">
        <w:rPr>
          <w:lang w:val="fr-FR"/>
        </w:rPr>
        <w:t>5) de l</w:t>
      </w:r>
      <w:r>
        <w:rPr>
          <w:lang w:val="fr-FR"/>
        </w:rPr>
        <w:t>’</w:t>
      </w:r>
      <w:r w:rsidRPr="00DD4676">
        <w:rPr>
          <w:lang w:val="fr-FR"/>
        </w:rPr>
        <w:t>instruction d</w:t>
      </w:r>
      <w:r>
        <w:rPr>
          <w:lang w:val="fr-FR"/>
        </w:rPr>
        <w:t>’</w:t>
      </w:r>
      <w:r w:rsidRPr="00DD4676">
        <w:rPr>
          <w:lang w:val="fr-FR"/>
        </w:rPr>
        <w:t>emballage</w:t>
      </w:r>
      <w:r>
        <w:rPr>
          <w:lang w:val="fr-FR"/>
        </w:rPr>
        <w:t> </w:t>
      </w:r>
      <w:r w:rsidRPr="00DD4676">
        <w:rPr>
          <w:lang w:val="fr-FR"/>
        </w:rPr>
        <w:t>P203 du 4.1.4.1, il est fait référence au volume de la phase liquide. Toutefois, l</w:t>
      </w:r>
      <w:r>
        <w:rPr>
          <w:lang w:val="fr-FR"/>
        </w:rPr>
        <w:t>’</w:t>
      </w:r>
      <w:r w:rsidRPr="00DD4676">
        <w:rPr>
          <w:lang w:val="fr-FR"/>
        </w:rPr>
        <w:t>idée est que la quantité de matière totale qui sera contenue dans le récipient soit telle que la phase liquide satisfasse à certains critères, de sorte qu</w:t>
      </w:r>
      <w:r>
        <w:rPr>
          <w:lang w:val="fr-FR"/>
        </w:rPr>
        <w:t>’</w:t>
      </w:r>
      <w:r w:rsidRPr="00DD4676">
        <w:rPr>
          <w:lang w:val="fr-FR"/>
        </w:rPr>
        <w:t>il convient d</w:t>
      </w:r>
      <w:r>
        <w:rPr>
          <w:lang w:val="fr-FR"/>
        </w:rPr>
        <w:t>’</w:t>
      </w:r>
      <w:r w:rsidRPr="00DD4676">
        <w:rPr>
          <w:lang w:val="fr-FR"/>
        </w:rPr>
        <w:t xml:space="preserve">employer « taux de remplissage », ce qui est également cohérent avec les </w:t>
      </w:r>
      <w:r w:rsidRPr="00DD4676">
        <w:rPr>
          <w:lang w:val="fr-FR"/>
        </w:rPr>
        <w:lastRenderedPageBreak/>
        <w:t>autres occurrences de ce terme dans le reste du Règlement type. Il est donc proposé de modifier le point</w:t>
      </w:r>
      <w:r>
        <w:rPr>
          <w:lang w:val="fr-FR"/>
        </w:rPr>
        <w:t> </w:t>
      </w:r>
      <w:r w:rsidRPr="00DD4676">
        <w:rPr>
          <w:lang w:val="fr-FR"/>
        </w:rPr>
        <w:t>5) de l</w:t>
      </w:r>
      <w:r>
        <w:rPr>
          <w:lang w:val="fr-FR"/>
        </w:rPr>
        <w:t>’</w:t>
      </w:r>
      <w:r w:rsidRPr="00DD4676">
        <w:rPr>
          <w:lang w:val="fr-FR"/>
        </w:rPr>
        <w:t>instruction d</w:t>
      </w:r>
      <w:r>
        <w:rPr>
          <w:lang w:val="fr-FR"/>
        </w:rPr>
        <w:t>’</w:t>
      </w:r>
      <w:r w:rsidRPr="00DD4676">
        <w:rPr>
          <w:lang w:val="fr-FR"/>
        </w:rPr>
        <w:t>emballage</w:t>
      </w:r>
      <w:r>
        <w:rPr>
          <w:lang w:val="fr-FR"/>
        </w:rPr>
        <w:t> </w:t>
      </w:r>
      <w:r w:rsidRPr="00DD4676">
        <w:rPr>
          <w:lang w:val="fr-FR"/>
        </w:rPr>
        <w:t>P203 du 4.1.4.1 comme suit :</w:t>
      </w:r>
    </w:p>
    <w:p w14:paraId="4B672D34" w14:textId="16166122" w:rsidR="004610C5" w:rsidRPr="00D1508F" w:rsidRDefault="004610C5" w:rsidP="004610C5">
      <w:pPr>
        <w:pStyle w:val="SingleTxtG"/>
        <w:ind w:left="1701"/>
        <w:rPr>
          <w:strike/>
          <w:lang w:val="en-US"/>
        </w:rPr>
      </w:pPr>
      <w:r w:rsidRPr="00D1508F">
        <w:rPr>
          <w:lang w:val="en-US"/>
        </w:rPr>
        <w:t>« </w:t>
      </w:r>
      <w:r w:rsidRPr="00D1508F">
        <w:rPr>
          <w:strike/>
          <w:lang w:val="en-US"/>
        </w:rPr>
        <w:t>Degree of filling</w:t>
      </w:r>
      <w:r w:rsidRPr="00D1508F">
        <w:rPr>
          <w:b/>
          <w:bCs/>
          <w:lang w:val="en-US"/>
        </w:rPr>
        <w:t xml:space="preserve"> ratio</w:t>
      </w:r>
    </w:p>
    <w:p w14:paraId="503E10B0" w14:textId="21769BB5" w:rsidR="004610C5" w:rsidRPr="00D1508F" w:rsidRDefault="004610C5" w:rsidP="004610C5">
      <w:pPr>
        <w:pStyle w:val="SingleTxtG"/>
        <w:ind w:left="1701"/>
        <w:rPr>
          <w:lang w:val="en-US"/>
        </w:rPr>
      </w:pPr>
      <w:r w:rsidRPr="00D1508F">
        <w:rPr>
          <w:lang w:val="en-US"/>
        </w:rPr>
        <w:t>For non-flammable, non-toxic refrigerated liquefied gases the volume of liquid phase at the filling temperature and at a pressure of 100</w:t>
      </w:r>
      <w:r w:rsidR="00907515">
        <w:rPr>
          <w:lang w:val="en-US"/>
        </w:rPr>
        <w:t> </w:t>
      </w:r>
      <w:r w:rsidRPr="00D1508F">
        <w:rPr>
          <w:lang w:val="en-US"/>
        </w:rPr>
        <w:t>kPa (1</w:t>
      </w:r>
      <w:r w:rsidR="00907515">
        <w:rPr>
          <w:lang w:val="en-US"/>
        </w:rPr>
        <w:t> </w:t>
      </w:r>
      <w:r w:rsidRPr="00D1508F">
        <w:rPr>
          <w:lang w:val="en-US"/>
        </w:rPr>
        <w:t>bar) shall not exceed 98</w:t>
      </w:r>
      <w:r w:rsidR="00907515">
        <w:rPr>
          <w:lang w:val="en-US"/>
        </w:rPr>
        <w:t> </w:t>
      </w:r>
      <w:r w:rsidRPr="00D1508F">
        <w:rPr>
          <w:lang w:val="en-US"/>
        </w:rPr>
        <w:t>% of the water capacity of the pressure receptacle.</w:t>
      </w:r>
    </w:p>
    <w:p w14:paraId="7812FFE2" w14:textId="73991EA1" w:rsidR="004610C5" w:rsidRPr="00D1508F" w:rsidRDefault="004610C5" w:rsidP="004610C5">
      <w:pPr>
        <w:pStyle w:val="SingleTxtG"/>
        <w:ind w:left="1701"/>
        <w:rPr>
          <w:lang w:val="en-US"/>
        </w:rPr>
      </w:pPr>
      <w:r w:rsidRPr="00D1508F">
        <w:rPr>
          <w:lang w:val="en-US"/>
        </w:rPr>
        <w:t xml:space="preserve">For flammable refrigerated liquefied gases the </w:t>
      </w:r>
      <w:r w:rsidRPr="00D1508F">
        <w:rPr>
          <w:strike/>
          <w:lang w:val="en-US"/>
        </w:rPr>
        <w:t>degree of filling</w:t>
      </w:r>
      <w:r w:rsidRPr="00D1508F">
        <w:rPr>
          <w:b/>
          <w:bCs/>
          <w:lang w:val="en-US"/>
        </w:rPr>
        <w:t xml:space="preserve"> ratio</w:t>
      </w:r>
      <w:r w:rsidRPr="00D1508F">
        <w:rPr>
          <w:lang w:val="en-US"/>
        </w:rPr>
        <w:t xml:space="preserve"> shall remain below the level at which, if the contents were raised to the temperature at which the vapour pressure equalled the opening pressure of the relief valve, the volume of the liquid phase would reach 98</w:t>
      </w:r>
      <w:r w:rsidR="00907515">
        <w:rPr>
          <w:lang w:val="en-US"/>
        </w:rPr>
        <w:t> </w:t>
      </w:r>
      <w:r w:rsidRPr="00D1508F">
        <w:rPr>
          <w:lang w:val="en-US"/>
        </w:rPr>
        <w:t>% of the water capacity at that temperature. ».</w:t>
      </w:r>
    </w:p>
    <w:p w14:paraId="0BEF7A0A" w14:textId="0BC9A840" w:rsidR="004610C5" w:rsidRPr="00DD4676" w:rsidRDefault="004610C5" w:rsidP="004610C5">
      <w:pPr>
        <w:pStyle w:val="SingleTxtG"/>
        <w:rPr>
          <w:lang w:val="fr-FR"/>
        </w:rPr>
      </w:pPr>
      <w:r w:rsidRPr="00DD4676">
        <w:rPr>
          <w:lang w:val="fr-FR"/>
        </w:rPr>
        <w:t>15.</w:t>
      </w:r>
      <w:r w:rsidRPr="00DD4676">
        <w:rPr>
          <w:lang w:val="fr-FR"/>
        </w:rPr>
        <w:tab/>
        <w:t>Modifier le 4.2.3.6.2 comme suit (pour les mêmes raisons que celles liées à l</w:t>
      </w:r>
      <w:r>
        <w:rPr>
          <w:lang w:val="fr-FR"/>
        </w:rPr>
        <w:t>’</w:t>
      </w:r>
      <w:r w:rsidRPr="00DD4676">
        <w:rPr>
          <w:lang w:val="fr-FR"/>
        </w:rPr>
        <w:t>instruction d</w:t>
      </w:r>
      <w:r>
        <w:rPr>
          <w:lang w:val="fr-FR"/>
        </w:rPr>
        <w:t>’</w:t>
      </w:r>
      <w:r w:rsidRPr="00DD4676">
        <w:rPr>
          <w:lang w:val="fr-FR"/>
        </w:rPr>
        <w:t>emballage</w:t>
      </w:r>
      <w:r w:rsidR="00907515">
        <w:rPr>
          <w:lang w:val="fr-FR"/>
        </w:rPr>
        <w:t> </w:t>
      </w:r>
      <w:r w:rsidRPr="00DD4676">
        <w:rPr>
          <w:lang w:val="fr-FR"/>
        </w:rPr>
        <w:t>P203, décrites au paragraphe</w:t>
      </w:r>
      <w:r w:rsidR="00907515">
        <w:rPr>
          <w:lang w:val="fr-FR"/>
        </w:rPr>
        <w:t> </w:t>
      </w:r>
      <w:r w:rsidRPr="00DD4676">
        <w:rPr>
          <w:lang w:val="fr-FR"/>
        </w:rPr>
        <w:t>14 ci-dessus) :</w:t>
      </w:r>
    </w:p>
    <w:p w14:paraId="7D298BB3" w14:textId="5209CEEA" w:rsidR="004610C5" w:rsidRPr="00D1508F" w:rsidRDefault="004610C5" w:rsidP="00907515">
      <w:pPr>
        <w:pStyle w:val="SingleTxtG"/>
        <w:ind w:left="1701"/>
        <w:rPr>
          <w:lang w:val="en-US"/>
        </w:rPr>
      </w:pPr>
      <w:r w:rsidRPr="00D1508F">
        <w:rPr>
          <w:lang w:val="en-US"/>
        </w:rPr>
        <w:t xml:space="preserve">« In estimating the initial </w:t>
      </w:r>
      <w:r w:rsidRPr="00D1508F">
        <w:rPr>
          <w:strike/>
          <w:lang w:val="en-US"/>
        </w:rPr>
        <w:t xml:space="preserve">degree of </w:t>
      </w:r>
      <w:r w:rsidRPr="00D1508F">
        <w:rPr>
          <w:lang w:val="en-US"/>
        </w:rPr>
        <w:t xml:space="preserve">filling </w:t>
      </w:r>
      <w:r w:rsidRPr="00D1508F">
        <w:rPr>
          <w:b/>
          <w:bCs/>
          <w:lang w:val="en-US"/>
        </w:rPr>
        <w:t>ratio</w:t>
      </w:r>
      <w:r w:rsidRPr="00D1508F">
        <w:rPr>
          <w:lang w:val="en-US"/>
        </w:rPr>
        <w:t xml:space="preserve"> the necessary holding time for the intended journey including any delays which might be encountered shall be taken into consideration. The initial </w:t>
      </w:r>
      <w:r w:rsidRPr="00D1508F">
        <w:rPr>
          <w:strike/>
          <w:lang w:val="en-US"/>
        </w:rPr>
        <w:t>degree of</w:t>
      </w:r>
      <w:r w:rsidRPr="00D1508F">
        <w:rPr>
          <w:lang w:val="en-US"/>
        </w:rPr>
        <w:t xml:space="preserve"> filling </w:t>
      </w:r>
      <w:r w:rsidRPr="00D1508F">
        <w:rPr>
          <w:b/>
          <w:bCs/>
          <w:lang w:val="en-US"/>
        </w:rPr>
        <w:t>ratio</w:t>
      </w:r>
      <w:r w:rsidRPr="00D1508F">
        <w:rPr>
          <w:lang w:val="en-US"/>
        </w:rPr>
        <w:t xml:space="preserve"> of the shell, except as provided for in 4.2.3.6.3 and 4.2.3.6.4, shall be such that if the contents, except helium, were to be raised to a temperature at which the vapour pressure is equal to the maximum allowable working pressure (MAWP) the volume occupied by liquid would not exceed 98</w:t>
      </w:r>
      <w:r w:rsidR="00907515">
        <w:rPr>
          <w:lang w:val="en-US"/>
        </w:rPr>
        <w:t> </w:t>
      </w:r>
      <w:r w:rsidRPr="00D1508F">
        <w:rPr>
          <w:lang w:val="en-US"/>
        </w:rPr>
        <w:t>%. ».</w:t>
      </w:r>
    </w:p>
    <w:p w14:paraId="3DE14977" w14:textId="77777777" w:rsidR="004610C5" w:rsidRPr="00DD4676" w:rsidRDefault="004610C5" w:rsidP="004610C5">
      <w:pPr>
        <w:pStyle w:val="SingleTxtG"/>
        <w:rPr>
          <w:lang w:val="fr-FR"/>
        </w:rPr>
      </w:pPr>
      <w:r w:rsidRPr="00DD4676">
        <w:rPr>
          <w:lang w:val="fr-FR"/>
        </w:rPr>
        <w:t>16.</w:t>
      </w:r>
      <w:r w:rsidRPr="00DD4676">
        <w:rPr>
          <w:lang w:val="fr-FR"/>
        </w:rPr>
        <w:tab/>
        <w:t>Modifier le 4.2.3.6.4 comme suit (à des fins de cohérence terminologique avec la proposition précédente) :</w:t>
      </w:r>
    </w:p>
    <w:p w14:paraId="06CC2264" w14:textId="77777777" w:rsidR="004610C5" w:rsidRPr="00D1508F" w:rsidRDefault="004610C5" w:rsidP="00907515">
      <w:pPr>
        <w:pStyle w:val="SingleTxtG"/>
        <w:ind w:left="1701"/>
        <w:rPr>
          <w:lang w:val="en-US"/>
        </w:rPr>
      </w:pPr>
      <w:r w:rsidRPr="00D1508F">
        <w:rPr>
          <w:lang w:val="en-US"/>
        </w:rPr>
        <w:t xml:space="preserve">« A higher initial </w:t>
      </w:r>
      <w:r w:rsidRPr="00D1508F">
        <w:rPr>
          <w:strike/>
          <w:lang w:val="en-US"/>
        </w:rPr>
        <w:t xml:space="preserve">degree of </w:t>
      </w:r>
      <w:r w:rsidRPr="00D1508F">
        <w:rPr>
          <w:lang w:val="en-US"/>
        </w:rPr>
        <w:t xml:space="preserve">filling </w:t>
      </w:r>
      <w:r w:rsidRPr="00D1508F">
        <w:rPr>
          <w:b/>
          <w:bCs/>
          <w:lang w:val="en-US"/>
        </w:rPr>
        <w:t>ratio</w:t>
      </w:r>
      <w:r w:rsidRPr="00D1508F">
        <w:rPr>
          <w:lang w:val="en-US"/>
        </w:rPr>
        <w:t xml:space="preserve"> may be allowed, subject to approval by the competent authority, when the intended duration of transport is considerably shorter than the holding time. ».</w:t>
      </w:r>
    </w:p>
    <w:p w14:paraId="605006BB" w14:textId="540359D0" w:rsidR="004610C5" w:rsidRPr="00DD4676" w:rsidRDefault="004610C5" w:rsidP="004610C5">
      <w:pPr>
        <w:pStyle w:val="SingleTxtG"/>
        <w:rPr>
          <w:lang w:val="fr-FR"/>
        </w:rPr>
      </w:pPr>
      <w:r w:rsidRPr="00DD4676">
        <w:rPr>
          <w:lang w:val="fr-FR"/>
        </w:rPr>
        <w:t>17.</w:t>
      </w:r>
      <w:r w:rsidRPr="00DD4676">
        <w:rPr>
          <w:lang w:val="fr-FR"/>
        </w:rPr>
        <w:tab/>
        <w:t>Modifier le 4.2.5.2.3 comme suit (pour la cohérence avec le libellé de l</w:t>
      </w:r>
      <w:r>
        <w:rPr>
          <w:lang w:val="fr-FR"/>
        </w:rPr>
        <w:t>’</w:t>
      </w:r>
      <w:r w:rsidRPr="00DD4676">
        <w:rPr>
          <w:lang w:val="fr-FR"/>
        </w:rPr>
        <w:t>instruction de transport en citernes mobiles</w:t>
      </w:r>
      <w:r w:rsidR="00907515">
        <w:rPr>
          <w:lang w:val="fr-FR"/>
        </w:rPr>
        <w:t> </w:t>
      </w:r>
      <w:r w:rsidRPr="00DD4676">
        <w:rPr>
          <w:lang w:val="fr-FR"/>
        </w:rPr>
        <w:t>T50)</w:t>
      </w:r>
      <w:r w:rsidR="00907515">
        <w:rPr>
          <w:lang w:val="fr-FR"/>
        </w:rPr>
        <w:t> </w:t>
      </w:r>
      <w:r w:rsidRPr="00DD4676">
        <w:rPr>
          <w:lang w:val="fr-FR"/>
        </w:rPr>
        <w:t>:</w:t>
      </w:r>
    </w:p>
    <w:p w14:paraId="791F1ACF" w14:textId="5A2AE7B5" w:rsidR="004610C5" w:rsidRPr="00D1508F" w:rsidRDefault="004610C5" w:rsidP="00907515">
      <w:pPr>
        <w:pStyle w:val="SingleTxtG"/>
        <w:ind w:left="1701"/>
        <w:rPr>
          <w:color w:val="000000" w:themeColor="text1"/>
          <w:lang w:val="en-US"/>
        </w:rPr>
      </w:pPr>
      <w:r w:rsidRPr="00D1508F">
        <w:rPr>
          <w:lang w:val="en-US"/>
        </w:rPr>
        <w:t>« Non-refrigerated liquefied gases are assigned to portable tank instruction T50. T50</w:t>
      </w:r>
      <w:r w:rsidR="00907515">
        <w:rPr>
          <w:lang w:val="en-US"/>
        </w:rPr>
        <w:t> </w:t>
      </w:r>
      <w:r w:rsidRPr="00D1508F">
        <w:rPr>
          <w:lang w:val="en-US"/>
        </w:rPr>
        <w:t xml:space="preserve">provides the maximum allowable working pressures, bottom opening requirements, pressure relief requirements and </w:t>
      </w:r>
      <w:r w:rsidRPr="00D1508F">
        <w:rPr>
          <w:strike/>
          <w:lang w:val="en-US"/>
        </w:rPr>
        <w:t>degree of</w:t>
      </w:r>
      <w:r w:rsidRPr="00D1508F">
        <w:rPr>
          <w:lang w:val="en-US"/>
        </w:rPr>
        <w:t xml:space="preserve"> filling </w:t>
      </w:r>
      <w:r w:rsidRPr="00D1508F">
        <w:rPr>
          <w:b/>
          <w:bCs/>
          <w:lang w:val="en-US"/>
        </w:rPr>
        <w:t>ratio</w:t>
      </w:r>
      <w:r w:rsidRPr="00D1508F">
        <w:rPr>
          <w:lang w:val="en-US"/>
        </w:rPr>
        <w:t xml:space="preserve"> requirements for non-refrigerated liquefied gases permitted for transport in portable tanks ».</w:t>
      </w:r>
    </w:p>
    <w:p w14:paraId="39546019" w14:textId="3BED0975" w:rsidR="004610C5" w:rsidRPr="00DD4676" w:rsidRDefault="004610C5" w:rsidP="004610C5">
      <w:pPr>
        <w:pStyle w:val="SingleTxtG"/>
        <w:rPr>
          <w:lang w:val="fr-FR"/>
        </w:rPr>
      </w:pPr>
      <w:r w:rsidRPr="00DD4676">
        <w:rPr>
          <w:lang w:val="fr-FR"/>
        </w:rPr>
        <w:t>18.</w:t>
      </w:r>
      <w:r w:rsidRPr="00DD4676">
        <w:rPr>
          <w:lang w:val="fr-FR"/>
        </w:rPr>
        <w:tab/>
        <w:t>Modifier la disposition spéciale TP5 du 4.2.5.3 comme suit</w:t>
      </w:r>
      <w:r w:rsidR="00907515">
        <w:rPr>
          <w:lang w:val="fr-FR"/>
        </w:rPr>
        <w:t> </w:t>
      </w:r>
      <w:r w:rsidRPr="00DD4676">
        <w:rPr>
          <w:lang w:val="fr-FR"/>
        </w:rPr>
        <w:t>:</w:t>
      </w:r>
    </w:p>
    <w:p w14:paraId="74F7844F" w14:textId="77777777" w:rsidR="004610C5" w:rsidRPr="00D1508F" w:rsidRDefault="004610C5" w:rsidP="00907515">
      <w:pPr>
        <w:pStyle w:val="SingleTxtG"/>
        <w:ind w:left="1701"/>
        <w:rPr>
          <w:lang w:val="en-US"/>
        </w:rPr>
      </w:pPr>
      <w:r w:rsidRPr="00D1508F">
        <w:rPr>
          <w:lang w:val="en-US"/>
        </w:rPr>
        <w:t xml:space="preserve">« The </w:t>
      </w:r>
      <w:r w:rsidRPr="00D1508F">
        <w:rPr>
          <w:strike/>
          <w:lang w:val="en-US"/>
        </w:rPr>
        <w:t xml:space="preserve">degree of </w:t>
      </w:r>
      <w:r w:rsidRPr="00D1508F">
        <w:rPr>
          <w:lang w:val="en-US"/>
        </w:rPr>
        <w:t xml:space="preserve">filling </w:t>
      </w:r>
      <w:r w:rsidRPr="00D1508F">
        <w:rPr>
          <w:b/>
          <w:bCs/>
          <w:lang w:val="en-US"/>
        </w:rPr>
        <w:t>ratio</w:t>
      </w:r>
      <w:r w:rsidRPr="00D1508F">
        <w:rPr>
          <w:lang w:val="en-US"/>
        </w:rPr>
        <w:t xml:space="preserve"> prescribed in 4.2.3.6 shall be met. ».</w:t>
      </w:r>
    </w:p>
    <w:p w14:paraId="569BB3BF" w14:textId="1BE7EACF" w:rsidR="004610C5" w:rsidRPr="00DD4676" w:rsidRDefault="004610C5" w:rsidP="004610C5">
      <w:pPr>
        <w:pStyle w:val="SingleTxtG"/>
        <w:rPr>
          <w:lang w:val="fr-FR"/>
        </w:rPr>
      </w:pPr>
      <w:r w:rsidRPr="00DD4676">
        <w:rPr>
          <w:lang w:val="fr-FR"/>
        </w:rPr>
        <w:t>19.</w:t>
      </w:r>
      <w:r w:rsidRPr="00DD4676">
        <w:rPr>
          <w:lang w:val="fr-FR"/>
        </w:rPr>
        <w:tab/>
        <w:t>Au 6.7.4.15.1</w:t>
      </w:r>
      <w:r w:rsidR="00907515">
        <w:rPr>
          <w:lang w:val="fr-FR"/>
        </w:rPr>
        <w:t> </w:t>
      </w:r>
      <w:r w:rsidRPr="00DD4676">
        <w:rPr>
          <w:lang w:val="fr-FR"/>
        </w:rPr>
        <w:t>i)</w:t>
      </w:r>
      <w:r w:rsidR="00907515">
        <w:rPr>
          <w:lang w:val="fr-FR"/>
        </w:rPr>
        <w:t> </w:t>
      </w:r>
      <w:r w:rsidRPr="00DD4676">
        <w:rPr>
          <w:lang w:val="fr-FR"/>
        </w:rPr>
        <w:t>iv), il faut utiliser la notion de taux de remplissage. Étant donné qu</w:t>
      </w:r>
      <w:r>
        <w:rPr>
          <w:lang w:val="fr-FR"/>
        </w:rPr>
        <w:t>’</w:t>
      </w:r>
      <w:r w:rsidRPr="00DD4676">
        <w:rPr>
          <w:lang w:val="fr-FR"/>
        </w:rPr>
        <w:t>il faut également préciser l</w:t>
      </w:r>
      <w:r>
        <w:rPr>
          <w:lang w:val="fr-FR"/>
        </w:rPr>
        <w:t>’</w:t>
      </w:r>
      <w:r w:rsidRPr="00DD4676">
        <w:rPr>
          <w:lang w:val="fr-FR"/>
        </w:rPr>
        <w:t>unité de mesure, et que le taux de remplissage est défini comme le rapport entre la masse de gaz et la masse d</w:t>
      </w:r>
      <w:r>
        <w:rPr>
          <w:lang w:val="fr-FR"/>
        </w:rPr>
        <w:t>’</w:t>
      </w:r>
      <w:r w:rsidRPr="00DD4676">
        <w:rPr>
          <w:lang w:val="fr-FR"/>
        </w:rPr>
        <w:t>eau, l</w:t>
      </w:r>
      <w:r>
        <w:rPr>
          <w:lang w:val="fr-FR"/>
        </w:rPr>
        <w:t>’</w:t>
      </w:r>
      <w:r w:rsidRPr="00DD4676">
        <w:rPr>
          <w:lang w:val="fr-FR"/>
        </w:rPr>
        <w:t>unité doit elle aussi être modifiée, de sorte que le paragraphe se lise comme suit</w:t>
      </w:r>
      <w:r w:rsidR="00907515">
        <w:rPr>
          <w:lang w:val="fr-FR"/>
        </w:rPr>
        <w:t> </w:t>
      </w:r>
      <w:r w:rsidRPr="00DD4676">
        <w:rPr>
          <w:lang w:val="fr-FR"/>
        </w:rPr>
        <w:t>:</w:t>
      </w:r>
    </w:p>
    <w:p w14:paraId="2E4B99B4" w14:textId="2E81CCE6" w:rsidR="004610C5" w:rsidRPr="00D1508F" w:rsidRDefault="004610C5" w:rsidP="00907515">
      <w:pPr>
        <w:pStyle w:val="SingleTxtG"/>
        <w:ind w:left="1701"/>
        <w:rPr>
          <w:lang w:val="en-US"/>
        </w:rPr>
      </w:pPr>
      <w:r w:rsidRPr="00D1508F">
        <w:rPr>
          <w:lang w:val="en-US"/>
        </w:rPr>
        <w:t>« (iv)</w:t>
      </w:r>
      <w:r w:rsidR="00907515">
        <w:rPr>
          <w:lang w:val="en-US"/>
        </w:rPr>
        <w:tab/>
      </w:r>
      <w:r w:rsidRPr="00D1508F">
        <w:rPr>
          <w:strike/>
          <w:lang w:val="en-US"/>
        </w:rPr>
        <w:t>Degree of</w:t>
      </w:r>
      <w:r w:rsidRPr="00D1508F">
        <w:rPr>
          <w:lang w:val="en-US"/>
        </w:rPr>
        <w:t xml:space="preserve"> Filling </w:t>
      </w:r>
      <w:r w:rsidRPr="00D1508F">
        <w:rPr>
          <w:b/>
          <w:bCs/>
          <w:lang w:val="en-US"/>
        </w:rPr>
        <w:t>ratio</w:t>
      </w:r>
      <w:r w:rsidRPr="00D1508F">
        <w:rPr>
          <w:lang w:val="en-US"/>
        </w:rPr>
        <w:t xml:space="preserve"> (in kg </w:t>
      </w:r>
      <w:r w:rsidRPr="00D1508F">
        <w:rPr>
          <w:b/>
          <w:bCs/>
          <w:lang w:val="en-US"/>
        </w:rPr>
        <w:t>gas/kg water</w:t>
      </w:r>
      <w:r w:rsidRPr="00D1508F">
        <w:rPr>
          <w:lang w:val="en-US"/>
        </w:rPr>
        <w:t>)</w:t>
      </w:r>
      <w:r w:rsidRPr="00D1508F">
        <w:rPr>
          <w:vertAlign w:val="superscript"/>
          <w:lang w:val="en-US"/>
        </w:rPr>
        <w:t>3</w:t>
      </w:r>
      <w:r w:rsidRPr="00D1508F">
        <w:rPr>
          <w:lang w:val="en-US"/>
        </w:rPr>
        <w:t>; ».</w:t>
      </w:r>
    </w:p>
    <w:p w14:paraId="255456C6" w14:textId="3800248C" w:rsidR="004610C5" w:rsidRPr="00DD4676" w:rsidRDefault="004610C5" w:rsidP="004610C5">
      <w:pPr>
        <w:pStyle w:val="SingleTxtG"/>
        <w:rPr>
          <w:lang w:val="fr-FR"/>
        </w:rPr>
      </w:pPr>
      <w:r w:rsidRPr="00DD4676">
        <w:rPr>
          <w:lang w:val="fr-FR"/>
        </w:rPr>
        <w:t>20.</w:t>
      </w:r>
      <w:r w:rsidRPr="00DD4676">
        <w:rPr>
          <w:lang w:val="fr-FR"/>
        </w:rPr>
        <w:tab/>
        <w:t>De même, dans la figure</w:t>
      </w:r>
      <w:r w:rsidR="00907515">
        <w:rPr>
          <w:lang w:val="fr-FR"/>
        </w:rPr>
        <w:t> </w:t>
      </w:r>
      <w:r w:rsidRPr="00DD4676">
        <w:rPr>
          <w:lang w:val="fr-FR"/>
        </w:rPr>
        <w:t>6.7.4.15.1, la dernière colonne de la rubrique « HOLDING TIMES » doit se lire comme suit</w:t>
      </w:r>
      <w:r w:rsidR="00907515">
        <w:rPr>
          <w:lang w:val="fr-FR"/>
        </w:rPr>
        <w:t> </w:t>
      </w:r>
      <w:r w:rsidRPr="00DD4676">
        <w:rPr>
          <w:lang w:val="fr-FR"/>
        </w:rPr>
        <w:t>:</w:t>
      </w:r>
    </w:p>
    <w:p w14:paraId="2F91AF3D" w14:textId="77777777" w:rsidR="004610C5" w:rsidRPr="00D1508F" w:rsidRDefault="004610C5" w:rsidP="00907515">
      <w:pPr>
        <w:pStyle w:val="SingleTxtG"/>
        <w:ind w:left="1701"/>
        <w:rPr>
          <w:b/>
          <w:bCs/>
          <w:lang w:val="en-US"/>
        </w:rPr>
      </w:pPr>
      <w:r w:rsidRPr="00D1508F">
        <w:rPr>
          <w:lang w:val="en-US"/>
        </w:rPr>
        <w:t>« </w:t>
      </w:r>
      <w:r w:rsidRPr="00D1508F">
        <w:rPr>
          <w:strike/>
          <w:lang w:val="en-US"/>
        </w:rPr>
        <w:t>Degree of</w:t>
      </w:r>
      <w:r w:rsidRPr="00D1508F">
        <w:rPr>
          <w:lang w:val="en-US"/>
        </w:rPr>
        <w:t xml:space="preserve"> Filling </w:t>
      </w:r>
      <w:r w:rsidRPr="00D1508F">
        <w:rPr>
          <w:b/>
          <w:bCs/>
          <w:lang w:val="en-US"/>
        </w:rPr>
        <w:t>ratio</w:t>
      </w:r>
      <w:r w:rsidRPr="00D1508F">
        <w:rPr>
          <w:lang w:val="en-US"/>
        </w:rPr>
        <w:t> »</w:t>
      </w:r>
    </w:p>
    <w:p w14:paraId="02FC91AD" w14:textId="77777777" w:rsidR="004610C5" w:rsidRPr="00D1508F" w:rsidRDefault="004610C5" w:rsidP="00907515">
      <w:pPr>
        <w:pStyle w:val="SingleTxtG"/>
        <w:ind w:left="1701"/>
        <w:rPr>
          <w:lang w:val="en-US"/>
        </w:rPr>
      </w:pPr>
      <w:r w:rsidRPr="00D1508F">
        <w:rPr>
          <w:b/>
          <w:bCs/>
          <w:lang w:val="en-US"/>
        </w:rPr>
        <w:t>« </w:t>
      </w:r>
      <w:r w:rsidRPr="00D1508F">
        <w:rPr>
          <w:lang w:val="en-US"/>
        </w:rPr>
        <w:t xml:space="preserve">kg </w:t>
      </w:r>
      <w:r w:rsidRPr="00D1508F">
        <w:rPr>
          <w:b/>
          <w:bCs/>
          <w:lang w:val="en-US"/>
        </w:rPr>
        <w:t>gas/kg water ».</w:t>
      </w:r>
    </w:p>
    <w:p w14:paraId="2E6D5D82" w14:textId="77777777" w:rsidR="004610C5" w:rsidRPr="00DD4676" w:rsidRDefault="004610C5" w:rsidP="00907515">
      <w:pPr>
        <w:pStyle w:val="HChG"/>
        <w:rPr>
          <w:lang w:val="fr-FR"/>
        </w:rPr>
      </w:pPr>
      <w:r w:rsidRPr="00D1508F">
        <w:rPr>
          <w:lang w:val="en-US"/>
        </w:rPr>
        <w:tab/>
      </w:r>
      <w:r w:rsidRPr="00D1508F">
        <w:rPr>
          <w:lang w:val="en-US"/>
        </w:rPr>
        <w:tab/>
      </w:r>
      <w:r w:rsidRPr="00DD4676">
        <w:rPr>
          <w:lang w:val="fr-FR"/>
        </w:rPr>
        <w:t>Propositions tendant à modifier la version française</w:t>
      </w:r>
    </w:p>
    <w:p w14:paraId="34A91EE5" w14:textId="57056339" w:rsidR="004610C5" w:rsidRPr="00DD4676" w:rsidRDefault="004610C5" w:rsidP="00907515">
      <w:pPr>
        <w:pStyle w:val="SingleTxtG"/>
        <w:rPr>
          <w:rFonts w:ascii="TimesNewRomanPSMT" w:hAnsi="TimesNewRomanPSMT" w:cs="TimesNewRomanPSMT"/>
          <w:lang w:val="fr-FR"/>
        </w:rPr>
      </w:pPr>
      <w:r w:rsidRPr="00DD4676">
        <w:rPr>
          <w:lang w:val="fr-FR"/>
        </w:rPr>
        <w:t>21.</w:t>
      </w:r>
      <w:r w:rsidRPr="00DD4676">
        <w:rPr>
          <w:lang w:val="fr-FR"/>
        </w:rPr>
        <w:tab/>
        <w:t>L</w:t>
      </w:r>
      <w:r>
        <w:rPr>
          <w:lang w:val="fr-FR"/>
        </w:rPr>
        <w:t>’</w:t>
      </w:r>
      <w:r w:rsidRPr="00DD4676">
        <w:rPr>
          <w:lang w:val="fr-FR"/>
        </w:rPr>
        <w:t>Espagne propose de modifier le 4.1.1.10</w:t>
      </w:r>
      <w:r w:rsidR="00907515">
        <w:rPr>
          <w:lang w:val="fr-FR"/>
        </w:rPr>
        <w:t> </w:t>
      </w:r>
      <w:r w:rsidRPr="00DD4676">
        <w:rPr>
          <w:lang w:val="fr-FR"/>
        </w:rPr>
        <w:t>a) comme suit</w:t>
      </w:r>
      <w:r w:rsidR="00907515">
        <w:rPr>
          <w:lang w:val="fr-FR"/>
        </w:rPr>
        <w:t> </w:t>
      </w:r>
      <w:r w:rsidRPr="00DD4676">
        <w:rPr>
          <w:lang w:val="fr-FR"/>
        </w:rPr>
        <w:t>:</w:t>
      </w:r>
    </w:p>
    <w:p w14:paraId="5712F96D" w14:textId="3CB2DB8F"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907515">
        <w:rPr>
          <w:lang w:val="fr-FR"/>
        </w:rPr>
        <w:t> </w:t>
      </w:r>
      <w:r w:rsidRPr="00DD4676">
        <w:rPr>
          <w:lang w:val="fr-FR"/>
        </w:rPr>
        <w:t>Telle que la pression manométrique totale dans l</w:t>
      </w:r>
      <w:r>
        <w:rPr>
          <w:lang w:val="fr-FR"/>
        </w:rPr>
        <w:t>’</w:t>
      </w:r>
      <w:r w:rsidRPr="00DD4676">
        <w:rPr>
          <w:lang w:val="fr-FR"/>
        </w:rPr>
        <w:t>emballage ou le GRV (c</w:t>
      </w:r>
      <w:r>
        <w:rPr>
          <w:lang w:val="fr-FR"/>
        </w:rPr>
        <w:t>’</w:t>
      </w:r>
      <w:r w:rsidRPr="00DD4676">
        <w:rPr>
          <w:lang w:val="fr-FR"/>
        </w:rPr>
        <w:t>est-à-dire pression de vapeur de la matière contenue, plus pression partielle de l</w:t>
      </w:r>
      <w:r>
        <w:rPr>
          <w:lang w:val="fr-FR"/>
        </w:rPr>
        <w:t>’</w:t>
      </w:r>
      <w:r w:rsidRPr="00DD4676">
        <w:rPr>
          <w:lang w:val="fr-FR"/>
        </w:rPr>
        <w:t>air ou d</w:t>
      </w:r>
      <w:r>
        <w:rPr>
          <w:lang w:val="fr-FR"/>
        </w:rPr>
        <w:t>’</w:t>
      </w:r>
      <w:r w:rsidRPr="00DD4676">
        <w:rPr>
          <w:lang w:val="fr-FR"/>
        </w:rPr>
        <w:t>autres gaz inertes, et moins 100</w:t>
      </w:r>
      <w:r w:rsidR="00907515">
        <w:rPr>
          <w:lang w:val="fr-FR"/>
        </w:rPr>
        <w:t> </w:t>
      </w:r>
      <w:r w:rsidRPr="00DD4676">
        <w:rPr>
          <w:lang w:val="fr-FR"/>
        </w:rPr>
        <w:t>kPa) à 55</w:t>
      </w:r>
      <w:r w:rsidR="00907515">
        <w:rPr>
          <w:lang w:val="fr-FR"/>
        </w:rPr>
        <w:t> </w:t>
      </w:r>
      <w:r w:rsidRPr="00DD4676">
        <w:rPr>
          <w:lang w:val="fr-FR"/>
        </w:rPr>
        <w:t>°C, déterminée sur la base d</w:t>
      </w:r>
      <w:r>
        <w:rPr>
          <w:lang w:val="fr-FR"/>
        </w:rPr>
        <w:t>’</w:t>
      </w:r>
      <w:r w:rsidRPr="00DD4676">
        <w:rPr>
          <w:lang w:val="fr-FR"/>
        </w:rPr>
        <w:t xml:space="preserve">un </w:t>
      </w:r>
      <w:r w:rsidRPr="00DD4676">
        <w:rPr>
          <w:strike/>
          <w:lang w:val="fr-FR"/>
        </w:rPr>
        <w:t>taux</w:t>
      </w:r>
      <w:r w:rsidRPr="00DD4676">
        <w:rPr>
          <w:lang w:val="fr-FR"/>
        </w:rPr>
        <w:t xml:space="preserve"> </w:t>
      </w:r>
      <w:r w:rsidRPr="00DD4676">
        <w:rPr>
          <w:b/>
          <w:bCs/>
          <w:lang w:val="fr-FR"/>
        </w:rPr>
        <w:t xml:space="preserve">degré </w:t>
      </w:r>
      <w:r w:rsidRPr="00DD4676">
        <w:rPr>
          <w:strike/>
          <w:lang w:val="fr-FR"/>
        </w:rPr>
        <w:t>de</w:t>
      </w:r>
      <w:r w:rsidRPr="00DD4676">
        <w:rPr>
          <w:lang w:val="fr-FR"/>
        </w:rPr>
        <w:t xml:space="preserve"> </w:t>
      </w:r>
      <w:r w:rsidRPr="00DD4676">
        <w:rPr>
          <w:strike/>
          <w:lang w:val="fr-FR"/>
        </w:rPr>
        <w:t>remplissage</w:t>
      </w:r>
      <w:r w:rsidRPr="00DD4676">
        <w:rPr>
          <w:lang w:val="fr-FR"/>
        </w:rPr>
        <w:t xml:space="preserve"> maximal </w:t>
      </w:r>
      <w:r w:rsidRPr="00DD4676">
        <w:rPr>
          <w:b/>
          <w:bCs/>
          <w:lang w:val="fr-FR"/>
        </w:rPr>
        <w:t>de remplissage</w:t>
      </w:r>
      <w:r w:rsidRPr="00DD4676">
        <w:rPr>
          <w:lang w:val="fr-FR"/>
        </w:rPr>
        <w:t xml:space="preserve"> conforme au 4.1.1.4 et d</w:t>
      </w:r>
      <w:r>
        <w:rPr>
          <w:lang w:val="fr-FR"/>
        </w:rPr>
        <w:t>’</w:t>
      </w:r>
      <w:r w:rsidRPr="00DD4676">
        <w:rPr>
          <w:lang w:val="fr-FR"/>
        </w:rPr>
        <w:t xml:space="preserve">une température de </w:t>
      </w:r>
      <w:r w:rsidRPr="00DD4676">
        <w:rPr>
          <w:lang w:val="fr-FR"/>
        </w:rPr>
        <w:lastRenderedPageBreak/>
        <w:t>remplissage de 15</w:t>
      </w:r>
      <w:r w:rsidR="00907515">
        <w:rPr>
          <w:lang w:val="fr-FR"/>
        </w:rPr>
        <w:t> </w:t>
      </w:r>
      <w:r w:rsidRPr="00DD4676">
        <w:rPr>
          <w:lang w:val="fr-FR"/>
        </w:rPr>
        <w:t>°C, ne dépasse pas les deux tiers de la pression d</w:t>
      </w:r>
      <w:r>
        <w:rPr>
          <w:lang w:val="fr-FR"/>
        </w:rPr>
        <w:t>’</w:t>
      </w:r>
      <w:r w:rsidRPr="00DD4676">
        <w:rPr>
          <w:lang w:val="fr-FR"/>
        </w:rPr>
        <w:t>épreuve inscrite.</w:t>
      </w:r>
      <w:r>
        <w:rPr>
          <w:lang w:val="fr-FR"/>
        </w:rPr>
        <w:t> </w:t>
      </w:r>
      <w:r w:rsidRPr="00DD4676">
        <w:rPr>
          <w:lang w:val="fr-FR"/>
        </w:rPr>
        <w:t>».</w:t>
      </w:r>
    </w:p>
    <w:p w14:paraId="0DF7BA52" w14:textId="6A172757" w:rsidR="004610C5" w:rsidRPr="00DD4676" w:rsidRDefault="004610C5" w:rsidP="00907515">
      <w:pPr>
        <w:pStyle w:val="SingleTxtG"/>
        <w:rPr>
          <w:lang w:val="fr-FR"/>
        </w:rPr>
      </w:pPr>
      <w:r w:rsidRPr="00DD4676">
        <w:rPr>
          <w:lang w:val="fr-FR"/>
        </w:rPr>
        <w:t>22.</w:t>
      </w:r>
      <w:r w:rsidRPr="00DD4676">
        <w:rPr>
          <w:lang w:val="fr-FR"/>
        </w:rPr>
        <w:tab/>
        <w:t>Au point</w:t>
      </w:r>
      <w:r w:rsidR="00907515">
        <w:rPr>
          <w:lang w:val="fr-FR"/>
        </w:rPr>
        <w:t> </w:t>
      </w:r>
      <w:r w:rsidRPr="00DD4676">
        <w:rPr>
          <w:lang w:val="fr-FR"/>
        </w:rPr>
        <w:t>5) de l</w:t>
      </w:r>
      <w:r>
        <w:rPr>
          <w:lang w:val="fr-FR"/>
        </w:rPr>
        <w:t>’</w:t>
      </w:r>
      <w:r w:rsidRPr="00DD4676">
        <w:rPr>
          <w:lang w:val="fr-FR"/>
        </w:rPr>
        <w:t>instruction d</w:t>
      </w:r>
      <w:r>
        <w:rPr>
          <w:lang w:val="fr-FR"/>
        </w:rPr>
        <w:t>’</w:t>
      </w:r>
      <w:r w:rsidRPr="00DD4676">
        <w:rPr>
          <w:lang w:val="fr-FR"/>
        </w:rPr>
        <w:t>emballage</w:t>
      </w:r>
      <w:r w:rsidR="00907515">
        <w:rPr>
          <w:lang w:val="fr-FR"/>
        </w:rPr>
        <w:t> </w:t>
      </w:r>
      <w:r w:rsidRPr="00DD4676">
        <w:rPr>
          <w:lang w:val="fr-FR"/>
        </w:rPr>
        <w:t>P203 du 4.1.4.1, il est fait référence au volume de la phase liquide. Toutefois, l</w:t>
      </w:r>
      <w:r>
        <w:rPr>
          <w:lang w:val="fr-FR"/>
        </w:rPr>
        <w:t>’</w:t>
      </w:r>
      <w:r w:rsidRPr="00DD4676">
        <w:rPr>
          <w:lang w:val="fr-FR"/>
        </w:rPr>
        <w:t>idée est que la quantité de matière totale qui sera contenue dans le récipient soit telle que la phase liquide satisfasse à certains critères, de sorte qu</w:t>
      </w:r>
      <w:r>
        <w:rPr>
          <w:lang w:val="fr-FR"/>
        </w:rPr>
        <w:t>’</w:t>
      </w:r>
      <w:r w:rsidRPr="00DD4676">
        <w:rPr>
          <w:lang w:val="fr-FR"/>
        </w:rPr>
        <w:t>il convient d</w:t>
      </w:r>
      <w:r>
        <w:rPr>
          <w:lang w:val="fr-FR"/>
        </w:rPr>
        <w:t>’</w:t>
      </w:r>
      <w:r w:rsidRPr="00DD4676">
        <w:rPr>
          <w:lang w:val="fr-FR"/>
        </w:rPr>
        <w:t>employer « taux de remplissage », ce qui est également cohérent avec les autres occurrences de ce terme dans le reste du Règlement type. Il est donc proposé de modifier le point</w:t>
      </w:r>
      <w:r w:rsidR="00907515">
        <w:rPr>
          <w:lang w:val="fr-FR"/>
        </w:rPr>
        <w:t> </w:t>
      </w:r>
      <w:r w:rsidRPr="00DD4676">
        <w:rPr>
          <w:lang w:val="fr-FR"/>
        </w:rPr>
        <w:t>5) de l</w:t>
      </w:r>
      <w:r>
        <w:rPr>
          <w:lang w:val="fr-FR"/>
        </w:rPr>
        <w:t>’</w:t>
      </w:r>
      <w:r w:rsidRPr="00DD4676">
        <w:rPr>
          <w:lang w:val="fr-FR"/>
        </w:rPr>
        <w:t>instruction d</w:t>
      </w:r>
      <w:r>
        <w:rPr>
          <w:lang w:val="fr-FR"/>
        </w:rPr>
        <w:t>’</w:t>
      </w:r>
      <w:r w:rsidRPr="00DD4676">
        <w:rPr>
          <w:lang w:val="fr-FR"/>
        </w:rPr>
        <w:t>emballage</w:t>
      </w:r>
      <w:r w:rsidR="00907515">
        <w:rPr>
          <w:lang w:val="fr-FR"/>
        </w:rPr>
        <w:t> </w:t>
      </w:r>
      <w:r w:rsidRPr="00DD4676">
        <w:rPr>
          <w:lang w:val="fr-FR"/>
        </w:rPr>
        <w:t>P203 du 4.1.4.1 comme suit</w:t>
      </w:r>
      <w:r w:rsidR="00907515">
        <w:rPr>
          <w:lang w:val="fr-FR"/>
        </w:rPr>
        <w:t> </w:t>
      </w:r>
      <w:r w:rsidRPr="00DD4676">
        <w:rPr>
          <w:lang w:val="fr-FR"/>
        </w:rPr>
        <w:t>:</w:t>
      </w:r>
    </w:p>
    <w:p w14:paraId="73B38898" w14:textId="48D9D4AB" w:rsidR="004610C5" w:rsidRPr="00DD4676" w:rsidRDefault="004610C5" w:rsidP="00907515">
      <w:pPr>
        <w:pStyle w:val="SingleTxtG"/>
        <w:ind w:left="1701"/>
        <w:rPr>
          <w:rFonts w:ascii="TimesNewRomanPSMT" w:hAnsi="TimesNewRomanPSMT" w:cs="TimesNewRomanPSMT"/>
          <w:b/>
          <w:lang w:val="fr-FR"/>
        </w:rPr>
      </w:pPr>
      <w:r w:rsidRPr="00DD4676">
        <w:rPr>
          <w:lang w:val="fr-FR"/>
        </w:rPr>
        <w:t>«</w:t>
      </w:r>
      <w:r w:rsidRPr="00DD4676">
        <w:rPr>
          <w:strike/>
          <w:lang w:val="fr-FR"/>
        </w:rPr>
        <w:t xml:space="preserve"> </w:t>
      </w:r>
      <w:r w:rsidRPr="00DD4676">
        <w:rPr>
          <w:lang w:val="fr-FR"/>
        </w:rPr>
        <w:t>5)</w:t>
      </w:r>
      <w:r w:rsidR="00907515">
        <w:rPr>
          <w:strike/>
          <w:lang w:val="fr-FR"/>
        </w:rPr>
        <w:tab/>
      </w:r>
      <w:r w:rsidRPr="00DD4676">
        <w:rPr>
          <w:strike/>
          <w:lang w:val="fr-FR"/>
        </w:rPr>
        <w:t xml:space="preserve">Degré de remplissage </w:t>
      </w:r>
      <w:r w:rsidRPr="00DD4676">
        <w:rPr>
          <w:b/>
          <w:bCs/>
          <w:lang w:val="fr-FR"/>
        </w:rPr>
        <w:t>Taux de remplissage</w:t>
      </w:r>
    </w:p>
    <w:p w14:paraId="498C20E2" w14:textId="65842D92" w:rsidR="004610C5" w:rsidRPr="00DD4676" w:rsidRDefault="004610C5" w:rsidP="00907515">
      <w:pPr>
        <w:pStyle w:val="SingleTxtG"/>
        <w:ind w:left="1701"/>
        <w:rPr>
          <w:rFonts w:ascii="TimesNewRomanPSMT" w:hAnsi="TimesNewRomanPSMT" w:cs="TimesNewRomanPSMT"/>
          <w:lang w:val="fr-FR"/>
        </w:rPr>
      </w:pPr>
      <w:r w:rsidRPr="00DD4676">
        <w:rPr>
          <w:lang w:val="fr-FR"/>
        </w:rPr>
        <w:t>Pour les gaz liquéfiés réfrigérés non toxiques ininflammables, la phase liquide à la température de remplissage et à une pression de 100</w:t>
      </w:r>
      <w:r w:rsidR="00907515">
        <w:rPr>
          <w:lang w:val="fr-FR"/>
        </w:rPr>
        <w:t> </w:t>
      </w:r>
      <w:r w:rsidRPr="00DD4676">
        <w:rPr>
          <w:lang w:val="fr-FR"/>
        </w:rPr>
        <w:t>kPa (1</w:t>
      </w:r>
      <w:r w:rsidR="00907515">
        <w:rPr>
          <w:lang w:val="fr-FR"/>
        </w:rPr>
        <w:t> </w:t>
      </w:r>
      <w:r w:rsidRPr="00DD4676">
        <w:rPr>
          <w:lang w:val="fr-FR"/>
        </w:rPr>
        <w:t>bar) ne doit pas dépasser 98</w:t>
      </w:r>
      <w:r w:rsidR="00907515">
        <w:rPr>
          <w:lang w:val="fr-FR"/>
        </w:rPr>
        <w:t> </w:t>
      </w:r>
      <w:r w:rsidRPr="00DD4676">
        <w:rPr>
          <w:lang w:val="fr-FR"/>
        </w:rPr>
        <w:t>% de la contenance (en eau) du récipient.</w:t>
      </w:r>
    </w:p>
    <w:p w14:paraId="1FD66D13" w14:textId="5E94907D" w:rsidR="004610C5" w:rsidRPr="00DD4676" w:rsidRDefault="004610C5" w:rsidP="00907515">
      <w:pPr>
        <w:pStyle w:val="SingleTxtG"/>
        <w:ind w:left="1701"/>
        <w:rPr>
          <w:rFonts w:ascii="TimesNewRomanPSMT" w:hAnsi="TimesNewRomanPSMT" w:cs="TimesNewRomanPSMT"/>
          <w:lang w:val="fr-FR"/>
        </w:rPr>
      </w:pPr>
      <w:r w:rsidRPr="00DD4676">
        <w:rPr>
          <w:lang w:val="fr-FR"/>
        </w:rPr>
        <w:t xml:space="preserve">Pour les gaz liquéfiés réfrigérés inflammables, le </w:t>
      </w:r>
      <w:r w:rsidRPr="00DD4676">
        <w:rPr>
          <w:strike/>
          <w:lang w:val="fr-FR"/>
        </w:rPr>
        <w:t>degré</w:t>
      </w:r>
      <w:r w:rsidRPr="00DD4676">
        <w:rPr>
          <w:lang w:val="fr-FR"/>
        </w:rPr>
        <w:t xml:space="preserve"> </w:t>
      </w:r>
      <w:r w:rsidRPr="00DD4676">
        <w:rPr>
          <w:b/>
          <w:bCs/>
          <w:lang w:val="fr-FR"/>
        </w:rPr>
        <w:t>taux</w:t>
      </w:r>
      <w:r w:rsidRPr="00DD4676">
        <w:rPr>
          <w:lang w:val="fr-FR"/>
        </w:rPr>
        <w:t xml:space="preserve"> de remplissage doit rester inférieur à une valeur telle que, lorsque le contenu est porté à la température à laquelle la tension de vapeur égale la pression d</w:t>
      </w:r>
      <w:r>
        <w:rPr>
          <w:lang w:val="fr-FR"/>
        </w:rPr>
        <w:t>’</w:t>
      </w:r>
      <w:r w:rsidRPr="00DD4676">
        <w:rPr>
          <w:lang w:val="fr-FR"/>
        </w:rPr>
        <w:t>ouverture du dispositif de décompression, la phase liquide atteindrait 98</w:t>
      </w:r>
      <w:r w:rsidR="00907515">
        <w:rPr>
          <w:lang w:val="fr-FR"/>
        </w:rPr>
        <w:t> </w:t>
      </w:r>
      <w:r w:rsidRPr="00DD4676">
        <w:rPr>
          <w:lang w:val="fr-FR"/>
        </w:rPr>
        <w:t>% de la contenance (en eau) du récipient à cette température.</w:t>
      </w:r>
      <w:r w:rsidR="00907515">
        <w:rPr>
          <w:lang w:val="fr-FR"/>
        </w:rPr>
        <w:t> </w:t>
      </w:r>
      <w:r w:rsidRPr="00DD4676">
        <w:rPr>
          <w:lang w:val="fr-FR"/>
        </w:rPr>
        <w:t>».</w:t>
      </w:r>
    </w:p>
    <w:p w14:paraId="002325C2" w14:textId="09A21765" w:rsidR="004610C5" w:rsidRPr="00DD4676" w:rsidRDefault="004610C5" w:rsidP="00907515">
      <w:pPr>
        <w:pStyle w:val="SingleTxtG"/>
        <w:rPr>
          <w:rFonts w:ascii="TimesNewRomanPSMT" w:hAnsi="TimesNewRomanPSMT" w:cs="TimesNewRomanPSMT"/>
          <w:lang w:val="fr-FR"/>
        </w:rPr>
      </w:pPr>
      <w:r w:rsidRPr="00DD4676">
        <w:rPr>
          <w:lang w:val="fr-FR"/>
        </w:rPr>
        <w:t>23.</w:t>
      </w:r>
      <w:r w:rsidRPr="00DD4676">
        <w:rPr>
          <w:lang w:val="fr-FR"/>
        </w:rPr>
        <w:tab/>
        <w:t>Modifier le 4.1.7.0.1 comme suit</w:t>
      </w:r>
      <w:r w:rsidR="00907515">
        <w:rPr>
          <w:lang w:val="fr-FR"/>
        </w:rPr>
        <w:t> </w:t>
      </w:r>
      <w:r w:rsidRPr="00DD4676">
        <w:rPr>
          <w:lang w:val="fr-FR"/>
        </w:rPr>
        <w:t>:</w:t>
      </w:r>
    </w:p>
    <w:p w14:paraId="5F6C2B43" w14:textId="48EDAB06"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907515">
        <w:rPr>
          <w:lang w:val="fr-FR"/>
        </w:rPr>
        <w:t> </w:t>
      </w:r>
      <w:r w:rsidRPr="00DD4676">
        <w:rPr>
          <w:lang w:val="fr-FR"/>
        </w:rPr>
        <w:t xml:space="preserve">Pour les peroxydes organiques, tous les récipients doivent être </w:t>
      </w:r>
      <w:r w:rsidR="00907515">
        <w:rPr>
          <w:lang w:val="fr-FR"/>
        </w:rPr>
        <w:t>“</w:t>
      </w:r>
      <w:r w:rsidRPr="00DD4676">
        <w:rPr>
          <w:lang w:val="fr-FR"/>
        </w:rPr>
        <w:t>effectivement fermé</w:t>
      </w:r>
      <w:r w:rsidR="00907515">
        <w:rPr>
          <w:lang w:val="fr-FR"/>
        </w:rPr>
        <w:t>sˮ</w:t>
      </w:r>
      <w:r w:rsidRPr="00DD4676">
        <w:rPr>
          <w:lang w:val="fr-FR"/>
        </w:rPr>
        <w:t>. En cas de risque de forte augmentation de la pression interne dans un colis à cause de la transformation d</w:t>
      </w:r>
      <w:r>
        <w:rPr>
          <w:lang w:val="fr-FR"/>
        </w:rPr>
        <w:t>’</w:t>
      </w:r>
      <w:r w:rsidRPr="00DD4676">
        <w:rPr>
          <w:lang w:val="fr-FR"/>
        </w:rPr>
        <w:t>un gaz, un évent peut être prévu, à condition que le gaz émis ne présente pas de danger</w:t>
      </w:r>
      <w:r w:rsidR="00907515">
        <w:rPr>
          <w:lang w:val="fr-FR"/>
        </w:rPr>
        <w:t> </w:t>
      </w:r>
      <w:r w:rsidRPr="00DD4676">
        <w:rPr>
          <w:lang w:val="fr-FR"/>
        </w:rPr>
        <w:t xml:space="preserve">; dans le cas contraire, le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devra être limité. Tout évent doit être aménagé de sorte que le liquide ne puisse pas s</w:t>
      </w:r>
      <w:r>
        <w:rPr>
          <w:lang w:val="fr-FR"/>
        </w:rPr>
        <w:t>’</w:t>
      </w:r>
      <w:r w:rsidRPr="00DD4676">
        <w:rPr>
          <w:lang w:val="fr-FR"/>
        </w:rPr>
        <w:t>échapper lorsque le colis est en position debout et à ne laisser entrer aucune impureté. L</w:t>
      </w:r>
      <w:r>
        <w:rPr>
          <w:lang w:val="fr-FR"/>
        </w:rPr>
        <w:t>’</w:t>
      </w:r>
      <w:r w:rsidRPr="00DD4676">
        <w:rPr>
          <w:lang w:val="fr-FR"/>
        </w:rPr>
        <w:t>emballage extérieur, s</w:t>
      </w:r>
      <w:r>
        <w:rPr>
          <w:lang w:val="fr-FR"/>
        </w:rPr>
        <w:t>’</w:t>
      </w:r>
      <w:r w:rsidRPr="00DD4676">
        <w:rPr>
          <w:lang w:val="fr-FR"/>
        </w:rPr>
        <w:t>il en existe un, doit être conçu de façon à ne pas gêner le fonctionnement de l</w:t>
      </w:r>
      <w:r>
        <w:rPr>
          <w:lang w:val="fr-FR"/>
        </w:rPr>
        <w:t>’</w:t>
      </w:r>
      <w:r w:rsidRPr="00DD4676">
        <w:rPr>
          <w:lang w:val="fr-FR"/>
        </w:rPr>
        <w:t>évent.</w:t>
      </w:r>
      <w:r w:rsidR="00907515">
        <w:rPr>
          <w:lang w:val="fr-FR"/>
        </w:rPr>
        <w:t> </w:t>
      </w:r>
      <w:r w:rsidRPr="00DD4676">
        <w:rPr>
          <w:lang w:val="fr-FR"/>
        </w:rPr>
        <w:t>».</w:t>
      </w:r>
    </w:p>
    <w:p w14:paraId="53C4947D" w14:textId="492FCB6F" w:rsidR="004610C5" w:rsidRPr="00DD4676" w:rsidRDefault="004610C5" w:rsidP="00907515">
      <w:pPr>
        <w:pStyle w:val="SingleTxtG"/>
        <w:rPr>
          <w:rFonts w:ascii="TimesNewRomanPSMT" w:hAnsi="TimesNewRomanPSMT" w:cs="TimesNewRomanPSMT"/>
          <w:lang w:val="fr-FR"/>
        </w:rPr>
      </w:pPr>
      <w:r w:rsidRPr="00DD4676">
        <w:rPr>
          <w:lang w:val="fr-FR"/>
        </w:rPr>
        <w:t>24.</w:t>
      </w:r>
      <w:r w:rsidRPr="00DD4676">
        <w:rPr>
          <w:lang w:val="fr-FR"/>
        </w:rPr>
        <w:tab/>
        <w:t>Modifier le 4.2.1.9.2 comme suit</w:t>
      </w:r>
      <w:r w:rsidR="00907515">
        <w:rPr>
          <w:lang w:val="fr-FR"/>
        </w:rPr>
        <w:t> </w:t>
      </w:r>
      <w:r w:rsidRPr="00DD4676">
        <w:rPr>
          <w:lang w:val="fr-FR"/>
        </w:rPr>
        <w:t>:</w:t>
      </w:r>
    </w:p>
    <w:p w14:paraId="37815DE5" w14:textId="47B51B79"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907515">
        <w:rPr>
          <w:lang w:val="fr-FR"/>
        </w:rPr>
        <w:t> </w:t>
      </w:r>
      <w:r w:rsidRPr="00DD4676">
        <w:rPr>
          <w:lang w:val="fr-FR"/>
        </w:rPr>
        <w:t>Dans les cas généraux d</w:t>
      </w:r>
      <w:r>
        <w:rPr>
          <w:lang w:val="fr-FR"/>
        </w:rPr>
        <w:t>’</w:t>
      </w:r>
      <w:r w:rsidRPr="00DD4676">
        <w:rPr>
          <w:lang w:val="fr-FR"/>
        </w:rPr>
        <w:t xml:space="preserve">utilisation, le </w:t>
      </w:r>
      <w:r w:rsidRPr="00DD4676">
        <w:rPr>
          <w:strike/>
          <w:lang w:val="fr-FR"/>
        </w:rPr>
        <w:t>taux</w:t>
      </w:r>
      <w:r w:rsidRPr="00DD4676">
        <w:rPr>
          <w:lang w:val="fr-FR"/>
        </w:rPr>
        <w:t xml:space="preserve"> </w:t>
      </w:r>
      <w:r w:rsidRPr="00DD4676">
        <w:rPr>
          <w:b/>
          <w:bCs/>
          <w:lang w:val="fr-FR"/>
        </w:rPr>
        <w:t>degré</w:t>
      </w:r>
      <w:r w:rsidRPr="00DD4676">
        <w:rPr>
          <w:lang w:val="fr-FR"/>
        </w:rPr>
        <w:t xml:space="preserve"> maximal de remplissage (en</w:t>
      </w:r>
      <w:r w:rsidR="00907515">
        <w:rPr>
          <w:lang w:val="fr-FR"/>
        </w:rPr>
        <w:t> </w:t>
      </w:r>
      <w:r w:rsidRPr="00DD4676">
        <w:rPr>
          <w:lang w:val="fr-FR"/>
        </w:rPr>
        <w:t>%) est donné par la formule suivante</w:t>
      </w:r>
      <w:r w:rsidR="00907515">
        <w:rPr>
          <w:lang w:val="fr-FR"/>
        </w:rPr>
        <w:t> </w:t>
      </w:r>
      <w:r w:rsidRPr="00DD4676">
        <w:rPr>
          <w:lang w:val="fr-FR"/>
        </w:rPr>
        <w:t xml:space="preserve">: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w:t>
      </w:r>
      <w:r w:rsidR="00907515">
        <w:rPr>
          <w:lang w:val="fr-FR"/>
        </w:rPr>
        <w:t> </w:t>
      </w:r>
      <w:r w:rsidRPr="00DD4676">
        <w:rPr>
          <w:lang w:val="fr-FR"/>
        </w:rPr>
        <w:t>».</w:t>
      </w:r>
    </w:p>
    <w:p w14:paraId="78FBF5E7" w14:textId="332C442D" w:rsidR="004610C5" w:rsidRPr="00DD4676" w:rsidRDefault="004610C5" w:rsidP="00907515">
      <w:pPr>
        <w:pStyle w:val="SingleTxtG"/>
        <w:rPr>
          <w:rFonts w:ascii="TimesNewRomanPSMT" w:hAnsi="TimesNewRomanPSMT" w:cs="TimesNewRomanPSMT"/>
          <w:lang w:val="fr-FR"/>
        </w:rPr>
      </w:pPr>
      <w:r w:rsidRPr="00DD4676">
        <w:rPr>
          <w:lang w:val="fr-FR"/>
        </w:rPr>
        <w:t>25.</w:t>
      </w:r>
      <w:r w:rsidRPr="00DD4676">
        <w:rPr>
          <w:lang w:val="fr-FR"/>
        </w:rPr>
        <w:tab/>
        <w:t>Modifier le 4.2.1.9.3 comme suit</w:t>
      </w:r>
      <w:r w:rsidR="00907515">
        <w:rPr>
          <w:lang w:val="fr-FR"/>
        </w:rPr>
        <w:t> </w:t>
      </w:r>
      <w:r w:rsidRPr="00DD4676">
        <w:rPr>
          <w:lang w:val="fr-FR"/>
        </w:rPr>
        <w:t>:</w:t>
      </w:r>
    </w:p>
    <w:p w14:paraId="75158558" w14:textId="446570A1" w:rsidR="004610C5" w:rsidRPr="00DD4676" w:rsidRDefault="004610C5" w:rsidP="00907515">
      <w:pPr>
        <w:pStyle w:val="SingleTxtG"/>
        <w:ind w:left="1701"/>
        <w:rPr>
          <w:rFonts w:ascii="TimesNewRomanPSMT" w:hAnsi="TimesNewRomanPSMT" w:cs="TimesNewRomanPSMT"/>
          <w:lang w:val="fr-FR"/>
        </w:rPr>
      </w:pPr>
      <w:r w:rsidRPr="00DD4676">
        <w:rPr>
          <w:lang w:val="fr-FR"/>
        </w:rPr>
        <w:t>« Pour les matières liquides de la division</w:t>
      </w:r>
      <w:r w:rsidR="00907515">
        <w:rPr>
          <w:lang w:val="fr-FR"/>
        </w:rPr>
        <w:t> </w:t>
      </w:r>
      <w:r w:rsidRPr="00DD4676">
        <w:rPr>
          <w:lang w:val="fr-FR"/>
        </w:rPr>
        <w:t>6.1 ou de la classe</w:t>
      </w:r>
      <w:r w:rsidR="00907515">
        <w:rPr>
          <w:lang w:val="fr-FR"/>
        </w:rPr>
        <w:t> </w:t>
      </w:r>
      <w:r w:rsidRPr="00DD4676">
        <w:rPr>
          <w:lang w:val="fr-FR"/>
        </w:rPr>
        <w:t>8 qui relèvent des groupes d</w:t>
      </w:r>
      <w:r>
        <w:rPr>
          <w:lang w:val="fr-FR"/>
        </w:rPr>
        <w:t>’</w:t>
      </w:r>
      <w:r w:rsidRPr="00DD4676">
        <w:rPr>
          <w:lang w:val="fr-FR"/>
        </w:rPr>
        <w:t>emballage</w:t>
      </w:r>
      <w:r w:rsidR="00907515">
        <w:rPr>
          <w:lang w:val="fr-FR"/>
        </w:rPr>
        <w:t> </w:t>
      </w:r>
      <w:r w:rsidRPr="00DD4676">
        <w:rPr>
          <w:lang w:val="fr-FR"/>
        </w:rPr>
        <w:t>I ou II, de même que pour les matières liquides dont la pression absolue de vapeur est supérieure à 175</w:t>
      </w:r>
      <w:r w:rsidR="00907515">
        <w:rPr>
          <w:lang w:val="fr-FR"/>
        </w:rPr>
        <w:t> </w:t>
      </w:r>
      <w:r w:rsidRPr="00DD4676">
        <w:rPr>
          <w:lang w:val="fr-FR"/>
        </w:rPr>
        <w:t>kPa (1,75</w:t>
      </w:r>
      <w:r w:rsidR="00907515">
        <w:rPr>
          <w:lang w:val="fr-FR"/>
        </w:rPr>
        <w:t> </w:t>
      </w:r>
      <w:r w:rsidRPr="00DD4676">
        <w:rPr>
          <w:lang w:val="fr-FR"/>
        </w:rPr>
        <w:t>bar) à 65</w:t>
      </w:r>
      <w:r w:rsidR="00907515">
        <w:rPr>
          <w:lang w:val="fr-FR"/>
        </w:rPr>
        <w:t> </w:t>
      </w:r>
      <w:r w:rsidRPr="00DD4676">
        <w:rPr>
          <w:lang w:val="fr-FR"/>
        </w:rPr>
        <w:t xml:space="preserve">°C, le </w:t>
      </w:r>
      <w:r w:rsidRPr="00DD4676">
        <w:rPr>
          <w:strike/>
          <w:lang w:val="fr-FR"/>
        </w:rPr>
        <w:t>taux</w:t>
      </w:r>
      <w:r w:rsidRPr="00DD4676">
        <w:rPr>
          <w:lang w:val="fr-FR"/>
        </w:rPr>
        <w:t xml:space="preserve"> </w:t>
      </w:r>
      <w:r w:rsidRPr="00DD4676">
        <w:rPr>
          <w:b/>
          <w:bCs/>
          <w:lang w:val="fr-FR"/>
        </w:rPr>
        <w:t>degré</w:t>
      </w:r>
      <w:r w:rsidRPr="00DD4676">
        <w:rPr>
          <w:lang w:val="fr-FR"/>
        </w:rPr>
        <w:t xml:space="preserve"> maximal de remplissage (en</w:t>
      </w:r>
      <w:r w:rsidR="00907515">
        <w:rPr>
          <w:lang w:val="fr-FR"/>
        </w:rPr>
        <w:t> </w:t>
      </w:r>
      <w:r w:rsidRPr="00DD4676">
        <w:rPr>
          <w:lang w:val="fr-FR"/>
        </w:rPr>
        <w:t>%) est donné par la formule suivante</w:t>
      </w:r>
      <w:r w:rsidR="00907515">
        <w:rPr>
          <w:lang w:val="fr-FR"/>
        </w:rPr>
        <w:t> </w:t>
      </w:r>
      <w:r w:rsidRPr="00DD4676">
        <w:rPr>
          <w:lang w:val="fr-FR"/>
        </w:rPr>
        <w:t xml:space="preserve">: </w:t>
      </w:r>
      <w:r w:rsidRPr="00DD4676">
        <w:rPr>
          <w:strike/>
          <w:lang w:val="fr-FR"/>
        </w:rPr>
        <w:t xml:space="preserve">Taux </w:t>
      </w:r>
      <w:r w:rsidRPr="00DD4676">
        <w:rPr>
          <w:b/>
          <w:bCs/>
          <w:lang w:val="fr-FR"/>
        </w:rPr>
        <w:t xml:space="preserve">Degré </w:t>
      </w:r>
      <w:r w:rsidRPr="00DD4676">
        <w:rPr>
          <w:lang w:val="fr-FR"/>
        </w:rPr>
        <w:t>de remplissage=...</w:t>
      </w:r>
      <w:r>
        <w:rPr>
          <w:lang w:val="fr-FR"/>
        </w:rPr>
        <w:t> </w:t>
      </w:r>
      <w:r w:rsidRPr="00DD4676">
        <w:rPr>
          <w:lang w:val="fr-FR"/>
        </w:rPr>
        <w:t>».</w:t>
      </w:r>
    </w:p>
    <w:p w14:paraId="55A9667F" w14:textId="1B806F9F" w:rsidR="004610C5" w:rsidRPr="00DD4676" w:rsidRDefault="004610C5" w:rsidP="00907515">
      <w:pPr>
        <w:pStyle w:val="SingleTxtG"/>
        <w:rPr>
          <w:lang w:val="fr-FR"/>
        </w:rPr>
      </w:pPr>
      <w:r w:rsidRPr="00DD4676">
        <w:rPr>
          <w:lang w:val="fr-FR"/>
        </w:rPr>
        <w:t>26.</w:t>
      </w:r>
      <w:r w:rsidRPr="00DD4676">
        <w:rPr>
          <w:lang w:val="fr-FR"/>
        </w:rPr>
        <w:tab/>
        <w:t>Le libellé actuel du 4.2.1.9.5 traduit correctement le sens de « degré de remplissage » sans que le terme soit employé. Il pourrait toutefois être modifié comme suit pour que ce terme apparaisse</w:t>
      </w:r>
      <w:r w:rsidR="00907515">
        <w:rPr>
          <w:lang w:val="fr-FR"/>
        </w:rPr>
        <w:t> </w:t>
      </w:r>
      <w:r w:rsidRPr="00DD4676">
        <w:rPr>
          <w:lang w:val="fr-FR"/>
        </w:rPr>
        <w:t>:</w:t>
      </w:r>
    </w:p>
    <w:p w14:paraId="5ECDF4C5" w14:textId="2A234C06" w:rsidR="004610C5" w:rsidRPr="00DD4676" w:rsidRDefault="004610C5" w:rsidP="00907515">
      <w:pPr>
        <w:pStyle w:val="SingleTxtG"/>
        <w:ind w:left="1701"/>
        <w:rPr>
          <w:lang w:val="fr-FR"/>
        </w:rPr>
      </w:pPr>
      <w:r w:rsidRPr="00DD4676">
        <w:rPr>
          <w:lang w:val="fr-FR"/>
        </w:rPr>
        <w:t>«</w:t>
      </w:r>
      <w:r w:rsidR="00907515">
        <w:rPr>
          <w:lang w:val="fr-FR"/>
        </w:rPr>
        <w:t> </w:t>
      </w:r>
      <w:r w:rsidRPr="00DD4676">
        <w:rPr>
          <w:lang w:val="fr-FR"/>
        </w:rPr>
        <w:t>Les dispositions des 4.2.1.9.2 à 4.2.1.9.4.1 ne s</w:t>
      </w:r>
      <w:r>
        <w:rPr>
          <w:lang w:val="fr-FR"/>
        </w:rPr>
        <w:t>’</w:t>
      </w:r>
      <w:r w:rsidRPr="00DD4676">
        <w:rPr>
          <w:lang w:val="fr-FR"/>
        </w:rPr>
        <w:t>appliquent pas aux citernes mobiles dont le contenu est maintenu à une température supérieure à 50</w:t>
      </w:r>
      <w:r w:rsidR="00907515">
        <w:rPr>
          <w:lang w:val="fr-FR"/>
        </w:rPr>
        <w:t> </w:t>
      </w:r>
      <w:r w:rsidRPr="00DD4676">
        <w:rPr>
          <w:lang w:val="fr-FR"/>
        </w:rPr>
        <w:t>ºC durant le transport (par exemple, au moyen d</w:t>
      </w:r>
      <w:r>
        <w:rPr>
          <w:lang w:val="fr-FR"/>
        </w:rPr>
        <w:t>’</w:t>
      </w:r>
      <w:r w:rsidRPr="00DD4676">
        <w:rPr>
          <w:lang w:val="fr-FR"/>
        </w:rPr>
        <w:t>un dispositif de chauffage). Pour les citernes mobiles équipées d</w:t>
      </w:r>
      <w:r>
        <w:rPr>
          <w:lang w:val="fr-FR"/>
        </w:rPr>
        <w:t>’</w:t>
      </w:r>
      <w:r w:rsidRPr="00DD4676">
        <w:rPr>
          <w:lang w:val="fr-FR"/>
        </w:rPr>
        <w:t xml:space="preserve">un tel dispositif, un régulateur de température sera utilisé afin </w:t>
      </w:r>
      <w:r w:rsidRPr="00DD4676">
        <w:rPr>
          <w:b/>
          <w:bCs/>
          <w:lang w:val="fr-FR"/>
        </w:rPr>
        <w:t>d</w:t>
      </w:r>
      <w:r>
        <w:rPr>
          <w:b/>
          <w:bCs/>
          <w:lang w:val="fr-FR"/>
        </w:rPr>
        <w:t>’</w:t>
      </w:r>
      <w:r w:rsidRPr="00DD4676">
        <w:rPr>
          <w:b/>
          <w:bCs/>
          <w:lang w:val="fr-FR"/>
        </w:rPr>
        <w:t>assurer</w:t>
      </w:r>
      <w:r w:rsidRPr="00DD4676">
        <w:rPr>
          <w:lang w:val="fr-FR"/>
        </w:rPr>
        <w:t xml:space="preserve"> que </w:t>
      </w:r>
      <w:r w:rsidRPr="00DD4676">
        <w:rPr>
          <w:strike/>
          <w:lang w:val="fr-FR"/>
        </w:rPr>
        <w:t>la citerne ne soit jamais pleine</w:t>
      </w:r>
      <w:r w:rsidRPr="00DD4676">
        <w:rPr>
          <w:lang w:val="fr-FR"/>
        </w:rPr>
        <w:t xml:space="preserve"> </w:t>
      </w:r>
      <w:r w:rsidRPr="00DD4676">
        <w:rPr>
          <w:b/>
          <w:bCs/>
          <w:lang w:val="fr-FR"/>
        </w:rPr>
        <w:t>le degré maximal de remplissage</w:t>
      </w:r>
      <w:r w:rsidRPr="00DD4676">
        <w:rPr>
          <w:lang w:val="fr-FR"/>
        </w:rPr>
        <w:t xml:space="preserve"> </w:t>
      </w:r>
      <w:r w:rsidRPr="00DD4676">
        <w:rPr>
          <w:strike/>
          <w:lang w:val="fr-FR"/>
        </w:rPr>
        <w:t>à plus</w:t>
      </w:r>
      <w:r w:rsidRPr="00DD4676">
        <w:rPr>
          <w:lang w:val="fr-FR"/>
        </w:rPr>
        <w:t xml:space="preserve"> </w:t>
      </w:r>
      <w:r w:rsidRPr="00DD4676">
        <w:rPr>
          <w:b/>
          <w:bCs/>
          <w:lang w:val="fr-FR"/>
        </w:rPr>
        <w:t>ne dépasse pas</w:t>
      </w:r>
      <w:r w:rsidRPr="00DD4676">
        <w:rPr>
          <w:lang w:val="fr-FR"/>
        </w:rPr>
        <w:t xml:space="preserve"> 95</w:t>
      </w:r>
      <w:r w:rsidR="00907515">
        <w:rPr>
          <w:lang w:val="fr-FR"/>
        </w:rPr>
        <w:t> </w:t>
      </w:r>
      <w:r w:rsidRPr="00DD4676">
        <w:rPr>
          <w:lang w:val="fr-FR"/>
        </w:rPr>
        <w:t>% à un moment quelconque du transport.</w:t>
      </w:r>
      <w:r w:rsidR="00907515">
        <w:rPr>
          <w:lang w:val="fr-FR"/>
        </w:rPr>
        <w:t> </w:t>
      </w:r>
      <w:r w:rsidRPr="00DD4676">
        <w:rPr>
          <w:lang w:val="fr-FR"/>
        </w:rPr>
        <w:t>».</w:t>
      </w:r>
    </w:p>
    <w:p w14:paraId="1E341338" w14:textId="4EA4A86D" w:rsidR="004610C5" w:rsidRPr="00DD4676" w:rsidRDefault="004610C5" w:rsidP="00907515">
      <w:pPr>
        <w:pStyle w:val="SingleTxtG"/>
        <w:rPr>
          <w:rFonts w:ascii="TimesNewRomanPSMT" w:hAnsi="TimesNewRomanPSMT" w:cs="TimesNewRomanPSMT"/>
          <w:lang w:val="fr-FR"/>
        </w:rPr>
      </w:pPr>
      <w:r w:rsidRPr="00DD4676">
        <w:rPr>
          <w:lang w:val="fr-FR"/>
        </w:rPr>
        <w:t>27.</w:t>
      </w:r>
      <w:r w:rsidRPr="00DD4676">
        <w:rPr>
          <w:lang w:val="fr-FR"/>
        </w:rPr>
        <w:tab/>
        <w:t>Modifier le 4.2.1.9.5.1 comme suit</w:t>
      </w:r>
      <w:r w:rsidR="00907515">
        <w:rPr>
          <w:lang w:val="fr-FR"/>
        </w:rPr>
        <w:t> </w:t>
      </w:r>
      <w:r w:rsidRPr="00DD4676">
        <w:rPr>
          <w:lang w:val="fr-FR"/>
        </w:rPr>
        <w:t>:</w:t>
      </w:r>
    </w:p>
    <w:p w14:paraId="4ED2032A" w14:textId="17611FC9"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 xml:space="preserve">degré </w:t>
      </w:r>
      <w:r w:rsidRPr="00DD4676">
        <w:rPr>
          <w:lang w:val="fr-FR"/>
        </w:rPr>
        <w:t>de remplissage maximal (en</w:t>
      </w:r>
      <w:r w:rsidR="00A277FB">
        <w:rPr>
          <w:lang w:val="fr-FR"/>
        </w:rPr>
        <w:t> </w:t>
      </w:r>
      <w:r w:rsidRPr="00DD4676">
        <w:rPr>
          <w:lang w:val="fr-FR"/>
        </w:rPr>
        <w:t>%) pour les matières solides transportées à des températures supérieures à leur point de fusion et pour les liquides à température élevée doit être déterminé au moyen de la formule suivante</w:t>
      </w:r>
      <w:r w:rsidR="00A277FB">
        <w:rPr>
          <w:lang w:val="fr-FR"/>
        </w:rPr>
        <w:t> </w:t>
      </w:r>
      <w:r w:rsidRPr="00DD4676">
        <w:rPr>
          <w:lang w:val="fr-FR"/>
        </w:rPr>
        <w:t xml:space="preserve">: </w:t>
      </w:r>
      <w:r w:rsidRPr="00DD4676">
        <w:rPr>
          <w:strike/>
          <w:lang w:val="fr-FR"/>
        </w:rPr>
        <w:t xml:space="preserve">Taux </w:t>
      </w:r>
      <w:r w:rsidRPr="00DD4676">
        <w:rPr>
          <w:lang w:val="fr-FR"/>
        </w:rPr>
        <w:t xml:space="preserve"> </w:t>
      </w:r>
      <w:r w:rsidRPr="00DD4676">
        <w:rPr>
          <w:b/>
          <w:bCs/>
          <w:lang w:val="fr-FR"/>
        </w:rPr>
        <w:t>Degré</w:t>
      </w:r>
      <w:r w:rsidRPr="00DD4676">
        <w:rPr>
          <w:lang w:val="fr-FR"/>
        </w:rPr>
        <w:t xml:space="preserve"> de remplissage=...</w:t>
      </w:r>
      <w:r w:rsidR="00A277FB">
        <w:rPr>
          <w:lang w:val="fr-FR"/>
        </w:rPr>
        <w:t> </w:t>
      </w:r>
      <w:r w:rsidRPr="00DD4676">
        <w:rPr>
          <w:lang w:val="fr-FR"/>
        </w:rPr>
        <w:t>».</w:t>
      </w:r>
    </w:p>
    <w:p w14:paraId="69D04875" w14:textId="71C2A8D4" w:rsidR="004610C5" w:rsidRPr="00DD4676" w:rsidRDefault="004610C5" w:rsidP="00A277FB">
      <w:pPr>
        <w:pStyle w:val="SingleTxtG"/>
        <w:keepNext/>
        <w:keepLines/>
        <w:rPr>
          <w:rFonts w:ascii="TimesNewRomanPSMT" w:hAnsi="TimesNewRomanPSMT" w:cs="TimesNewRomanPSMT"/>
          <w:lang w:val="fr-FR"/>
        </w:rPr>
      </w:pPr>
      <w:r w:rsidRPr="00DD4676">
        <w:rPr>
          <w:lang w:val="fr-FR"/>
        </w:rPr>
        <w:lastRenderedPageBreak/>
        <w:t>28.</w:t>
      </w:r>
      <w:r w:rsidRPr="00DD4676">
        <w:rPr>
          <w:lang w:val="fr-FR"/>
        </w:rPr>
        <w:tab/>
        <w:t>Modifier le 4.2.1.9.6</w:t>
      </w:r>
      <w:r w:rsidR="00A277FB">
        <w:rPr>
          <w:lang w:val="fr-FR"/>
        </w:rPr>
        <w:t> </w:t>
      </w:r>
      <w:r w:rsidRPr="00DD4676">
        <w:rPr>
          <w:lang w:val="fr-FR"/>
        </w:rPr>
        <w:t>a) comme suit</w:t>
      </w:r>
      <w:r w:rsidR="00A277FB">
        <w:rPr>
          <w:lang w:val="fr-FR"/>
        </w:rPr>
        <w:t> </w:t>
      </w:r>
      <w:r w:rsidRPr="00DD4676">
        <w:rPr>
          <w:lang w:val="fr-FR"/>
        </w:rPr>
        <w:t>:</w:t>
      </w:r>
    </w:p>
    <w:p w14:paraId="7678A769" w14:textId="3AD3E04B"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A277FB">
        <w:rPr>
          <w:lang w:val="fr-FR"/>
        </w:rPr>
        <w:t> </w:t>
      </w:r>
      <w:r w:rsidRPr="00DD4676">
        <w:rPr>
          <w:lang w:val="fr-FR"/>
        </w:rPr>
        <w:t xml:space="preserve">Si leur </w:t>
      </w:r>
      <w:r w:rsidRPr="00DD4676">
        <w:rPr>
          <w:strike/>
          <w:lang w:val="fr-FR"/>
        </w:rPr>
        <w:t>taux</w:t>
      </w:r>
      <w:r w:rsidRPr="00DD4676">
        <w:rPr>
          <w:lang w:val="fr-FR"/>
        </w:rPr>
        <w:t xml:space="preserve"> </w:t>
      </w:r>
      <w:r w:rsidRPr="00DD4676">
        <w:rPr>
          <w:b/>
          <w:bCs/>
          <w:lang w:val="fr-FR"/>
        </w:rPr>
        <w:t xml:space="preserve">degré </w:t>
      </w:r>
      <w:r w:rsidRPr="00DD4676">
        <w:rPr>
          <w:lang w:val="fr-FR"/>
        </w:rPr>
        <w:t>de remplissage, dans le cas de liquides ayant une viscosité inférieure à 2</w:t>
      </w:r>
      <w:r w:rsidR="00A277FB">
        <w:rPr>
          <w:lang w:val="fr-FR"/>
        </w:rPr>
        <w:t> </w:t>
      </w:r>
      <w:r w:rsidRPr="00DD4676">
        <w:rPr>
          <w:lang w:val="fr-FR"/>
        </w:rPr>
        <w:t>680</w:t>
      </w:r>
      <w:r w:rsidR="00A277FB">
        <w:rPr>
          <w:lang w:val="fr-FR"/>
        </w:rPr>
        <w:t> </w:t>
      </w:r>
      <w:r w:rsidRPr="00DD4676">
        <w:rPr>
          <w:lang w:val="fr-FR"/>
        </w:rPr>
        <w:t>mm2/s à 20</w:t>
      </w:r>
      <w:r w:rsidR="00A277FB">
        <w:rPr>
          <w:lang w:val="fr-FR"/>
        </w:rPr>
        <w:t> </w:t>
      </w:r>
      <w:r w:rsidRPr="00DD4676">
        <w:rPr>
          <w:lang w:val="fr-FR"/>
        </w:rPr>
        <w:t>°C ou à la température maximale de la matière au cours du transport dans le cas d</w:t>
      </w:r>
      <w:r>
        <w:rPr>
          <w:lang w:val="fr-FR"/>
        </w:rPr>
        <w:t>’</w:t>
      </w:r>
      <w:r w:rsidRPr="00DD4676">
        <w:rPr>
          <w:lang w:val="fr-FR"/>
        </w:rPr>
        <w:t>une matière transportée à chaud, est supérieur à 20</w:t>
      </w:r>
      <w:r w:rsidR="00A277FB">
        <w:rPr>
          <w:lang w:val="fr-FR"/>
        </w:rPr>
        <w:t> </w:t>
      </w:r>
      <w:r w:rsidRPr="00DD4676">
        <w:rPr>
          <w:lang w:val="fr-FR"/>
        </w:rPr>
        <w:t>% mais inférieur à 80</w:t>
      </w:r>
      <w:r w:rsidR="00A277FB">
        <w:rPr>
          <w:lang w:val="fr-FR"/>
        </w:rPr>
        <w:t> </w:t>
      </w:r>
      <w:r w:rsidRPr="00DD4676">
        <w:rPr>
          <w:lang w:val="fr-FR"/>
        </w:rPr>
        <w:t>%, à moins que les réservoirs soient divisés par des cloisons ou brise</w:t>
      </w:r>
      <w:r w:rsidR="00A277FB">
        <w:rPr>
          <w:lang w:val="fr-FR"/>
        </w:rPr>
        <w:noBreakHyphen/>
      </w:r>
      <w:r w:rsidRPr="00DD4676">
        <w:rPr>
          <w:lang w:val="fr-FR"/>
        </w:rPr>
        <w:t>flots en sections de capacités maximale de 7</w:t>
      </w:r>
      <w:r w:rsidR="00A277FB">
        <w:rPr>
          <w:lang w:val="fr-FR"/>
        </w:rPr>
        <w:t> </w:t>
      </w:r>
      <w:r w:rsidRPr="00DD4676">
        <w:rPr>
          <w:lang w:val="fr-FR"/>
        </w:rPr>
        <w:t>500</w:t>
      </w:r>
      <w:r w:rsidR="00A277FB">
        <w:rPr>
          <w:lang w:val="fr-FR"/>
        </w:rPr>
        <w:t> </w:t>
      </w:r>
      <w:r w:rsidRPr="00DD4676">
        <w:rPr>
          <w:lang w:val="fr-FR"/>
        </w:rPr>
        <w:t>l</w:t>
      </w:r>
      <w:r w:rsidR="00A277FB">
        <w:rPr>
          <w:lang w:val="fr-FR"/>
        </w:rPr>
        <w:t> </w:t>
      </w:r>
      <w:r w:rsidRPr="00DD4676">
        <w:rPr>
          <w:lang w:val="fr-FR"/>
        </w:rPr>
        <w:t>;</w:t>
      </w:r>
      <w:r w:rsidR="00A277FB">
        <w:rPr>
          <w:lang w:val="fr-FR"/>
        </w:rPr>
        <w:t> </w:t>
      </w:r>
      <w:r w:rsidRPr="00DD4676">
        <w:rPr>
          <w:lang w:val="fr-FR"/>
        </w:rPr>
        <w:t>».</w:t>
      </w:r>
    </w:p>
    <w:p w14:paraId="0DBB7177" w14:textId="41856938" w:rsidR="004610C5" w:rsidRPr="00DD4676" w:rsidRDefault="004610C5" w:rsidP="00907515">
      <w:pPr>
        <w:pStyle w:val="SingleTxtG"/>
        <w:rPr>
          <w:rFonts w:ascii="TimesNewRomanPSMT" w:hAnsi="TimesNewRomanPSMT" w:cs="TimesNewRomanPSMT"/>
          <w:lang w:val="fr-FR"/>
        </w:rPr>
      </w:pPr>
      <w:r w:rsidRPr="00DD4676">
        <w:rPr>
          <w:lang w:val="fr-FR"/>
        </w:rPr>
        <w:t>29.</w:t>
      </w:r>
      <w:r w:rsidRPr="00DD4676">
        <w:rPr>
          <w:lang w:val="fr-FR"/>
        </w:rPr>
        <w:tab/>
        <w:t>Modifier le 4.2.1.13.13 comme suit</w:t>
      </w:r>
      <w:r w:rsidR="00A277FB">
        <w:rPr>
          <w:lang w:val="fr-FR"/>
        </w:rPr>
        <w:t> </w:t>
      </w:r>
      <w:r w:rsidRPr="00DD4676">
        <w:rPr>
          <w:lang w:val="fr-FR"/>
        </w:rPr>
        <w:t>:</w:t>
      </w:r>
    </w:p>
    <w:p w14:paraId="6AFCA1B1" w14:textId="553B1FB5"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ne doit pas dépasser 90</w:t>
      </w:r>
      <w:r w:rsidR="00A277FB">
        <w:rPr>
          <w:lang w:val="fr-FR"/>
        </w:rPr>
        <w:t> </w:t>
      </w:r>
      <w:r w:rsidRPr="00DD4676">
        <w:rPr>
          <w:lang w:val="fr-FR"/>
        </w:rPr>
        <w:t>% à 15</w:t>
      </w:r>
      <w:r w:rsidR="00A277FB">
        <w:rPr>
          <w:lang w:val="fr-FR"/>
        </w:rPr>
        <w:t> </w:t>
      </w:r>
      <w:r w:rsidRPr="00DD4676">
        <w:rPr>
          <w:lang w:val="fr-FR"/>
        </w:rPr>
        <w:t>°C.</w:t>
      </w:r>
      <w:r w:rsidR="00A277FB">
        <w:rPr>
          <w:lang w:val="fr-FR"/>
        </w:rPr>
        <w:t> </w:t>
      </w:r>
      <w:r w:rsidRPr="00DD4676">
        <w:rPr>
          <w:lang w:val="fr-FR"/>
        </w:rPr>
        <w:t>».</w:t>
      </w:r>
    </w:p>
    <w:p w14:paraId="78D3FDBB" w14:textId="1C406A1F" w:rsidR="004610C5" w:rsidRPr="00DD4676" w:rsidRDefault="004610C5" w:rsidP="00907515">
      <w:pPr>
        <w:pStyle w:val="SingleTxtG"/>
        <w:rPr>
          <w:rFonts w:ascii="TimesNewRomanPSMT" w:hAnsi="TimesNewRomanPSMT" w:cs="TimesNewRomanPSMT"/>
          <w:lang w:val="fr-FR"/>
        </w:rPr>
      </w:pPr>
      <w:r w:rsidRPr="00DD4676">
        <w:rPr>
          <w:lang w:val="fr-FR"/>
        </w:rPr>
        <w:t>30.</w:t>
      </w:r>
      <w:r w:rsidRPr="00DD4676">
        <w:rPr>
          <w:lang w:val="fr-FR"/>
        </w:rPr>
        <w:tab/>
        <w:t>Modifier le 4.2.1.16.2 comme suit</w:t>
      </w:r>
      <w:r w:rsidR="00A277FB">
        <w:rPr>
          <w:lang w:val="fr-FR"/>
        </w:rPr>
        <w:t> </w:t>
      </w:r>
      <w:r w:rsidRPr="00DD4676">
        <w:rPr>
          <w:lang w:val="fr-FR"/>
        </w:rPr>
        <w:t>:</w:t>
      </w:r>
    </w:p>
    <w:p w14:paraId="77B9E7A4" w14:textId="068D312A"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des citernes mobiles ne doit pas dépasser 90</w:t>
      </w:r>
      <w:r w:rsidR="00A277FB">
        <w:rPr>
          <w:lang w:val="fr-FR"/>
        </w:rPr>
        <w:t> </w:t>
      </w:r>
      <w:r w:rsidRPr="00DD4676">
        <w:rPr>
          <w:lang w:val="fr-FR"/>
        </w:rPr>
        <w:t>% ou toute autre valeur approuvée par l</w:t>
      </w:r>
      <w:r>
        <w:rPr>
          <w:lang w:val="fr-FR"/>
        </w:rPr>
        <w:t>’</w:t>
      </w:r>
      <w:r w:rsidRPr="00DD4676">
        <w:rPr>
          <w:lang w:val="fr-FR"/>
        </w:rPr>
        <w:t>autorité compétente.</w:t>
      </w:r>
      <w:r w:rsidR="00A277FB">
        <w:rPr>
          <w:lang w:val="fr-FR"/>
        </w:rPr>
        <w:t> </w:t>
      </w:r>
      <w:r w:rsidRPr="00DD4676">
        <w:rPr>
          <w:lang w:val="fr-FR"/>
        </w:rPr>
        <w:t>».</w:t>
      </w:r>
    </w:p>
    <w:p w14:paraId="31F87065" w14:textId="5EC2185D" w:rsidR="004610C5" w:rsidRPr="00DD4676" w:rsidRDefault="004610C5" w:rsidP="00907515">
      <w:pPr>
        <w:pStyle w:val="SingleTxtG"/>
        <w:rPr>
          <w:rFonts w:ascii="TimesNewRomanPSMT" w:hAnsi="TimesNewRomanPSMT" w:cs="TimesNewRomanPSMT"/>
          <w:lang w:val="fr-FR"/>
        </w:rPr>
      </w:pPr>
      <w:r w:rsidRPr="00DD4676">
        <w:rPr>
          <w:lang w:val="fr-FR"/>
        </w:rPr>
        <w:t>31.</w:t>
      </w:r>
      <w:r w:rsidRPr="00DD4676">
        <w:rPr>
          <w:lang w:val="fr-FR"/>
        </w:rPr>
        <w:tab/>
        <w:t>Modifier le 4.2.1.19.2 comme suit</w:t>
      </w:r>
      <w:r w:rsidR="00A277FB">
        <w:rPr>
          <w:lang w:val="fr-FR"/>
        </w:rPr>
        <w:t> </w:t>
      </w:r>
      <w:r w:rsidRPr="00DD4676">
        <w:rPr>
          <w:lang w:val="fr-FR"/>
        </w:rPr>
        <w:t>:</w:t>
      </w:r>
    </w:p>
    <w:p w14:paraId="22FCA93C" w14:textId="4B14A145" w:rsidR="004610C5" w:rsidRPr="00DD4676" w:rsidRDefault="004610C5" w:rsidP="00907515">
      <w:pPr>
        <w:pStyle w:val="SingleTxtG"/>
        <w:ind w:left="1701"/>
        <w:rPr>
          <w:rFonts w:ascii="TimesNewRomanPSMT" w:hAnsi="TimesNewRomanPSMT" w:cs="TimesNewRomanPSMT"/>
          <w:lang w:val="fr-FR"/>
        </w:rPr>
      </w:pPr>
      <w:r w:rsidRPr="00DD4676">
        <w:rPr>
          <w:lang w:val="fr-FR"/>
        </w:rPr>
        <w:t>«</w:t>
      </w:r>
      <w:r w:rsidR="00A277FB">
        <w:rPr>
          <w:lang w:val="fr-FR"/>
        </w:rPr>
        <w:t> </w:t>
      </w:r>
      <w:r w:rsidRPr="00DD4676">
        <w:rPr>
          <w:lang w:val="fr-FR"/>
        </w:rPr>
        <w:t>Sauf indication contraire dans la Liste des marchandises dangereuses du chapitre</w:t>
      </w:r>
      <w:r w:rsidR="00A277FB">
        <w:rPr>
          <w:lang w:val="fr-FR"/>
        </w:rPr>
        <w:t> </w:t>
      </w:r>
      <w:r w:rsidRPr="00DD4676">
        <w:rPr>
          <w:lang w:val="fr-FR"/>
        </w:rPr>
        <w:t>3.2, les citernes mobiles employées pour le transport de ces matières solides au-dessus de leur point de fusion doivent être conformes aux dispositions de l</w:t>
      </w:r>
      <w:r>
        <w:rPr>
          <w:lang w:val="fr-FR"/>
        </w:rPr>
        <w:t>’</w:t>
      </w:r>
      <w:r w:rsidRPr="00DD4676">
        <w:rPr>
          <w:lang w:val="fr-FR"/>
        </w:rPr>
        <w:t>instruction de transport en citernes mobiles</w:t>
      </w:r>
      <w:r w:rsidR="00A277FB">
        <w:rPr>
          <w:lang w:val="fr-FR"/>
        </w:rPr>
        <w:t> </w:t>
      </w:r>
      <w:r w:rsidRPr="00DD4676">
        <w:rPr>
          <w:lang w:val="fr-FR"/>
        </w:rPr>
        <w:t>T4 pour les matières solides du groupe d</w:t>
      </w:r>
      <w:r>
        <w:rPr>
          <w:lang w:val="fr-FR"/>
        </w:rPr>
        <w:t>’</w:t>
      </w:r>
      <w:r w:rsidRPr="00DD4676">
        <w:rPr>
          <w:lang w:val="fr-FR"/>
        </w:rPr>
        <w:t>emballage</w:t>
      </w:r>
      <w:r w:rsidR="00A277FB">
        <w:rPr>
          <w:lang w:val="fr-FR"/>
        </w:rPr>
        <w:t> </w:t>
      </w:r>
      <w:r w:rsidRPr="00DD4676">
        <w:rPr>
          <w:lang w:val="fr-FR"/>
        </w:rPr>
        <w:t>III ou T7 pour les matières solides du groupe d</w:t>
      </w:r>
      <w:r>
        <w:rPr>
          <w:lang w:val="fr-FR"/>
        </w:rPr>
        <w:t>’</w:t>
      </w:r>
      <w:r w:rsidRPr="00DD4676">
        <w:rPr>
          <w:lang w:val="fr-FR"/>
        </w:rPr>
        <w:t>emballage</w:t>
      </w:r>
      <w:r w:rsidR="00A277FB">
        <w:rPr>
          <w:lang w:val="fr-FR"/>
        </w:rPr>
        <w:t> </w:t>
      </w:r>
      <w:r w:rsidRPr="00DD4676">
        <w:rPr>
          <w:lang w:val="fr-FR"/>
        </w:rPr>
        <w:t xml:space="preserve">II. Une citerne mobile qui garantit un niveau de sécurité équivalent ou supérieur peut être choisie conformément au 4.2.5.2.5. Le </w:t>
      </w:r>
      <w:r w:rsidRPr="00DD4676">
        <w:rPr>
          <w:strike/>
          <w:lang w:val="fr-FR"/>
        </w:rPr>
        <w:t>taux</w:t>
      </w:r>
      <w:r w:rsidRPr="00DD4676">
        <w:rPr>
          <w:lang w:val="fr-FR"/>
        </w:rPr>
        <w:t xml:space="preserve"> </w:t>
      </w:r>
      <w:r w:rsidRPr="00DD4676">
        <w:rPr>
          <w:b/>
          <w:bCs/>
          <w:lang w:val="fr-FR"/>
        </w:rPr>
        <w:t xml:space="preserve">degré </w:t>
      </w:r>
      <w:r w:rsidRPr="00DD4676">
        <w:rPr>
          <w:lang w:val="fr-FR"/>
        </w:rPr>
        <w:t>de remplissage maximal (en</w:t>
      </w:r>
      <w:r w:rsidR="00A277FB">
        <w:rPr>
          <w:lang w:val="fr-FR"/>
        </w:rPr>
        <w:t> </w:t>
      </w:r>
      <w:r w:rsidRPr="00DD4676">
        <w:rPr>
          <w:lang w:val="fr-FR"/>
        </w:rPr>
        <w:t>%) doit être déterminé conformément au 4.2.1.9.5 (TP3).</w:t>
      </w:r>
      <w:r w:rsidR="00A277FB">
        <w:rPr>
          <w:lang w:val="fr-FR"/>
        </w:rPr>
        <w:t> </w:t>
      </w:r>
      <w:r w:rsidRPr="00DD4676">
        <w:rPr>
          <w:lang w:val="fr-FR"/>
        </w:rPr>
        <w:t>».</w:t>
      </w:r>
    </w:p>
    <w:p w14:paraId="51F534C5" w14:textId="335511BA" w:rsidR="004610C5" w:rsidRPr="00DD4676" w:rsidRDefault="004610C5" w:rsidP="00A277FB">
      <w:pPr>
        <w:pStyle w:val="SingleTxtG"/>
        <w:rPr>
          <w:lang w:val="fr-FR"/>
        </w:rPr>
      </w:pPr>
      <w:r w:rsidRPr="00DD4676">
        <w:rPr>
          <w:lang w:val="fr-FR"/>
        </w:rPr>
        <w:t>32.</w:t>
      </w:r>
      <w:r w:rsidRPr="00DD4676">
        <w:rPr>
          <w:lang w:val="fr-FR"/>
        </w:rPr>
        <w:tab/>
        <w:t>Modifier le 4.2.5.2.3 comme suit (pour la cohérence avec le libellé de l</w:t>
      </w:r>
      <w:r>
        <w:rPr>
          <w:lang w:val="fr-FR"/>
        </w:rPr>
        <w:t>’</w:t>
      </w:r>
      <w:r w:rsidRPr="00DD4676">
        <w:rPr>
          <w:lang w:val="fr-FR"/>
        </w:rPr>
        <w:t>instruction de transport en citernes mobiles T50)</w:t>
      </w:r>
      <w:r w:rsidR="00A277FB">
        <w:rPr>
          <w:lang w:val="fr-FR"/>
        </w:rPr>
        <w:t> </w:t>
      </w:r>
      <w:r w:rsidRPr="00DD4676">
        <w:rPr>
          <w:lang w:val="fr-FR"/>
        </w:rPr>
        <w:t>:</w:t>
      </w:r>
    </w:p>
    <w:p w14:paraId="46F63877" w14:textId="3DC68266"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L</w:t>
      </w:r>
      <w:r>
        <w:rPr>
          <w:lang w:val="fr-FR"/>
        </w:rPr>
        <w:t>’</w:t>
      </w:r>
      <w:r w:rsidRPr="00DD4676">
        <w:rPr>
          <w:lang w:val="fr-FR"/>
        </w:rPr>
        <w:t>instruction de transport en citernes mobiles</w:t>
      </w:r>
      <w:r w:rsidR="00A277FB">
        <w:rPr>
          <w:lang w:val="fr-FR"/>
        </w:rPr>
        <w:t> </w:t>
      </w:r>
      <w:r w:rsidRPr="00DD4676">
        <w:rPr>
          <w:lang w:val="fr-FR"/>
        </w:rPr>
        <w:t xml:space="preserve">T50 est applicable aux gaz liquéfiés non réfrigérés et indique les pressions de service maximales autorisées, les prescriptions pour les orifices au-dessous du niveau du liquide, pour les dispositifs de décompression et pour </w:t>
      </w:r>
      <w:r w:rsidRPr="00DD4676">
        <w:rPr>
          <w:strike/>
          <w:lang w:val="fr-FR"/>
        </w:rPr>
        <w:t>la densité</w:t>
      </w:r>
      <w:r w:rsidRPr="00DD4676">
        <w:rPr>
          <w:lang w:val="fr-FR"/>
        </w:rPr>
        <w:t xml:space="preserve"> </w:t>
      </w:r>
      <w:r w:rsidRPr="00DD4676">
        <w:rPr>
          <w:b/>
          <w:bCs/>
          <w:lang w:val="fr-FR"/>
        </w:rPr>
        <w:t>le taux</w:t>
      </w:r>
      <w:r w:rsidRPr="00DD4676">
        <w:rPr>
          <w:lang w:val="fr-FR"/>
        </w:rPr>
        <w:t xml:space="preserve"> de remplissage maximal</w:t>
      </w:r>
      <w:r w:rsidRPr="00DD4676">
        <w:rPr>
          <w:strike/>
          <w:lang w:val="fr-FR"/>
        </w:rPr>
        <w:t>e</w:t>
      </w:r>
      <w:r w:rsidRPr="00DD4676">
        <w:rPr>
          <w:lang w:val="fr-FR"/>
        </w:rPr>
        <w:t xml:space="preserve"> pour chacun des gaz liquéfiés non réfrigérés autorisé au transport en citernes mobiles.</w:t>
      </w:r>
      <w:r w:rsidR="00A277FB">
        <w:rPr>
          <w:lang w:val="fr-FR"/>
        </w:rPr>
        <w:t> </w:t>
      </w:r>
      <w:r w:rsidRPr="00DD4676">
        <w:rPr>
          <w:lang w:val="fr-FR"/>
        </w:rPr>
        <w:t>».</w:t>
      </w:r>
    </w:p>
    <w:p w14:paraId="6EE11155" w14:textId="77777777" w:rsidR="004610C5" w:rsidRPr="00DD4676" w:rsidRDefault="004610C5" w:rsidP="00907515">
      <w:pPr>
        <w:pStyle w:val="SingleTxtG"/>
        <w:rPr>
          <w:color w:val="000000" w:themeColor="text1"/>
          <w:lang w:val="fr-FR"/>
        </w:rPr>
      </w:pPr>
      <w:r w:rsidRPr="00DD4676">
        <w:rPr>
          <w:lang w:val="fr-FR"/>
        </w:rPr>
        <w:t>33.</w:t>
      </w:r>
      <w:r w:rsidRPr="00DD4676">
        <w:rPr>
          <w:lang w:val="fr-FR"/>
        </w:rPr>
        <w:tab/>
        <w:t>Au 4.2.5.2.6, modifier la septième ligne, TP23, comme suit :</w:t>
      </w:r>
    </w:p>
    <w:p w14:paraId="4B62DD7E" w14:textId="40982C2B" w:rsidR="004610C5" w:rsidRPr="00DD4676" w:rsidRDefault="004610C5" w:rsidP="00907515">
      <w:pPr>
        <w:pStyle w:val="SingleTxtG"/>
        <w:ind w:left="1701"/>
        <w:rPr>
          <w:color w:val="000000" w:themeColor="text1"/>
          <w:lang w:val="fr-FR"/>
        </w:rPr>
      </w:pPr>
      <w:r w:rsidRPr="00DD4676">
        <w:rPr>
          <w:lang w:val="fr-FR"/>
        </w:rPr>
        <w:t>«</w:t>
      </w:r>
      <w:r w:rsidR="00A277FB">
        <w:rPr>
          <w:lang w:val="fr-FR"/>
        </w:rPr>
        <w:t>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w:t>
      </w:r>
      <w:r w:rsidR="00A277FB">
        <w:rPr>
          <w:lang w:val="fr-FR"/>
        </w:rPr>
        <w:t> </w:t>
      </w:r>
      <w:r w:rsidRPr="00DD4676">
        <w:rPr>
          <w:lang w:val="fr-FR"/>
        </w:rPr>
        <w:t>».</w:t>
      </w:r>
    </w:p>
    <w:p w14:paraId="2AD80F1B" w14:textId="32DC1CA2" w:rsidR="004610C5" w:rsidRPr="00DD4676" w:rsidRDefault="004610C5" w:rsidP="00A277FB">
      <w:pPr>
        <w:pStyle w:val="SingleTxtG"/>
        <w:rPr>
          <w:lang w:val="fr-FR"/>
        </w:rPr>
      </w:pPr>
      <w:r w:rsidRPr="00DD4676">
        <w:rPr>
          <w:lang w:val="fr-FR"/>
        </w:rPr>
        <w:t>34.</w:t>
      </w:r>
      <w:r w:rsidRPr="00DD4676">
        <w:rPr>
          <w:lang w:val="fr-FR"/>
        </w:rPr>
        <w:tab/>
        <w:t>Au 4.2.5.2.6, modifier la note</w:t>
      </w:r>
      <w:r w:rsidR="00A277FB">
        <w:rPr>
          <w:lang w:val="fr-FR"/>
        </w:rPr>
        <w:t> </w:t>
      </w:r>
      <w:r w:rsidRPr="00DD4676">
        <w:rPr>
          <w:lang w:val="fr-FR"/>
        </w:rPr>
        <w:t>c) de l</w:t>
      </w:r>
      <w:r>
        <w:rPr>
          <w:lang w:val="fr-FR"/>
        </w:rPr>
        <w:t>’</w:t>
      </w:r>
      <w:r w:rsidRPr="00DD4676">
        <w:rPr>
          <w:lang w:val="fr-FR"/>
        </w:rPr>
        <w:t>instruction de transport en citernes mobiles</w:t>
      </w:r>
      <w:r w:rsidR="00A277FB">
        <w:rPr>
          <w:lang w:val="fr-FR"/>
        </w:rPr>
        <w:t> </w:t>
      </w:r>
      <w:r w:rsidRPr="00DD4676">
        <w:rPr>
          <w:lang w:val="fr-FR"/>
        </w:rPr>
        <w:t>T50 comme suit</w:t>
      </w:r>
      <w:r w:rsidR="00A277FB">
        <w:rPr>
          <w:lang w:val="fr-FR"/>
        </w:rPr>
        <w:t> </w:t>
      </w:r>
      <w:r w:rsidRPr="00DD4676">
        <w:rPr>
          <w:lang w:val="fr-FR"/>
        </w:rPr>
        <w:t>:</w:t>
      </w:r>
    </w:p>
    <w:p w14:paraId="3DC83A9A" w14:textId="5FA4FC75"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Pour les N</w:t>
      </w:r>
      <w:r w:rsidRPr="00A277FB">
        <w:rPr>
          <w:vertAlign w:val="superscript"/>
          <w:lang w:val="fr-FR"/>
        </w:rPr>
        <w:t>os</w:t>
      </w:r>
      <w:r w:rsidR="00A277FB">
        <w:rPr>
          <w:lang w:val="fr-FR"/>
        </w:rPr>
        <w:t> </w:t>
      </w:r>
      <w:r w:rsidRPr="00DD4676">
        <w:rPr>
          <w:lang w:val="fr-FR"/>
        </w:rPr>
        <w:t>ONU</w:t>
      </w:r>
      <w:r w:rsidR="00A277FB">
        <w:rPr>
          <w:lang w:val="fr-FR"/>
        </w:rPr>
        <w:t> </w:t>
      </w:r>
      <w:r w:rsidRPr="00DD4676">
        <w:rPr>
          <w:lang w:val="fr-FR"/>
        </w:rPr>
        <w:t xml:space="preserve">3500, 3501, 3502, 3503, 3504 et 3505, le degré de remplissage doit être pris en compte au lieu </w:t>
      </w:r>
      <w:r w:rsidRPr="00DD4676">
        <w:rPr>
          <w:strike/>
          <w:lang w:val="fr-FR"/>
        </w:rPr>
        <w:t>de la densité</w:t>
      </w:r>
      <w:r w:rsidRPr="00DD4676">
        <w:rPr>
          <w:lang w:val="fr-FR"/>
        </w:rPr>
        <w:t xml:space="preserve"> </w:t>
      </w:r>
      <w:r w:rsidRPr="00DD4676">
        <w:rPr>
          <w:b/>
          <w:bCs/>
          <w:lang w:val="fr-FR"/>
        </w:rPr>
        <w:t>du taux</w:t>
      </w:r>
      <w:r w:rsidRPr="00DD4676">
        <w:rPr>
          <w:lang w:val="fr-FR"/>
        </w:rPr>
        <w:t xml:space="preserve"> de remplissage maximal.</w:t>
      </w:r>
      <w:r w:rsidR="00A277FB">
        <w:rPr>
          <w:lang w:val="fr-FR"/>
        </w:rPr>
        <w:t> </w:t>
      </w:r>
      <w:r w:rsidRPr="00DD4676">
        <w:rPr>
          <w:lang w:val="fr-FR"/>
        </w:rPr>
        <w:t>».</w:t>
      </w:r>
    </w:p>
    <w:p w14:paraId="457CFDD6" w14:textId="65EBAD9C" w:rsidR="004610C5" w:rsidRPr="00DD4676" w:rsidRDefault="004610C5" w:rsidP="00A277FB">
      <w:pPr>
        <w:pStyle w:val="SingleTxtG"/>
        <w:rPr>
          <w:lang w:val="fr-FR"/>
        </w:rPr>
      </w:pPr>
      <w:r w:rsidRPr="00DD4676">
        <w:rPr>
          <w:lang w:val="fr-FR"/>
        </w:rPr>
        <w:t>35.</w:t>
      </w:r>
      <w:r w:rsidRPr="00DD4676">
        <w:rPr>
          <w:lang w:val="fr-FR"/>
        </w:rPr>
        <w:tab/>
        <w:t>Au 4.2.5.3, modifier la disposition spéciale applicable au transport en citernes mobiles</w:t>
      </w:r>
      <w:r w:rsidR="00A277FB">
        <w:rPr>
          <w:lang w:val="fr-FR"/>
        </w:rPr>
        <w:t> </w:t>
      </w:r>
      <w:r w:rsidRPr="00DD4676">
        <w:rPr>
          <w:lang w:val="fr-FR"/>
        </w:rPr>
        <w:t>TP1 comme suit :</w:t>
      </w:r>
    </w:p>
    <w:p w14:paraId="6722D70D" w14:textId="32352D11"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 xml:space="preserve">degré </w:t>
      </w:r>
      <w:r w:rsidRPr="00DD4676">
        <w:rPr>
          <w:lang w:val="fr-FR"/>
        </w:rPr>
        <w:t>de remplissage du 4.2.1.9.2 ne doit pas être dépassé, soit</w:t>
      </w:r>
      <w:r w:rsidR="00A277FB">
        <w:rPr>
          <w:lang w:val="fr-FR"/>
        </w:rPr>
        <w:t> </w:t>
      </w:r>
      <w:r w:rsidRPr="00DD4676">
        <w:rPr>
          <w:lang w:val="fr-FR"/>
        </w:rPr>
        <w:t>:</w:t>
      </w:r>
    </w:p>
    <w:p w14:paraId="3EA10589" w14:textId="7A106AA1" w:rsidR="004610C5" w:rsidRPr="00DD4676" w:rsidRDefault="004610C5" w:rsidP="00907515">
      <w:pPr>
        <w:pStyle w:val="SingleTxtG"/>
        <w:ind w:left="1701"/>
        <w:rPr>
          <w:lang w:val="fr-FR"/>
        </w:rPr>
      </w:pP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w:t>
      </w:r>
      <w:r w:rsidR="00A277FB">
        <w:rPr>
          <w:lang w:val="fr-FR"/>
        </w:rPr>
        <w:t> </w:t>
      </w:r>
      <w:r w:rsidRPr="00DD4676">
        <w:rPr>
          <w:lang w:val="fr-FR"/>
        </w:rPr>
        <w:t>».</w:t>
      </w:r>
    </w:p>
    <w:p w14:paraId="425E1D41" w14:textId="33CACA2F" w:rsidR="004610C5" w:rsidRPr="00DD4676" w:rsidRDefault="004610C5" w:rsidP="00A277FB">
      <w:pPr>
        <w:pStyle w:val="SingleTxtG"/>
        <w:rPr>
          <w:lang w:val="fr-FR"/>
        </w:rPr>
      </w:pPr>
      <w:r w:rsidRPr="00DD4676">
        <w:rPr>
          <w:lang w:val="fr-FR"/>
        </w:rPr>
        <w:t>36.</w:t>
      </w:r>
      <w:r w:rsidRPr="00DD4676">
        <w:rPr>
          <w:lang w:val="fr-FR"/>
        </w:rPr>
        <w:tab/>
        <w:t>Au 4.2.5.3, modifier la disposition spéciale applicable au transport en citernes mobiles</w:t>
      </w:r>
      <w:r w:rsidR="00A277FB">
        <w:rPr>
          <w:lang w:val="fr-FR"/>
        </w:rPr>
        <w:t> </w:t>
      </w:r>
      <w:r w:rsidRPr="00DD4676">
        <w:rPr>
          <w:lang w:val="fr-FR"/>
        </w:rPr>
        <w:t>TP2 comme suit</w:t>
      </w:r>
      <w:r w:rsidR="00A277FB">
        <w:rPr>
          <w:lang w:val="fr-FR"/>
        </w:rPr>
        <w:t> </w:t>
      </w:r>
      <w:r w:rsidRPr="00DD4676">
        <w:rPr>
          <w:lang w:val="fr-FR"/>
        </w:rPr>
        <w:t>:</w:t>
      </w:r>
    </w:p>
    <w:p w14:paraId="2F952134" w14:textId="64168A9D"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 xml:space="preserve">degré </w:t>
      </w:r>
      <w:r w:rsidRPr="00DD4676">
        <w:rPr>
          <w:lang w:val="fr-FR"/>
        </w:rPr>
        <w:t>de remplissage du 4.2.1.9.3 ne doit pas être dépassé, soit</w:t>
      </w:r>
      <w:r w:rsidR="00A277FB">
        <w:rPr>
          <w:lang w:val="fr-FR"/>
        </w:rPr>
        <w:t> </w:t>
      </w:r>
      <w:r w:rsidRPr="00DD4676">
        <w:rPr>
          <w:lang w:val="fr-FR"/>
        </w:rPr>
        <w:t>:</w:t>
      </w:r>
    </w:p>
    <w:p w14:paraId="07279286" w14:textId="0F8CA248" w:rsidR="004610C5" w:rsidRPr="00DD4676" w:rsidRDefault="004610C5" w:rsidP="00907515">
      <w:pPr>
        <w:pStyle w:val="SingleTxtG"/>
        <w:ind w:left="1701"/>
        <w:rPr>
          <w:lang w:val="fr-FR"/>
        </w:rPr>
      </w:pP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w:t>
      </w:r>
      <w:r w:rsidR="00A277FB">
        <w:rPr>
          <w:lang w:val="fr-FR"/>
        </w:rPr>
        <w:t> </w:t>
      </w:r>
      <w:r w:rsidRPr="00DD4676">
        <w:rPr>
          <w:lang w:val="fr-FR"/>
        </w:rPr>
        <w:t>».</w:t>
      </w:r>
    </w:p>
    <w:p w14:paraId="142CCEDD" w14:textId="4071B803" w:rsidR="004610C5" w:rsidRPr="00DD4676" w:rsidRDefault="004610C5" w:rsidP="00A277FB">
      <w:pPr>
        <w:pStyle w:val="SingleTxtG"/>
        <w:rPr>
          <w:lang w:val="fr-FR"/>
        </w:rPr>
      </w:pPr>
      <w:r w:rsidRPr="00DD4676">
        <w:rPr>
          <w:lang w:val="fr-FR"/>
        </w:rPr>
        <w:t>37.</w:t>
      </w:r>
      <w:r w:rsidRPr="00DD4676">
        <w:rPr>
          <w:lang w:val="fr-FR"/>
        </w:rPr>
        <w:tab/>
        <w:t>Au 4.2.5.3, modifier la disposition spéciale applicable au transport en citernes mobiles</w:t>
      </w:r>
      <w:r w:rsidR="00A277FB">
        <w:rPr>
          <w:lang w:val="fr-FR"/>
        </w:rPr>
        <w:t> </w:t>
      </w:r>
      <w:r w:rsidRPr="00DD4676">
        <w:rPr>
          <w:lang w:val="fr-FR"/>
        </w:rPr>
        <w:t>TP3 comme suit</w:t>
      </w:r>
      <w:r w:rsidR="00A277FB">
        <w:rPr>
          <w:lang w:val="fr-FR"/>
        </w:rPr>
        <w:t> </w:t>
      </w:r>
      <w:r w:rsidRPr="00DD4676">
        <w:rPr>
          <w:lang w:val="fr-FR"/>
        </w:rPr>
        <w:t>:</w:t>
      </w:r>
    </w:p>
    <w:p w14:paraId="16089FE5" w14:textId="26231E64"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 xml:space="preserve">Le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maximal (en</w:t>
      </w:r>
      <w:r w:rsidR="00A277FB">
        <w:rPr>
          <w:lang w:val="fr-FR"/>
        </w:rPr>
        <w:t> </w:t>
      </w:r>
      <w:r w:rsidRPr="00DD4676">
        <w:rPr>
          <w:lang w:val="fr-FR"/>
        </w:rPr>
        <w:t>%) pour les matières solides transportées à des températures supérieures à leur point de fusion et pour les liquides à température élevée doit être déterminé conformément au 4.2.1.9.5.</w:t>
      </w:r>
    </w:p>
    <w:p w14:paraId="63EAE317" w14:textId="7B235E53" w:rsidR="004610C5" w:rsidRPr="00DD4676" w:rsidRDefault="004610C5" w:rsidP="00907515">
      <w:pPr>
        <w:pStyle w:val="SingleTxtG"/>
        <w:ind w:left="1701"/>
        <w:rPr>
          <w:lang w:val="fr-FR"/>
        </w:rPr>
      </w:pP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w:t>
      </w:r>
      <w:r w:rsidR="00A277FB">
        <w:rPr>
          <w:lang w:val="fr-FR"/>
        </w:rPr>
        <w:t> </w:t>
      </w:r>
      <w:r w:rsidRPr="00DD4676">
        <w:rPr>
          <w:lang w:val="fr-FR"/>
        </w:rPr>
        <w:t>».</w:t>
      </w:r>
    </w:p>
    <w:p w14:paraId="4516CD76" w14:textId="15CE6752" w:rsidR="004610C5" w:rsidRPr="00DD4676" w:rsidRDefault="004610C5" w:rsidP="00907515">
      <w:pPr>
        <w:pStyle w:val="SingleTxtG"/>
        <w:rPr>
          <w:lang w:val="fr-FR"/>
        </w:rPr>
      </w:pPr>
      <w:r w:rsidRPr="00DD4676">
        <w:rPr>
          <w:lang w:val="fr-FR"/>
        </w:rPr>
        <w:lastRenderedPageBreak/>
        <w:t>38.</w:t>
      </w:r>
      <w:r w:rsidRPr="00DD4676">
        <w:rPr>
          <w:lang w:val="fr-FR"/>
        </w:rPr>
        <w:tab/>
        <w:t>Au 4.2.5.3, modifier la disposition spéciale applicable au transport en citernes mobiles</w:t>
      </w:r>
      <w:r w:rsidR="00A277FB">
        <w:rPr>
          <w:lang w:val="fr-FR"/>
        </w:rPr>
        <w:t> </w:t>
      </w:r>
      <w:r w:rsidRPr="00DD4676">
        <w:rPr>
          <w:lang w:val="fr-FR"/>
        </w:rPr>
        <w:t>TP4 comme suit</w:t>
      </w:r>
      <w:r w:rsidR="00A277FB">
        <w:rPr>
          <w:lang w:val="fr-FR"/>
        </w:rPr>
        <w:t> </w:t>
      </w:r>
      <w:r w:rsidRPr="00DD4676">
        <w:rPr>
          <w:lang w:val="fr-FR"/>
        </w:rPr>
        <w:t>:</w:t>
      </w:r>
    </w:p>
    <w:p w14:paraId="16D4F51F" w14:textId="56EE9891"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 xml:space="preserve">Le </w:t>
      </w:r>
      <w:r w:rsidRPr="00DD4676">
        <w:rPr>
          <w:strike/>
          <w:lang w:val="fr-FR"/>
        </w:rPr>
        <w:t xml:space="preserve">taux </w:t>
      </w:r>
      <w:r w:rsidRPr="00DD4676">
        <w:rPr>
          <w:b/>
          <w:bCs/>
          <w:lang w:val="fr-FR"/>
        </w:rPr>
        <w:t xml:space="preserve">degré </w:t>
      </w:r>
      <w:r w:rsidRPr="00DD4676">
        <w:rPr>
          <w:lang w:val="fr-FR"/>
        </w:rPr>
        <w:t>de remplissage ne doit pas dépasser 90</w:t>
      </w:r>
      <w:r w:rsidR="00A277FB">
        <w:rPr>
          <w:lang w:val="fr-FR"/>
        </w:rPr>
        <w:t> </w:t>
      </w:r>
      <w:r w:rsidRPr="00DD4676">
        <w:rPr>
          <w:lang w:val="fr-FR"/>
        </w:rPr>
        <w:t>% ou toute autre valeur approuvée par l</w:t>
      </w:r>
      <w:r>
        <w:rPr>
          <w:lang w:val="fr-FR"/>
        </w:rPr>
        <w:t>’</w:t>
      </w:r>
      <w:r w:rsidRPr="00DD4676">
        <w:rPr>
          <w:lang w:val="fr-FR"/>
        </w:rPr>
        <w:t>autorité compétente (voir 4.2.1.16.2).</w:t>
      </w:r>
      <w:r w:rsidR="00A277FB">
        <w:rPr>
          <w:lang w:val="fr-FR"/>
        </w:rPr>
        <w:t> </w:t>
      </w:r>
      <w:r w:rsidRPr="00DD4676">
        <w:rPr>
          <w:lang w:val="fr-FR"/>
        </w:rPr>
        <w:t>».</w:t>
      </w:r>
    </w:p>
    <w:p w14:paraId="02CC6428" w14:textId="68555433" w:rsidR="004610C5" w:rsidRPr="00DD4676" w:rsidRDefault="004610C5" w:rsidP="00907515">
      <w:pPr>
        <w:pStyle w:val="SingleTxtG"/>
        <w:rPr>
          <w:lang w:val="fr-FR"/>
        </w:rPr>
      </w:pPr>
      <w:r w:rsidRPr="00DD4676">
        <w:rPr>
          <w:lang w:val="fr-FR"/>
        </w:rPr>
        <w:t>39.</w:t>
      </w:r>
      <w:r w:rsidRPr="00DD4676">
        <w:rPr>
          <w:lang w:val="fr-FR"/>
        </w:rPr>
        <w:tab/>
        <w:t>Modifier le 6.1.5.5.4</w:t>
      </w:r>
      <w:r w:rsidR="00A277FB">
        <w:rPr>
          <w:lang w:val="fr-FR"/>
        </w:rPr>
        <w:t> </w:t>
      </w:r>
      <w:r w:rsidRPr="00DD4676">
        <w:rPr>
          <w:lang w:val="fr-FR"/>
        </w:rPr>
        <w:t>a) comme suit :</w:t>
      </w:r>
    </w:p>
    <w:p w14:paraId="762B075A" w14:textId="77EA3572" w:rsidR="004610C5" w:rsidRPr="00DD4676" w:rsidRDefault="004610C5" w:rsidP="00907515">
      <w:pPr>
        <w:pStyle w:val="SingleTxtG"/>
        <w:ind w:left="1701"/>
        <w:rPr>
          <w:lang w:val="fr-FR"/>
        </w:rPr>
      </w:pPr>
      <w:r w:rsidRPr="00DD4676">
        <w:rPr>
          <w:lang w:val="fr-FR"/>
        </w:rPr>
        <w:t>«</w:t>
      </w:r>
      <w:r w:rsidR="00A277FB">
        <w:rPr>
          <w:lang w:val="fr-FR"/>
        </w:rPr>
        <w:t> </w:t>
      </w:r>
      <w:r w:rsidRPr="00DD4676">
        <w:rPr>
          <w:lang w:val="fr-FR"/>
        </w:rPr>
        <w:t>Au moins la pression manométrique totale mesurée dans l</w:t>
      </w:r>
      <w:r>
        <w:rPr>
          <w:lang w:val="fr-FR"/>
        </w:rPr>
        <w:t>’</w:t>
      </w:r>
      <w:r w:rsidRPr="00DD4676">
        <w:rPr>
          <w:lang w:val="fr-FR"/>
        </w:rPr>
        <w:t>emballage (c</w:t>
      </w:r>
      <w:r>
        <w:rPr>
          <w:lang w:val="fr-FR"/>
        </w:rPr>
        <w:t>’</w:t>
      </w:r>
      <w:r w:rsidRPr="00DD4676">
        <w:rPr>
          <w:lang w:val="fr-FR"/>
        </w:rPr>
        <w:t>est-à-dire la pression de vapeur du liquide de remplissage additionnée de la pression partielle de l</w:t>
      </w:r>
      <w:r>
        <w:rPr>
          <w:lang w:val="fr-FR"/>
        </w:rPr>
        <w:t>’</w:t>
      </w:r>
      <w:r w:rsidRPr="00DD4676">
        <w:rPr>
          <w:lang w:val="fr-FR"/>
        </w:rPr>
        <w:t>air ou des autres gaz inertes et diminuée de 100</w:t>
      </w:r>
      <w:r w:rsidR="00A277FB">
        <w:rPr>
          <w:lang w:val="fr-FR"/>
        </w:rPr>
        <w:t> </w:t>
      </w:r>
      <w:r w:rsidRPr="00DD4676">
        <w:rPr>
          <w:lang w:val="fr-FR"/>
        </w:rPr>
        <w:t>kPa) à 55</w:t>
      </w:r>
      <w:r w:rsidR="00A277FB">
        <w:rPr>
          <w:lang w:val="fr-FR"/>
        </w:rPr>
        <w:t> </w:t>
      </w:r>
      <w:r w:rsidRPr="00DD4676">
        <w:rPr>
          <w:lang w:val="fr-FR"/>
        </w:rPr>
        <w:t>°C, multipliée par un coefficient de sécurité de 1,5</w:t>
      </w:r>
      <w:r w:rsidR="00A277FB">
        <w:rPr>
          <w:lang w:val="fr-FR"/>
        </w:rPr>
        <w:t> </w:t>
      </w:r>
      <w:r w:rsidRPr="00DD4676">
        <w:rPr>
          <w:lang w:val="fr-FR"/>
        </w:rPr>
        <w:t xml:space="preserve">; pour déterminer cette pression manométrique totale, il faut prendre pour base un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maximal conforme à celui indiqué au 4.1.1.4 et une température de remplissage de 15</w:t>
      </w:r>
      <w:r w:rsidR="00A277FB">
        <w:rPr>
          <w:lang w:val="fr-FR"/>
        </w:rPr>
        <w:t> </w:t>
      </w:r>
      <w:r w:rsidRPr="00DD4676">
        <w:rPr>
          <w:lang w:val="fr-FR"/>
        </w:rPr>
        <w:t>°C</w:t>
      </w:r>
      <w:r w:rsidR="00A277FB">
        <w:rPr>
          <w:lang w:val="fr-FR"/>
        </w:rPr>
        <w:t> </w:t>
      </w:r>
      <w:r w:rsidRPr="00DD4676">
        <w:rPr>
          <w:lang w:val="fr-FR"/>
        </w:rPr>
        <w:t>; ou</w:t>
      </w:r>
      <w:r w:rsidR="00A277FB">
        <w:rPr>
          <w:lang w:val="fr-FR"/>
        </w:rPr>
        <w:t> </w:t>
      </w:r>
      <w:r w:rsidRPr="00DD4676">
        <w:rPr>
          <w:lang w:val="fr-FR"/>
        </w:rPr>
        <w:t>».</w:t>
      </w:r>
    </w:p>
    <w:p w14:paraId="6BC60A12" w14:textId="0634E8BC" w:rsidR="004610C5" w:rsidRPr="00DD4676" w:rsidRDefault="004610C5" w:rsidP="00907515">
      <w:pPr>
        <w:pStyle w:val="SingleTxtG"/>
        <w:rPr>
          <w:lang w:val="fr-FR"/>
        </w:rPr>
      </w:pPr>
      <w:r w:rsidRPr="00DD4676">
        <w:rPr>
          <w:lang w:val="fr-FR"/>
        </w:rPr>
        <w:t>40.</w:t>
      </w:r>
      <w:r w:rsidRPr="00DD4676">
        <w:rPr>
          <w:lang w:val="fr-FR"/>
        </w:rPr>
        <w:tab/>
        <w:t>Modifier le 6.5.5.1.7 comme suit</w:t>
      </w:r>
      <w:r w:rsidR="00A277FB">
        <w:rPr>
          <w:lang w:val="fr-FR"/>
        </w:rPr>
        <w:t> </w:t>
      </w:r>
      <w:r w:rsidRPr="00DD4676">
        <w:rPr>
          <w:lang w:val="fr-FR"/>
        </w:rPr>
        <w:t>:</w:t>
      </w:r>
    </w:p>
    <w:p w14:paraId="277D478E" w14:textId="724FF6AA" w:rsidR="004610C5" w:rsidRPr="00DD4676" w:rsidRDefault="004610C5" w:rsidP="00A277FB">
      <w:pPr>
        <w:pStyle w:val="SingleTxtG"/>
        <w:ind w:left="1701"/>
        <w:rPr>
          <w:lang w:val="fr-FR"/>
        </w:rPr>
      </w:pPr>
      <w:r w:rsidRPr="00DD4676">
        <w:rPr>
          <w:lang w:val="fr-FR"/>
        </w:rPr>
        <w:t>«</w:t>
      </w:r>
      <w:r w:rsidR="00A277FB">
        <w:rPr>
          <w:lang w:val="fr-FR"/>
        </w:rPr>
        <w:t> </w:t>
      </w:r>
      <w:r w:rsidRPr="00DD4676">
        <w:rPr>
          <w:lang w:val="fr-FR"/>
        </w:rPr>
        <w:t>Prescriptions relatives à la décompression</w:t>
      </w:r>
      <w:r w:rsidR="00A277FB">
        <w:rPr>
          <w:lang w:val="fr-FR"/>
        </w:rPr>
        <w:t> </w:t>
      </w:r>
      <w:r w:rsidRPr="00DD4676">
        <w:rPr>
          <w:lang w:val="fr-FR"/>
        </w:rPr>
        <w:t>: les GRV pour liquides doivent être conçus de manière à pouvoir évacuer les vapeurs dégagées en cas d</w:t>
      </w:r>
      <w:r>
        <w:rPr>
          <w:lang w:val="fr-FR"/>
        </w:rPr>
        <w:t>’</w:t>
      </w:r>
      <w:r w:rsidRPr="00DD4676">
        <w:rPr>
          <w:lang w:val="fr-FR"/>
        </w:rPr>
        <w:t>immersion dans les flammes avec un débit suffisant pour éviter une rupture du corps. Ce résultat peut être obtenu au moyen de dispositifs de décompression classiques ou par d</w:t>
      </w:r>
      <w:r>
        <w:rPr>
          <w:lang w:val="fr-FR"/>
        </w:rPr>
        <w:t>’</w:t>
      </w:r>
      <w:r w:rsidRPr="00DD4676">
        <w:rPr>
          <w:lang w:val="fr-FR"/>
        </w:rPr>
        <w:t>autres techniques de construction. La pression provoquant le fonctionnement de ces dispositifs ne doit pas être supérieure à 65</w:t>
      </w:r>
      <w:r w:rsidR="00A277FB">
        <w:rPr>
          <w:lang w:val="fr-FR"/>
        </w:rPr>
        <w:t> </w:t>
      </w:r>
      <w:r w:rsidRPr="00DD4676">
        <w:rPr>
          <w:lang w:val="fr-FR"/>
        </w:rPr>
        <w:t>kPa (0,65</w:t>
      </w:r>
      <w:r w:rsidR="00A277FB">
        <w:rPr>
          <w:lang w:val="fr-FR"/>
        </w:rPr>
        <w:t> </w:t>
      </w:r>
      <w:r w:rsidRPr="00DD4676">
        <w:rPr>
          <w:lang w:val="fr-FR"/>
        </w:rPr>
        <w:t>bar) ni inférieure à la pression totale (manométrique) effective dans le GRV (pression de vapeur de la matière transportée, plus pression partielle de l</w:t>
      </w:r>
      <w:r>
        <w:rPr>
          <w:lang w:val="fr-FR"/>
        </w:rPr>
        <w:t>’</w:t>
      </w:r>
      <w:r w:rsidRPr="00DD4676">
        <w:rPr>
          <w:lang w:val="fr-FR"/>
        </w:rPr>
        <w:t>air ou d</w:t>
      </w:r>
      <w:r>
        <w:rPr>
          <w:lang w:val="fr-FR"/>
        </w:rPr>
        <w:t>’</w:t>
      </w:r>
      <w:r w:rsidRPr="00DD4676">
        <w:rPr>
          <w:lang w:val="fr-FR"/>
        </w:rPr>
        <w:t>un gaz inerte, moins 100</w:t>
      </w:r>
      <w:r w:rsidR="00A277FB">
        <w:rPr>
          <w:lang w:val="fr-FR"/>
        </w:rPr>
        <w:t> </w:t>
      </w:r>
      <w:r w:rsidRPr="00DD4676">
        <w:rPr>
          <w:lang w:val="fr-FR"/>
        </w:rPr>
        <w:t>kPa (1</w:t>
      </w:r>
      <w:r w:rsidR="00A277FB">
        <w:rPr>
          <w:lang w:val="fr-FR"/>
        </w:rPr>
        <w:t> </w:t>
      </w:r>
      <w:r w:rsidRPr="00DD4676">
        <w:rPr>
          <w:lang w:val="fr-FR"/>
        </w:rPr>
        <w:t>bar)) à 55</w:t>
      </w:r>
      <w:r w:rsidR="00A277FB">
        <w:rPr>
          <w:lang w:val="fr-FR"/>
        </w:rPr>
        <w:t> </w:t>
      </w:r>
      <w:r w:rsidRPr="00DD4676">
        <w:rPr>
          <w:lang w:val="fr-FR"/>
        </w:rPr>
        <w:t>°C, déterminée sur la base d</w:t>
      </w:r>
      <w:r>
        <w:rPr>
          <w:lang w:val="fr-FR"/>
        </w:rPr>
        <w:t>’</w:t>
      </w:r>
      <w:r w:rsidRPr="00DD4676">
        <w:rPr>
          <w:lang w:val="fr-FR"/>
        </w:rPr>
        <w:t xml:space="preserve">un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maximal conforme au</w:t>
      </w:r>
      <w:r w:rsidR="00A277FB">
        <w:rPr>
          <w:lang w:val="fr-FR"/>
        </w:rPr>
        <w:t> </w:t>
      </w:r>
      <w:r w:rsidRPr="00DD4676">
        <w:rPr>
          <w:lang w:val="fr-FR"/>
        </w:rPr>
        <w:t>4.1.1.4. Les dispositifs de décompression prescrits doivent être installés dans la phase vapeur.</w:t>
      </w:r>
      <w:r w:rsidR="00A277FB">
        <w:rPr>
          <w:lang w:val="fr-FR"/>
        </w:rPr>
        <w:t> </w:t>
      </w:r>
      <w:r w:rsidRPr="00DD4676">
        <w:rPr>
          <w:lang w:val="fr-FR"/>
        </w:rPr>
        <w:t>».</w:t>
      </w:r>
    </w:p>
    <w:p w14:paraId="0C2EE589" w14:textId="7BBF5E6F" w:rsidR="004610C5" w:rsidRPr="00DD4676" w:rsidRDefault="004610C5" w:rsidP="00907515">
      <w:pPr>
        <w:pStyle w:val="SingleTxtG"/>
        <w:rPr>
          <w:lang w:val="fr-FR"/>
        </w:rPr>
      </w:pPr>
      <w:r w:rsidRPr="00DD4676">
        <w:rPr>
          <w:lang w:val="fr-FR"/>
        </w:rPr>
        <w:t>41.</w:t>
      </w:r>
      <w:r w:rsidRPr="00DD4676">
        <w:rPr>
          <w:lang w:val="fr-FR"/>
        </w:rPr>
        <w:tab/>
        <w:t>Modifier le 6.5.6.8.4.2</w:t>
      </w:r>
      <w:r w:rsidR="00A277FB">
        <w:rPr>
          <w:lang w:val="fr-FR"/>
        </w:rPr>
        <w:t> </w:t>
      </w:r>
      <w:r w:rsidRPr="00DD4676">
        <w:rPr>
          <w:lang w:val="fr-FR"/>
        </w:rPr>
        <w:t>b)</w:t>
      </w:r>
      <w:r w:rsidR="00A277FB">
        <w:rPr>
          <w:lang w:val="fr-FR"/>
        </w:rPr>
        <w:t> </w:t>
      </w:r>
      <w:r w:rsidRPr="00DD4676">
        <w:rPr>
          <w:lang w:val="fr-FR"/>
        </w:rPr>
        <w:t>i) comme suit :</w:t>
      </w:r>
    </w:p>
    <w:p w14:paraId="7E286F2A" w14:textId="0B9541FD" w:rsidR="004610C5" w:rsidRPr="00DD4676" w:rsidRDefault="004610C5" w:rsidP="00A277FB">
      <w:pPr>
        <w:pStyle w:val="SingleTxtG"/>
        <w:ind w:left="1701"/>
        <w:rPr>
          <w:lang w:val="fr-FR"/>
        </w:rPr>
      </w:pPr>
      <w:r w:rsidRPr="00DD4676">
        <w:rPr>
          <w:lang w:val="fr-FR"/>
        </w:rPr>
        <w:t>«</w:t>
      </w:r>
      <w:r w:rsidR="00A277FB">
        <w:rPr>
          <w:lang w:val="fr-FR"/>
        </w:rPr>
        <w:t> </w:t>
      </w:r>
      <w:r w:rsidRPr="00DD4676">
        <w:rPr>
          <w:lang w:val="fr-FR"/>
        </w:rPr>
        <w:t>i)</w:t>
      </w:r>
      <w:r w:rsidR="00A277FB">
        <w:rPr>
          <w:lang w:val="fr-FR"/>
        </w:rPr>
        <w:tab/>
      </w:r>
      <w:r w:rsidRPr="00DD4676">
        <w:rPr>
          <w:lang w:val="fr-FR"/>
        </w:rPr>
        <w:t>la pression manométrique totale mesurée dans le GRV (pression de vapeur de la matière transportée, plus pression partielle de l</w:t>
      </w:r>
      <w:r>
        <w:rPr>
          <w:lang w:val="fr-FR"/>
        </w:rPr>
        <w:t>’</w:t>
      </w:r>
      <w:r w:rsidRPr="00DD4676">
        <w:rPr>
          <w:lang w:val="fr-FR"/>
        </w:rPr>
        <w:t>air ou d</w:t>
      </w:r>
      <w:r>
        <w:rPr>
          <w:lang w:val="fr-FR"/>
        </w:rPr>
        <w:t>’</w:t>
      </w:r>
      <w:r w:rsidRPr="00DD4676">
        <w:rPr>
          <w:lang w:val="fr-FR"/>
        </w:rPr>
        <w:t>un gaz inerte, moins 100</w:t>
      </w:r>
      <w:r w:rsidR="00A277FB">
        <w:rPr>
          <w:lang w:val="fr-FR"/>
        </w:rPr>
        <w:t> </w:t>
      </w:r>
      <w:r w:rsidRPr="00DD4676">
        <w:rPr>
          <w:lang w:val="fr-FR"/>
        </w:rPr>
        <w:t>kPa) à 55</w:t>
      </w:r>
      <w:r w:rsidR="00A277FB">
        <w:rPr>
          <w:lang w:val="fr-FR"/>
        </w:rPr>
        <w:t> </w:t>
      </w:r>
      <w:r w:rsidRPr="00DD4676">
        <w:rPr>
          <w:lang w:val="fr-FR"/>
        </w:rPr>
        <w:t>°C, multipliée par un coefficient de sécurité de 1,5</w:t>
      </w:r>
      <w:r w:rsidR="00A277FB">
        <w:rPr>
          <w:lang w:val="fr-FR"/>
        </w:rPr>
        <w:t> </w:t>
      </w:r>
      <w:r w:rsidRPr="00DD4676">
        <w:rPr>
          <w:lang w:val="fr-FR"/>
        </w:rPr>
        <w:t xml:space="preserve">; pour déterminer cette pression manométrique totale, on prend pour base un </w:t>
      </w:r>
      <w:r w:rsidRPr="00DD4676">
        <w:rPr>
          <w:strike/>
          <w:lang w:val="fr-FR"/>
        </w:rPr>
        <w:t>taux</w:t>
      </w:r>
      <w:r w:rsidRPr="00DD4676">
        <w:rPr>
          <w:lang w:val="fr-FR"/>
        </w:rPr>
        <w:t xml:space="preserve"> </w:t>
      </w:r>
      <w:r w:rsidRPr="00DD4676">
        <w:rPr>
          <w:b/>
          <w:bCs/>
          <w:lang w:val="fr-FR"/>
        </w:rPr>
        <w:t>degré</w:t>
      </w:r>
      <w:r w:rsidRPr="00DD4676">
        <w:rPr>
          <w:lang w:val="fr-FR"/>
        </w:rPr>
        <w:t xml:space="preserve"> de remplissage maximal conformément au 4.1.1.4 et une température de remplissage de 15</w:t>
      </w:r>
      <w:r w:rsidR="00A277FB">
        <w:rPr>
          <w:lang w:val="fr-FR"/>
        </w:rPr>
        <w:t> </w:t>
      </w:r>
      <w:r w:rsidRPr="00DD4676">
        <w:rPr>
          <w:lang w:val="fr-FR"/>
        </w:rPr>
        <w:t>°C</w:t>
      </w:r>
      <w:r w:rsidR="00A277FB">
        <w:rPr>
          <w:lang w:val="fr-FR"/>
        </w:rPr>
        <w:t> </w:t>
      </w:r>
      <w:r w:rsidRPr="00DD4676">
        <w:rPr>
          <w:lang w:val="fr-FR"/>
        </w:rPr>
        <w:t>;</w:t>
      </w:r>
      <w:r w:rsidR="00A277FB">
        <w:rPr>
          <w:lang w:val="fr-FR"/>
        </w:rPr>
        <w:t> </w:t>
      </w:r>
      <w:r w:rsidRPr="00DD4676">
        <w:rPr>
          <w:lang w:val="fr-FR"/>
        </w:rPr>
        <w:t>».</w:t>
      </w:r>
    </w:p>
    <w:p w14:paraId="703D9983" w14:textId="657DD55A" w:rsidR="004610C5" w:rsidRPr="00DD4676" w:rsidRDefault="004610C5" w:rsidP="00907515">
      <w:pPr>
        <w:pStyle w:val="SingleTxtG"/>
        <w:rPr>
          <w:lang w:val="fr-FR"/>
        </w:rPr>
      </w:pPr>
      <w:r w:rsidRPr="00DD4676">
        <w:rPr>
          <w:lang w:val="fr-FR"/>
        </w:rPr>
        <w:t>42.</w:t>
      </w:r>
      <w:r w:rsidRPr="00DD4676">
        <w:rPr>
          <w:lang w:val="fr-FR"/>
        </w:rPr>
        <w:tab/>
        <w:t>Au 6.7.4.15.1</w:t>
      </w:r>
      <w:r w:rsidR="00A277FB">
        <w:rPr>
          <w:lang w:val="fr-FR"/>
        </w:rPr>
        <w:t> </w:t>
      </w:r>
      <w:r w:rsidRPr="00DD4676">
        <w:rPr>
          <w:lang w:val="fr-FR"/>
        </w:rPr>
        <w:t>i)</w:t>
      </w:r>
      <w:r w:rsidR="00A277FB">
        <w:rPr>
          <w:lang w:val="fr-FR"/>
        </w:rPr>
        <w:t> </w:t>
      </w:r>
      <w:r w:rsidRPr="00DD4676">
        <w:rPr>
          <w:lang w:val="fr-FR"/>
        </w:rPr>
        <w:t>iv), la notion de taux de remplissage est utilisée à bon escient dans la version française. Toutefois, étant donné qu</w:t>
      </w:r>
      <w:r>
        <w:rPr>
          <w:lang w:val="fr-FR"/>
        </w:rPr>
        <w:t>’</w:t>
      </w:r>
      <w:r w:rsidRPr="00DD4676">
        <w:rPr>
          <w:lang w:val="fr-FR"/>
        </w:rPr>
        <w:t>il faut l</w:t>
      </w:r>
      <w:r>
        <w:rPr>
          <w:lang w:val="fr-FR"/>
        </w:rPr>
        <w:t>’</w:t>
      </w:r>
      <w:r w:rsidRPr="00DD4676">
        <w:rPr>
          <w:lang w:val="fr-FR"/>
        </w:rPr>
        <w:t>accompagner de l</w:t>
      </w:r>
      <w:r>
        <w:rPr>
          <w:lang w:val="fr-FR"/>
        </w:rPr>
        <w:t>’</w:t>
      </w:r>
      <w:r w:rsidRPr="00DD4676">
        <w:rPr>
          <w:lang w:val="fr-FR"/>
        </w:rPr>
        <w:t>unité de mesure, et que le taux de remplissage est défini comme le rapport entre la masse de gaz et la masse d</w:t>
      </w:r>
      <w:r>
        <w:rPr>
          <w:lang w:val="fr-FR"/>
        </w:rPr>
        <w:t>’</w:t>
      </w:r>
      <w:r w:rsidRPr="00DD4676">
        <w:rPr>
          <w:lang w:val="fr-FR"/>
        </w:rPr>
        <w:t>eau, l</w:t>
      </w:r>
      <w:r>
        <w:rPr>
          <w:lang w:val="fr-FR"/>
        </w:rPr>
        <w:t>’</w:t>
      </w:r>
      <w:r w:rsidRPr="00DD4676">
        <w:rPr>
          <w:lang w:val="fr-FR"/>
        </w:rPr>
        <w:t>unité de référence doit être modifiée, de sorte que le paragraphe se lise comme suit</w:t>
      </w:r>
      <w:r w:rsidR="00A277FB">
        <w:rPr>
          <w:lang w:val="fr-FR"/>
        </w:rPr>
        <w:t> </w:t>
      </w:r>
      <w:r w:rsidRPr="00DD4676">
        <w:rPr>
          <w:lang w:val="fr-FR"/>
        </w:rPr>
        <w:t>:</w:t>
      </w:r>
    </w:p>
    <w:p w14:paraId="06372F27" w14:textId="629D45BA" w:rsidR="004610C5" w:rsidRPr="00DD4676" w:rsidRDefault="004610C5" w:rsidP="00A277FB">
      <w:pPr>
        <w:pStyle w:val="SingleTxtG"/>
        <w:ind w:left="1701"/>
        <w:rPr>
          <w:lang w:val="fr-FR"/>
        </w:rPr>
      </w:pPr>
      <w:r w:rsidRPr="00DD4676">
        <w:rPr>
          <w:lang w:val="fr-FR"/>
        </w:rPr>
        <w:t>«</w:t>
      </w:r>
      <w:r w:rsidR="003768BB">
        <w:rPr>
          <w:lang w:val="fr-FR"/>
        </w:rPr>
        <w:t> </w:t>
      </w:r>
      <w:r w:rsidRPr="00DD4676">
        <w:rPr>
          <w:lang w:val="fr-FR"/>
        </w:rPr>
        <w:t>iv)</w:t>
      </w:r>
      <w:r w:rsidR="003768BB">
        <w:rPr>
          <w:lang w:val="fr-FR"/>
        </w:rPr>
        <w:tab/>
      </w:r>
      <w:r w:rsidRPr="00DD4676">
        <w:rPr>
          <w:lang w:val="fr-FR"/>
        </w:rPr>
        <w:t xml:space="preserve">Taux de remplissage (en kg </w:t>
      </w:r>
      <w:r w:rsidRPr="00DD4676">
        <w:rPr>
          <w:b/>
          <w:bCs/>
          <w:lang w:val="fr-FR"/>
        </w:rPr>
        <w:t>de gaz/kg d</w:t>
      </w:r>
      <w:r>
        <w:rPr>
          <w:b/>
          <w:bCs/>
          <w:lang w:val="fr-FR"/>
        </w:rPr>
        <w:t>’</w:t>
      </w:r>
      <w:r w:rsidRPr="00DD4676">
        <w:rPr>
          <w:b/>
          <w:bCs/>
          <w:lang w:val="fr-FR"/>
        </w:rPr>
        <w:t>eau</w:t>
      </w:r>
      <w:r w:rsidRPr="00DD4676">
        <w:rPr>
          <w:lang w:val="fr-FR"/>
        </w:rPr>
        <w:t>)</w:t>
      </w:r>
      <w:r w:rsidRPr="00DD4676">
        <w:rPr>
          <w:vertAlign w:val="superscript"/>
          <w:lang w:val="fr-FR"/>
        </w:rPr>
        <w:t>3</w:t>
      </w:r>
      <w:r w:rsidR="003768BB" w:rsidRPr="003768BB">
        <w:rPr>
          <w:lang w:val="fr-FR"/>
        </w:rPr>
        <w:t> </w:t>
      </w:r>
      <w:r w:rsidRPr="00DD4676">
        <w:rPr>
          <w:lang w:val="fr-FR"/>
        </w:rPr>
        <w:t>;</w:t>
      </w:r>
      <w:r w:rsidR="003768BB">
        <w:rPr>
          <w:lang w:val="fr-FR"/>
        </w:rPr>
        <w:t> </w:t>
      </w:r>
      <w:r w:rsidRPr="00DD4676">
        <w:rPr>
          <w:lang w:val="fr-FR"/>
        </w:rPr>
        <w:t>».</w:t>
      </w:r>
    </w:p>
    <w:p w14:paraId="0E18A8B0" w14:textId="3306AE34" w:rsidR="004610C5" w:rsidRPr="00DD4676" w:rsidRDefault="004610C5" w:rsidP="00907515">
      <w:pPr>
        <w:pStyle w:val="SingleTxtG"/>
        <w:rPr>
          <w:lang w:val="fr-FR"/>
        </w:rPr>
      </w:pPr>
      <w:r w:rsidRPr="00DD4676">
        <w:rPr>
          <w:lang w:val="fr-FR"/>
        </w:rPr>
        <w:t>43.</w:t>
      </w:r>
      <w:r w:rsidRPr="00DD4676">
        <w:rPr>
          <w:lang w:val="fr-FR"/>
        </w:rPr>
        <w:tab/>
        <w:t>De même, dans la dernière colonne de la rubrique «</w:t>
      </w:r>
      <w:r w:rsidR="003768BB">
        <w:rPr>
          <w:lang w:val="fr-FR"/>
        </w:rPr>
        <w:t> </w:t>
      </w:r>
      <w:r w:rsidRPr="00DD4676">
        <w:rPr>
          <w:lang w:val="fr-FR"/>
        </w:rPr>
        <w:t>TEMPS DE RETENUE</w:t>
      </w:r>
      <w:r w:rsidR="003768BB">
        <w:rPr>
          <w:lang w:val="fr-FR"/>
        </w:rPr>
        <w:t> </w:t>
      </w:r>
      <w:r w:rsidRPr="00DD4676">
        <w:rPr>
          <w:lang w:val="fr-FR"/>
        </w:rPr>
        <w:t>» de la figure</w:t>
      </w:r>
      <w:r w:rsidR="003768BB">
        <w:rPr>
          <w:lang w:val="fr-FR"/>
        </w:rPr>
        <w:t> </w:t>
      </w:r>
      <w:r w:rsidRPr="00DD4676">
        <w:rPr>
          <w:lang w:val="fr-FR"/>
        </w:rPr>
        <w:t>6.7.4.15.1, l</w:t>
      </w:r>
      <w:r>
        <w:rPr>
          <w:lang w:val="fr-FR"/>
        </w:rPr>
        <w:t>’</w:t>
      </w:r>
      <w:r w:rsidRPr="00DD4676">
        <w:rPr>
          <w:lang w:val="fr-FR"/>
        </w:rPr>
        <w:t>unité doit être modifiée comme suit</w:t>
      </w:r>
      <w:r w:rsidR="003768BB">
        <w:rPr>
          <w:lang w:val="fr-FR"/>
        </w:rPr>
        <w:t> </w:t>
      </w:r>
      <w:r w:rsidRPr="00DD4676">
        <w:rPr>
          <w:lang w:val="fr-FR"/>
        </w:rPr>
        <w:t>:</w:t>
      </w:r>
    </w:p>
    <w:p w14:paraId="630C2048" w14:textId="252092B1" w:rsidR="004610C5" w:rsidRPr="00DD4676" w:rsidRDefault="004610C5" w:rsidP="00A277FB">
      <w:pPr>
        <w:pStyle w:val="SingleTxtG"/>
        <w:ind w:left="1701"/>
        <w:rPr>
          <w:b/>
          <w:bCs/>
          <w:lang w:val="fr-FR"/>
        </w:rPr>
      </w:pPr>
      <w:r w:rsidRPr="00DD4676">
        <w:rPr>
          <w:lang w:val="fr-FR"/>
        </w:rPr>
        <w:t>«</w:t>
      </w:r>
      <w:r w:rsidR="003768BB">
        <w:rPr>
          <w:lang w:val="fr-FR"/>
        </w:rPr>
        <w:t> </w:t>
      </w:r>
      <w:r w:rsidRPr="00DD4676">
        <w:rPr>
          <w:lang w:val="fr-FR"/>
        </w:rPr>
        <w:t>Taux de remplissage</w:t>
      </w:r>
      <w:r w:rsidR="003768BB">
        <w:rPr>
          <w:lang w:val="fr-FR"/>
        </w:rPr>
        <w:t> </w:t>
      </w:r>
      <w:r w:rsidRPr="00DD4676">
        <w:rPr>
          <w:lang w:val="fr-FR"/>
        </w:rPr>
        <w:t>»</w:t>
      </w:r>
    </w:p>
    <w:p w14:paraId="633F5AC6" w14:textId="70B18252" w:rsidR="004610C5" w:rsidRPr="00DD4676" w:rsidRDefault="004610C5" w:rsidP="00A277FB">
      <w:pPr>
        <w:pStyle w:val="SingleTxtG"/>
        <w:ind w:left="1701"/>
        <w:rPr>
          <w:lang w:val="fr-FR"/>
        </w:rPr>
      </w:pPr>
      <w:r w:rsidRPr="00DD4676">
        <w:rPr>
          <w:b/>
          <w:bCs/>
          <w:lang w:val="fr-FR"/>
        </w:rPr>
        <w:t>«</w:t>
      </w:r>
      <w:r w:rsidR="003768BB">
        <w:rPr>
          <w:b/>
          <w:bCs/>
          <w:lang w:val="fr-FR"/>
        </w:rPr>
        <w:t> </w:t>
      </w:r>
      <w:r w:rsidRPr="00DD4676">
        <w:rPr>
          <w:lang w:val="fr-FR"/>
        </w:rPr>
        <w:t xml:space="preserve">kg </w:t>
      </w:r>
      <w:r w:rsidRPr="00DD4676">
        <w:rPr>
          <w:b/>
          <w:bCs/>
          <w:lang w:val="fr-FR"/>
        </w:rPr>
        <w:t>de gaz/kg d</w:t>
      </w:r>
      <w:r>
        <w:rPr>
          <w:b/>
          <w:bCs/>
          <w:lang w:val="fr-FR"/>
        </w:rPr>
        <w:t>’</w:t>
      </w:r>
      <w:r w:rsidRPr="00DD4676">
        <w:rPr>
          <w:b/>
          <w:bCs/>
          <w:lang w:val="fr-FR"/>
        </w:rPr>
        <w:t>eau</w:t>
      </w:r>
      <w:r w:rsidR="003768BB">
        <w:rPr>
          <w:lang w:val="fr-FR"/>
        </w:rPr>
        <w:t> </w:t>
      </w:r>
      <w:r w:rsidRPr="00DD4676">
        <w:rPr>
          <w:lang w:val="fr-FR"/>
        </w:rPr>
        <w:t>»</w:t>
      </w:r>
    </w:p>
    <w:p w14:paraId="108A37FF" w14:textId="77777777" w:rsidR="004610C5" w:rsidRPr="00DD4676" w:rsidRDefault="004610C5" w:rsidP="003768BB">
      <w:pPr>
        <w:pStyle w:val="HChG"/>
        <w:rPr>
          <w:lang w:val="fr-FR"/>
        </w:rPr>
      </w:pPr>
      <w:r w:rsidRPr="00DD4676">
        <w:rPr>
          <w:lang w:val="fr-FR"/>
        </w:rPr>
        <w:tab/>
      </w:r>
      <w:r w:rsidRPr="00DD4676">
        <w:rPr>
          <w:lang w:val="fr-FR"/>
        </w:rPr>
        <w:tab/>
        <w:t>Propositions tendant à modifier la version espagnole</w:t>
      </w:r>
    </w:p>
    <w:p w14:paraId="2192F1DA" w14:textId="77777777" w:rsidR="004610C5" w:rsidRPr="00DD4676" w:rsidRDefault="004610C5" w:rsidP="00907515">
      <w:pPr>
        <w:pStyle w:val="SingleTxtG"/>
        <w:rPr>
          <w:lang w:val="fr-FR"/>
        </w:rPr>
      </w:pPr>
      <w:r w:rsidRPr="00DD4676">
        <w:rPr>
          <w:lang w:val="fr-FR"/>
        </w:rPr>
        <w:t>44.</w:t>
      </w:r>
      <w:r w:rsidRPr="00DD4676">
        <w:rPr>
          <w:lang w:val="fr-FR"/>
        </w:rPr>
        <w:tab/>
        <w:t>Au 1.2.1, modifier les définitions de « razón de llenado » et de « tasa de llenado » comme suit :</w:t>
      </w:r>
    </w:p>
    <w:p w14:paraId="1D550539" w14:textId="249553D8" w:rsidR="004610C5" w:rsidRPr="00D1508F" w:rsidRDefault="004610C5" w:rsidP="00A277FB">
      <w:pPr>
        <w:pStyle w:val="SingleTxtG"/>
        <w:ind w:left="1701"/>
        <w:rPr>
          <w:lang w:val="es-ES"/>
        </w:rPr>
      </w:pPr>
      <w:r w:rsidRPr="00D1508F">
        <w:rPr>
          <w:lang w:val="es-ES"/>
        </w:rPr>
        <w:t>« Por</w:t>
      </w:r>
      <w:r w:rsidRPr="00D1508F">
        <w:rPr>
          <w:i/>
          <w:iCs/>
          <w:lang w:val="es-ES"/>
        </w:rPr>
        <w:t xml:space="preserve"> razón </w:t>
      </w:r>
      <w:r w:rsidRPr="00D1508F">
        <w:rPr>
          <w:strike/>
          <w:lang w:val="es-ES"/>
        </w:rPr>
        <w:t>(tasa)</w:t>
      </w:r>
      <w:r w:rsidRPr="00D1508F">
        <w:rPr>
          <w:i/>
          <w:iCs/>
          <w:lang w:val="es-ES"/>
        </w:rPr>
        <w:t xml:space="preserve"> de llenado</w:t>
      </w:r>
      <w:r w:rsidRPr="00D1508F">
        <w:rPr>
          <w:lang w:val="es-ES"/>
        </w:rPr>
        <w:t>, la relación entre la masa de gas y la masa de agua a 15</w:t>
      </w:r>
      <w:r w:rsidR="003768BB">
        <w:rPr>
          <w:lang w:val="es-ES"/>
        </w:rPr>
        <w:t> </w:t>
      </w:r>
      <w:r w:rsidRPr="00D1508F">
        <w:rPr>
          <w:lang w:val="es-ES"/>
        </w:rPr>
        <w:t>ºC que llenaría totalmente un recipiente a presión listo para su uso.</w:t>
      </w:r>
    </w:p>
    <w:p w14:paraId="61B62B0E" w14:textId="77777777" w:rsidR="004610C5" w:rsidRPr="00D1508F" w:rsidRDefault="004610C5" w:rsidP="00A277FB">
      <w:pPr>
        <w:pStyle w:val="SingleTxtG"/>
        <w:ind w:left="1701"/>
        <w:rPr>
          <w:strike/>
          <w:lang w:val="es-ES"/>
        </w:rPr>
      </w:pPr>
      <w:r w:rsidRPr="00D1508F">
        <w:rPr>
          <w:strike/>
          <w:lang w:val="es-ES"/>
        </w:rPr>
        <w:t>Por tasa de llenado, véase “Razón de llenado”;</w:t>
      </w:r>
      <w:r w:rsidRPr="00D1508F">
        <w:rPr>
          <w:lang w:val="es-ES"/>
        </w:rPr>
        <w:t> ».</w:t>
      </w:r>
    </w:p>
    <w:p w14:paraId="249E9FA4" w14:textId="1FDEEA64" w:rsidR="004610C5" w:rsidRPr="00DD4676" w:rsidRDefault="004610C5" w:rsidP="00907515">
      <w:pPr>
        <w:pStyle w:val="SingleTxtG"/>
        <w:rPr>
          <w:lang w:val="fr-FR"/>
        </w:rPr>
      </w:pPr>
      <w:r w:rsidRPr="00DD4676">
        <w:rPr>
          <w:lang w:val="fr-FR"/>
        </w:rPr>
        <w:t>45.</w:t>
      </w:r>
      <w:r w:rsidRPr="00DD4676">
        <w:rPr>
          <w:lang w:val="fr-FR"/>
        </w:rPr>
        <w:tab/>
        <w:t>Au 3.3.1, modifier l</w:t>
      </w:r>
      <w:r>
        <w:rPr>
          <w:lang w:val="fr-FR"/>
        </w:rPr>
        <w:t>’</w:t>
      </w:r>
      <w:r w:rsidRPr="00DD4676">
        <w:rPr>
          <w:lang w:val="fr-FR"/>
        </w:rPr>
        <w:t>alinéa</w:t>
      </w:r>
      <w:r w:rsidR="003768BB">
        <w:rPr>
          <w:lang w:val="fr-FR"/>
        </w:rPr>
        <w:t> </w:t>
      </w:r>
      <w:r w:rsidRPr="00DD4676">
        <w:rPr>
          <w:lang w:val="fr-FR"/>
        </w:rPr>
        <w:t>f) de la disposition spéciale</w:t>
      </w:r>
      <w:r w:rsidR="003768BB">
        <w:rPr>
          <w:lang w:val="fr-FR"/>
        </w:rPr>
        <w:t> </w:t>
      </w:r>
      <w:r w:rsidRPr="00DD4676">
        <w:rPr>
          <w:lang w:val="fr-FR"/>
        </w:rPr>
        <w:t>392 comme suit</w:t>
      </w:r>
      <w:r w:rsidR="003768BB">
        <w:rPr>
          <w:lang w:val="fr-FR"/>
        </w:rPr>
        <w:t> </w:t>
      </w:r>
      <w:r w:rsidRPr="00DD4676">
        <w:rPr>
          <w:lang w:val="fr-FR"/>
        </w:rPr>
        <w:t>:</w:t>
      </w:r>
    </w:p>
    <w:p w14:paraId="745F0B1A" w14:textId="4403C392" w:rsidR="004610C5" w:rsidRPr="00D1508F" w:rsidRDefault="004610C5" w:rsidP="00A277FB">
      <w:pPr>
        <w:pStyle w:val="SingleTxtG"/>
        <w:ind w:left="1701"/>
        <w:rPr>
          <w:lang w:val="es-ES"/>
        </w:rPr>
      </w:pPr>
      <w:r w:rsidRPr="00D1508F">
        <w:rPr>
          <w:lang w:val="es-ES"/>
        </w:rPr>
        <w:t xml:space="preserve">« Excepto en el caso de los sistemas de contención de gas combustible retirados para su eliminación, reciclado, reparación, inspección o mantenimiento, dicho sistemas se </w:t>
      </w:r>
      <w:r w:rsidRPr="00D1508F">
        <w:rPr>
          <w:lang w:val="es-ES"/>
        </w:rPr>
        <w:lastRenderedPageBreak/>
        <w:t>llenarán con no más del 20</w:t>
      </w:r>
      <w:r w:rsidR="003768BB">
        <w:rPr>
          <w:lang w:val="es-ES"/>
        </w:rPr>
        <w:t> </w:t>
      </w:r>
      <w:r w:rsidRPr="00D1508F">
        <w:rPr>
          <w:lang w:val="es-ES"/>
        </w:rPr>
        <w:t xml:space="preserve">% de </w:t>
      </w:r>
      <w:r w:rsidRPr="00D1508F">
        <w:rPr>
          <w:strike/>
          <w:lang w:val="es-ES"/>
        </w:rPr>
        <w:t>volumen nominal</w:t>
      </w:r>
      <w:r w:rsidRPr="00D1508F">
        <w:rPr>
          <w:lang w:val="es-ES"/>
        </w:rPr>
        <w:t xml:space="preserve"> </w:t>
      </w:r>
      <w:r w:rsidRPr="00D1508F">
        <w:rPr>
          <w:b/>
          <w:bCs/>
          <w:lang w:val="es-ES"/>
        </w:rPr>
        <w:t>la razón</w:t>
      </w:r>
      <w:r w:rsidRPr="00D1508F">
        <w:rPr>
          <w:lang w:val="es-ES"/>
        </w:rPr>
        <w:t xml:space="preserve"> de llenado o presión nominal de servicio, según proceda</w:t>
      </w:r>
      <w:r w:rsidR="003768BB">
        <w:rPr>
          <w:lang w:val="es-ES"/>
        </w:rPr>
        <w:t> </w:t>
      </w:r>
      <w:r w:rsidRPr="00D1508F">
        <w:rPr>
          <w:lang w:val="es-ES"/>
        </w:rPr>
        <w:t>; ».</w:t>
      </w:r>
    </w:p>
    <w:p w14:paraId="7D39CAF2" w14:textId="4889FF76" w:rsidR="004610C5" w:rsidRPr="00DD4676" w:rsidRDefault="004610C5" w:rsidP="00907515">
      <w:pPr>
        <w:pStyle w:val="SingleTxtG"/>
        <w:rPr>
          <w:lang w:val="fr-FR"/>
        </w:rPr>
      </w:pPr>
      <w:r w:rsidRPr="00DD4676">
        <w:rPr>
          <w:lang w:val="fr-FR"/>
        </w:rPr>
        <w:t>46.</w:t>
      </w:r>
      <w:r w:rsidRPr="00DD4676">
        <w:rPr>
          <w:lang w:val="fr-FR"/>
        </w:rPr>
        <w:tab/>
        <w:t>Modifier le 4.1.1.10</w:t>
      </w:r>
      <w:r w:rsidR="003768BB">
        <w:rPr>
          <w:lang w:val="fr-FR"/>
        </w:rPr>
        <w:t> </w:t>
      </w:r>
      <w:r w:rsidRPr="00DD4676">
        <w:rPr>
          <w:lang w:val="fr-FR"/>
        </w:rPr>
        <w:t>a) comme suit :</w:t>
      </w:r>
    </w:p>
    <w:p w14:paraId="2D2B9256" w14:textId="7A4233D1" w:rsidR="004610C5" w:rsidRPr="00D1508F" w:rsidRDefault="004610C5" w:rsidP="00A277FB">
      <w:pPr>
        <w:pStyle w:val="SingleTxtG"/>
        <w:ind w:left="1701"/>
        <w:rPr>
          <w:lang w:val="es-ES"/>
        </w:rPr>
      </w:pPr>
      <w:r w:rsidRPr="00D1508F">
        <w:rPr>
          <w:lang w:val="es-ES"/>
        </w:rPr>
        <w:t xml:space="preserve">« La presión manométrica total dentro del embalaje/envase o del RIG (es decir, la suma de </w:t>
      </w:r>
      <w:r w:rsidRPr="003768BB">
        <w:rPr>
          <w:lang w:val="es-ES"/>
        </w:rPr>
        <w:t>la</w:t>
      </w:r>
      <w:r w:rsidRPr="00D1508F">
        <w:rPr>
          <w:lang w:val="es-ES"/>
        </w:rPr>
        <w:t xml:space="preserve"> presión de vapor de la sustancia contenida y de la presión parcial del aire o de otros gases inertes, menos 100</w:t>
      </w:r>
      <w:r w:rsidR="003768BB">
        <w:rPr>
          <w:lang w:val="es-ES"/>
        </w:rPr>
        <w:t> </w:t>
      </w:r>
      <w:r w:rsidRPr="00D1508F">
        <w:rPr>
          <w:lang w:val="es-ES"/>
        </w:rPr>
        <w:t>kPa) a 55º</w:t>
      </w:r>
      <w:r w:rsidR="003768BB">
        <w:rPr>
          <w:lang w:val="es-ES"/>
        </w:rPr>
        <w:t> </w:t>
      </w:r>
      <w:r w:rsidRPr="00D1508F">
        <w:rPr>
          <w:lang w:val="es-ES"/>
        </w:rPr>
        <w:t>C, determinada con arreglo a</w:t>
      </w:r>
      <w:r w:rsidRPr="00D1508F">
        <w:rPr>
          <w:b/>
          <w:bCs/>
          <w:lang w:val="es-ES"/>
        </w:rPr>
        <w:t>l</w:t>
      </w:r>
      <w:r w:rsidRPr="00D1508F">
        <w:rPr>
          <w:lang w:val="es-ES"/>
        </w:rPr>
        <w:t xml:space="preserve"> </w:t>
      </w:r>
      <w:r w:rsidRPr="00D1508F">
        <w:rPr>
          <w:strike/>
          <w:lang w:val="es-ES"/>
        </w:rPr>
        <w:t>la razón</w:t>
      </w:r>
      <w:r w:rsidRPr="00D1508F">
        <w:rPr>
          <w:lang w:val="es-ES"/>
        </w:rPr>
        <w:t xml:space="preserve"> </w:t>
      </w:r>
      <w:r w:rsidRPr="00D1508F">
        <w:rPr>
          <w:b/>
          <w:bCs/>
          <w:lang w:val="es-ES"/>
        </w:rPr>
        <w:t>grado</w:t>
      </w:r>
      <w:r w:rsidRPr="00D1508F">
        <w:rPr>
          <w:lang w:val="es-ES"/>
        </w:rPr>
        <w:t xml:space="preserve"> máxim</w:t>
      </w:r>
      <w:r w:rsidRPr="00D1508F">
        <w:rPr>
          <w:strike/>
          <w:lang w:val="es-ES"/>
        </w:rPr>
        <w:t>a</w:t>
      </w:r>
      <w:r w:rsidRPr="00D1508F">
        <w:rPr>
          <w:b/>
          <w:bCs/>
          <w:lang w:val="es-ES"/>
        </w:rPr>
        <w:t>o</w:t>
      </w:r>
      <w:r w:rsidRPr="00D1508F">
        <w:rPr>
          <w:lang w:val="es-ES"/>
        </w:rPr>
        <w:t xml:space="preserve"> de llenado conforme al 4.1.1.4, a una temperatura de llenado de 15º</w:t>
      </w:r>
      <w:r w:rsidR="003768BB">
        <w:rPr>
          <w:lang w:val="es-ES"/>
        </w:rPr>
        <w:t> </w:t>
      </w:r>
      <w:r w:rsidRPr="00D1508F">
        <w:rPr>
          <w:lang w:val="es-ES"/>
        </w:rPr>
        <w:t>C, no exceda de dos tercios de la presión de ensayo marcada</w:t>
      </w:r>
      <w:r w:rsidR="003768BB">
        <w:rPr>
          <w:lang w:val="es-ES"/>
        </w:rPr>
        <w:t> </w:t>
      </w:r>
      <w:r w:rsidRPr="00D1508F">
        <w:rPr>
          <w:lang w:val="es-ES"/>
        </w:rPr>
        <w:t>; o ».</w:t>
      </w:r>
    </w:p>
    <w:p w14:paraId="7B99C0C9" w14:textId="77777777" w:rsidR="004610C5" w:rsidRPr="00D1508F" w:rsidRDefault="004610C5" w:rsidP="00907515">
      <w:pPr>
        <w:pStyle w:val="SingleTxtG"/>
        <w:rPr>
          <w:lang w:val="es-ES"/>
        </w:rPr>
      </w:pPr>
      <w:r w:rsidRPr="00D1508F">
        <w:rPr>
          <w:lang w:val="es-ES"/>
        </w:rPr>
        <w:t>47.</w:t>
      </w:r>
      <w:r w:rsidRPr="00D1508F">
        <w:rPr>
          <w:lang w:val="es-ES"/>
        </w:rPr>
        <w:tab/>
        <w:t>Modifier le 4.1.7.0.1 comme suit :</w:t>
      </w:r>
    </w:p>
    <w:p w14:paraId="5485CD2A" w14:textId="2EE62E23" w:rsidR="004610C5" w:rsidRPr="00D1508F" w:rsidRDefault="004610C5" w:rsidP="003768BB">
      <w:pPr>
        <w:pStyle w:val="SingleTxtG"/>
        <w:ind w:left="1701"/>
        <w:rPr>
          <w:lang w:val="es-ES"/>
        </w:rPr>
      </w:pPr>
      <w:r w:rsidRPr="00D1508F">
        <w:rPr>
          <w:lang w:val="es-ES"/>
        </w:rPr>
        <w:t xml:space="preserve">« Todos los recipientes destinados a los peróxidos orgánicos deberán ser cerrados “de forma efectiva”. Cuando a causa de la evolución del gas puedan originarse presiones internas significativas en el bulto, se podrá instalar un dispositivo de purga siempre que el gas emitido no cause ningún peligro, pues en ese caso se habrá de limitar </w:t>
      </w:r>
      <w:r w:rsidRPr="00D1508F">
        <w:rPr>
          <w:strike/>
          <w:lang w:val="es-ES"/>
        </w:rPr>
        <w:t>la razón</w:t>
      </w:r>
      <w:r w:rsidRPr="00D1508F">
        <w:rPr>
          <w:lang w:val="es-ES"/>
        </w:rPr>
        <w:t xml:space="preserve"> </w:t>
      </w:r>
      <w:r w:rsidRPr="00D1508F">
        <w:rPr>
          <w:b/>
          <w:bCs/>
          <w:lang w:val="es-ES"/>
        </w:rPr>
        <w:t>el</w:t>
      </w:r>
      <w:r w:rsidRPr="00D1508F">
        <w:rPr>
          <w:lang w:val="es-ES"/>
        </w:rPr>
        <w:t xml:space="preserve"> </w:t>
      </w:r>
      <w:r w:rsidRPr="00D1508F">
        <w:rPr>
          <w:b/>
          <w:bCs/>
          <w:lang w:val="es-ES"/>
        </w:rPr>
        <w:t>grado</w:t>
      </w:r>
      <w:r w:rsidRPr="00D1508F">
        <w:rPr>
          <w:lang w:val="es-ES"/>
        </w:rPr>
        <w:t xml:space="preserve"> de llenado. El dispositivo de purga deberá estar construido de forma que el líquido no pueda salir del bulto cuando éste se encuentre en posición vertical y habrá de poder evitar la entrada de impurezas. El embalaje/envase exterior, si existe, deberá estar diseñado de forma que no interfiera en el funcionamiento del dispositivo de purga. ».</w:t>
      </w:r>
    </w:p>
    <w:p w14:paraId="2C1C9EB3" w14:textId="33CCDC94" w:rsidR="004610C5" w:rsidRPr="00D1508F" w:rsidRDefault="004610C5" w:rsidP="00907515">
      <w:pPr>
        <w:pStyle w:val="SingleTxtG"/>
        <w:rPr>
          <w:lang w:val="es-ES"/>
        </w:rPr>
      </w:pPr>
      <w:r w:rsidRPr="00052A8A">
        <w:rPr>
          <w:lang w:val="es-ES"/>
        </w:rPr>
        <w:t>48</w:t>
      </w:r>
      <w:r w:rsidRPr="00D1508F">
        <w:rPr>
          <w:lang w:val="es-ES"/>
        </w:rPr>
        <w:t>.</w:t>
      </w:r>
      <w:r w:rsidRPr="00D1508F">
        <w:rPr>
          <w:lang w:val="es-ES"/>
        </w:rPr>
        <w:tab/>
        <w:t>Modifier le 4.2.3.6.2 comme suit</w:t>
      </w:r>
      <w:r w:rsidR="00052A8A">
        <w:rPr>
          <w:lang w:val="es-ES"/>
        </w:rPr>
        <w:t> </w:t>
      </w:r>
      <w:r w:rsidRPr="00D1508F">
        <w:rPr>
          <w:lang w:val="es-ES"/>
        </w:rPr>
        <w:t>:</w:t>
      </w:r>
    </w:p>
    <w:p w14:paraId="6100F5B8" w14:textId="5536F5A0" w:rsidR="004610C5" w:rsidRPr="00D1508F" w:rsidRDefault="004610C5" w:rsidP="003768BB">
      <w:pPr>
        <w:pStyle w:val="SingleTxtG"/>
        <w:ind w:left="1701"/>
        <w:rPr>
          <w:lang w:val="es-ES"/>
        </w:rPr>
      </w:pPr>
      <w:r w:rsidRPr="00052A8A">
        <w:rPr>
          <w:lang w:val="es-ES"/>
        </w:rPr>
        <w:t>«</w:t>
      </w:r>
      <w:r w:rsidRPr="00D1508F">
        <w:rPr>
          <w:lang w:val="es-ES"/>
        </w:rPr>
        <w:t xml:space="preserve"> Al determinar </w:t>
      </w:r>
      <w:r w:rsidRPr="00D1508F">
        <w:rPr>
          <w:strike/>
          <w:lang w:val="es-ES"/>
        </w:rPr>
        <w:t>el grado</w:t>
      </w:r>
      <w:r w:rsidRPr="00D1508F">
        <w:rPr>
          <w:lang w:val="es-ES"/>
        </w:rPr>
        <w:t xml:space="preserve"> </w:t>
      </w:r>
      <w:r w:rsidRPr="00D1508F">
        <w:rPr>
          <w:b/>
          <w:bCs/>
          <w:lang w:val="es-ES"/>
        </w:rPr>
        <w:t>la razón</w:t>
      </w:r>
      <w:r w:rsidRPr="00D1508F">
        <w:rPr>
          <w:lang w:val="es-ES"/>
        </w:rPr>
        <w:t xml:space="preserve"> inicial de llenado debe tenerse en cuenta el tiempo de retención necesario para el viaje previsto, así como todos los retrasos que podrían producirse. Con la excepción de lo previsto en 4.2.3.6.3 y 4.2.3.6.4, </w:t>
      </w:r>
      <w:r w:rsidRPr="00D1508F">
        <w:rPr>
          <w:strike/>
          <w:lang w:val="es-ES"/>
        </w:rPr>
        <w:t>el grado</w:t>
      </w:r>
      <w:r w:rsidRPr="00D1508F">
        <w:rPr>
          <w:lang w:val="es-ES"/>
        </w:rPr>
        <w:t xml:space="preserve"> </w:t>
      </w:r>
      <w:r w:rsidRPr="00D1508F">
        <w:rPr>
          <w:b/>
          <w:bCs/>
          <w:lang w:val="es-ES"/>
        </w:rPr>
        <w:t>la razón</w:t>
      </w:r>
      <w:r w:rsidRPr="00D1508F">
        <w:rPr>
          <w:lang w:val="es-ES"/>
        </w:rPr>
        <w:t xml:space="preserve"> inicial de llenado del depósito debe ser tal que, excepto en el caso del helio, si se eleva la temperatura del contenido a un grado en que la presión de vapor sea igual a la presión de servicio máxima autorizada (PSMA), el volumen ocupado por el líquido no exceda del 98</w:t>
      </w:r>
      <w:r w:rsidR="00052A8A">
        <w:rPr>
          <w:lang w:val="es-ES"/>
        </w:rPr>
        <w:t> </w:t>
      </w:r>
      <w:r w:rsidRPr="00D1508F">
        <w:rPr>
          <w:lang w:val="es-ES"/>
        </w:rPr>
        <w:t>%. ».</w:t>
      </w:r>
    </w:p>
    <w:p w14:paraId="7CDF72A0" w14:textId="38E56B9F" w:rsidR="004610C5" w:rsidRPr="00D1508F" w:rsidRDefault="004610C5" w:rsidP="00907515">
      <w:pPr>
        <w:pStyle w:val="SingleTxtG"/>
        <w:rPr>
          <w:lang w:val="es-ES"/>
        </w:rPr>
      </w:pPr>
      <w:r w:rsidRPr="00D1508F">
        <w:rPr>
          <w:lang w:val="es-ES"/>
        </w:rPr>
        <w:t>49.</w:t>
      </w:r>
      <w:r w:rsidRPr="00D1508F">
        <w:rPr>
          <w:lang w:val="es-ES"/>
        </w:rPr>
        <w:tab/>
        <w:t>Modifier le 4.2.3.6.4 comme suit</w:t>
      </w:r>
      <w:r w:rsidR="00052A8A">
        <w:rPr>
          <w:lang w:val="es-ES"/>
        </w:rPr>
        <w:t> </w:t>
      </w:r>
      <w:r w:rsidRPr="00D1508F">
        <w:rPr>
          <w:lang w:val="es-ES"/>
        </w:rPr>
        <w:t>:</w:t>
      </w:r>
    </w:p>
    <w:p w14:paraId="233D5BB6" w14:textId="77777777" w:rsidR="004610C5" w:rsidRPr="00D1508F" w:rsidRDefault="004610C5" w:rsidP="003768BB">
      <w:pPr>
        <w:pStyle w:val="SingleTxtG"/>
        <w:ind w:left="1701"/>
        <w:rPr>
          <w:lang w:val="es-ES"/>
        </w:rPr>
      </w:pPr>
      <w:r w:rsidRPr="00D1508F">
        <w:rPr>
          <w:lang w:val="es-ES"/>
        </w:rPr>
        <w:t>« Si las autoridades competentes lo autorizan, se podrá permitir un</w:t>
      </w:r>
      <w:r w:rsidRPr="00D1508F">
        <w:rPr>
          <w:b/>
          <w:bCs/>
          <w:lang w:val="es-ES"/>
        </w:rPr>
        <w:t>a</w:t>
      </w:r>
      <w:r w:rsidRPr="00D1508F">
        <w:rPr>
          <w:lang w:val="es-ES"/>
        </w:rPr>
        <w:t xml:space="preserve"> </w:t>
      </w:r>
      <w:r w:rsidRPr="00D1508F">
        <w:rPr>
          <w:strike/>
          <w:lang w:val="es-ES"/>
        </w:rPr>
        <w:t xml:space="preserve">grado </w:t>
      </w:r>
      <w:r w:rsidRPr="00D1508F">
        <w:rPr>
          <w:b/>
          <w:bCs/>
          <w:lang w:val="es-ES"/>
        </w:rPr>
        <w:t>razón</w:t>
      </w:r>
      <w:r w:rsidRPr="00D1508F">
        <w:rPr>
          <w:lang w:val="es-ES"/>
        </w:rPr>
        <w:t xml:space="preserve"> inicial de llenado más elevado cuando la duración prevista del transporte sea considerablemente más corta que el tiempo de retención. ».</w:t>
      </w:r>
    </w:p>
    <w:p w14:paraId="03F42B10" w14:textId="4A0B4434" w:rsidR="004610C5" w:rsidRPr="00D1508F" w:rsidRDefault="004610C5" w:rsidP="00907515">
      <w:pPr>
        <w:pStyle w:val="SingleTxtG"/>
        <w:rPr>
          <w:lang w:val="es-ES"/>
        </w:rPr>
      </w:pPr>
      <w:r w:rsidRPr="00052A8A">
        <w:rPr>
          <w:lang w:val="es-ES"/>
        </w:rPr>
        <w:t>50</w:t>
      </w:r>
      <w:r w:rsidRPr="00D1508F">
        <w:rPr>
          <w:lang w:val="es-ES"/>
        </w:rPr>
        <w:t>.</w:t>
      </w:r>
      <w:r w:rsidRPr="00D1508F">
        <w:rPr>
          <w:lang w:val="es-ES"/>
        </w:rPr>
        <w:tab/>
        <w:t>Modifier le 4.2.5.2.3 comme suit</w:t>
      </w:r>
      <w:r w:rsidR="00052A8A">
        <w:rPr>
          <w:lang w:val="es-ES"/>
        </w:rPr>
        <w:t> </w:t>
      </w:r>
      <w:r w:rsidRPr="00D1508F">
        <w:rPr>
          <w:lang w:val="es-ES"/>
        </w:rPr>
        <w:t>:</w:t>
      </w:r>
    </w:p>
    <w:p w14:paraId="4924C567" w14:textId="77777777" w:rsidR="004610C5" w:rsidRPr="00D1508F" w:rsidRDefault="004610C5" w:rsidP="003768BB">
      <w:pPr>
        <w:pStyle w:val="SingleTxtG"/>
        <w:ind w:left="1701"/>
        <w:rPr>
          <w:lang w:val="es-ES"/>
        </w:rPr>
      </w:pPr>
      <w:r w:rsidRPr="00D1508F">
        <w:rPr>
          <w:lang w:val="es-ES"/>
        </w:rPr>
        <w:t xml:space="preserve">« Los gases licuados no refrigerados se asignan a la instrucción de transporte en cisternas T50. En ésta se prevén las presiones de servicio máximas autorizadas y los requisitos en materia de orificios en la parte baja, de dispositivos de descomprensión y de </w:t>
      </w:r>
      <w:r w:rsidRPr="00D1508F">
        <w:rPr>
          <w:strike/>
          <w:lang w:val="es-ES"/>
        </w:rPr>
        <w:t>grado</w:t>
      </w:r>
      <w:r w:rsidRPr="00D1508F">
        <w:rPr>
          <w:lang w:val="es-ES"/>
        </w:rPr>
        <w:t xml:space="preserve"> </w:t>
      </w:r>
      <w:r w:rsidRPr="00D1508F">
        <w:rPr>
          <w:b/>
          <w:bCs/>
          <w:lang w:val="es-ES"/>
        </w:rPr>
        <w:t>razón</w:t>
      </w:r>
      <w:r w:rsidRPr="00D1508F">
        <w:rPr>
          <w:lang w:val="es-ES"/>
        </w:rPr>
        <w:t xml:space="preserve"> de llenado en el caso de los gases licuados no refrigerados cuyo transporte en cisternas portátiles está permitido. ».</w:t>
      </w:r>
    </w:p>
    <w:p w14:paraId="22B5C9ED" w14:textId="77777777" w:rsidR="004610C5" w:rsidRPr="00DD4676" w:rsidRDefault="004610C5" w:rsidP="00907515">
      <w:pPr>
        <w:pStyle w:val="SingleTxtG"/>
        <w:rPr>
          <w:lang w:val="fr-FR"/>
        </w:rPr>
      </w:pPr>
      <w:r w:rsidRPr="00DD4676">
        <w:rPr>
          <w:lang w:val="fr-FR"/>
        </w:rPr>
        <w:t>51.</w:t>
      </w:r>
      <w:r w:rsidRPr="00DD4676">
        <w:rPr>
          <w:lang w:val="fr-FR"/>
        </w:rPr>
        <w:tab/>
        <w:t>Au 4.2.5.2.3, modifier la disposition spéciale applicable au transport en citernes mobiles TP5 comme suit :</w:t>
      </w:r>
    </w:p>
    <w:p w14:paraId="331043D8" w14:textId="77777777" w:rsidR="004610C5" w:rsidRPr="00D1508F" w:rsidRDefault="004610C5" w:rsidP="003768BB">
      <w:pPr>
        <w:pStyle w:val="SingleTxtG"/>
        <w:ind w:left="1701"/>
        <w:rPr>
          <w:lang w:val="es-ES"/>
        </w:rPr>
      </w:pPr>
      <w:r w:rsidRPr="00D1508F">
        <w:rPr>
          <w:lang w:val="es-ES"/>
        </w:rPr>
        <w:t xml:space="preserve">« Se respetará </w:t>
      </w:r>
      <w:r w:rsidRPr="00D1508F">
        <w:rPr>
          <w:strike/>
          <w:lang w:val="es-ES"/>
        </w:rPr>
        <w:t>el grado</w:t>
      </w:r>
      <w:r w:rsidRPr="00D1508F">
        <w:rPr>
          <w:lang w:val="es-ES"/>
        </w:rPr>
        <w:t xml:space="preserve"> </w:t>
      </w:r>
      <w:r w:rsidRPr="00D1508F">
        <w:rPr>
          <w:b/>
          <w:bCs/>
          <w:lang w:val="es-ES"/>
        </w:rPr>
        <w:t>la razón</w:t>
      </w:r>
      <w:r w:rsidRPr="00D1508F">
        <w:rPr>
          <w:lang w:val="es-ES"/>
        </w:rPr>
        <w:t xml:space="preserve"> de llenado prescrit</w:t>
      </w:r>
      <w:r w:rsidRPr="00D1508F">
        <w:rPr>
          <w:strike/>
          <w:lang w:val="es-ES"/>
        </w:rPr>
        <w:t>o</w:t>
      </w:r>
      <w:r w:rsidRPr="00D1508F">
        <w:rPr>
          <w:b/>
          <w:bCs/>
          <w:lang w:val="es-ES"/>
        </w:rPr>
        <w:t>a</w:t>
      </w:r>
      <w:r w:rsidRPr="00D1508F">
        <w:rPr>
          <w:lang w:val="es-ES"/>
        </w:rPr>
        <w:t xml:space="preserve"> en 4.2.3.6. ».</w:t>
      </w:r>
    </w:p>
    <w:p w14:paraId="12077888" w14:textId="0CDBB9A8" w:rsidR="004610C5" w:rsidRPr="00DD4676" w:rsidRDefault="004610C5" w:rsidP="00907515">
      <w:pPr>
        <w:pStyle w:val="SingleTxtG"/>
        <w:rPr>
          <w:lang w:val="fr-FR"/>
        </w:rPr>
      </w:pPr>
      <w:r w:rsidRPr="00DD4676">
        <w:rPr>
          <w:lang w:val="fr-FR"/>
        </w:rPr>
        <w:t>52.</w:t>
      </w:r>
      <w:r w:rsidRPr="00DD4676">
        <w:rPr>
          <w:lang w:val="fr-FR"/>
        </w:rPr>
        <w:tab/>
        <w:t>Au 6.7.4.15.1</w:t>
      </w:r>
      <w:r w:rsidR="00052A8A">
        <w:rPr>
          <w:lang w:val="fr-FR"/>
        </w:rPr>
        <w:t> </w:t>
      </w:r>
      <w:r w:rsidRPr="00DD4676">
        <w:rPr>
          <w:lang w:val="fr-FR"/>
        </w:rPr>
        <w:t>i)</w:t>
      </w:r>
      <w:r w:rsidR="00052A8A">
        <w:rPr>
          <w:lang w:val="fr-FR"/>
        </w:rPr>
        <w:t> </w:t>
      </w:r>
      <w:r w:rsidRPr="00DD4676">
        <w:rPr>
          <w:lang w:val="fr-FR"/>
        </w:rPr>
        <w:t>iv), il faut utiliser la notion de taux de remplissage. Étant donné qu</w:t>
      </w:r>
      <w:r>
        <w:rPr>
          <w:lang w:val="fr-FR"/>
        </w:rPr>
        <w:t>’</w:t>
      </w:r>
      <w:r w:rsidRPr="00DD4676">
        <w:rPr>
          <w:lang w:val="fr-FR"/>
        </w:rPr>
        <w:t>il faut également préciser l</w:t>
      </w:r>
      <w:r>
        <w:rPr>
          <w:lang w:val="fr-FR"/>
        </w:rPr>
        <w:t>’</w:t>
      </w:r>
      <w:r w:rsidRPr="00DD4676">
        <w:rPr>
          <w:lang w:val="fr-FR"/>
        </w:rPr>
        <w:t>unité de mesure, et que le taux de remplissage est défini comme le rapport entre la masse de gaz et la masse d</w:t>
      </w:r>
      <w:r>
        <w:rPr>
          <w:lang w:val="fr-FR"/>
        </w:rPr>
        <w:t>’</w:t>
      </w:r>
      <w:r w:rsidRPr="00DD4676">
        <w:rPr>
          <w:lang w:val="fr-FR"/>
        </w:rPr>
        <w:t>eau, l</w:t>
      </w:r>
      <w:r>
        <w:rPr>
          <w:lang w:val="fr-FR"/>
        </w:rPr>
        <w:t>’</w:t>
      </w:r>
      <w:r w:rsidRPr="00DD4676">
        <w:rPr>
          <w:lang w:val="fr-FR"/>
        </w:rPr>
        <w:t>unité doit elle aussi être modifiée, de sorte que le paragraphe se lise comme suit</w:t>
      </w:r>
      <w:r w:rsidR="00052A8A">
        <w:rPr>
          <w:lang w:val="fr-FR"/>
        </w:rPr>
        <w:t> </w:t>
      </w:r>
      <w:r w:rsidRPr="00DD4676">
        <w:rPr>
          <w:lang w:val="fr-FR"/>
        </w:rPr>
        <w:t>:</w:t>
      </w:r>
    </w:p>
    <w:p w14:paraId="43A7C2B0" w14:textId="6CFCDC40" w:rsidR="004610C5" w:rsidRPr="00D1508F" w:rsidRDefault="004610C5" w:rsidP="003768BB">
      <w:pPr>
        <w:pStyle w:val="SingleTxtG"/>
        <w:ind w:left="1701"/>
        <w:rPr>
          <w:lang w:val="es-ES"/>
        </w:rPr>
      </w:pPr>
      <w:r w:rsidRPr="00D1508F">
        <w:rPr>
          <w:lang w:val="es-ES"/>
        </w:rPr>
        <w:t>« (iv)</w:t>
      </w:r>
      <w:r w:rsidR="00052A8A">
        <w:rPr>
          <w:lang w:val="es-ES"/>
        </w:rPr>
        <w:tab/>
      </w:r>
      <w:r w:rsidRPr="00D1508F">
        <w:rPr>
          <w:strike/>
          <w:lang w:val="es-ES"/>
        </w:rPr>
        <w:t>Grado</w:t>
      </w:r>
      <w:r w:rsidRPr="00D1508F">
        <w:rPr>
          <w:lang w:val="es-ES"/>
        </w:rPr>
        <w:t xml:space="preserve"> </w:t>
      </w:r>
      <w:r w:rsidRPr="00D1508F">
        <w:rPr>
          <w:b/>
          <w:bCs/>
          <w:lang w:val="es-ES"/>
        </w:rPr>
        <w:t xml:space="preserve">Razón </w:t>
      </w:r>
      <w:r w:rsidRPr="00D1508F">
        <w:rPr>
          <w:lang w:val="es-ES"/>
        </w:rPr>
        <w:t xml:space="preserve">de llenado (en kg </w:t>
      </w:r>
      <w:r w:rsidRPr="00D1508F">
        <w:rPr>
          <w:b/>
          <w:bCs/>
          <w:lang w:val="es-ES"/>
        </w:rPr>
        <w:t>gas/kg agua</w:t>
      </w:r>
      <w:r w:rsidRPr="00D1508F">
        <w:rPr>
          <w:lang w:val="es-ES"/>
        </w:rPr>
        <w:t>)</w:t>
      </w:r>
      <w:r w:rsidRPr="00D1508F">
        <w:rPr>
          <w:vertAlign w:val="superscript"/>
          <w:lang w:val="es-ES"/>
        </w:rPr>
        <w:t>3</w:t>
      </w:r>
      <w:r w:rsidRPr="00052A8A">
        <w:rPr>
          <w:lang w:val="es-ES"/>
        </w:rPr>
        <w:t> </w:t>
      </w:r>
      <w:r w:rsidRPr="00D1508F">
        <w:rPr>
          <w:lang w:val="es-ES"/>
        </w:rPr>
        <w:t>».</w:t>
      </w:r>
    </w:p>
    <w:p w14:paraId="15E4A624" w14:textId="2410C358" w:rsidR="004610C5" w:rsidRPr="00DD4676" w:rsidRDefault="004610C5" w:rsidP="00907515">
      <w:pPr>
        <w:pStyle w:val="SingleTxtG"/>
        <w:rPr>
          <w:lang w:val="fr-FR"/>
        </w:rPr>
      </w:pPr>
      <w:r w:rsidRPr="00DD4676">
        <w:rPr>
          <w:lang w:val="fr-FR"/>
        </w:rPr>
        <w:t>53.</w:t>
      </w:r>
      <w:r w:rsidRPr="00DD4676">
        <w:rPr>
          <w:lang w:val="fr-FR"/>
        </w:rPr>
        <w:tab/>
        <w:t>De même, dans la figure 6.7.4.15.1, la dernière colonne de la rubrique «</w:t>
      </w:r>
      <w:r w:rsidR="00052A8A">
        <w:rPr>
          <w:lang w:val="fr-FR"/>
        </w:rPr>
        <w:t> </w:t>
      </w:r>
      <w:r w:rsidRPr="00DD4676">
        <w:rPr>
          <w:lang w:val="fr-FR"/>
        </w:rPr>
        <w:t>Tiempos de retención</w:t>
      </w:r>
      <w:r w:rsidR="00052A8A">
        <w:rPr>
          <w:lang w:val="fr-FR"/>
        </w:rPr>
        <w:t> </w:t>
      </w:r>
      <w:r w:rsidRPr="00DD4676">
        <w:rPr>
          <w:lang w:val="fr-FR"/>
        </w:rPr>
        <w:t>» doit se lire comme suit</w:t>
      </w:r>
      <w:r w:rsidR="00052A8A">
        <w:rPr>
          <w:lang w:val="fr-FR"/>
        </w:rPr>
        <w:t> </w:t>
      </w:r>
      <w:r w:rsidRPr="00DD4676">
        <w:rPr>
          <w:lang w:val="fr-FR"/>
        </w:rPr>
        <w:t>:</w:t>
      </w:r>
    </w:p>
    <w:p w14:paraId="7FC68280" w14:textId="77777777" w:rsidR="004610C5" w:rsidRPr="00D1508F" w:rsidRDefault="004610C5" w:rsidP="003768BB">
      <w:pPr>
        <w:pStyle w:val="SingleTxtG"/>
        <w:ind w:left="1701"/>
        <w:rPr>
          <w:lang w:val="es-ES"/>
        </w:rPr>
      </w:pPr>
      <w:r w:rsidRPr="00D1508F">
        <w:rPr>
          <w:lang w:val="es-ES"/>
        </w:rPr>
        <w:t>« </w:t>
      </w:r>
      <w:r w:rsidRPr="00D1508F">
        <w:rPr>
          <w:strike/>
          <w:lang w:val="es-ES"/>
        </w:rPr>
        <w:t xml:space="preserve">Grado </w:t>
      </w:r>
      <w:r w:rsidRPr="00D1508F">
        <w:rPr>
          <w:lang w:val="es-ES"/>
        </w:rPr>
        <w:t>Razón</w:t>
      </w:r>
      <w:r w:rsidRPr="00D1508F">
        <w:rPr>
          <w:b/>
          <w:bCs/>
          <w:lang w:val="es-ES"/>
        </w:rPr>
        <w:t xml:space="preserve"> </w:t>
      </w:r>
      <w:r w:rsidRPr="00D1508F">
        <w:rPr>
          <w:lang w:val="es-ES"/>
        </w:rPr>
        <w:t>de llenado »</w:t>
      </w:r>
    </w:p>
    <w:p w14:paraId="7D895704" w14:textId="77777777" w:rsidR="004610C5" w:rsidRPr="00D1508F" w:rsidRDefault="004610C5" w:rsidP="003768BB">
      <w:pPr>
        <w:pStyle w:val="SingleTxtG"/>
        <w:ind w:left="1701"/>
        <w:rPr>
          <w:lang w:val="es-ES"/>
        </w:rPr>
      </w:pPr>
      <w:r w:rsidRPr="00052A8A">
        <w:rPr>
          <w:lang w:val="es-ES"/>
        </w:rPr>
        <w:t>«</w:t>
      </w:r>
      <w:r w:rsidRPr="00D1508F">
        <w:rPr>
          <w:lang w:val="es-ES"/>
        </w:rPr>
        <w:t xml:space="preserve"> kg </w:t>
      </w:r>
      <w:r w:rsidRPr="00D1508F">
        <w:rPr>
          <w:b/>
          <w:bCs/>
          <w:lang w:val="es-ES"/>
        </w:rPr>
        <w:t>gas/</w:t>
      </w:r>
      <w:r w:rsidRPr="00D1508F">
        <w:rPr>
          <w:lang w:val="es-ES"/>
        </w:rPr>
        <w:t>kg</w:t>
      </w:r>
      <w:r w:rsidRPr="00D1508F">
        <w:rPr>
          <w:b/>
          <w:bCs/>
          <w:lang w:val="es-ES"/>
        </w:rPr>
        <w:t xml:space="preserve"> agua </w:t>
      </w:r>
      <w:r w:rsidRPr="00D1508F">
        <w:rPr>
          <w:lang w:val="es-ES"/>
        </w:rPr>
        <w:t>».</w:t>
      </w:r>
    </w:p>
    <w:p w14:paraId="18DC31A9" w14:textId="7E95DCB0" w:rsidR="004610C5" w:rsidRPr="00DD4676" w:rsidRDefault="004610C5" w:rsidP="003768BB">
      <w:pPr>
        <w:pStyle w:val="HChG"/>
        <w:rPr>
          <w:lang w:val="fr-FR"/>
        </w:rPr>
      </w:pPr>
      <w:r w:rsidRPr="00D1508F">
        <w:rPr>
          <w:lang w:val="es-ES"/>
        </w:rPr>
        <w:lastRenderedPageBreak/>
        <w:tab/>
      </w:r>
      <w:r w:rsidRPr="00D1508F">
        <w:rPr>
          <w:lang w:val="es-ES"/>
        </w:rPr>
        <w:tab/>
      </w:r>
      <w:r w:rsidRPr="00DD4676">
        <w:rPr>
          <w:lang w:val="fr-FR"/>
        </w:rPr>
        <w:t>Proposition visant à l</w:t>
      </w:r>
      <w:r>
        <w:rPr>
          <w:lang w:val="fr-FR"/>
        </w:rPr>
        <w:t>’</w:t>
      </w:r>
      <w:r w:rsidRPr="00DD4676">
        <w:rPr>
          <w:lang w:val="fr-FR"/>
        </w:rPr>
        <w:t>introduction d</w:t>
      </w:r>
      <w:r>
        <w:rPr>
          <w:lang w:val="fr-FR"/>
        </w:rPr>
        <w:t>’</w:t>
      </w:r>
      <w:r w:rsidRPr="00DD4676">
        <w:rPr>
          <w:lang w:val="fr-FR"/>
        </w:rPr>
        <w:t>une définition pour «</w:t>
      </w:r>
      <w:r>
        <w:rPr>
          <w:lang w:val="fr-FR"/>
        </w:rPr>
        <w:t> </w:t>
      </w:r>
      <w:r w:rsidRPr="00DD4676">
        <w:rPr>
          <w:lang w:val="fr-FR"/>
        </w:rPr>
        <w:t>degré de remplissage</w:t>
      </w:r>
      <w:r w:rsidR="00052A8A">
        <w:rPr>
          <w:lang w:val="fr-FR"/>
        </w:rPr>
        <w:t> </w:t>
      </w:r>
      <w:r w:rsidRPr="00DD4676">
        <w:rPr>
          <w:lang w:val="fr-FR"/>
        </w:rPr>
        <w:t>»</w:t>
      </w:r>
    </w:p>
    <w:p w14:paraId="5269E7F3" w14:textId="56404552" w:rsidR="004610C5" w:rsidRPr="00DD4676" w:rsidRDefault="004610C5" w:rsidP="00907515">
      <w:pPr>
        <w:pStyle w:val="SingleTxtG"/>
        <w:rPr>
          <w:lang w:val="fr-FR"/>
        </w:rPr>
      </w:pPr>
      <w:r w:rsidRPr="00DD4676">
        <w:rPr>
          <w:lang w:val="fr-FR"/>
        </w:rPr>
        <w:t>54.</w:t>
      </w:r>
      <w:r w:rsidRPr="00DD4676">
        <w:rPr>
          <w:lang w:val="fr-FR"/>
        </w:rPr>
        <w:tab/>
        <w:t>Au 1.2.1, il est proposé d</w:t>
      </w:r>
      <w:r>
        <w:rPr>
          <w:lang w:val="fr-FR"/>
        </w:rPr>
        <w:t>’</w:t>
      </w:r>
      <w:r w:rsidRPr="00DD4676">
        <w:rPr>
          <w:lang w:val="fr-FR"/>
        </w:rPr>
        <w:t>ajouter une définition pour « degré de remplissage », libellée comme suit :</w:t>
      </w:r>
    </w:p>
    <w:p w14:paraId="43F44106" w14:textId="144CB374" w:rsidR="004610C5" w:rsidRPr="00DD4676" w:rsidRDefault="004610C5" w:rsidP="00052A8A">
      <w:pPr>
        <w:pStyle w:val="SingleTxtG"/>
        <w:ind w:left="1701"/>
        <w:rPr>
          <w:b/>
          <w:bCs/>
          <w:lang w:val="fr-FR"/>
        </w:rPr>
      </w:pPr>
      <w:r w:rsidRPr="00DD4676">
        <w:rPr>
          <w:b/>
          <w:bCs/>
          <w:lang w:val="fr-FR"/>
        </w:rPr>
        <w:t>« </w:t>
      </w:r>
      <w:r w:rsidRPr="00DD4676">
        <w:rPr>
          <w:b/>
          <w:bCs/>
          <w:i/>
          <w:iCs/>
          <w:lang w:val="fr-FR"/>
        </w:rPr>
        <w:t>Degré de remplissage</w:t>
      </w:r>
      <w:r w:rsidRPr="00DD4676">
        <w:rPr>
          <w:b/>
          <w:bCs/>
          <w:lang w:val="fr-FR"/>
        </w:rPr>
        <w:t>, le rapport, exprimé en pourcentage, entre le volume de matière liquide ou solide introduit à 15</w:t>
      </w:r>
      <w:r w:rsidR="00052A8A">
        <w:rPr>
          <w:b/>
          <w:bCs/>
          <w:lang w:val="fr-FR"/>
        </w:rPr>
        <w:t> </w:t>
      </w:r>
      <w:r w:rsidRPr="00DD4676">
        <w:rPr>
          <w:b/>
          <w:bCs/>
          <w:lang w:val="fr-FR"/>
        </w:rPr>
        <w:t>°C dans le récipient et le volume du récipient prêt à l</w:t>
      </w:r>
      <w:r>
        <w:rPr>
          <w:b/>
          <w:bCs/>
          <w:lang w:val="fr-FR"/>
        </w:rPr>
        <w:t>’</w:t>
      </w:r>
      <w:r w:rsidRPr="00DD4676">
        <w:rPr>
          <w:b/>
          <w:bCs/>
          <w:lang w:val="fr-FR"/>
        </w:rPr>
        <w:t>emploi ».</w:t>
      </w:r>
    </w:p>
    <w:p w14:paraId="0C6F64AA" w14:textId="77777777" w:rsidR="004610C5" w:rsidRPr="00DD4676" w:rsidRDefault="004610C5" w:rsidP="004610C5">
      <w:pPr>
        <w:rPr>
          <w:lang w:val="fr-FR"/>
        </w:rPr>
      </w:pPr>
      <w:r w:rsidRPr="00DD4676">
        <w:rPr>
          <w:lang w:val="fr-FR"/>
        </w:rPr>
        <w:br w:type="page"/>
      </w:r>
    </w:p>
    <w:p w14:paraId="28758D4C" w14:textId="594FA6C5" w:rsidR="004610C5" w:rsidRPr="00DD4676" w:rsidRDefault="004610C5" w:rsidP="00052A8A">
      <w:pPr>
        <w:pStyle w:val="HChG"/>
        <w:rPr>
          <w:lang w:val="fr-FR"/>
        </w:rPr>
      </w:pPr>
      <w:r w:rsidRPr="00DD4676">
        <w:rPr>
          <w:lang w:val="fr-FR"/>
        </w:rPr>
        <w:lastRenderedPageBreak/>
        <w:t>Annexe</w:t>
      </w:r>
    </w:p>
    <w:p w14:paraId="40BA77A6" w14:textId="4FC01768" w:rsidR="004610C5" w:rsidRPr="00DD4676" w:rsidRDefault="004610C5" w:rsidP="00052A8A">
      <w:pPr>
        <w:pStyle w:val="HChG"/>
        <w:ind w:left="0" w:right="0" w:firstLine="0"/>
        <w:rPr>
          <w:lang w:val="fr-FR"/>
        </w:rPr>
      </w:pPr>
      <w:r w:rsidRPr="00DD4676">
        <w:rPr>
          <w:lang w:val="fr-FR"/>
        </w:rPr>
        <w:t>Emploi des termes « taux de remplissage » et « degré de remplissage » dans les</w:t>
      </w:r>
      <w:r w:rsidR="00052A8A">
        <w:rPr>
          <w:lang w:val="fr-FR"/>
        </w:rPr>
        <w:t> </w:t>
      </w:r>
      <w:r w:rsidRPr="00DD4676">
        <w:rPr>
          <w:lang w:val="fr-FR"/>
        </w:rPr>
        <w:t>versions anglaise, française et espagnole</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52"/>
        <w:gridCol w:w="1289"/>
        <w:gridCol w:w="1321"/>
        <w:gridCol w:w="1390"/>
        <w:gridCol w:w="1390"/>
        <w:gridCol w:w="1540"/>
      </w:tblGrid>
      <w:tr w:rsidR="00052A8A" w:rsidRPr="009E3E90" w14:paraId="1B5BB776" w14:textId="77777777" w:rsidTr="00052A8A">
        <w:trPr>
          <w:tblHeader/>
        </w:trPr>
        <w:tc>
          <w:tcPr>
            <w:tcW w:w="1633" w:type="dxa"/>
          </w:tcPr>
          <w:p w14:paraId="4C8CE961" w14:textId="77777777" w:rsidR="004610C5" w:rsidRPr="009C61A8" w:rsidRDefault="004610C5" w:rsidP="00052A8A">
            <w:pPr>
              <w:spacing w:before="60" w:after="60"/>
              <w:ind w:left="57" w:right="57"/>
              <w:rPr>
                <w:rFonts w:asciiTheme="majorBidi" w:hAnsiTheme="majorBidi" w:cstheme="majorBidi"/>
                <w:b/>
                <w:sz w:val="18"/>
                <w:szCs w:val="18"/>
                <w:lang w:val="fr-FR"/>
              </w:rPr>
            </w:pPr>
            <w:r w:rsidRPr="009C61A8">
              <w:rPr>
                <w:rFonts w:asciiTheme="majorBidi" w:hAnsiTheme="majorBidi" w:cstheme="majorBidi"/>
                <w:b/>
                <w:sz w:val="18"/>
                <w:szCs w:val="18"/>
                <w:lang w:val="fr-FR"/>
              </w:rPr>
              <w:t>R</w:t>
            </w:r>
            <w:r w:rsidRPr="009C61A8">
              <w:rPr>
                <w:b/>
                <w:sz w:val="18"/>
                <w:szCs w:val="18"/>
                <w:lang w:val="fr-FR"/>
              </w:rPr>
              <w:t>É</w:t>
            </w:r>
            <w:r w:rsidRPr="009C61A8">
              <w:rPr>
                <w:rFonts w:asciiTheme="majorBidi" w:hAnsiTheme="majorBidi" w:cstheme="majorBidi"/>
                <w:b/>
                <w:sz w:val="18"/>
                <w:szCs w:val="18"/>
                <w:lang w:val="fr-FR"/>
              </w:rPr>
              <w:t>F</w:t>
            </w:r>
            <w:r w:rsidRPr="009C61A8">
              <w:rPr>
                <w:b/>
                <w:sz w:val="18"/>
                <w:szCs w:val="18"/>
                <w:lang w:val="fr-FR"/>
              </w:rPr>
              <w:t>É</w:t>
            </w:r>
            <w:r w:rsidRPr="009C61A8">
              <w:rPr>
                <w:rFonts w:asciiTheme="majorBidi" w:hAnsiTheme="majorBidi" w:cstheme="majorBidi"/>
                <w:b/>
                <w:sz w:val="18"/>
                <w:szCs w:val="18"/>
                <w:lang w:val="fr-FR"/>
              </w:rPr>
              <w:t>RENCE</w:t>
            </w:r>
          </w:p>
        </w:tc>
        <w:tc>
          <w:tcPr>
            <w:tcW w:w="1294" w:type="dxa"/>
          </w:tcPr>
          <w:p w14:paraId="54E2126B" w14:textId="77777777" w:rsidR="004610C5" w:rsidRPr="009E3E90" w:rsidRDefault="004610C5" w:rsidP="00052A8A">
            <w:pPr>
              <w:spacing w:before="60" w:after="60"/>
              <w:ind w:left="57" w:right="57"/>
              <w:rPr>
                <w:rFonts w:asciiTheme="majorBidi" w:hAnsiTheme="majorBidi" w:cstheme="majorBidi"/>
                <w:b/>
                <w:sz w:val="18"/>
                <w:szCs w:val="18"/>
              </w:rPr>
            </w:pPr>
            <w:r>
              <w:rPr>
                <w:rFonts w:asciiTheme="majorBidi" w:hAnsiTheme="majorBidi" w:cstheme="majorBidi"/>
                <w:b/>
                <w:sz w:val="18"/>
                <w:szCs w:val="18"/>
              </w:rPr>
              <w:t>ANGLAIS</w:t>
            </w:r>
          </w:p>
        </w:tc>
        <w:tc>
          <w:tcPr>
            <w:tcW w:w="1300" w:type="dxa"/>
          </w:tcPr>
          <w:p w14:paraId="7FE96716" w14:textId="77777777" w:rsidR="004610C5" w:rsidRPr="009E3E90" w:rsidRDefault="004610C5" w:rsidP="00052A8A">
            <w:pPr>
              <w:spacing w:before="60" w:after="60"/>
              <w:ind w:left="57" w:right="57"/>
              <w:rPr>
                <w:rFonts w:asciiTheme="majorBidi" w:hAnsiTheme="majorBidi" w:cstheme="majorBidi"/>
                <w:b/>
                <w:sz w:val="18"/>
                <w:szCs w:val="18"/>
              </w:rPr>
            </w:pPr>
            <w:r w:rsidRPr="009E3E90">
              <w:rPr>
                <w:rFonts w:asciiTheme="majorBidi" w:hAnsiTheme="majorBidi" w:cstheme="majorBidi"/>
                <w:b/>
                <w:sz w:val="18"/>
                <w:szCs w:val="18"/>
              </w:rPr>
              <w:t>FR</w:t>
            </w:r>
            <w:r>
              <w:rPr>
                <w:rFonts w:asciiTheme="majorBidi" w:hAnsiTheme="majorBidi" w:cstheme="majorBidi"/>
                <w:b/>
                <w:sz w:val="18"/>
                <w:szCs w:val="18"/>
              </w:rPr>
              <w:t>AN</w:t>
            </w:r>
            <w:r>
              <w:rPr>
                <w:b/>
                <w:sz w:val="18"/>
                <w:szCs w:val="18"/>
              </w:rPr>
              <w:t>ÇAIS</w:t>
            </w:r>
            <w:r w:rsidRPr="009E3E90">
              <w:rPr>
                <w:rFonts w:asciiTheme="majorBidi" w:hAnsiTheme="majorBidi" w:cstheme="majorBidi"/>
                <w:b/>
                <w:sz w:val="18"/>
                <w:szCs w:val="18"/>
              </w:rPr>
              <w:t xml:space="preserve"> </w:t>
            </w:r>
          </w:p>
        </w:tc>
        <w:tc>
          <w:tcPr>
            <w:tcW w:w="1299" w:type="dxa"/>
          </w:tcPr>
          <w:p w14:paraId="3824BD7D" w14:textId="77777777" w:rsidR="004610C5" w:rsidRPr="009E3E90" w:rsidRDefault="004610C5" w:rsidP="00052A8A">
            <w:pPr>
              <w:spacing w:before="60" w:after="60"/>
              <w:ind w:left="57" w:right="57"/>
              <w:rPr>
                <w:rFonts w:asciiTheme="majorBidi" w:hAnsiTheme="majorBidi" w:cstheme="majorBidi"/>
                <w:b/>
                <w:sz w:val="18"/>
                <w:szCs w:val="18"/>
              </w:rPr>
            </w:pPr>
            <w:r>
              <w:rPr>
                <w:rFonts w:asciiTheme="majorBidi" w:hAnsiTheme="majorBidi" w:cstheme="majorBidi"/>
                <w:b/>
                <w:sz w:val="18"/>
                <w:szCs w:val="18"/>
              </w:rPr>
              <w:t>ESPAGNOL</w:t>
            </w:r>
          </w:p>
        </w:tc>
        <w:tc>
          <w:tcPr>
            <w:tcW w:w="1367" w:type="dxa"/>
          </w:tcPr>
          <w:p w14:paraId="7486400B" w14:textId="28D5B626" w:rsidR="004610C5" w:rsidRPr="009E3E90" w:rsidRDefault="004610C5" w:rsidP="00052A8A">
            <w:pPr>
              <w:spacing w:before="60" w:after="60"/>
              <w:ind w:left="57" w:right="57"/>
              <w:rPr>
                <w:rFonts w:asciiTheme="majorBidi" w:hAnsiTheme="majorBidi" w:cstheme="majorBidi"/>
                <w:b/>
                <w:sz w:val="18"/>
                <w:szCs w:val="18"/>
              </w:rPr>
            </w:pPr>
            <w:r>
              <w:rPr>
                <w:rFonts w:asciiTheme="majorBidi" w:hAnsiTheme="majorBidi" w:cstheme="majorBidi"/>
                <w:b/>
                <w:sz w:val="18"/>
                <w:szCs w:val="18"/>
              </w:rPr>
              <w:t>Modifications à apporter en</w:t>
            </w:r>
            <w:r w:rsidR="00052A8A">
              <w:rPr>
                <w:rFonts w:asciiTheme="majorBidi" w:hAnsiTheme="majorBidi" w:cstheme="majorBidi"/>
                <w:b/>
                <w:sz w:val="18"/>
                <w:szCs w:val="18"/>
              </w:rPr>
              <w:t> </w:t>
            </w:r>
            <w:r>
              <w:rPr>
                <w:rFonts w:asciiTheme="majorBidi" w:hAnsiTheme="majorBidi" w:cstheme="majorBidi"/>
                <w:b/>
                <w:sz w:val="18"/>
                <w:szCs w:val="18"/>
              </w:rPr>
              <w:t>anglais</w:t>
            </w:r>
          </w:p>
        </w:tc>
        <w:tc>
          <w:tcPr>
            <w:tcW w:w="1367" w:type="dxa"/>
          </w:tcPr>
          <w:p w14:paraId="5D53EBD1" w14:textId="15F74BD7" w:rsidR="004610C5" w:rsidRPr="009E3E90" w:rsidRDefault="004610C5" w:rsidP="00052A8A">
            <w:pPr>
              <w:spacing w:before="60" w:after="60"/>
              <w:ind w:left="57" w:right="57"/>
              <w:rPr>
                <w:rFonts w:asciiTheme="majorBidi" w:hAnsiTheme="majorBidi" w:cstheme="majorBidi"/>
                <w:b/>
                <w:sz w:val="18"/>
                <w:szCs w:val="18"/>
              </w:rPr>
            </w:pPr>
            <w:r w:rsidRPr="009C61A8">
              <w:rPr>
                <w:rFonts w:asciiTheme="majorBidi" w:hAnsiTheme="majorBidi" w:cstheme="majorBidi"/>
                <w:b/>
                <w:sz w:val="18"/>
                <w:szCs w:val="18"/>
              </w:rPr>
              <w:t>Modifications à apporter en</w:t>
            </w:r>
            <w:r w:rsidR="00052A8A">
              <w:rPr>
                <w:rFonts w:asciiTheme="majorBidi" w:hAnsiTheme="majorBidi" w:cstheme="majorBidi"/>
                <w:b/>
                <w:sz w:val="18"/>
                <w:szCs w:val="18"/>
              </w:rPr>
              <w:t> </w:t>
            </w:r>
            <w:r>
              <w:rPr>
                <w:rFonts w:asciiTheme="majorBidi" w:hAnsiTheme="majorBidi" w:cstheme="majorBidi"/>
                <w:b/>
                <w:sz w:val="18"/>
                <w:szCs w:val="18"/>
              </w:rPr>
              <w:t>français</w:t>
            </w:r>
          </w:p>
        </w:tc>
        <w:tc>
          <w:tcPr>
            <w:tcW w:w="1515" w:type="dxa"/>
          </w:tcPr>
          <w:p w14:paraId="778A9AA6" w14:textId="62B5BFE2" w:rsidR="004610C5" w:rsidRPr="009E3E90" w:rsidRDefault="004610C5" w:rsidP="00052A8A">
            <w:pPr>
              <w:spacing w:before="60" w:after="60"/>
              <w:ind w:left="57" w:right="57"/>
              <w:rPr>
                <w:rFonts w:asciiTheme="majorBidi" w:hAnsiTheme="majorBidi" w:cstheme="majorBidi"/>
                <w:b/>
                <w:sz w:val="18"/>
                <w:szCs w:val="18"/>
              </w:rPr>
            </w:pPr>
            <w:r w:rsidRPr="009C61A8">
              <w:rPr>
                <w:rFonts w:asciiTheme="majorBidi" w:hAnsiTheme="majorBidi" w:cstheme="majorBidi"/>
                <w:b/>
                <w:sz w:val="18"/>
                <w:szCs w:val="18"/>
              </w:rPr>
              <w:t>Modifications à</w:t>
            </w:r>
            <w:r w:rsidR="00052A8A">
              <w:rPr>
                <w:rFonts w:asciiTheme="majorBidi" w:hAnsiTheme="majorBidi" w:cstheme="majorBidi"/>
                <w:b/>
                <w:sz w:val="18"/>
                <w:szCs w:val="18"/>
              </w:rPr>
              <w:t> </w:t>
            </w:r>
            <w:r w:rsidRPr="009C61A8">
              <w:rPr>
                <w:rFonts w:asciiTheme="majorBidi" w:hAnsiTheme="majorBidi" w:cstheme="majorBidi"/>
                <w:b/>
                <w:sz w:val="18"/>
                <w:szCs w:val="18"/>
              </w:rPr>
              <w:t>apporter en</w:t>
            </w:r>
            <w:r w:rsidR="00052A8A">
              <w:rPr>
                <w:rFonts w:asciiTheme="majorBidi" w:hAnsiTheme="majorBidi" w:cstheme="majorBidi"/>
                <w:b/>
                <w:sz w:val="18"/>
                <w:szCs w:val="18"/>
              </w:rPr>
              <w:t> </w:t>
            </w:r>
            <w:r>
              <w:rPr>
                <w:rFonts w:asciiTheme="majorBidi" w:hAnsiTheme="majorBidi" w:cstheme="majorBidi"/>
                <w:b/>
                <w:sz w:val="18"/>
                <w:szCs w:val="18"/>
              </w:rPr>
              <w:t>espagnol</w:t>
            </w:r>
          </w:p>
        </w:tc>
      </w:tr>
      <w:tr w:rsidR="00052A8A" w:rsidRPr="009E3E90" w14:paraId="0DCDC221" w14:textId="77777777" w:rsidTr="00052A8A">
        <w:tc>
          <w:tcPr>
            <w:tcW w:w="1633" w:type="dxa"/>
          </w:tcPr>
          <w:p w14:paraId="2899E5BD" w14:textId="1CFA7F5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Formulaire de renseignements</w:t>
            </w:r>
            <w:r>
              <w:rPr>
                <w:rFonts w:asciiTheme="majorBidi" w:hAnsiTheme="majorBidi" w:cstheme="majorBidi"/>
                <w:sz w:val="18"/>
                <w:szCs w:val="18"/>
                <w:lang w:val="fr-FR"/>
              </w:rPr>
              <w:t>,</w:t>
            </w:r>
            <w:r>
              <w:rPr>
                <w:rFonts w:asciiTheme="majorBidi" w:hAnsiTheme="majorBidi" w:cstheme="majorBidi"/>
                <w:sz w:val="18"/>
                <w:szCs w:val="18"/>
                <w:lang w:val="fr-FR"/>
              </w:rPr>
              <w:br/>
              <w:t>s</w:t>
            </w:r>
            <w:r w:rsidRPr="009C61A8">
              <w:rPr>
                <w:rFonts w:asciiTheme="majorBidi" w:hAnsiTheme="majorBidi" w:cstheme="majorBidi"/>
                <w:sz w:val="18"/>
                <w:szCs w:val="18"/>
                <w:lang w:val="fr-FR"/>
              </w:rPr>
              <w:t>ection</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9.6</w:t>
            </w:r>
          </w:p>
        </w:tc>
        <w:tc>
          <w:tcPr>
            <w:tcW w:w="1294" w:type="dxa"/>
          </w:tcPr>
          <w:p w14:paraId="330F3C2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6A83A2B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5706650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Tasa/Razón de llenado</w:t>
            </w:r>
          </w:p>
        </w:tc>
        <w:tc>
          <w:tcPr>
            <w:tcW w:w="1367" w:type="dxa"/>
          </w:tcPr>
          <w:p w14:paraId="2B5EA4D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68E7C4FE" w14:textId="35911023"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13</w:t>
            </w:r>
          </w:p>
        </w:tc>
        <w:tc>
          <w:tcPr>
            <w:tcW w:w="1367" w:type="dxa"/>
          </w:tcPr>
          <w:p w14:paraId="1E7D372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44B9250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06281C97" w14:textId="77777777" w:rsidTr="00052A8A">
        <w:tc>
          <w:tcPr>
            <w:tcW w:w="1633" w:type="dxa"/>
          </w:tcPr>
          <w:p w14:paraId="299D1DE4" w14:textId="30175B9B"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Disposition spéciale</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392, alinéa</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f)</w:t>
            </w:r>
          </w:p>
        </w:tc>
        <w:tc>
          <w:tcPr>
            <w:tcW w:w="1294" w:type="dxa"/>
          </w:tcPr>
          <w:p w14:paraId="0B908C9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436F6C9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24A63CA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Volumen nominal de llenado</w:t>
            </w:r>
          </w:p>
        </w:tc>
        <w:tc>
          <w:tcPr>
            <w:tcW w:w="1367" w:type="dxa"/>
          </w:tcPr>
          <w:p w14:paraId="1872351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706BFD2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79DB079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p w14:paraId="62C04BC8" w14:textId="0B4D5C22"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45</w:t>
            </w:r>
          </w:p>
        </w:tc>
      </w:tr>
      <w:tr w:rsidR="00052A8A" w:rsidRPr="00D1508F" w14:paraId="525378C6" w14:textId="77777777" w:rsidTr="00052A8A">
        <w:tc>
          <w:tcPr>
            <w:tcW w:w="1633" w:type="dxa"/>
          </w:tcPr>
          <w:p w14:paraId="4BDD73AB"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4.1.1.10 a)</w:t>
            </w:r>
          </w:p>
        </w:tc>
        <w:tc>
          <w:tcPr>
            <w:tcW w:w="1294" w:type="dxa"/>
          </w:tcPr>
          <w:p w14:paraId="09AB446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0A6C291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maximal</w:t>
            </w:r>
          </w:p>
        </w:tc>
        <w:tc>
          <w:tcPr>
            <w:tcW w:w="1299" w:type="dxa"/>
          </w:tcPr>
          <w:p w14:paraId="727132F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máxima de llenado</w:t>
            </w:r>
          </w:p>
        </w:tc>
        <w:tc>
          <w:tcPr>
            <w:tcW w:w="1367" w:type="dxa"/>
          </w:tcPr>
          <w:p w14:paraId="7BBE19B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46EE04A8"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Degré maximal de remplissage</w:t>
            </w:r>
          </w:p>
          <w:p w14:paraId="34358643" w14:textId="5C1926CB" w:rsidR="004610C5" w:rsidRPr="009E3E90" w:rsidRDefault="004610C5" w:rsidP="00052A8A">
            <w:pPr>
              <w:spacing w:before="60" w:after="60"/>
              <w:ind w:left="57" w:right="57"/>
              <w:rPr>
                <w:rFonts w:asciiTheme="majorBidi" w:hAnsiTheme="majorBidi" w:cstheme="majorBidi"/>
                <w:b/>
                <w:bCs/>
                <w:sz w:val="18"/>
                <w:szCs w:val="18"/>
                <w:lang w:val="fr-FR"/>
              </w:rPr>
            </w:pPr>
            <w:r w:rsidRPr="009E3E90">
              <w:rPr>
                <w:rFonts w:asciiTheme="majorBidi" w:hAnsiTheme="majorBidi" w:cstheme="majorBidi"/>
                <w:b/>
                <w:bCs/>
                <w:sz w:val="18"/>
                <w:szCs w:val="18"/>
                <w:lang w:val="fr-FR"/>
              </w:rPr>
              <w:t>Par.</w:t>
            </w:r>
            <w:r w:rsidR="00D35EBE">
              <w:rPr>
                <w:rFonts w:asciiTheme="majorBidi" w:hAnsiTheme="majorBidi" w:cstheme="majorBidi"/>
                <w:b/>
                <w:bCs/>
                <w:sz w:val="18"/>
                <w:szCs w:val="18"/>
                <w:lang w:val="fr-FR"/>
              </w:rPr>
              <w:t> </w:t>
            </w:r>
            <w:r w:rsidRPr="009E3E90">
              <w:rPr>
                <w:rFonts w:asciiTheme="majorBidi" w:hAnsiTheme="majorBidi" w:cstheme="majorBidi"/>
                <w:b/>
                <w:bCs/>
                <w:color w:val="000000" w:themeColor="text1"/>
                <w:sz w:val="18"/>
                <w:szCs w:val="18"/>
                <w:lang w:val="fr-FR"/>
              </w:rPr>
              <w:t>21</w:t>
            </w:r>
          </w:p>
        </w:tc>
        <w:tc>
          <w:tcPr>
            <w:tcW w:w="1515" w:type="dxa"/>
          </w:tcPr>
          <w:p w14:paraId="046C7B08"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Grado máximo de llenado</w:t>
            </w:r>
          </w:p>
          <w:p w14:paraId="50B88858" w14:textId="21B529DB" w:rsidR="004610C5" w:rsidRPr="00D1508F" w:rsidRDefault="004610C5" w:rsidP="00052A8A">
            <w:pPr>
              <w:spacing w:before="60" w:after="60"/>
              <w:ind w:left="57" w:right="57"/>
              <w:rPr>
                <w:rFonts w:asciiTheme="majorBidi" w:hAnsiTheme="majorBidi" w:cstheme="majorBidi"/>
                <w:b/>
                <w:bCs/>
                <w:sz w:val="18"/>
                <w:szCs w:val="18"/>
                <w:lang w:val="es-ES"/>
              </w:rPr>
            </w:pPr>
            <w:r w:rsidRPr="00D1508F">
              <w:rPr>
                <w:rFonts w:asciiTheme="majorBidi" w:hAnsiTheme="majorBidi" w:cstheme="majorBidi"/>
                <w:b/>
                <w:bCs/>
                <w:sz w:val="18"/>
                <w:szCs w:val="18"/>
                <w:lang w:val="es-ES"/>
              </w:rPr>
              <w:t>Par.</w:t>
            </w:r>
            <w:r w:rsidR="00D35EBE">
              <w:rPr>
                <w:rFonts w:asciiTheme="majorBidi" w:hAnsiTheme="majorBidi" w:cstheme="majorBidi"/>
                <w:b/>
                <w:bCs/>
                <w:sz w:val="18"/>
                <w:szCs w:val="18"/>
                <w:lang w:val="es-ES"/>
              </w:rPr>
              <w:t> </w:t>
            </w:r>
            <w:r w:rsidRPr="00D1508F">
              <w:rPr>
                <w:rFonts w:asciiTheme="majorBidi" w:hAnsiTheme="majorBidi" w:cstheme="majorBidi"/>
                <w:b/>
                <w:bCs/>
                <w:sz w:val="18"/>
                <w:szCs w:val="18"/>
                <w:lang w:val="es-ES"/>
              </w:rPr>
              <w:t>46</w:t>
            </w:r>
          </w:p>
        </w:tc>
      </w:tr>
      <w:tr w:rsidR="00052A8A" w:rsidRPr="009E3E90" w14:paraId="18427ACF" w14:textId="77777777" w:rsidTr="00052A8A">
        <w:trPr>
          <w:trHeight w:val="87"/>
        </w:trPr>
        <w:tc>
          <w:tcPr>
            <w:tcW w:w="1633" w:type="dxa"/>
          </w:tcPr>
          <w:p w14:paraId="674D37D7"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P200, intitulé de la tr</w:t>
            </w:r>
            <w:r>
              <w:rPr>
                <w:rFonts w:asciiTheme="majorBidi" w:hAnsiTheme="majorBidi" w:cstheme="majorBidi"/>
                <w:sz w:val="18"/>
                <w:szCs w:val="18"/>
                <w:lang w:val="fr-FR"/>
              </w:rPr>
              <w:t>eizième</w:t>
            </w:r>
            <w:r w:rsidRPr="009C61A8">
              <w:rPr>
                <w:rFonts w:asciiTheme="majorBidi" w:hAnsiTheme="majorBidi" w:cstheme="majorBidi"/>
                <w:sz w:val="18"/>
                <w:szCs w:val="18"/>
                <w:lang w:val="fr-FR"/>
              </w:rPr>
              <w:t xml:space="preserve"> colonne</w:t>
            </w:r>
          </w:p>
        </w:tc>
        <w:tc>
          <w:tcPr>
            <w:tcW w:w="1294" w:type="dxa"/>
          </w:tcPr>
          <w:p w14:paraId="1864333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570E4F80"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w:t>
            </w:r>
          </w:p>
        </w:tc>
        <w:tc>
          <w:tcPr>
            <w:tcW w:w="1299" w:type="dxa"/>
          </w:tcPr>
          <w:p w14:paraId="5B0CBF0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1308A3F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4D8623D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2E19363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76D2F7B9" w14:textId="77777777" w:rsidTr="00052A8A">
        <w:trPr>
          <w:trHeight w:val="87"/>
        </w:trPr>
        <w:tc>
          <w:tcPr>
            <w:tcW w:w="1633" w:type="dxa"/>
          </w:tcPr>
          <w:p w14:paraId="496E16F7"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P200</w:t>
            </w:r>
            <w:r>
              <w:rPr>
                <w:rFonts w:asciiTheme="majorBidi" w:hAnsiTheme="majorBidi" w:cstheme="majorBidi"/>
                <w:sz w:val="18"/>
                <w:szCs w:val="18"/>
                <w:lang w:val="fr-FR"/>
              </w:rPr>
              <w:t>, point</w:t>
            </w:r>
            <w:r w:rsidRPr="009C61A8">
              <w:rPr>
                <w:rFonts w:asciiTheme="majorBidi" w:hAnsiTheme="majorBidi" w:cstheme="majorBidi"/>
                <w:sz w:val="18"/>
                <w:szCs w:val="18"/>
                <w:lang w:val="fr-FR"/>
              </w:rPr>
              <w:t xml:space="preserve"> 2) f</w:t>
            </w:r>
          </w:p>
        </w:tc>
        <w:tc>
          <w:tcPr>
            <w:tcW w:w="1294" w:type="dxa"/>
          </w:tcPr>
          <w:p w14:paraId="1F73CB5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384B7DC7"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Taux maximum(s) de remplissage</w:t>
            </w:r>
          </w:p>
        </w:tc>
        <w:tc>
          <w:tcPr>
            <w:tcW w:w="1299" w:type="dxa"/>
          </w:tcPr>
          <w:p w14:paraId="4324FA3C" w14:textId="14155CAB"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Razón (razones) máxima(s) de</w:t>
            </w:r>
            <w:r w:rsidR="00052A8A">
              <w:rPr>
                <w:rFonts w:asciiTheme="majorBidi" w:hAnsiTheme="majorBidi" w:cstheme="majorBidi"/>
                <w:sz w:val="18"/>
                <w:szCs w:val="18"/>
                <w:lang w:val="es-ES"/>
              </w:rPr>
              <w:t> </w:t>
            </w:r>
            <w:r w:rsidRPr="00D1508F">
              <w:rPr>
                <w:rFonts w:asciiTheme="majorBidi" w:hAnsiTheme="majorBidi" w:cstheme="majorBidi"/>
                <w:sz w:val="18"/>
                <w:szCs w:val="18"/>
                <w:lang w:val="es-ES"/>
              </w:rPr>
              <w:t>llenado</w:t>
            </w:r>
          </w:p>
        </w:tc>
        <w:tc>
          <w:tcPr>
            <w:tcW w:w="1367" w:type="dxa"/>
          </w:tcPr>
          <w:p w14:paraId="7CA0997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82BBFD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016ABCA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0EC0C9F6" w14:textId="77777777" w:rsidTr="00052A8A">
        <w:tc>
          <w:tcPr>
            <w:tcW w:w="1633" w:type="dxa"/>
          </w:tcPr>
          <w:p w14:paraId="16767DDB"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P200</w:t>
            </w:r>
            <w:r>
              <w:rPr>
                <w:rFonts w:asciiTheme="majorBidi" w:hAnsiTheme="majorBidi" w:cstheme="majorBidi"/>
                <w:sz w:val="18"/>
                <w:szCs w:val="18"/>
                <w:lang w:val="fr-FR"/>
              </w:rPr>
              <w:t xml:space="preserve">, point </w:t>
            </w:r>
            <w:r w:rsidRPr="009C61A8">
              <w:rPr>
                <w:rFonts w:asciiTheme="majorBidi" w:hAnsiTheme="majorBidi" w:cstheme="majorBidi"/>
                <w:sz w:val="18"/>
                <w:szCs w:val="18"/>
                <w:lang w:val="fr-FR"/>
              </w:rPr>
              <w:t>3) b</w:t>
            </w:r>
          </w:p>
        </w:tc>
        <w:tc>
          <w:tcPr>
            <w:tcW w:w="1294" w:type="dxa"/>
          </w:tcPr>
          <w:p w14:paraId="5AC6ED2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 (6)</w:t>
            </w:r>
          </w:p>
        </w:tc>
        <w:tc>
          <w:tcPr>
            <w:tcW w:w="1300" w:type="dxa"/>
          </w:tcPr>
          <w:p w14:paraId="142C2041" w14:textId="7F7AC9C9"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 xml:space="preserve">Taux </w:t>
            </w:r>
            <w:r>
              <w:rPr>
                <w:rFonts w:asciiTheme="majorBidi" w:hAnsiTheme="majorBidi" w:cstheme="majorBidi"/>
                <w:sz w:val="18"/>
                <w:szCs w:val="18"/>
                <w:lang w:val="fr-FR"/>
              </w:rPr>
              <w:t xml:space="preserve">de </w:t>
            </w:r>
            <w:r w:rsidRPr="009E3E90">
              <w:rPr>
                <w:rFonts w:asciiTheme="majorBidi" w:hAnsiTheme="majorBidi" w:cstheme="majorBidi"/>
                <w:sz w:val="18"/>
                <w:szCs w:val="18"/>
                <w:lang w:val="fr-FR"/>
              </w:rPr>
              <w:t>remplissage (6)</w:t>
            </w:r>
          </w:p>
        </w:tc>
        <w:tc>
          <w:tcPr>
            <w:tcW w:w="1299" w:type="dxa"/>
          </w:tcPr>
          <w:p w14:paraId="7BDE275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 (6)</w:t>
            </w:r>
          </w:p>
        </w:tc>
        <w:tc>
          <w:tcPr>
            <w:tcW w:w="1367" w:type="dxa"/>
          </w:tcPr>
          <w:p w14:paraId="14982A9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2CA7CC8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3C5E752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45850820" w14:textId="77777777" w:rsidTr="00052A8A">
        <w:tc>
          <w:tcPr>
            <w:tcW w:w="1633" w:type="dxa"/>
          </w:tcPr>
          <w:p w14:paraId="15109AB7"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P200</w:t>
            </w:r>
            <w:r>
              <w:rPr>
                <w:rFonts w:asciiTheme="majorBidi" w:hAnsiTheme="majorBidi" w:cstheme="majorBidi"/>
                <w:sz w:val="18"/>
                <w:szCs w:val="18"/>
                <w:lang w:val="fr-FR"/>
              </w:rPr>
              <w:t xml:space="preserve">, point </w:t>
            </w:r>
            <w:r w:rsidRPr="009C61A8">
              <w:rPr>
                <w:rFonts w:asciiTheme="majorBidi" w:hAnsiTheme="majorBidi" w:cstheme="majorBidi"/>
                <w:sz w:val="18"/>
                <w:szCs w:val="18"/>
                <w:lang w:val="fr-FR"/>
              </w:rPr>
              <w:t>3) c</w:t>
            </w:r>
          </w:p>
        </w:tc>
        <w:tc>
          <w:tcPr>
            <w:tcW w:w="1294" w:type="dxa"/>
          </w:tcPr>
          <w:p w14:paraId="390C28B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 (2)</w:t>
            </w:r>
          </w:p>
        </w:tc>
        <w:tc>
          <w:tcPr>
            <w:tcW w:w="1300" w:type="dxa"/>
          </w:tcPr>
          <w:p w14:paraId="22838E5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w:t>
            </w:r>
            <w:r>
              <w:rPr>
                <w:rFonts w:asciiTheme="majorBidi" w:hAnsiTheme="majorBidi" w:cstheme="majorBidi"/>
                <w:sz w:val="18"/>
                <w:szCs w:val="18"/>
              </w:rPr>
              <w:t xml:space="preserve">de </w:t>
            </w:r>
            <w:r w:rsidRPr="009E3E90">
              <w:rPr>
                <w:rFonts w:asciiTheme="majorBidi" w:hAnsiTheme="majorBidi" w:cstheme="majorBidi"/>
                <w:sz w:val="18"/>
                <w:szCs w:val="18"/>
              </w:rPr>
              <w:t>remplissage maximal (2)</w:t>
            </w:r>
          </w:p>
        </w:tc>
        <w:tc>
          <w:tcPr>
            <w:tcW w:w="1299" w:type="dxa"/>
          </w:tcPr>
          <w:p w14:paraId="2BF9460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máxima de llenado (2)</w:t>
            </w:r>
          </w:p>
        </w:tc>
        <w:tc>
          <w:tcPr>
            <w:tcW w:w="1367" w:type="dxa"/>
          </w:tcPr>
          <w:p w14:paraId="14FF3B0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1E884AE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6DADF46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05FC6461" w14:textId="77777777" w:rsidTr="00052A8A">
        <w:tc>
          <w:tcPr>
            <w:tcW w:w="1633" w:type="dxa"/>
          </w:tcPr>
          <w:p w14:paraId="1B959A34" w14:textId="520BD8E9"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P200</w:t>
            </w:r>
            <w:r>
              <w:rPr>
                <w:rFonts w:asciiTheme="majorBidi" w:hAnsiTheme="majorBidi" w:cstheme="majorBidi"/>
                <w:sz w:val="18"/>
                <w:szCs w:val="18"/>
                <w:lang w:val="fr-FR"/>
              </w:rPr>
              <w:t>, disposition spéciale applicable au</w:t>
            </w:r>
            <w:r w:rsidR="00052A8A">
              <w:rPr>
                <w:rFonts w:asciiTheme="majorBidi" w:hAnsiTheme="majorBidi" w:cstheme="majorBidi"/>
                <w:sz w:val="18"/>
                <w:szCs w:val="18"/>
                <w:lang w:val="fr-FR"/>
              </w:rPr>
              <w:t> </w:t>
            </w:r>
            <w:r>
              <w:rPr>
                <w:rFonts w:asciiTheme="majorBidi" w:hAnsiTheme="majorBidi" w:cstheme="majorBidi"/>
                <w:sz w:val="18"/>
                <w:szCs w:val="18"/>
                <w:lang w:val="fr-FR"/>
              </w:rPr>
              <w:t>gaz</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o</w:t>
            </w:r>
          </w:p>
        </w:tc>
        <w:tc>
          <w:tcPr>
            <w:tcW w:w="1294" w:type="dxa"/>
          </w:tcPr>
          <w:p w14:paraId="554989E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013CCBB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w:t>
            </w:r>
            <w:r>
              <w:rPr>
                <w:rFonts w:asciiTheme="majorBidi" w:hAnsiTheme="majorBidi" w:cstheme="majorBidi"/>
                <w:sz w:val="18"/>
                <w:szCs w:val="18"/>
              </w:rPr>
              <w:t xml:space="preserve">de </w:t>
            </w:r>
            <w:r w:rsidRPr="009E3E90">
              <w:rPr>
                <w:rFonts w:asciiTheme="majorBidi" w:hAnsiTheme="majorBidi" w:cstheme="majorBidi"/>
                <w:sz w:val="18"/>
                <w:szCs w:val="18"/>
              </w:rPr>
              <w:t>remplissage</w:t>
            </w:r>
          </w:p>
        </w:tc>
        <w:tc>
          <w:tcPr>
            <w:tcW w:w="1299" w:type="dxa"/>
          </w:tcPr>
          <w:p w14:paraId="1460396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4A86B29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2C7DC9C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70B25F3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0820C295" w14:textId="77777777" w:rsidTr="00052A8A">
        <w:tc>
          <w:tcPr>
            <w:tcW w:w="1633" w:type="dxa"/>
          </w:tcPr>
          <w:p w14:paraId="3EA3A026" w14:textId="70D9AE71" w:rsidR="004610C5" w:rsidRPr="009C61A8" w:rsidRDefault="004610C5" w:rsidP="00052A8A">
            <w:pPr>
              <w:spacing w:before="60" w:after="60"/>
              <w:ind w:left="57" w:right="57"/>
              <w:rPr>
                <w:rFonts w:asciiTheme="majorBidi" w:hAnsiTheme="majorBidi" w:cstheme="majorBidi"/>
                <w:sz w:val="18"/>
                <w:szCs w:val="18"/>
                <w:lang w:val="fr-FR"/>
              </w:rPr>
            </w:pPr>
            <w:r w:rsidRPr="00E713B7">
              <w:rPr>
                <w:rFonts w:asciiTheme="majorBidi" w:hAnsiTheme="majorBidi" w:cstheme="majorBidi"/>
                <w:sz w:val="18"/>
                <w:szCs w:val="18"/>
                <w:lang w:val="fr-FR"/>
              </w:rPr>
              <w:t>P200, disposition spéciale applicable au</w:t>
            </w:r>
            <w:r w:rsidR="00052A8A">
              <w:rPr>
                <w:rFonts w:asciiTheme="majorBidi" w:hAnsiTheme="majorBidi" w:cstheme="majorBidi"/>
                <w:sz w:val="18"/>
                <w:szCs w:val="18"/>
                <w:lang w:val="fr-FR"/>
              </w:rPr>
              <w:t> </w:t>
            </w:r>
            <w:r w:rsidRPr="00E713B7">
              <w:rPr>
                <w:rFonts w:asciiTheme="majorBidi" w:hAnsiTheme="majorBidi" w:cstheme="majorBidi"/>
                <w:sz w:val="18"/>
                <w:szCs w:val="18"/>
                <w:lang w:val="fr-FR"/>
              </w:rPr>
              <w:t>gaz</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r</w:t>
            </w:r>
          </w:p>
        </w:tc>
        <w:tc>
          <w:tcPr>
            <w:tcW w:w="1294" w:type="dxa"/>
          </w:tcPr>
          <w:p w14:paraId="2643B38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0E4A7D0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w:t>
            </w:r>
            <w:r>
              <w:rPr>
                <w:rFonts w:asciiTheme="majorBidi" w:hAnsiTheme="majorBidi" w:cstheme="majorBidi"/>
                <w:sz w:val="18"/>
                <w:szCs w:val="18"/>
              </w:rPr>
              <w:t xml:space="preserve"> de</w:t>
            </w:r>
            <w:r w:rsidRPr="009E3E90">
              <w:rPr>
                <w:rFonts w:asciiTheme="majorBidi" w:hAnsiTheme="majorBidi" w:cstheme="majorBidi"/>
                <w:sz w:val="18"/>
                <w:szCs w:val="18"/>
              </w:rPr>
              <w:t xml:space="preserve"> remplissage</w:t>
            </w:r>
          </w:p>
        </w:tc>
        <w:tc>
          <w:tcPr>
            <w:tcW w:w="1299" w:type="dxa"/>
          </w:tcPr>
          <w:p w14:paraId="5AAB90F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02E4631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0EBB292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3D2679F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51820667" w14:textId="77777777" w:rsidTr="00052A8A">
        <w:tc>
          <w:tcPr>
            <w:tcW w:w="1633" w:type="dxa"/>
          </w:tcPr>
          <w:p w14:paraId="6BD59229" w14:textId="2A22F3EE" w:rsidR="004610C5" w:rsidRPr="009C61A8" w:rsidRDefault="004610C5" w:rsidP="00052A8A">
            <w:pPr>
              <w:spacing w:before="60" w:after="60"/>
              <w:ind w:left="57" w:right="57"/>
              <w:rPr>
                <w:rFonts w:asciiTheme="majorBidi" w:hAnsiTheme="majorBidi" w:cstheme="majorBidi"/>
                <w:sz w:val="18"/>
                <w:szCs w:val="18"/>
                <w:lang w:val="fr-FR"/>
              </w:rPr>
            </w:pPr>
            <w:r w:rsidRPr="00E713B7">
              <w:rPr>
                <w:rFonts w:asciiTheme="majorBidi" w:hAnsiTheme="majorBidi" w:cstheme="majorBidi"/>
                <w:sz w:val="18"/>
                <w:szCs w:val="18"/>
                <w:lang w:val="fr-FR"/>
              </w:rPr>
              <w:t>P200, disposition spéciale applicable au</w:t>
            </w:r>
            <w:r w:rsidR="00052A8A">
              <w:rPr>
                <w:rFonts w:asciiTheme="majorBidi" w:hAnsiTheme="majorBidi" w:cstheme="majorBidi"/>
                <w:sz w:val="18"/>
                <w:szCs w:val="18"/>
                <w:lang w:val="fr-FR"/>
              </w:rPr>
              <w:t> </w:t>
            </w:r>
            <w:r w:rsidRPr="00E713B7">
              <w:rPr>
                <w:rFonts w:asciiTheme="majorBidi" w:hAnsiTheme="majorBidi" w:cstheme="majorBidi"/>
                <w:sz w:val="18"/>
                <w:szCs w:val="18"/>
                <w:lang w:val="fr-FR"/>
              </w:rPr>
              <w:t>gaz</w:t>
            </w:r>
            <w:r w:rsidR="00052A8A">
              <w:rPr>
                <w:rFonts w:asciiTheme="majorBidi" w:hAnsiTheme="majorBidi" w:cstheme="majorBidi"/>
                <w:sz w:val="18"/>
                <w:szCs w:val="18"/>
                <w:lang w:val="fr-FR"/>
              </w:rPr>
              <w:t> </w:t>
            </w:r>
            <w:r w:rsidRPr="009C61A8">
              <w:rPr>
                <w:rFonts w:asciiTheme="majorBidi" w:hAnsiTheme="majorBidi" w:cstheme="majorBidi"/>
                <w:sz w:val="18"/>
                <w:szCs w:val="18"/>
                <w:lang w:val="fr-FR"/>
              </w:rPr>
              <w:t>z</w:t>
            </w:r>
          </w:p>
        </w:tc>
        <w:tc>
          <w:tcPr>
            <w:tcW w:w="1294" w:type="dxa"/>
          </w:tcPr>
          <w:p w14:paraId="7B552C6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0D95287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w:t>
            </w:r>
            <w:r>
              <w:rPr>
                <w:rFonts w:asciiTheme="majorBidi" w:hAnsiTheme="majorBidi" w:cstheme="majorBidi"/>
                <w:sz w:val="18"/>
                <w:szCs w:val="18"/>
              </w:rPr>
              <w:t xml:space="preserve">de </w:t>
            </w:r>
            <w:r w:rsidRPr="009E3E90">
              <w:rPr>
                <w:rFonts w:asciiTheme="majorBidi" w:hAnsiTheme="majorBidi" w:cstheme="majorBidi"/>
                <w:sz w:val="18"/>
                <w:szCs w:val="18"/>
              </w:rPr>
              <w:t>remplissage</w:t>
            </w:r>
          </w:p>
        </w:tc>
        <w:tc>
          <w:tcPr>
            <w:tcW w:w="1299" w:type="dxa"/>
          </w:tcPr>
          <w:p w14:paraId="2E3EF86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40CBB18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16741E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5158AA1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7D486AB4" w14:textId="77777777" w:rsidTr="00052A8A">
        <w:tc>
          <w:tcPr>
            <w:tcW w:w="1633" w:type="dxa"/>
          </w:tcPr>
          <w:p w14:paraId="043C734A" w14:textId="1CD1C12B"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P203</w:t>
            </w:r>
            <w:r>
              <w:rPr>
                <w:rFonts w:asciiTheme="majorBidi" w:hAnsiTheme="majorBidi" w:cstheme="majorBidi"/>
                <w:sz w:val="18"/>
                <w:szCs w:val="18"/>
                <w:lang w:val="fr-FR"/>
              </w:rPr>
              <w:t>, intitulé et</w:t>
            </w:r>
            <w:r w:rsidR="00052A8A">
              <w:rPr>
                <w:rFonts w:asciiTheme="majorBidi" w:hAnsiTheme="majorBidi" w:cstheme="majorBidi"/>
                <w:sz w:val="18"/>
                <w:szCs w:val="18"/>
                <w:lang w:val="fr-FR"/>
              </w:rPr>
              <w:t> </w:t>
            </w:r>
            <w:r>
              <w:rPr>
                <w:rFonts w:asciiTheme="majorBidi" w:hAnsiTheme="majorBidi" w:cstheme="majorBidi"/>
                <w:sz w:val="18"/>
                <w:szCs w:val="18"/>
                <w:lang w:val="fr-FR"/>
              </w:rPr>
              <w:t>deuxième paragraphe du</w:t>
            </w:r>
            <w:r w:rsidR="00052A8A">
              <w:rPr>
                <w:rFonts w:asciiTheme="majorBidi" w:hAnsiTheme="majorBidi" w:cstheme="majorBidi"/>
                <w:sz w:val="18"/>
                <w:szCs w:val="18"/>
                <w:lang w:val="fr-FR"/>
              </w:rPr>
              <w:t> </w:t>
            </w:r>
            <w:r>
              <w:rPr>
                <w:rFonts w:asciiTheme="majorBidi" w:hAnsiTheme="majorBidi" w:cstheme="majorBidi"/>
                <w:sz w:val="18"/>
                <w:szCs w:val="18"/>
                <w:lang w:val="fr-FR"/>
              </w:rPr>
              <w:t>point</w:t>
            </w:r>
            <w:r w:rsidR="00052A8A">
              <w:rPr>
                <w:rFonts w:asciiTheme="majorBidi" w:hAnsiTheme="majorBidi" w:cstheme="majorBidi"/>
                <w:sz w:val="18"/>
                <w:szCs w:val="18"/>
                <w:lang w:val="fr-FR"/>
              </w:rPr>
              <w:t> </w:t>
            </w:r>
            <w:r>
              <w:rPr>
                <w:rFonts w:asciiTheme="majorBidi" w:hAnsiTheme="majorBidi" w:cstheme="majorBidi"/>
                <w:sz w:val="18"/>
                <w:szCs w:val="18"/>
                <w:lang w:val="fr-FR"/>
              </w:rPr>
              <w:t>5)</w:t>
            </w:r>
          </w:p>
        </w:tc>
        <w:tc>
          <w:tcPr>
            <w:tcW w:w="1294" w:type="dxa"/>
          </w:tcPr>
          <w:p w14:paraId="1E1F978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3D03FD7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tc>
        <w:tc>
          <w:tcPr>
            <w:tcW w:w="1299" w:type="dxa"/>
          </w:tcPr>
          <w:p w14:paraId="5D20852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43A0A30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049AFB12" w14:textId="2375D3EB"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14</w:t>
            </w:r>
          </w:p>
        </w:tc>
        <w:tc>
          <w:tcPr>
            <w:tcW w:w="1367" w:type="dxa"/>
          </w:tcPr>
          <w:p w14:paraId="489E858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p w14:paraId="047486E6" w14:textId="2DF39163"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22</w:t>
            </w:r>
          </w:p>
        </w:tc>
        <w:tc>
          <w:tcPr>
            <w:tcW w:w="1515" w:type="dxa"/>
          </w:tcPr>
          <w:p w14:paraId="0567E1A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77C7C81F" w14:textId="77777777" w:rsidTr="00052A8A">
        <w:tc>
          <w:tcPr>
            <w:tcW w:w="1633" w:type="dxa"/>
          </w:tcPr>
          <w:p w14:paraId="5E326D94"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P907</w:t>
            </w:r>
          </w:p>
        </w:tc>
        <w:tc>
          <w:tcPr>
            <w:tcW w:w="1294" w:type="dxa"/>
          </w:tcPr>
          <w:p w14:paraId="4FA2C01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tc>
        <w:tc>
          <w:tcPr>
            <w:tcW w:w="1300" w:type="dxa"/>
          </w:tcPr>
          <w:p w14:paraId="31AF75A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3341CFA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7EC80BC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5B79213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50FC3D4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48CF4017" w14:textId="77777777" w:rsidTr="00052A8A">
        <w:trPr>
          <w:trHeight w:val="193"/>
        </w:trPr>
        <w:tc>
          <w:tcPr>
            <w:tcW w:w="1633" w:type="dxa"/>
          </w:tcPr>
          <w:p w14:paraId="46554CB7"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lastRenderedPageBreak/>
              <w:t>4.1.6.1.6</w:t>
            </w:r>
          </w:p>
        </w:tc>
        <w:tc>
          <w:tcPr>
            <w:tcW w:w="1294" w:type="dxa"/>
          </w:tcPr>
          <w:p w14:paraId="516CE14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ratios</w:t>
            </w:r>
          </w:p>
        </w:tc>
        <w:tc>
          <w:tcPr>
            <w:tcW w:w="1300" w:type="dxa"/>
          </w:tcPr>
          <w:p w14:paraId="590AF74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14BCFEC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Razones de llenado</w:t>
            </w:r>
          </w:p>
        </w:tc>
        <w:tc>
          <w:tcPr>
            <w:tcW w:w="1367" w:type="dxa"/>
          </w:tcPr>
          <w:p w14:paraId="3187545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2FBC4A7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65820A3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5E7CE1EA" w14:textId="77777777" w:rsidTr="00052A8A">
        <w:tc>
          <w:tcPr>
            <w:tcW w:w="1633" w:type="dxa"/>
          </w:tcPr>
          <w:p w14:paraId="51DA9735"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4.1.7.0.1</w:t>
            </w:r>
          </w:p>
        </w:tc>
        <w:tc>
          <w:tcPr>
            <w:tcW w:w="1294" w:type="dxa"/>
          </w:tcPr>
          <w:p w14:paraId="49E7B8D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59AA580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7701166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tc>
        <w:tc>
          <w:tcPr>
            <w:tcW w:w="1367" w:type="dxa"/>
          </w:tcPr>
          <w:p w14:paraId="7FC48CC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258E2B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16FD6FA7" w14:textId="5B470CA7"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23</w:t>
            </w:r>
          </w:p>
        </w:tc>
        <w:tc>
          <w:tcPr>
            <w:tcW w:w="1515" w:type="dxa"/>
          </w:tcPr>
          <w:p w14:paraId="13B11AD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p w14:paraId="0C601E73" w14:textId="29A77A53"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47</w:t>
            </w:r>
          </w:p>
        </w:tc>
      </w:tr>
      <w:tr w:rsidR="00052A8A" w:rsidRPr="009E3E90" w14:paraId="257F8A12" w14:textId="77777777" w:rsidTr="00052A8A">
        <w:tc>
          <w:tcPr>
            <w:tcW w:w="1633" w:type="dxa"/>
          </w:tcPr>
          <w:p w14:paraId="77F3BA6D"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4.2.1.9.2</w:t>
            </w:r>
          </w:p>
        </w:tc>
        <w:tc>
          <w:tcPr>
            <w:tcW w:w="1294" w:type="dxa"/>
          </w:tcPr>
          <w:p w14:paraId="5C43E16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332C204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(2)</w:t>
            </w:r>
          </w:p>
        </w:tc>
        <w:tc>
          <w:tcPr>
            <w:tcW w:w="1299" w:type="dxa"/>
          </w:tcPr>
          <w:p w14:paraId="3EDF7CD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llenado(2)</w:t>
            </w:r>
          </w:p>
        </w:tc>
        <w:tc>
          <w:tcPr>
            <w:tcW w:w="1367" w:type="dxa"/>
          </w:tcPr>
          <w:p w14:paraId="1EC61D2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159261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4417917B" w14:textId="041F6B92"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24</w:t>
            </w:r>
          </w:p>
        </w:tc>
        <w:tc>
          <w:tcPr>
            <w:tcW w:w="1515" w:type="dxa"/>
          </w:tcPr>
          <w:p w14:paraId="5734F3F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F0A4D8F" w14:textId="77777777" w:rsidTr="00052A8A">
        <w:tc>
          <w:tcPr>
            <w:tcW w:w="1633" w:type="dxa"/>
          </w:tcPr>
          <w:p w14:paraId="28E09162"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4.2.1.9.3</w:t>
            </w:r>
          </w:p>
        </w:tc>
        <w:tc>
          <w:tcPr>
            <w:tcW w:w="1294" w:type="dxa"/>
          </w:tcPr>
          <w:p w14:paraId="4A3622F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19E8005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(2)</w:t>
            </w:r>
          </w:p>
        </w:tc>
        <w:tc>
          <w:tcPr>
            <w:tcW w:w="1299" w:type="dxa"/>
          </w:tcPr>
          <w:p w14:paraId="74622D0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llenado(2)</w:t>
            </w:r>
          </w:p>
        </w:tc>
        <w:tc>
          <w:tcPr>
            <w:tcW w:w="1367" w:type="dxa"/>
          </w:tcPr>
          <w:p w14:paraId="75661F1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9C37C0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0B796406" w14:textId="03C4B04C"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25</w:t>
            </w:r>
          </w:p>
        </w:tc>
        <w:tc>
          <w:tcPr>
            <w:tcW w:w="1515" w:type="dxa"/>
          </w:tcPr>
          <w:p w14:paraId="4AFEE0F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6DA37AB4" w14:textId="77777777" w:rsidTr="00052A8A">
        <w:tc>
          <w:tcPr>
            <w:tcW w:w="1633" w:type="dxa"/>
          </w:tcPr>
          <w:p w14:paraId="394E4642"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4.2.1.9.5</w:t>
            </w:r>
          </w:p>
        </w:tc>
        <w:tc>
          <w:tcPr>
            <w:tcW w:w="1294" w:type="dxa"/>
          </w:tcPr>
          <w:p w14:paraId="0AEA2D9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54E4BF7E"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Que la citerne ne soit jamais pleine</w:t>
            </w:r>
          </w:p>
        </w:tc>
        <w:tc>
          <w:tcPr>
            <w:tcW w:w="1299" w:type="dxa"/>
          </w:tcPr>
          <w:p w14:paraId="66932E5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w:t>
            </w:r>
          </w:p>
        </w:tc>
        <w:tc>
          <w:tcPr>
            <w:tcW w:w="1367" w:type="dxa"/>
          </w:tcPr>
          <w:p w14:paraId="3765E38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5AD75C2E" w14:textId="77777777" w:rsidR="004610C5" w:rsidRPr="009E3E90" w:rsidRDefault="004610C5" w:rsidP="00052A8A">
            <w:pPr>
              <w:spacing w:before="60" w:after="60"/>
              <w:ind w:left="57" w:right="57"/>
              <w:rPr>
                <w:rFonts w:asciiTheme="majorBidi" w:hAnsiTheme="majorBidi" w:cstheme="majorBidi"/>
                <w:sz w:val="18"/>
                <w:szCs w:val="18"/>
                <w:lang w:val="en-GB"/>
              </w:rPr>
            </w:pPr>
            <w:r>
              <w:rPr>
                <w:rFonts w:asciiTheme="majorBidi" w:hAnsiTheme="majorBidi" w:cstheme="majorBidi"/>
                <w:sz w:val="18"/>
                <w:szCs w:val="18"/>
                <w:lang w:val="en-GB"/>
              </w:rPr>
              <w:t>Modification facultative, voir</w:t>
            </w:r>
          </w:p>
          <w:p w14:paraId="12F84740" w14:textId="10CB5D15" w:rsidR="004610C5" w:rsidRPr="009E3E90" w:rsidRDefault="004610C5" w:rsidP="00052A8A">
            <w:pPr>
              <w:spacing w:before="60" w:after="60"/>
              <w:ind w:left="57" w:right="57"/>
              <w:rPr>
                <w:rFonts w:asciiTheme="majorBidi" w:hAnsiTheme="majorBidi" w:cstheme="majorBidi"/>
                <w:sz w:val="18"/>
                <w:szCs w:val="18"/>
                <w:lang w:val="en-GB"/>
              </w:rPr>
            </w:pPr>
            <w:r>
              <w:rPr>
                <w:rFonts w:asciiTheme="majorBidi" w:hAnsiTheme="majorBidi" w:cstheme="majorBidi"/>
                <w:b/>
                <w:bCs/>
                <w:sz w:val="18"/>
                <w:szCs w:val="18"/>
                <w:lang w:val="en-GB"/>
              </w:rPr>
              <w:t>p</w:t>
            </w:r>
            <w:r w:rsidRPr="009E3E90">
              <w:rPr>
                <w:rFonts w:asciiTheme="majorBidi" w:hAnsiTheme="majorBidi" w:cstheme="majorBidi"/>
                <w:b/>
                <w:bCs/>
                <w:sz w:val="18"/>
                <w:szCs w:val="18"/>
                <w:lang w:val="en-GB"/>
              </w:rPr>
              <w:t>ar.</w:t>
            </w:r>
            <w:r w:rsidR="00D35EBE">
              <w:rPr>
                <w:rFonts w:asciiTheme="majorBidi" w:hAnsiTheme="majorBidi" w:cstheme="majorBidi"/>
                <w:b/>
                <w:bCs/>
                <w:sz w:val="18"/>
                <w:szCs w:val="18"/>
                <w:lang w:val="en-GB"/>
              </w:rPr>
              <w:t> </w:t>
            </w:r>
            <w:r w:rsidRPr="009E3E90">
              <w:rPr>
                <w:rFonts w:asciiTheme="majorBidi" w:hAnsiTheme="majorBidi" w:cstheme="majorBidi"/>
                <w:b/>
                <w:bCs/>
                <w:color w:val="000000" w:themeColor="text1"/>
                <w:sz w:val="18"/>
                <w:szCs w:val="18"/>
                <w:lang w:val="en-GB"/>
              </w:rPr>
              <w:t>26</w:t>
            </w:r>
          </w:p>
        </w:tc>
        <w:tc>
          <w:tcPr>
            <w:tcW w:w="1515" w:type="dxa"/>
          </w:tcPr>
          <w:p w14:paraId="59D2235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46EB62B" w14:textId="77777777" w:rsidTr="00052A8A">
        <w:tc>
          <w:tcPr>
            <w:tcW w:w="1633" w:type="dxa"/>
          </w:tcPr>
          <w:p w14:paraId="33A73604"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4.2.1.9.5.1</w:t>
            </w:r>
          </w:p>
        </w:tc>
        <w:tc>
          <w:tcPr>
            <w:tcW w:w="1294" w:type="dxa"/>
          </w:tcPr>
          <w:p w14:paraId="30CFFD3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3631DE94"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 (2)</w:t>
            </w:r>
          </w:p>
        </w:tc>
        <w:tc>
          <w:tcPr>
            <w:tcW w:w="1299" w:type="dxa"/>
          </w:tcPr>
          <w:p w14:paraId="3234A510"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Grado máximo de llenado/ Grado de llenado</w:t>
            </w:r>
          </w:p>
        </w:tc>
        <w:tc>
          <w:tcPr>
            <w:tcW w:w="1367" w:type="dxa"/>
          </w:tcPr>
          <w:p w14:paraId="28AD33B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17A6230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5B9B0083" w14:textId="76D17D2C"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27</w:t>
            </w:r>
          </w:p>
        </w:tc>
        <w:tc>
          <w:tcPr>
            <w:tcW w:w="1515" w:type="dxa"/>
          </w:tcPr>
          <w:p w14:paraId="646F7F2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3C43FA2B" w14:textId="77777777" w:rsidTr="00052A8A">
        <w:tc>
          <w:tcPr>
            <w:tcW w:w="1633" w:type="dxa"/>
          </w:tcPr>
          <w:p w14:paraId="464F5AC6"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4.2.1.9.6 a)</w:t>
            </w:r>
          </w:p>
        </w:tc>
        <w:tc>
          <w:tcPr>
            <w:tcW w:w="1294" w:type="dxa"/>
          </w:tcPr>
          <w:p w14:paraId="6D5A3EE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Degree of filling </w:t>
            </w:r>
          </w:p>
        </w:tc>
        <w:tc>
          <w:tcPr>
            <w:tcW w:w="1300" w:type="dxa"/>
          </w:tcPr>
          <w:p w14:paraId="3A2B65F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de remplissage </w:t>
            </w:r>
          </w:p>
        </w:tc>
        <w:tc>
          <w:tcPr>
            <w:tcW w:w="1299" w:type="dxa"/>
          </w:tcPr>
          <w:p w14:paraId="2DF3133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6135DD9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A826F7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28FB66B3" w14:textId="15827A12"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28</w:t>
            </w:r>
          </w:p>
        </w:tc>
        <w:tc>
          <w:tcPr>
            <w:tcW w:w="1515" w:type="dxa"/>
          </w:tcPr>
          <w:p w14:paraId="4F9FB08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7A9AF0C" w14:textId="77777777" w:rsidTr="00052A8A">
        <w:tc>
          <w:tcPr>
            <w:tcW w:w="1633" w:type="dxa"/>
          </w:tcPr>
          <w:p w14:paraId="16E11645"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4.2.1.13.13</w:t>
            </w:r>
          </w:p>
        </w:tc>
        <w:tc>
          <w:tcPr>
            <w:tcW w:w="1294" w:type="dxa"/>
          </w:tcPr>
          <w:p w14:paraId="542015F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6DF7170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3B3AEB7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5E67129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341CC3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7E44B9F0" w14:textId="440259FE"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29</w:t>
            </w:r>
          </w:p>
        </w:tc>
        <w:tc>
          <w:tcPr>
            <w:tcW w:w="1515" w:type="dxa"/>
          </w:tcPr>
          <w:p w14:paraId="2D9E297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1533DC9E" w14:textId="77777777" w:rsidTr="00052A8A">
        <w:tc>
          <w:tcPr>
            <w:tcW w:w="1633" w:type="dxa"/>
          </w:tcPr>
          <w:p w14:paraId="33AD19A8"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4.2.1.16.2</w:t>
            </w:r>
          </w:p>
        </w:tc>
        <w:tc>
          <w:tcPr>
            <w:tcW w:w="1294" w:type="dxa"/>
          </w:tcPr>
          <w:p w14:paraId="12BE01A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1E51F8F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49C84C3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242157F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2E39559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68960D33" w14:textId="20D6EF33"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b/>
                <w:bCs/>
                <w:sz w:val="18"/>
                <w:szCs w:val="18"/>
              </w:rPr>
              <w:t>Par</w:t>
            </w:r>
            <w:r w:rsidRPr="009E3E90">
              <w:rPr>
                <w:rFonts w:asciiTheme="majorBidi" w:hAnsiTheme="majorBidi" w:cstheme="majorBidi"/>
                <w:b/>
                <w:bCs/>
                <w:color w:val="000000" w:themeColor="text1"/>
                <w:sz w:val="18"/>
                <w:szCs w:val="18"/>
              </w:rPr>
              <w:t>.</w:t>
            </w:r>
            <w:r w:rsidR="00D35EBE">
              <w:rPr>
                <w:rFonts w:asciiTheme="majorBidi" w:hAnsiTheme="majorBidi" w:cstheme="majorBidi"/>
                <w:b/>
                <w:bCs/>
                <w:color w:val="000000" w:themeColor="text1"/>
                <w:sz w:val="18"/>
                <w:szCs w:val="18"/>
              </w:rPr>
              <w:t> </w:t>
            </w:r>
            <w:r w:rsidRPr="009E3E90">
              <w:rPr>
                <w:rFonts w:asciiTheme="majorBidi" w:hAnsiTheme="majorBidi" w:cstheme="majorBidi"/>
                <w:b/>
                <w:bCs/>
                <w:color w:val="000000" w:themeColor="text1"/>
                <w:sz w:val="18"/>
                <w:szCs w:val="18"/>
              </w:rPr>
              <w:t>30</w:t>
            </w:r>
          </w:p>
        </w:tc>
        <w:tc>
          <w:tcPr>
            <w:tcW w:w="1515" w:type="dxa"/>
          </w:tcPr>
          <w:p w14:paraId="5F853AF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D76D714" w14:textId="77777777" w:rsidTr="00052A8A">
        <w:tc>
          <w:tcPr>
            <w:tcW w:w="1633" w:type="dxa"/>
          </w:tcPr>
          <w:p w14:paraId="01A3466F"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4.2.1.19.2</w:t>
            </w:r>
          </w:p>
        </w:tc>
        <w:tc>
          <w:tcPr>
            <w:tcW w:w="1294" w:type="dxa"/>
          </w:tcPr>
          <w:p w14:paraId="6FD1CA2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5E45B62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de remplissage </w:t>
            </w:r>
          </w:p>
        </w:tc>
        <w:tc>
          <w:tcPr>
            <w:tcW w:w="1299" w:type="dxa"/>
          </w:tcPr>
          <w:p w14:paraId="3369D62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w:t>
            </w:r>
          </w:p>
        </w:tc>
        <w:tc>
          <w:tcPr>
            <w:tcW w:w="1367" w:type="dxa"/>
          </w:tcPr>
          <w:p w14:paraId="7E4963C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086437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19D78C58" w14:textId="0487FBE3"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31</w:t>
            </w:r>
          </w:p>
        </w:tc>
        <w:tc>
          <w:tcPr>
            <w:tcW w:w="1515" w:type="dxa"/>
          </w:tcPr>
          <w:p w14:paraId="7D2FCA7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D9AEA50" w14:textId="77777777" w:rsidTr="00052A8A">
        <w:tc>
          <w:tcPr>
            <w:tcW w:w="1633" w:type="dxa"/>
          </w:tcPr>
          <w:p w14:paraId="4325D562"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4.2.3.6.2</w:t>
            </w:r>
          </w:p>
        </w:tc>
        <w:tc>
          <w:tcPr>
            <w:tcW w:w="1294" w:type="dxa"/>
          </w:tcPr>
          <w:p w14:paraId="1D77F68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1E388DE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initial de remplissage (2)</w:t>
            </w:r>
          </w:p>
        </w:tc>
        <w:tc>
          <w:tcPr>
            <w:tcW w:w="1299" w:type="dxa"/>
          </w:tcPr>
          <w:p w14:paraId="7AA8A4F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inicial de llenado (2)</w:t>
            </w:r>
          </w:p>
        </w:tc>
        <w:tc>
          <w:tcPr>
            <w:tcW w:w="1367" w:type="dxa"/>
          </w:tcPr>
          <w:p w14:paraId="32CE887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38559E70" w14:textId="6C0EDD8E"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15</w:t>
            </w:r>
          </w:p>
        </w:tc>
        <w:tc>
          <w:tcPr>
            <w:tcW w:w="1367" w:type="dxa"/>
          </w:tcPr>
          <w:p w14:paraId="47ABEF6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2A0D000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p w14:paraId="4FC7587F" w14:textId="57922755"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48</w:t>
            </w:r>
          </w:p>
        </w:tc>
      </w:tr>
      <w:tr w:rsidR="00052A8A" w:rsidRPr="00D1508F" w14:paraId="1238CBB8" w14:textId="77777777" w:rsidTr="00052A8A">
        <w:tc>
          <w:tcPr>
            <w:tcW w:w="1633" w:type="dxa"/>
          </w:tcPr>
          <w:p w14:paraId="2B1BC14D"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4.2.3.6.4</w:t>
            </w:r>
          </w:p>
        </w:tc>
        <w:tc>
          <w:tcPr>
            <w:tcW w:w="1294" w:type="dxa"/>
          </w:tcPr>
          <w:p w14:paraId="62D3705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Degree of filling </w:t>
            </w:r>
          </w:p>
        </w:tc>
        <w:tc>
          <w:tcPr>
            <w:tcW w:w="1300" w:type="dxa"/>
          </w:tcPr>
          <w:p w14:paraId="648919A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initial de remplissage</w:t>
            </w:r>
          </w:p>
        </w:tc>
        <w:tc>
          <w:tcPr>
            <w:tcW w:w="1299" w:type="dxa"/>
          </w:tcPr>
          <w:p w14:paraId="7AAB403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inicial de llenado</w:t>
            </w:r>
          </w:p>
        </w:tc>
        <w:tc>
          <w:tcPr>
            <w:tcW w:w="1367" w:type="dxa"/>
          </w:tcPr>
          <w:p w14:paraId="16CC530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379B1355" w14:textId="3437F8BD"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16</w:t>
            </w:r>
          </w:p>
        </w:tc>
        <w:tc>
          <w:tcPr>
            <w:tcW w:w="1367" w:type="dxa"/>
          </w:tcPr>
          <w:p w14:paraId="53417626"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115E7A95"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Razón inicial de llenado</w:t>
            </w:r>
          </w:p>
          <w:p w14:paraId="70915362" w14:textId="3D54514A" w:rsidR="004610C5" w:rsidRPr="00D1508F" w:rsidRDefault="004610C5" w:rsidP="00052A8A">
            <w:pPr>
              <w:spacing w:before="60" w:after="60"/>
              <w:ind w:left="57" w:right="57"/>
              <w:rPr>
                <w:rFonts w:asciiTheme="majorBidi" w:hAnsiTheme="majorBidi" w:cstheme="majorBidi"/>
                <w:b/>
                <w:bCs/>
                <w:sz w:val="18"/>
                <w:szCs w:val="18"/>
                <w:lang w:val="es-ES"/>
              </w:rPr>
            </w:pPr>
            <w:r w:rsidRPr="00D1508F">
              <w:rPr>
                <w:rFonts w:asciiTheme="majorBidi" w:hAnsiTheme="majorBidi" w:cstheme="majorBidi"/>
                <w:b/>
                <w:bCs/>
                <w:sz w:val="18"/>
                <w:szCs w:val="18"/>
                <w:lang w:val="es-ES"/>
              </w:rPr>
              <w:t>Par.</w:t>
            </w:r>
            <w:r w:rsidR="00D35EBE">
              <w:rPr>
                <w:rFonts w:asciiTheme="majorBidi" w:hAnsiTheme="majorBidi" w:cstheme="majorBidi"/>
                <w:b/>
                <w:bCs/>
                <w:sz w:val="18"/>
                <w:szCs w:val="18"/>
                <w:lang w:val="es-ES"/>
              </w:rPr>
              <w:t> </w:t>
            </w:r>
            <w:r w:rsidRPr="00D1508F">
              <w:rPr>
                <w:rFonts w:asciiTheme="majorBidi" w:hAnsiTheme="majorBidi" w:cstheme="majorBidi"/>
                <w:b/>
                <w:bCs/>
                <w:sz w:val="18"/>
                <w:szCs w:val="18"/>
                <w:lang w:val="es-ES"/>
              </w:rPr>
              <w:t>49</w:t>
            </w:r>
          </w:p>
        </w:tc>
      </w:tr>
      <w:tr w:rsidR="00052A8A" w:rsidRPr="009E3E90" w14:paraId="2E063E92" w14:textId="77777777" w:rsidTr="00052A8A">
        <w:tc>
          <w:tcPr>
            <w:tcW w:w="1633" w:type="dxa"/>
          </w:tcPr>
          <w:p w14:paraId="27EC01BA"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4.2.4.5.2</w:t>
            </w:r>
          </w:p>
        </w:tc>
        <w:tc>
          <w:tcPr>
            <w:tcW w:w="1294" w:type="dxa"/>
          </w:tcPr>
          <w:p w14:paraId="240AF2A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ratios</w:t>
            </w:r>
          </w:p>
        </w:tc>
        <w:tc>
          <w:tcPr>
            <w:tcW w:w="1300" w:type="dxa"/>
          </w:tcPr>
          <w:p w14:paraId="530C698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1E385C7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Razones de llenado</w:t>
            </w:r>
          </w:p>
        </w:tc>
        <w:tc>
          <w:tcPr>
            <w:tcW w:w="1367" w:type="dxa"/>
          </w:tcPr>
          <w:p w14:paraId="734042E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03548E6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5DE825F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6CD4DCE8" w14:textId="77777777" w:rsidTr="00052A8A">
        <w:tc>
          <w:tcPr>
            <w:tcW w:w="1633" w:type="dxa"/>
          </w:tcPr>
          <w:p w14:paraId="409B217C"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4.2.5.2.3</w:t>
            </w:r>
          </w:p>
        </w:tc>
        <w:tc>
          <w:tcPr>
            <w:tcW w:w="1294" w:type="dxa"/>
          </w:tcPr>
          <w:p w14:paraId="1A605F9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7E404A5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Densité de remplissage maximale</w:t>
            </w:r>
          </w:p>
        </w:tc>
        <w:tc>
          <w:tcPr>
            <w:tcW w:w="1299" w:type="dxa"/>
          </w:tcPr>
          <w:p w14:paraId="0371030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218E4DD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6B4D9F60" w14:textId="27BA5602"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17</w:t>
            </w:r>
          </w:p>
        </w:tc>
        <w:tc>
          <w:tcPr>
            <w:tcW w:w="1367" w:type="dxa"/>
          </w:tcPr>
          <w:p w14:paraId="1BE81765"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 maximal</w:t>
            </w:r>
          </w:p>
          <w:p w14:paraId="31D6385D" w14:textId="4CC30604" w:rsidR="004610C5" w:rsidRPr="009E3E90" w:rsidRDefault="004610C5" w:rsidP="00052A8A">
            <w:pPr>
              <w:spacing w:before="60" w:after="6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Par.</w:t>
            </w:r>
            <w:r w:rsidR="00D35EBE">
              <w:rPr>
                <w:rFonts w:asciiTheme="majorBidi" w:hAnsiTheme="majorBidi" w:cstheme="majorBidi"/>
                <w:b/>
                <w:bCs/>
                <w:sz w:val="18"/>
                <w:szCs w:val="18"/>
                <w:lang w:val="fr-FR"/>
              </w:rPr>
              <w:t> </w:t>
            </w:r>
            <w:r w:rsidRPr="009E3E90">
              <w:rPr>
                <w:rFonts w:asciiTheme="majorBidi" w:hAnsiTheme="majorBidi" w:cstheme="majorBidi"/>
                <w:b/>
                <w:bCs/>
                <w:color w:val="000000" w:themeColor="text1"/>
                <w:sz w:val="18"/>
                <w:szCs w:val="18"/>
                <w:lang w:val="fr-FR"/>
              </w:rPr>
              <w:t>32</w:t>
            </w:r>
          </w:p>
        </w:tc>
        <w:tc>
          <w:tcPr>
            <w:tcW w:w="1515" w:type="dxa"/>
          </w:tcPr>
          <w:p w14:paraId="023D03E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p w14:paraId="79CA9C23" w14:textId="4BB58A40"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50</w:t>
            </w:r>
          </w:p>
        </w:tc>
      </w:tr>
      <w:tr w:rsidR="00052A8A" w:rsidRPr="009E3E90" w14:paraId="3115EA81" w14:textId="77777777" w:rsidTr="00052A8A">
        <w:tc>
          <w:tcPr>
            <w:tcW w:w="1633" w:type="dxa"/>
          </w:tcPr>
          <w:p w14:paraId="3D2B9A4E"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lastRenderedPageBreak/>
              <w:t>4.2.5.2.6</w:t>
            </w:r>
            <w:r>
              <w:rPr>
                <w:rFonts w:asciiTheme="majorBidi" w:hAnsiTheme="majorBidi" w:cstheme="majorBidi"/>
                <w:sz w:val="18"/>
                <w:szCs w:val="18"/>
                <w:lang w:val="fr-FR"/>
              </w:rPr>
              <w:t>,</w:t>
            </w:r>
          </w:p>
          <w:p w14:paraId="4CCB7D13"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T23</w:t>
            </w:r>
          </w:p>
        </w:tc>
        <w:tc>
          <w:tcPr>
            <w:tcW w:w="1294" w:type="dxa"/>
          </w:tcPr>
          <w:p w14:paraId="358A1A7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0E263BE6"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w:t>
            </w:r>
          </w:p>
        </w:tc>
        <w:tc>
          <w:tcPr>
            <w:tcW w:w="1299" w:type="dxa"/>
          </w:tcPr>
          <w:p w14:paraId="6BD492E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5514E2DD" w14:textId="77777777"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color w:val="000000" w:themeColor="text1"/>
                <w:sz w:val="18"/>
                <w:szCs w:val="18"/>
              </w:rPr>
              <w:t>NO</w:t>
            </w:r>
            <w:r>
              <w:rPr>
                <w:rFonts w:asciiTheme="majorBidi" w:hAnsiTheme="majorBidi" w:cstheme="majorBidi"/>
                <w:color w:val="000000" w:themeColor="text1"/>
                <w:sz w:val="18"/>
                <w:szCs w:val="18"/>
              </w:rPr>
              <w:t>N</w:t>
            </w:r>
          </w:p>
        </w:tc>
        <w:tc>
          <w:tcPr>
            <w:tcW w:w="1367" w:type="dxa"/>
          </w:tcPr>
          <w:p w14:paraId="1D50199F" w14:textId="77777777" w:rsidR="004610C5" w:rsidRPr="009E3E90" w:rsidRDefault="004610C5" w:rsidP="00052A8A">
            <w:pPr>
              <w:spacing w:before="60" w:after="60"/>
              <w:ind w:left="57" w:right="57"/>
              <w:rPr>
                <w:rFonts w:asciiTheme="majorBidi" w:hAnsiTheme="majorBidi" w:cstheme="majorBidi"/>
                <w:bCs/>
                <w:color w:val="000000" w:themeColor="text1"/>
                <w:sz w:val="18"/>
                <w:szCs w:val="18"/>
              </w:rPr>
            </w:pPr>
            <w:r w:rsidRPr="009E3E90">
              <w:rPr>
                <w:rFonts w:asciiTheme="majorBidi" w:hAnsiTheme="majorBidi" w:cstheme="majorBidi"/>
                <w:bCs/>
                <w:color w:val="000000" w:themeColor="text1"/>
                <w:sz w:val="18"/>
                <w:szCs w:val="18"/>
              </w:rPr>
              <w:t>Degré de remplissage</w:t>
            </w:r>
          </w:p>
          <w:p w14:paraId="24F39A5E" w14:textId="2DFDFE94"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color w:val="000000" w:themeColor="text1"/>
                <w:sz w:val="18"/>
                <w:szCs w:val="18"/>
              </w:rPr>
              <w:t>Par.</w:t>
            </w:r>
            <w:r w:rsidR="00D35EBE">
              <w:rPr>
                <w:rFonts w:asciiTheme="majorBidi" w:hAnsiTheme="majorBidi" w:cstheme="majorBidi"/>
                <w:b/>
                <w:bCs/>
                <w:color w:val="000000" w:themeColor="text1"/>
                <w:sz w:val="18"/>
                <w:szCs w:val="18"/>
              </w:rPr>
              <w:t> </w:t>
            </w:r>
            <w:r w:rsidRPr="009E3E90">
              <w:rPr>
                <w:rFonts w:asciiTheme="majorBidi" w:hAnsiTheme="majorBidi" w:cstheme="majorBidi"/>
                <w:b/>
                <w:bCs/>
                <w:color w:val="000000" w:themeColor="text1"/>
                <w:sz w:val="18"/>
                <w:szCs w:val="18"/>
              </w:rPr>
              <w:t>33</w:t>
            </w:r>
          </w:p>
        </w:tc>
        <w:tc>
          <w:tcPr>
            <w:tcW w:w="1515" w:type="dxa"/>
          </w:tcPr>
          <w:p w14:paraId="3075C511" w14:textId="77777777" w:rsidR="004610C5" w:rsidRPr="009E3E90" w:rsidRDefault="004610C5" w:rsidP="00052A8A">
            <w:pPr>
              <w:spacing w:before="60" w:after="60"/>
              <w:ind w:left="57" w:right="57"/>
              <w:rPr>
                <w:rFonts w:asciiTheme="majorBidi" w:hAnsiTheme="majorBidi" w:cstheme="majorBidi"/>
                <w:b/>
                <w:bCs/>
                <w:sz w:val="18"/>
                <w:szCs w:val="18"/>
              </w:rPr>
            </w:pPr>
            <w:r w:rsidRPr="009E3E90">
              <w:rPr>
                <w:rFonts w:asciiTheme="majorBidi" w:hAnsiTheme="majorBidi" w:cstheme="majorBidi"/>
                <w:color w:val="000000" w:themeColor="text1"/>
                <w:sz w:val="18"/>
                <w:szCs w:val="18"/>
              </w:rPr>
              <w:t>NO</w:t>
            </w:r>
            <w:r>
              <w:rPr>
                <w:rFonts w:asciiTheme="majorBidi" w:hAnsiTheme="majorBidi" w:cstheme="majorBidi"/>
                <w:color w:val="000000" w:themeColor="text1"/>
                <w:sz w:val="18"/>
                <w:szCs w:val="18"/>
              </w:rPr>
              <w:t>N</w:t>
            </w:r>
          </w:p>
        </w:tc>
      </w:tr>
      <w:tr w:rsidR="00052A8A" w:rsidRPr="009E3E90" w14:paraId="52A02ED2" w14:textId="77777777" w:rsidTr="00052A8A">
        <w:tc>
          <w:tcPr>
            <w:tcW w:w="1633" w:type="dxa"/>
          </w:tcPr>
          <w:p w14:paraId="30D21BB9" w14:textId="28781952"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4.2.5.2.6</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w:t>
            </w:r>
            <w:r w:rsidRPr="00E713B7">
              <w:rPr>
                <w:rFonts w:asciiTheme="majorBidi" w:hAnsiTheme="majorBidi" w:cstheme="majorBidi"/>
                <w:sz w:val="18"/>
                <w:szCs w:val="18"/>
                <w:lang w:val="fr-FR"/>
              </w:rPr>
              <w:t>T50</w:t>
            </w:r>
            <w:r>
              <w:rPr>
                <w:rFonts w:asciiTheme="majorBidi" w:hAnsiTheme="majorBidi" w:cstheme="majorBidi"/>
                <w:sz w:val="18"/>
                <w:szCs w:val="18"/>
                <w:lang w:val="fr-FR"/>
              </w:rPr>
              <w:t>,</w:t>
            </w:r>
            <w:r w:rsidRPr="00E713B7">
              <w:rPr>
                <w:rFonts w:asciiTheme="majorBidi" w:hAnsiTheme="majorBidi" w:cstheme="majorBidi"/>
                <w:sz w:val="18"/>
                <w:szCs w:val="18"/>
                <w:lang w:val="fr-FR"/>
              </w:rPr>
              <w:t xml:space="preserve"> </w:t>
            </w:r>
            <w:r>
              <w:rPr>
                <w:rFonts w:asciiTheme="majorBidi" w:hAnsiTheme="majorBidi" w:cstheme="majorBidi"/>
                <w:sz w:val="18"/>
                <w:szCs w:val="18"/>
                <w:lang w:val="fr-FR"/>
              </w:rPr>
              <w:t>n</w:t>
            </w:r>
            <w:r w:rsidRPr="009C61A8">
              <w:rPr>
                <w:rFonts w:asciiTheme="majorBidi" w:hAnsiTheme="majorBidi" w:cstheme="majorBidi"/>
                <w:sz w:val="18"/>
                <w:szCs w:val="18"/>
                <w:lang w:val="fr-FR"/>
              </w:rPr>
              <w:t>ote</w:t>
            </w:r>
            <w:r w:rsidR="00D35EBE">
              <w:rPr>
                <w:rFonts w:asciiTheme="majorBidi" w:hAnsiTheme="majorBidi" w:cstheme="majorBidi"/>
                <w:sz w:val="18"/>
                <w:szCs w:val="18"/>
                <w:lang w:val="fr-FR"/>
              </w:rPr>
              <w:t> </w:t>
            </w:r>
            <w:r w:rsidRPr="009C61A8">
              <w:rPr>
                <w:rFonts w:asciiTheme="majorBidi" w:hAnsiTheme="majorBidi" w:cstheme="majorBidi"/>
                <w:sz w:val="18"/>
                <w:szCs w:val="18"/>
                <w:lang w:val="fr-FR"/>
              </w:rPr>
              <w:t>c</w:t>
            </w:r>
          </w:p>
        </w:tc>
        <w:tc>
          <w:tcPr>
            <w:tcW w:w="1294" w:type="dxa"/>
          </w:tcPr>
          <w:p w14:paraId="077E5F47"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Degree of filling</w:t>
            </w:r>
          </w:p>
          <w:p w14:paraId="1619DCD2"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Instead of filling ratio</w:t>
            </w:r>
          </w:p>
        </w:tc>
        <w:tc>
          <w:tcPr>
            <w:tcW w:w="1300" w:type="dxa"/>
          </w:tcPr>
          <w:p w14:paraId="79391657"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Degré de remplissage au lieu de la densité de remplissage maximale</w:t>
            </w:r>
          </w:p>
        </w:tc>
        <w:tc>
          <w:tcPr>
            <w:tcW w:w="1299" w:type="dxa"/>
          </w:tcPr>
          <w:p w14:paraId="1E1AEE56"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Grado de llenado en lugar de la razón máxima de llenado</w:t>
            </w:r>
          </w:p>
        </w:tc>
        <w:tc>
          <w:tcPr>
            <w:tcW w:w="1367" w:type="dxa"/>
          </w:tcPr>
          <w:p w14:paraId="0A360DE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56C0BE72" w14:textId="77777777" w:rsidR="004610C5" w:rsidRPr="009E3E90" w:rsidRDefault="004610C5" w:rsidP="00052A8A">
            <w:pPr>
              <w:spacing w:before="60" w:after="60"/>
              <w:ind w:left="57" w:right="57"/>
              <w:rPr>
                <w:rFonts w:asciiTheme="majorBidi" w:hAnsiTheme="majorBidi" w:cstheme="majorBidi"/>
                <w:sz w:val="18"/>
                <w:szCs w:val="18"/>
                <w:lang w:val="fr-FR"/>
              </w:rPr>
            </w:pPr>
            <w:r>
              <w:rPr>
                <w:rFonts w:asciiTheme="majorBidi" w:hAnsiTheme="majorBidi" w:cstheme="majorBidi"/>
                <w:sz w:val="18"/>
                <w:szCs w:val="18"/>
                <w:lang w:val="fr-FR"/>
              </w:rPr>
              <w:t>D</w:t>
            </w:r>
            <w:r w:rsidRPr="009E3E90">
              <w:rPr>
                <w:rFonts w:asciiTheme="majorBidi" w:hAnsiTheme="majorBidi" w:cstheme="majorBidi"/>
                <w:sz w:val="18"/>
                <w:szCs w:val="18"/>
                <w:lang w:val="fr-FR"/>
              </w:rPr>
              <w:t xml:space="preserve">egré de remplissage au lieu </w:t>
            </w:r>
            <w:r>
              <w:rPr>
                <w:rFonts w:asciiTheme="majorBidi" w:hAnsiTheme="majorBidi" w:cstheme="majorBidi"/>
                <w:sz w:val="18"/>
                <w:szCs w:val="18"/>
                <w:lang w:val="fr-FR"/>
              </w:rPr>
              <w:t>de</w:t>
            </w:r>
            <w:r w:rsidRPr="009E3E90">
              <w:rPr>
                <w:rFonts w:asciiTheme="majorBidi" w:hAnsiTheme="majorBidi" w:cstheme="majorBidi"/>
                <w:sz w:val="18"/>
                <w:szCs w:val="18"/>
                <w:lang w:val="fr-FR"/>
              </w:rPr>
              <w:t xml:space="preserve"> taux </w:t>
            </w:r>
            <w:r w:rsidRPr="00D35EBE">
              <w:rPr>
                <w:rFonts w:asciiTheme="majorBidi" w:hAnsiTheme="majorBidi" w:cstheme="majorBidi"/>
                <w:spacing w:val="-3"/>
                <w:sz w:val="18"/>
                <w:szCs w:val="18"/>
                <w:lang w:val="fr-FR"/>
              </w:rPr>
              <w:t>de remplissage</w:t>
            </w:r>
            <w:r w:rsidRPr="009E3E90">
              <w:rPr>
                <w:rFonts w:asciiTheme="majorBidi" w:hAnsiTheme="majorBidi" w:cstheme="majorBidi"/>
                <w:sz w:val="18"/>
                <w:szCs w:val="18"/>
                <w:lang w:val="fr-FR"/>
              </w:rPr>
              <w:t xml:space="preserve"> maximal</w:t>
            </w:r>
          </w:p>
          <w:p w14:paraId="3B56FF98" w14:textId="2913CE0C" w:rsidR="004610C5" w:rsidRPr="009E3E90" w:rsidRDefault="004610C5" w:rsidP="00052A8A">
            <w:pPr>
              <w:spacing w:before="60" w:after="6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Par.</w:t>
            </w:r>
            <w:r w:rsidR="00D35EBE">
              <w:rPr>
                <w:rFonts w:asciiTheme="majorBidi" w:hAnsiTheme="majorBidi" w:cstheme="majorBidi"/>
                <w:b/>
                <w:bCs/>
                <w:sz w:val="18"/>
                <w:szCs w:val="18"/>
                <w:lang w:val="fr-FR"/>
              </w:rPr>
              <w:t> </w:t>
            </w:r>
            <w:r w:rsidRPr="009E3E90">
              <w:rPr>
                <w:rFonts w:asciiTheme="majorBidi" w:hAnsiTheme="majorBidi" w:cstheme="majorBidi"/>
                <w:b/>
                <w:bCs/>
                <w:sz w:val="18"/>
                <w:szCs w:val="18"/>
                <w:lang w:val="fr-FR"/>
              </w:rPr>
              <w:t>34</w:t>
            </w:r>
          </w:p>
        </w:tc>
        <w:tc>
          <w:tcPr>
            <w:tcW w:w="1515" w:type="dxa"/>
          </w:tcPr>
          <w:p w14:paraId="13983E71"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NO</w:t>
            </w:r>
            <w:r>
              <w:rPr>
                <w:rFonts w:asciiTheme="majorBidi" w:hAnsiTheme="majorBidi" w:cstheme="majorBidi"/>
                <w:sz w:val="18"/>
                <w:szCs w:val="18"/>
                <w:lang w:val="fr-FR"/>
              </w:rPr>
              <w:t>N</w:t>
            </w:r>
          </w:p>
        </w:tc>
      </w:tr>
      <w:tr w:rsidR="00052A8A" w:rsidRPr="009E3E90" w14:paraId="0770A4D0" w14:textId="77777777" w:rsidTr="00052A8A">
        <w:tc>
          <w:tcPr>
            <w:tcW w:w="1633" w:type="dxa"/>
          </w:tcPr>
          <w:p w14:paraId="663109D9"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4.2.5.3</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TP1</w:t>
            </w:r>
          </w:p>
        </w:tc>
        <w:tc>
          <w:tcPr>
            <w:tcW w:w="1294" w:type="dxa"/>
          </w:tcPr>
          <w:p w14:paraId="0253C8B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6346CF4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(2)</w:t>
            </w:r>
          </w:p>
        </w:tc>
        <w:tc>
          <w:tcPr>
            <w:tcW w:w="1299" w:type="dxa"/>
          </w:tcPr>
          <w:p w14:paraId="2E8A60E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 (2)</w:t>
            </w:r>
          </w:p>
        </w:tc>
        <w:tc>
          <w:tcPr>
            <w:tcW w:w="1367" w:type="dxa"/>
          </w:tcPr>
          <w:p w14:paraId="0DB4A92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6C932B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4FAAE374" w14:textId="358CA51F"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35</w:t>
            </w:r>
          </w:p>
        </w:tc>
        <w:tc>
          <w:tcPr>
            <w:tcW w:w="1515" w:type="dxa"/>
          </w:tcPr>
          <w:p w14:paraId="69E4BE9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436E8617" w14:textId="77777777" w:rsidTr="00052A8A">
        <w:tc>
          <w:tcPr>
            <w:tcW w:w="1633" w:type="dxa"/>
          </w:tcPr>
          <w:p w14:paraId="076F8001"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4.2.5.3</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TP2</w:t>
            </w:r>
          </w:p>
        </w:tc>
        <w:tc>
          <w:tcPr>
            <w:tcW w:w="1294" w:type="dxa"/>
          </w:tcPr>
          <w:p w14:paraId="5B8E61E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004FD0D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(2)</w:t>
            </w:r>
          </w:p>
        </w:tc>
        <w:tc>
          <w:tcPr>
            <w:tcW w:w="1299" w:type="dxa"/>
          </w:tcPr>
          <w:p w14:paraId="110A7DE1"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 (2)</w:t>
            </w:r>
          </w:p>
        </w:tc>
        <w:tc>
          <w:tcPr>
            <w:tcW w:w="1367" w:type="dxa"/>
          </w:tcPr>
          <w:p w14:paraId="5A8BCAB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FEC127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5E8C6E2A" w14:textId="06B5196A"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36</w:t>
            </w:r>
          </w:p>
        </w:tc>
        <w:tc>
          <w:tcPr>
            <w:tcW w:w="1515" w:type="dxa"/>
          </w:tcPr>
          <w:p w14:paraId="4C6B176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6F05612" w14:textId="77777777" w:rsidTr="00052A8A">
        <w:tc>
          <w:tcPr>
            <w:tcW w:w="1633" w:type="dxa"/>
          </w:tcPr>
          <w:p w14:paraId="021B03DD"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4.2.5.3</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TP3</w:t>
            </w:r>
          </w:p>
        </w:tc>
        <w:tc>
          <w:tcPr>
            <w:tcW w:w="1294" w:type="dxa"/>
          </w:tcPr>
          <w:p w14:paraId="616FF12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300" w:type="dxa"/>
          </w:tcPr>
          <w:p w14:paraId="1E83440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 (2)</w:t>
            </w:r>
          </w:p>
        </w:tc>
        <w:tc>
          <w:tcPr>
            <w:tcW w:w="1299" w:type="dxa"/>
          </w:tcPr>
          <w:p w14:paraId="2CD5AFB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 (2)</w:t>
            </w:r>
          </w:p>
        </w:tc>
        <w:tc>
          <w:tcPr>
            <w:tcW w:w="1367" w:type="dxa"/>
          </w:tcPr>
          <w:p w14:paraId="1CC3AE6B"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1A0700A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19B1194E" w14:textId="4F0DF19A"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37</w:t>
            </w:r>
          </w:p>
        </w:tc>
        <w:tc>
          <w:tcPr>
            <w:tcW w:w="1515" w:type="dxa"/>
          </w:tcPr>
          <w:p w14:paraId="3A248AD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231D2C9" w14:textId="77777777" w:rsidTr="00052A8A">
        <w:tc>
          <w:tcPr>
            <w:tcW w:w="1633" w:type="dxa"/>
          </w:tcPr>
          <w:p w14:paraId="6D22A7D5"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4.2.5.3</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TP4</w:t>
            </w:r>
          </w:p>
        </w:tc>
        <w:tc>
          <w:tcPr>
            <w:tcW w:w="1294" w:type="dxa"/>
          </w:tcPr>
          <w:p w14:paraId="658D988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0421608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0F8069E5"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4C6B23AC"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4544612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6B4F6BE1" w14:textId="77BB48E5"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38</w:t>
            </w:r>
          </w:p>
        </w:tc>
        <w:tc>
          <w:tcPr>
            <w:tcW w:w="1515" w:type="dxa"/>
          </w:tcPr>
          <w:p w14:paraId="60EA93B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767EE308" w14:textId="77777777" w:rsidTr="00052A8A">
        <w:tc>
          <w:tcPr>
            <w:tcW w:w="1633" w:type="dxa"/>
          </w:tcPr>
          <w:p w14:paraId="6C7033CC" w14:textId="77777777" w:rsidR="004610C5" w:rsidRPr="009C61A8" w:rsidRDefault="004610C5" w:rsidP="00052A8A">
            <w:pPr>
              <w:spacing w:before="60" w:after="60"/>
              <w:ind w:left="57" w:right="57"/>
              <w:rPr>
                <w:rFonts w:asciiTheme="majorBidi" w:hAnsiTheme="majorBidi" w:cstheme="majorBidi"/>
                <w:sz w:val="18"/>
                <w:szCs w:val="18"/>
                <w:highlight w:val="yellow"/>
                <w:lang w:val="fr-FR"/>
              </w:rPr>
            </w:pPr>
            <w:r w:rsidRPr="009C61A8">
              <w:rPr>
                <w:rFonts w:asciiTheme="majorBidi" w:hAnsiTheme="majorBidi" w:cstheme="majorBidi"/>
                <w:sz w:val="18"/>
                <w:szCs w:val="18"/>
                <w:lang w:val="fr-FR"/>
              </w:rPr>
              <w:t>4.2.5.3 TP5</w:t>
            </w:r>
          </w:p>
        </w:tc>
        <w:tc>
          <w:tcPr>
            <w:tcW w:w="1294" w:type="dxa"/>
          </w:tcPr>
          <w:p w14:paraId="277FFD9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743053A8"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tc>
        <w:tc>
          <w:tcPr>
            <w:tcW w:w="1299" w:type="dxa"/>
          </w:tcPr>
          <w:p w14:paraId="7D065102"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tc>
        <w:tc>
          <w:tcPr>
            <w:tcW w:w="1367" w:type="dxa"/>
          </w:tcPr>
          <w:p w14:paraId="765EB90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Filling ratio</w:t>
            </w:r>
          </w:p>
          <w:p w14:paraId="2AED32C3" w14:textId="6A9C7D50"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1</w:t>
            </w:r>
            <w:r w:rsidRPr="009E3E90">
              <w:rPr>
                <w:rFonts w:asciiTheme="majorBidi" w:hAnsiTheme="majorBidi" w:cstheme="majorBidi"/>
                <w:b/>
                <w:bCs/>
                <w:color w:val="000000" w:themeColor="text1"/>
                <w:sz w:val="18"/>
                <w:szCs w:val="18"/>
              </w:rPr>
              <w:t>8</w:t>
            </w:r>
          </w:p>
        </w:tc>
        <w:tc>
          <w:tcPr>
            <w:tcW w:w="1367" w:type="dxa"/>
          </w:tcPr>
          <w:p w14:paraId="68C127F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515" w:type="dxa"/>
          </w:tcPr>
          <w:p w14:paraId="55285493"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Razón de llenado</w:t>
            </w:r>
          </w:p>
          <w:p w14:paraId="07417DAC" w14:textId="77777777"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 xml:space="preserve">Par. </w:t>
            </w:r>
            <w:r w:rsidRPr="009E3E90">
              <w:rPr>
                <w:rFonts w:asciiTheme="majorBidi" w:hAnsiTheme="majorBidi" w:cstheme="majorBidi"/>
                <w:b/>
                <w:bCs/>
                <w:color w:val="000000" w:themeColor="text1"/>
                <w:sz w:val="18"/>
                <w:szCs w:val="18"/>
              </w:rPr>
              <w:t>51</w:t>
            </w:r>
          </w:p>
        </w:tc>
      </w:tr>
      <w:tr w:rsidR="00052A8A" w:rsidRPr="009E3E90" w14:paraId="089CC680" w14:textId="77777777" w:rsidTr="00052A8A">
        <w:tc>
          <w:tcPr>
            <w:tcW w:w="1633" w:type="dxa"/>
          </w:tcPr>
          <w:p w14:paraId="7CD8A8E8"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6.1.5.5.4 a)</w:t>
            </w:r>
          </w:p>
        </w:tc>
        <w:tc>
          <w:tcPr>
            <w:tcW w:w="1294" w:type="dxa"/>
          </w:tcPr>
          <w:p w14:paraId="1ED4C7F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64090A8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p w14:paraId="49E6B4AA" w14:textId="77777777" w:rsidR="004610C5" w:rsidRPr="009E3E90" w:rsidRDefault="004610C5" w:rsidP="00052A8A">
            <w:pPr>
              <w:spacing w:before="60" w:after="60"/>
              <w:ind w:left="57" w:right="57"/>
              <w:rPr>
                <w:rFonts w:asciiTheme="majorBidi" w:hAnsiTheme="majorBidi" w:cstheme="majorBidi"/>
                <w:sz w:val="18"/>
                <w:szCs w:val="18"/>
              </w:rPr>
            </w:pPr>
          </w:p>
        </w:tc>
        <w:tc>
          <w:tcPr>
            <w:tcW w:w="1299" w:type="dxa"/>
          </w:tcPr>
          <w:p w14:paraId="32ADB7B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w:t>
            </w:r>
          </w:p>
        </w:tc>
        <w:tc>
          <w:tcPr>
            <w:tcW w:w="1367" w:type="dxa"/>
          </w:tcPr>
          <w:p w14:paraId="4D6EF9F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35797CC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09E77059" w14:textId="2FB3E9F5"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39</w:t>
            </w:r>
          </w:p>
        </w:tc>
        <w:tc>
          <w:tcPr>
            <w:tcW w:w="1515" w:type="dxa"/>
          </w:tcPr>
          <w:p w14:paraId="0ECDCF7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0F1536F2" w14:textId="77777777" w:rsidTr="00052A8A">
        <w:tc>
          <w:tcPr>
            <w:tcW w:w="1633" w:type="dxa"/>
          </w:tcPr>
          <w:p w14:paraId="0177CDCF"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6.5.5.1.7</w:t>
            </w:r>
          </w:p>
        </w:tc>
        <w:tc>
          <w:tcPr>
            <w:tcW w:w="1294" w:type="dxa"/>
          </w:tcPr>
          <w:p w14:paraId="6C1F1F3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00FE6B5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 xml:space="preserve">Taux de remplissage </w:t>
            </w:r>
          </w:p>
          <w:p w14:paraId="3B68912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maximal</w:t>
            </w:r>
          </w:p>
        </w:tc>
        <w:tc>
          <w:tcPr>
            <w:tcW w:w="1299" w:type="dxa"/>
          </w:tcPr>
          <w:p w14:paraId="3594F62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w:t>
            </w:r>
          </w:p>
        </w:tc>
        <w:tc>
          <w:tcPr>
            <w:tcW w:w="1367" w:type="dxa"/>
          </w:tcPr>
          <w:p w14:paraId="2EB541CA"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7AA9BE9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5D02A43D" w14:textId="71E1AD0C"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40</w:t>
            </w:r>
          </w:p>
        </w:tc>
        <w:tc>
          <w:tcPr>
            <w:tcW w:w="1515" w:type="dxa"/>
          </w:tcPr>
          <w:p w14:paraId="4963A74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5602FAD3" w14:textId="77777777" w:rsidTr="00052A8A">
        <w:tc>
          <w:tcPr>
            <w:tcW w:w="1633" w:type="dxa"/>
          </w:tcPr>
          <w:p w14:paraId="3BE9A7D3"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6.5.6.8.4.2 b) i)</w:t>
            </w:r>
          </w:p>
        </w:tc>
        <w:tc>
          <w:tcPr>
            <w:tcW w:w="1294" w:type="dxa"/>
          </w:tcPr>
          <w:p w14:paraId="0DD80F3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300" w:type="dxa"/>
          </w:tcPr>
          <w:p w14:paraId="34CB6D7E"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p w14:paraId="7B34586E" w14:textId="77777777" w:rsidR="004610C5" w:rsidRPr="009E3E90" w:rsidRDefault="004610C5" w:rsidP="00052A8A">
            <w:pPr>
              <w:spacing w:before="60" w:after="60"/>
              <w:ind w:left="57" w:right="57"/>
              <w:rPr>
                <w:rFonts w:asciiTheme="majorBidi" w:hAnsiTheme="majorBidi" w:cstheme="majorBidi"/>
                <w:sz w:val="18"/>
                <w:szCs w:val="18"/>
              </w:rPr>
            </w:pPr>
          </w:p>
        </w:tc>
        <w:tc>
          <w:tcPr>
            <w:tcW w:w="1299" w:type="dxa"/>
          </w:tcPr>
          <w:p w14:paraId="2231761D"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máximo de llenado</w:t>
            </w:r>
          </w:p>
        </w:tc>
        <w:tc>
          <w:tcPr>
            <w:tcW w:w="1367" w:type="dxa"/>
          </w:tcPr>
          <w:p w14:paraId="5E8CFDA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c>
          <w:tcPr>
            <w:tcW w:w="1367" w:type="dxa"/>
          </w:tcPr>
          <w:p w14:paraId="61EB64E0"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Degré de remplissage</w:t>
            </w:r>
          </w:p>
          <w:p w14:paraId="1E89DF96" w14:textId="39D72C87"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41</w:t>
            </w:r>
          </w:p>
        </w:tc>
        <w:tc>
          <w:tcPr>
            <w:tcW w:w="1515" w:type="dxa"/>
          </w:tcPr>
          <w:p w14:paraId="2A533AC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NO</w:t>
            </w:r>
            <w:r>
              <w:rPr>
                <w:rFonts w:asciiTheme="majorBidi" w:hAnsiTheme="majorBidi" w:cstheme="majorBidi"/>
                <w:sz w:val="18"/>
                <w:szCs w:val="18"/>
              </w:rPr>
              <w:t>N</w:t>
            </w:r>
          </w:p>
        </w:tc>
      </w:tr>
      <w:tr w:rsidR="00052A8A" w:rsidRPr="009E3E90" w14:paraId="2AA0EBE7" w14:textId="77777777" w:rsidTr="00052A8A">
        <w:trPr>
          <w:trHeight w:val="800"/>
        </w:trPr>
        <w:tc>
          <w:tcPr>
            <w:tcW w:w="1633" w:type="dxa"/>
          </w:tcPr>
          <w:p w14:paraId="4B5D4745"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6.7.4.15.1</w:t>
            </w:r>
            <w:r>
              <w:rPr>
                <w:rFonts w:asciiTheme="majorBidi" w:hAnsiTheme="majorBidi" w:cstheme="majorBidi"/>
                <w:sz w:val="18"/>
                <w:szCs w:val="18"/>
                <w:lang w:val="fr-FR"/>
              </w:rPr>
              <w:t xml:space="preserve"> </w:t>
            </w:r>
            <w:r w:rsidRPr="009C61A8">
              <w:rPr>
                <w:rFonts w:asciiTheme="majorBidi" w:hAnsiTheme="majorBidi" w:cstheme="majorBidi"/>
                <w:sz w:val="18"/>
                <w:szCs w:val="18"/>
                <w:lang w:val="fr-FR"/>
              </w:rPr>
              <w:t>i) iv)</w:t>
            </w:r>
          </w:p>
        </w:tc>
        <w:tc>
          <w:tcPr>
            <w:tcW w:w="1294" w:type="dxa"/>
          </w:tcPr>
          <w:p w14:paraId="5483FB01" w14:textId="77777777" w:rsidR="004610C5" w:rsidRPr="009E3E90" w:rsidRDefault="004610C5" w:rsidP="00052A8A">
            <w:pPr>
              <w:spacing w:before="60" w:after="60"/>
              <w:ind w:left="57" w:right="57"/>
              <w:rPr>
                <w:rFonts w:asciiTheme="majorBidi" w:hAnsiTheme="majorBidi" w:cstheme="majorBidi"/>
                <w:sz w:val="18"/>
                <w:szCs w:val="18"/>
                <w:vertAlign w:val="superscript"/>
                <w:lang w:val="en-GB"/>
              </w:rPr>
            </w:pPr>
            <w:r w:rsidRPr="009E3E90">
              <w:rPr>
                <w:rFonts w:asciiTheme="majorBidi" w:hAnsiTheme="majorBidi" w:cstheme="majorBidi"/>
                <w:sz w:val="18"/>
                <w:szCs w:val="18"/>
                <w:lang w:val="en-GB"/>
              </w:rPr>
              <w:t>Degree of filling (in kg)</w:t>
            </w:r>
            <w:r w:rsidRPr="009E3E90">
              <w:rPr>
                <w:rFonts w:asciiTheme="majorBidi" w:hAnsiTheme="majorBidi" w:cstheme="majorBidi"/>
                <w:sz w:val="18"/>
                <w:szCs w:val="18"/>
                <w:vertAlign w:val="superscript"/>
                <w:lang w:val="en-GB"/>
              </w:rPr>
              <w:t>3</w:t>
            </w:r>
          </w:p>
        </w:tc>
        <w:tc>
          <w:tcPr>
            <w:tcW w:w="1300" w:type="dxa"/>
          </w:tcPr>
          <w:p w14:paraId="66414681" w14:textId="77777777" w:rsidR="004610C5" w:rsidRPr="009E3E90" w:rsidRDefault="004610C5" w:rsidP="00052A8A">
            <w:pPr>
              <w:spacing w:before="60" w:after="60"/>
              <w:ind w:left="57" w:right="57"/>
              <w:rPr>
                <w:rFonts w:asciiTheme="majorBidi" w:hAnsiTheme="majorBidi" w:cstheme="majorBidi"/>
                <w:sz w:val="18"/>
                <w:szCs w:val="18"/>
                <w:lang w:val="fr-FR"/>
              </w:rPr>
            </w:pPr>
            <w:r w:rsidRPr="009E3E90">
              <w:rPr>
                <w:rFonts w:asciiTheme="majorBidi" w:hAnsiTheme="majorBidi" w:cstheme="majorBidi"/>
                <w:sz w:val="18"/>
                <w:szCs w:val="18"/>
                <w:lang w:val="fr-FR"/>
              </w:rPr>
              <w:t xml:space="preserve">Taux de remplissage </w:t>
            </w:r>
          </w:p>
          <w:p w14:paraId="713AA757" w14:textId="77777777" w:rsidR="004610C5" w:rsidRPr="009E3E90" w:rsidRDefault="004610C5" w:rsidP="00052A8A">
            <w:pPr>
              <w:spacing w:before="60" w:after="60"/>
              <w:ind w:left="57" w:right="57"/>
              <w:rPr>
                <w:rFonts w:asciiTheme="majorBidi" w:hAnsiTheme="majorBidi" w:cstheme="majorBidi"/>
                <w:sz w:val="18"/>
                <w:szCs w:val="18"/>
                <w:vertAlign w:val="superscript"/>
                <w:lang w:val="fr-FR"/>
              </w:rPr>
            </w:pPr>
            <w:r w:rsidRPr="009E3E90">
              <w:rPr>
                <w:rFonts w:asciiTheme="majorBidi" w:hAnsiTheme="majorBidi" w:cstheme="majorBidi"/>
                <w:sz w:val="18"/>
                <w:szCs w:val="18"/>
                <w:lang w:val="fr-FR"/>
              </w:rPr>
              <w:t>(en kg)</w:t>
            </w:r>
            <w:r w:rsidRPr="009E3E90">
              <w:rPr>
                <w:rFonts w:asciiTheme="majorBidi" w:hAnsiTheme="majorBidi" w:cstheme="majorBidi"/>
                <w:sz w:val="18"/>
                <w:szCs w:val="18"/>
                <w:vertAlign w:val="superscript"/>
                <w:lang w:val="fr-FR"/>
              </w:rPr>
              <w:t>3</w:t>
            </w:r>
          </w:p>
        </w:tc>
        <w:tc>
          <w:tcPr>
            <w:tcW w:w="1299" w:type="dxa"/>
          </w:tcPr>
          <w:p w14:paraId="7232A4B2" w14:textId="77777777" w:rsidR="004610C5" w:rsidRPr="004473AE" w:rsidRDefault="004610C5" w:rsidP="00052A8A">
            <w:pPr>
              <w:spacing w:before="60" w:after="60"/>
              <w:ind w:left="57" w:right="57"/>
              <w:rPr>
                <w:rFonts w:asciiTheme="majorBidi" w:hAnsiTheme="majorBidi" w:cstheme="majorBidi"/>
                <w:sz w:val="18"/>
                <w:szCs w:val="18"/>
                <w:vertAlign w:val="superscript"/>
                <w:lang w:val="es-ES_tradnl"/>
              </w:rPr>
            </w:pPr>
            <w:r w:rsidRPr="004473AE">
              <w:rPr>
                <w:rFonts w:asciiTheme="majorBidi" w:hAnsiTheme="majorBidi" w:cstheme="majorBidi"/>
                <w:sz w:val="18"/>
                <w:szCs w:val="18"/>
                <w:lang w:val="es-ES_tradnl"/>
              </w:rPr>
              <w:t>Grado  de llenado(en kg)</w:t>
            </w:r>
            <w:r w:rsidRPr="004473AE">
              <w:rPr>
                <w:rFonts w:asciiTheme="majorBidi" w:hAnsiTheme="majorBidi" w:cstheme="majorBidi"/>
                <w:sz w:val="18"/>
                <w:szCs w:val="18"/>
                <w:vertAlign w:val="superscript"/>
                <w:lang w:val="es-ES_tradnl"/>
              </w:rPr>
              <w:t>3</w:t>
            </w:r>
          </w:p>
        </w:tc>
        <w:tc>
          <w:tcPr>
            <w:tcW w:w="1367" w:type="dxa"/>
          </w:tcPr>
          <w:p w14:paraId="1BE536AE" w14:textId="77777777" w:rsidR="004610C5" w:rsidRPr="009E3E90" w:rsidRDefault="004610C5" w:rsidP="00052A8A">
            <w:pPr>
              <w:spacing w:before="60" w:after="60"/>
              <w:ind w:left="57" w:right="57"/>
              <w:rPr>
                <w:rFonts w:asciiTheme="majorBidi" w:hAnsiTheme="majorBidi" w:cstheme="majorBidi"/>
                <w:sz w:val="18"/>
                <w:szCs w:val="18"/>
                <w:vertAlign w:val="superscript"/>
                <w:lang w:val="en-GB"/>
              </w:rPr>
            </w:pPr>
            <w:r w:rsidRPr="009E3E90">
              <w:rPr>
                <w:rFonts w:asciiTheme="majorBidi" w:hAnsiTheme="majorBidi" w:cstheme="majorBidi"/>
                <w:sz w:val="18"/>
                <w:szCs w:val="18"/>
                <w:lang w:val="en-GB"/>
              </w:rPr>
              <w:t>Filling ratio (in kg/gas/kg water)</w:t>
            </w:r>
            <w:r w:rsidRPr="009E3E90">
              <w:rPr>
                <w:rFonts w:asciiTheme="majorBidi" w:hAnsiTheme="majorBidi" w:cstheme="majorBidi"/>
                <w:sz w:val="18"/>
                <w:szCs w:val="18"/>
                <w:vertAlign w:val="superscript"/>
                <w:lang w:val="en-GB"/>
              </w:rPr>
              <w:t>3</w:t>
            </w:r>
          </w:p>
          <w:p w14:paraId="436F67FC" w14:textId="61E96A4F"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19</w:t>
            </w:r>
          </w:p>
        </w:tc>
        <w:tc>
          <w:tcPr>
            <w:tcW w:w="1367" w:type="dxa"/>
          </w:tcPr>
          <w:p w14:paraId="23F4FFEC" w14:textId="77777777" w:rsidR="004610C5" w:rsidRPr="009E3E90" w:rsidRDefault="004610C5" w:rsidP="00052A8A">
            <w:pPr>
              <w:spacing w:before="60" w:after="60"/>
              <w:ind w:left="57" w:right="57"/>
              <w:rPr>
                <w:rFonts w:asciiTheme="majorBidi" w:hAnsiTheme="majorBidi" w:cstheme="majorBidi"/>
                <w:bCs/>
                <w:sz w:val="18"/>
                <w:szCs w:val="18"/>
                <w:vertAlign w:val="superscript"/>
                <w:lang w:val="de-DE"/>
              </w:rPr>
            </w:pPr>
            <w:r w:rsidRPr="009E3E90">
              <w:rPr>
                <w:rFonts w:asciiTheme="majorBidi" w:hAnsiTheme="majorBidi" w:cstheme="majorBidi"/>
                <w:bCs/>
                <w:sz w:val="18"/>
                <w:szCs w:val="18"/>
                <w:lang w:val="de-DE"/>
              </w:rPr>
              <w:t>(en kg</w:t>
            </w:r>
            <w:r>
              <w:rPr>
                <w:rFonts w:asciiTheme="majorBidi" w:hAnsiTheme="majorBidi" w:cstheme="majorBidi"/>
                <w:bCs/>
                <w:sz w:val="18"/>
                <w:szCs w:val="18"/>
                <w:lang w:val="de-DE"/>
              </w:rPr>
              <w:t xml:space="preserve"> de </w:t>
            </w:r>
            <w:r w:rsidRPr="009E3E90">
              <w:rPr>
                <w:rFonts w:asciiTheme="majorBidi" w:hAnsiTheme="majorBidi" w:cstheme="majorBidi"/>
                <w:bCs/>
                <w:sz w:val="18"/>
                <w:szCs w:val="18"/>
                <w:lang w:val="de-DE"/>
              </w:rPr>
              <w:t>ga</w:t>
            </w:r>
            <w:r>
              <w:rPr>
                <w:rFonts w:asciiTheme="majorBidi" w:hAnsiTheme="majorBidi" w:cstheme="majorBidi"/>
                <w:bCs/>
                <w:sz w:val="18"/>
                <w:szCs w:val="18"/>
                <w:lang w:val="de-DE"/>
              </w:rPr>
              <w:t>z</w:t>
            </w:r>
            <w:r w:rsidRPr="009E3E90">
              <w:rPr>
                <w:rFonts w:asciiTheme="majorBidi" w:hAnsiTheme="majorBidi" w:cstheme="majorBidi"/>
                <w:bCs/>
                <w:sz w:val="18"/>
                <w:szCs w:val="18"/>
                <w:lang w:val="de-DE"/>
              </w:rPr>
              <w:t xml:space="preserve">/kg </w:t>
            </w:r>
            <w:r>
              <w:rPr>
                <w:rFonts w:asciiTheme="majorBidi" w:hAnsiTheme="majorBidi" w:cstheme="majorBidi"/>
                <w:bCs/>
                <w:sz w:val="18"/>
                <w:szCs w:val="18"/>
                <w:lang w:val="de-DE"/>
              </w:rPr>
              <w:t>d’</w:t>
            </w:r>
            <w:r w:rsidRPr="009E3E90">
              <w:rPr>
                <w:rFonts w:asciiTheme="majorBidi" w:hAnsiTheme="majorBidi" w:cstheme="majorBidi"/>
                <w:bCs/>
                <w:sz w:val="18"/>
                <w:szCs w:val="18"/>
                <w:lang w:val="de-DE"/>
              </w:rPr>
              <w:t>eau)</w:t>
            </w:r>
            <w:r w:rsidRPr="00D35EBE">
              <w:rPr>
                <w:rFonts w:asciiTheme="majorBidi" w:hAnsiTheme="majorBidi" w:cstheme="majorBidi"/>
                <w:bCs/>
                <w:sz w:val="18"/>
                <w:szCs w:val="18"/>
                <w:vertAlign w:val="superscript"/>
                <w:lang w:val="de-DE"/>
              </w:rPr>
              <w:t>3</w:t>
            </w:r>
          </w:p>
          <w:p w14:paraId="090ABE41" w14:textId="789E3F83" w:rsidR="004610C5" w:rsidRPr="009E3E90" w:rsidRDefault="004610C5" w:rsidP="00052A8A">
            <w:pPr>
              <w:spacing w:before="60" w:after="60"/>
              <w:ind w:left="57" w:right="57"/>
              <w:rPr>
                <w:rFonts w:asciiTheme="majorBidi" w:hAnsiTheme="majorBidi" w:cstheme="majorBidi"/>
                <w:b/>
                <w:bCs/>
                <w:sz w:val="18"/>
                <w:szCs w:val="18"/>
                <w:vertAlign w:val="superscript"/>
                <w:lang w:val="fr-FR"/>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sz w:val="18"/>
                <w:szCs w:val="18"/>
              </w:rPr>
              <w:t>42</w:t>
            </w:r>
          </w:p>
        </w:tc>
        <w:tc>
          <w:tcPr>
            <w:tcW w:w="1515" w:type="dxa"/>
          </w:tcPr>
          <w:p w14:paraId="7C317BF5" w14:textId="77777777" w:rsidR="004610C5" w:rsidRPr="004473AE" w:rsidRDefault="004610C5" w:rsidP="00052A8A">
            <w:pPr>
              <w:spacing w:before="60" w:after="60"/>
              <w:ind w:left="57" w:right="57"/>
              <w:rPr>
                <w:rFonts w:asciiTheme="majorBidi" w:hAnsiTheme="majorBidi" w:cstheme="majorBidi"/>
                <w:sz w:val="18"/>
                <w:szCs w:val="18"/>
                <w:vertAlign w:val="superscript"/>
                <w:lang w:val="es-ES_tradnl"/>
              </w:rPr>
            </w:pPr>
            <w:r w:rsidRPr="004473AE">
              <w:rPr>
                <w:rFonts w:asciiTheme="majorBidi" w:hAnsiTheme="majorBidi" w:cstheme="majorBidi"/>
                <w:sz w:val="18"/>
                <w:szCs w:val="18"/>
                <w:lang w:val="es-ES_tradnl"/>
              </w:rPr>
              <w:t>Razón de llenado  (en kg/gas/kg/agua)</w:t>
            </w:r>
            <w:r w:rsidRPr="004473AE">
              <w:rPr>
                <w:rFonts w:asciiTheme="majorBidi" w:hAnsiTheme="majorBidi" w:cstheme="majorBidi"/>
                <w:sz w:val="18"/>
                <w:szCs w:val="18"/>
                <w:vertAlign w:val="superscript"/>
                <w:lang w:val="es-ES_tradnl"/>
              </w:rPr>
              <w:t>3</w:t>
            </w:r>
          </w:p>
          <w:p w14:paraId="116D56A0" w14:textId="2EC47DF0"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52</w:t>
            </w:r>
          </w:p>
        </w:tc>
      </w:tr>
      <w:tr w:rsidR="00052A8A" w:rsidRPr="009E3E90" w14:paraId="09DB89FC" w14:textId="77777777" w:rsidTr="00052A8A">
        <w:trPr>
          <w:trHeight w:val="800"/>
        </w:trPr>
        <w:tc>
          <w:tcPr>
            <w:tcW w:w="1633" w:type="dxa"/>
          </w:tcPr>
          <w:p w14:paraId="7A86C419" w14:textId="77777777" w:rsidR="004610C5" w:rsidRPr="009C61A8" w:rsidRDefault="004610C5" w:rsidP="00052A8A">
            <w:pPr>
              <w:spacing w:before="60" w:after="60"/>
              <w:ind w:left="57" w:right="57"/>
              <w:rPr>
                <w:rFonts w:asciiTheme="majorBidi" w:hAnsiTheme="majorBidi" w:cstheme="majorBidi"/>
                <w:sz w:val="18"/>
                <w:szCs w:val="18"/>
                <w:lang w:val="fr-FR"/>
              </w:rPr>
            </w:pPr>
            <w:r w:rsidRPr="009C61A8">
              <w:rPr>
                <w:rFonts w:asciiTheme="majorBidi" w:hAnsiTheme="majorBidi" w:cstheme="majorBidi"/>
                <w:sz w:val="18"/>
                <w:szCs w:val="18"/>
                <w:lang w:val="fr-FR"/>
              </w:rPr>
              <w:t>Figure 6.7.4.15.1</w:t>
            </w:r>
            <w:r>
              <w:rPr>
                <w:rFonts w:asciiTheme="majorBidi" w:hAnsiTheme="majorBidi" w:cstheme="majorBidi"/>
                <w:sz w:val="18"/>
                <w:szCs w:val="18"/>
                <w:lang w:val="fr-FR"/>
              </w:rPr>
              <w:t>,</w:t>
            </w:r>
            <w:r w:rsidRPr="009C61A8">
              <w:rPr>
                <w:rFonts w:asciiTheme="majorBidi" w:hAnsiTheme="majorBidi" w:cstheme="majorBidi"/>
                <w:sz w:val="18"/>
                <w:szCs w:val="18"/>
                <w:lang w:val="fr-FR"/>
              </w:rPr>
              <w:t xml:space="preserve"> </w:t>
            </w:r>
          </w:p>
          <w:p w14:paraId="1F1DE25A" w14:textId="77777777" w:rsidR="004610C5" w:rsidRPr="009C61A8" w:rsidRDefault="004610C5" w:rsidP="00052A8A">
            <w:pPr>
              <w:spacing w:before="60" w:after="60"/>
              <w:ind w:left="57" w:right="57"/>
              <w:rPr>
                <w:rFonts w:asciiTheme="majorBidi" w:hAnsiTheme="majorBidi" w:cstheme="majorBidi"/>
                <w:sz w:val="18"/>
                <w:szCs w:val="18"/>
                <w:lang w:val="fr-FR"/>
              </w:rPr>
            </w:pPr>
            <w:r>
              <w:rPr>
                <w:rFonts w:asciiTheme="majorBidi" w:hAnsiTheme="majorBidi" w:cstheme="majorBidi"/>
                <w:sz w:val="18"/>
                <w:szCs w:val="18"/>
                <w:lang w:val="fr-FR"/>
              </w:rPr>
              <w:t>Temps de retenue</w:t>
            </w:r>
          </w:p>
        </w:tc>
        <w:tc>
          <w:tcPr>
            <w:tcW w:w="1294" w:type="dxa"/>
          </w:tcPr>
          <w:p w14:paraId="5881667E"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 xml:space="preserve">Degree of filling </w:t>
            </w:r>
          </w:p>
          <w:p w14:paraId="7745DAC5"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kg</w:t>
            </w:r>
          </w:p>
        </w:tc>
        <w:tc>
          <w:tcPr>
            <w:tcW w:w="1300" w:type="dxa"/>
          </w:tcPr>
          <w:p w14:paraId="4DE6A017"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Taux de remplissage</w:t>
            </w:r>
          </w:p>
          <w:p w14:paraId="23987B2F"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kg</w:t>
            </w:r>
          </w:p>
        </w:tc>
        <w:tc>
          <w:tcPr>
            <w:tcW w:w="1299" w:type="dxa"/>
          </w:tcPr>
          <w:p w14:paraId="2BBA71F9"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Grado de llenado</w:t>
            </w:r>
          </w:p>
          <w:p w14:paraId="2AB32444" w14:textId="77777777" w:rsidR="004610C5" w:rsidRPr="009E3E90" w:rsidRDefault="004610C5" w:rsidP="00052A8A">
            <w:pPr>
              <w:spacing w:before="60" w:after="60"/>
              <w:ind w:left="57" w:right="57"/>
              <w:rPr>
                <w:rFonts w:asciiTheme="majorBidi" w:hAnsiTheme="majorBidi" w:cstheme="majorBidi"/>
                <w:sz w:val="18"/>
                <w:szCs w:val="18"/>
              </w:rPr>
            </w:pPr>
            <w:r w:rsidRPr="009E3E90">
              <w:rPr>
                <w:rFonts w:asciiTheme="majorBidi" w:hAnsiTheme="majorBidi" w:cstheme="majorBidi"/>
                <w:sz w:val="18"/>
                <w:szCs w:val="18"/>
              </w:rPr>
              <w:t>kg</w:t>
            </w:r>
          </w:p>
        </w:tc>
        <w:tc>
          <w:tcPr>
            <w:tcW w:w="1367" w:type="dxa"/>
          </w:tcPr>
          <w:p w14:paraId="35831122"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Filling ratio.</w:t>
            </w:r>
          </w:p>
          <w:p w14:paraId="00350352" w14:textId="77777777" w:rsidR="004610C5" w:rsidRPr="009E3E90" w:rsidRDefault="004610C5" w:rsidP="00052A8A">
            <w:pPr>
              <w:spacing w:before="60" w:after="60"/>
              <w:ind w:left="57" w:right="57"/>
              <w:rPr>
                <w:rFonts w:asciiTheme="majorBidi" w:hAnsiTheme="majorBidi" w:cstheme="majorBidi"/>
                <w:sz w:val="18"/>
                <w:szCs w:val="18"/>
                <w:lang w:val="en-GB"/>
              </w:rPr>
            </w:pPr>
            <w:r w:rsidRPr="009E3E90">
              <w:rPr>
                <w:rFonts w:asciiTheme="majorBidi" w:hAnsiTheme="majorBidi" w:cstheme="majorBidi"/>
                <w:sz w:val="18"/>
                <w:szCs w:val="18"/>
                <w:lang w:val="en-GB"/>
              </w:rPr>
              <w:t>kg/gas/kg water</w:t>
            </w:r>
          </w:p>
          <w:p w14:paraId="0CCD1C96" w14:textId="3E40BC1B"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20</w:t>
            </w:r>
          </w:p>
        </w:tc>
        <w:tc>
          <w:tcPr>
            <w:tcW w:w="1367" w:type="dxa"/>
          </w:tcPr>
          <w:p w14:paraId="33CE5806" w14:textId="77777777" w:rsidR="004610C5" w:rsidRPr="009E3E90" w:rsidRDefault="004610C5" w:rsidP="00052A8A">
            <w:pPr>
              <w:spacing w:before="60" w:after="60"/>
              <w:ind w:left="57" w:right="57"/>
              <w:rPr>
                <w:rFonts w:asciiTheme="majorBidi" w:hAnsiTheme="majorBidi" w:cstheme="majorBidi"/>
                <w:bCs/>
                <w:sz w:val="18"/>
                <w:szCs w:val="18"/>
                <w:lang w:val="fr-FR"/>
              </w:rPr>
            </w:pPr>
            <w:r w:rsidRPr="009E3E90">
              <w:rPr>
                <w:rFonts w:asciiTheme="majorBidi" w:hAnsiTheme="majorBidi" w:cstheme="majorBidi"/>
                <w:bCs/>
                <w:sz w:val="18"/>
                <w:szCs w:val="18"/>
                <w:lang w:val="fr-FR"/>
              </w:rPr>
              <w:t>kg</w:t>
            </w:r>
            <w:r>
              <w:rPr>
                <w:rFonts w:asciiTheme="majorBidi" w:hAnsiTheme="majorBidi" w:cstheme="majorBidi"/>
                <w:bCs/>
                <w:sz w:val="18"/>
                <w:szCs w:val="18"/>
                <w:lang w:val="fr-FR"/>
              </w:rPr>
              <w:t xml:space="preserve"> de </w:t>
            </w:r>
            <w:r w:rsidRPr="009E3E90">
              <w:rPr>
                <w:rFonts w:asciiTheme="majorBidi" w:hAnsiTheme="majorBidi" w:cstheme="majorBidi"/>
                <w:bCs/>
                <w:sz w:val="18"/>
                <w:szCs w:val="18"/>
                <w:lang w:val="fr-FR"/>
              </w:rPr>
              <w:t>ga</w:t>
            </w:r>
            <w:r>
              <w:rPr>
                <w:rFonts w:asciiTheme="majorBidi" w:hAnsiTheme="majorBidi" w:cstheme="majorBidi"/>
                <w:bCs/>
                <w:sz w:val="18"/>
                <w:szCs w:val="18"/>
                <w:lang w:val="fr-FR"/>
              </w:rPr>
              <w:t>z</w:t>
            </w:r>
            <w:r w:rsidRPr="009E3E90">
              <w:rPr>
                <w:rFonts w:asciiTheme="majorBidi" w:hAnsiTheme="majorBidi" w:cstheme="majorBidi"/>
                <w:bCs/>
                <w:sz w:val="18"/>
                <w:szCs w:val="18"/>
                <w:lang w:val="fr-FR"/>
              </w:rPr>
              <w:t>/kg</w:t>
            </w:r>
            <w:r>
              <w:rPr>
                <w:rFonts w:asciiTheme="majorBidi" w:hAnsiTheme="majorBidi" w:cstheme="majorBidi"/>
                <w:bCs/>
                <w:sz w:val="18"/>
                <w:szCs w:val="18"/>
                <w:lang w:val="fr-FR"/>
              </w:rPr>
              <w:t xml:space="preserve"> d’</w:t>
            </w:r>
            <w:r w:rsidRPr="009E3E90">
              <w:rPr>
                <w:rFonts w:asciiTheme="majorBidi" w:hAnsiTheme="majorBidi" w:cstheme="majorBidi"/>
                <w:bCs/>
                <w:sz w:val="18"/>
                <w:szCs w:val="18"/>
                <w:lang w:val="fr-FR"/>
              </w:rPr>
              <w:t>eau</w:t>
            </w:r>
          </w:p>
          <w:p w14:paraId="0E13A282" w14:textId="1C54EAF0" w:rsidR="004610C5" w:rsidRPr="009E3E90" w:rsidRDefault="004610C5" w:rsidP="00052A8A">
            <w:pPr>
              <w:spacing w:before="60" w:after="60"/>
              <w:ind w:left="57" w:right="57"/>
              <w:rPr>
                <w:rFonts w:asciiTheme="majorBidi" w:hAnsiTheme="majorBidi" w:cstheme="majorBidi"/>
                <w:b/>
                <w:bCs/>
                <w:sz w:val="18"/>
                <w:szCs w:val="18"/>
                <w:lang w:val="fr-FR"/>
              </w:rPr>
            </w:pPr>
            <w:r>
              <w:rPr>
                <w:rFonts w:asciiTheme="majorBidi" w:hAnsiTheme="majorBidi" w:cstheme="majorBidi"/>
                <w:b/>
                <w:bCs/>
                <w:sz w:val="18"/>
                <w:szCs w:val="18"/>
                <w:lang w:val="fr-FR"/>
              </w:rPr>
              <w:t>Par.</w:t>
            </w:r>
            <w:r w:rsidR="00D35EBE">
              <w:rPr>
                <w:rFonts w:asciiTheme="majorBidi" w:hAnsiTheme="majorBidi" w:cstheme="majorBidi"/>
                <w:b/>
                <w:bCs/>
                <w:sz w:val="18"/>
                <w:szCs w:val="18"/>
                <w:lang w:val="fr-FR"/>
              </w:rPr>
              <w:t> </w:t>
            </w:r>
            <w:r w:rsidRPr="009E3E90">
              <w:rPr>
                <w:rFonts w:asciiTheme="majorBidi" w:hAnsiTheme="majorBidi" w:cstheme="majorBidi"/>
                <w:b/>
                <w:bCs/>
                <w:sz w:val="18"/>
                <w:szCs w:val="18"/>
                <w:lang w:val="fr-FR"/>
              </w:rPr>
              <w:t>43</w:t>
            </w:r>
          </w:p>
        </w:tc>
        <w:tc>
          <w:tcPr>
            <w:tcW w:w="1515" w:type="dxa"/>
          </w:tcPr>
          <w:p w14:paraId="224E12A2"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Razón de llenado.</w:t>
            </w:r>
          </w:p>
          <w:p w14:paraId="282D91EE" w14:textId="77777777" w:rsidR="004610C5" w:rsidRPr="00D1508F" w:rsidRDefault="004610C5" w:rsidP="00052A8A">
            <w:pPr>
              <w:spacing w:before="60" w:after="60"/>
              <w:ind w:left="57" w:right="57"/>
              <w:rPr>
                <w:rFonts w:asciiTheme="majorBidi" w:hAnsiTheme="majorBidi" w:cstheme="majorBidi"/>
                <w:sz w:val="18"/>
                <w:szCs w:val="18"/>
                <w:lang w:val="es-ES"/>
              </w:rPr>
            </w:pPr>
            <w:r w:rsidRPr="00D1508F">
              <w:rPr>
                <w:rFonts w:asciiTheme="majorBidi" w:hAnsiTheme="majorBidi" w:cstheme="majorBidi"/>
                <w:sz w:val="18"/>
                <w:szCs w:val="18"/>
                <w:lang w:val="es-ES"/>
              </w:rPr>
              <w:t>Kg/gas/kg/agua</w:t>
            </w:r>
          </w:p>
          <w:p w14:paraId="774414B6" w14:textId="4DB31C22" w:rsidR="004610C5" w:rsidRPr="009E3E90" w:rsidRDefault="004610C5" w:rsidP="00052A8A">
            <w:pPr>
              <w:spacing w:before="60" w:after="60"/>
              <w:ind w:left="57" w:right="57"/>
              <w:rPr>
                <w:rFonts w:asciiTheme="majorBidi" w:hAnsiTheme="majorBidi" w:cstheme="majorBidi"/>
                <w:b/>
                <w:bCs/>
                <w:sz w:val="18"/>
                <w:szCs w:val="18"/>
              </w:rPr>
            </w:pPr>
            <w:r>
              <w:rPr>
                <w:rFonts w:asciiTheme="majorBidi" w:hAnsiTheme="majorBidi" w:cstheme="majorBidi"/>
                <w:b/>
                <w:bCs/>
                <w:sz w:val="18"/>
                <w:szCs w:val="18"/>
              </w:rPr>
              <w:t>Par.</w:t>
            </w:r>
            <w:r w:rsidR="00D35EBE">
              <w:rPr>
                <w:rFonts w:asciiTheme="majorBidi" w:hAnsiTheme="majorBidi" w:cstheme="majorBidi"/>
                <w:b/>
                <w:bCs/>
                <w:sz w:val="18"/>
                <w:szCs w:val="18"/>
              </w:rPr>
              <w:t> </w:t>
            </w:r>
            <w:r w:rsidRPr="009E3E90">
              <w:rPr>
                <w:rFonts w:asciiTheme="majorBidi" w:hAnsiTheme="majorBidi" w:cstheme="majorBidi"/>
                <w:b/>
                <w:bCs/>
                <w:color w:val="000000" w:themeColor="text1"/>
                <w:sz w:val="18"/>
                <w:szCs w:val="18"/>
              </w:rPr>
              <w:t>53</w:t>
            </w:r>
          </w:p>
        </w:tc>
      </w:tr>
    </w:tbl>
    <w:p w14:paraId="5BFAB270" w14:textId="6B4B1C77" w:rsidR="004610C5" w:rsidRPr="00D35EBE" w:rsidRDefault="00D35EBE" w:rsidP="00D35EBE">
      <w:pPr>
        <w:pStyle w:val="SingleTxtG"/>
        <w:spacing w:before="240" w:after="0"/>
        <w:jc w:val="center"/>
        <w:rPr>
          <w:u w:val="single"/>
        </w:rPr>
      </w:pPr>
      <w:r>
        <w:rPr>
          <w:u w:val="single"/>
        </w:rPr>
        <w:tab/>
      </w:r>
      <w:r>
        <w:rPr>
          <w:u w:val="single"/>
        </w:rPr>
        <w:tab/>
      </w:r>
      <w:r>
        <w:rPr>
          <w:u w:val="single"/>
        </w:rPr>
        <w:tab/>
      </w:r>
    </w:p>
    <w:sectPr w:rsidR="004610C5" w:rsidRPr="00D35EBE" w:rsidSect="007D41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382F" w14:textId="77777777" w:rsidR="00E368C1" w:rsidRDefault="00E368C1" w:rsidP="00F95C08">
      <w:pPr>
        <w:spacing w:line="240" w:lineRule="auto"/>
      </w:pPr>
    </w:p>
  </w:endnote>
  <w:endnote w:type="continuationSeparator" w:id="0">
    <w:p w14:paraId="62AEDA13" w14:textId="77777777" w:rsidR="00E368C1" w:rsidRPr="00AC3823" w:rsidRDefault="00E368C1" w:rsidP="00AC3823">
      <w:pPr>
        <w:pStyle w:val="Footer"/>
      </w:pPr>
    </w:p>
  </w:endnote>
  <w:endnote w:type="continuationNotice" w:id="1">
    <w:p w14:paraId="000D95F6" w14:textId="77777777" w:rsidR="00E368C1" w:rsidRDefault="00E368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9BE" w14:textId="116BCFEC" w:rsidR="007D41A8" w:rsidRPr="007D41A8" w:rsidRDefault="007D41A8" w:rsidP="007D41A8">
    <w:pPr>
      <w:pStyle w:val="Footer"/>
      <w:tabs>
        <w:tab w:val="right" w:pos="9638"/>
      </w:tabs>
    </w:pPr>
    <w:r w:rsidRPr="007D41A8">
      <w:rPr>
        <w:b/>
        <w:sz w:val="18"/>
      </w:rPr>
      <w:fldChar w:fldCharType="begin"/>
    </w:r>
    <w:r w:rsidRPr="007D41A8">
      <w:rPr>
        <w:b/>
        <w:sz w:val="18"/>
      </w:rPr>
      <w:instrText xml:space="preserve"> PAGE  \* MERGEFORMAT </w:instrText>
    </w:r>
    <w:r w:rsidRPr="007D41A8">
      <w:rPr>
        <w:b/>
        <w:sz w:val="18"/>
      </w:rPr>
      <w:fldChar w:fldCharType="separate"/>
    </w:r>
    <w:r w:rsidRPr="007D41A8">
      <w:rPr>
        <w:b/>
        <w:noProof/>
        <w:sz w:val="18"/>
      </w:rPr>
      <w:t>2</w:t>
    </w:r>
    <w:r w:rsidRPr="007D41A8">
      <w:rPr>
        <w:b/>
        <w:sz w:val="18"/>
      </w:rPr>
      <w:fldChar w:fldCharType="end"/>
    </w:r>
    <w:r>
      <w:rPr>
        <w:b/>
        <w:sz w:val="18"/>
      </w:rPr>
      <w:tab/>
    </w:r>
    <w:r>
      <w:t>GE.22-05155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1513" w14:textId="1483C54A" w:rsidR="007D41A8" w:rsidRPr="007D41A8" w:rsidRDefault="007D41A8" w:rsidP="007D41A8">
    <w:pPr>
      <w:pStyle w:val="Footer"/>
      <w:tabs>
        <w:tab w:val="right" w:pos="9638"/>
      </w:tabs>
      <w:rPr>
        <w:b/>
        <w:sz w:val="18"/>
      </w:rPr>
    </w:pPr>
    <w:r>
      <w:t>GE.22-05155</w:t>
    </w:r>
    <w:r>
      <w:tab/>
    </w:r>
    <w:r w:rsidRPr="007D41A8">
      <w:rPr>
        <w:b/>
        <w:sz w:val="18"/>
      </w:rPr>
      <w:fldChar w:fldCharType="begin"/>
    </w:r>
    <w:r w:rsidRPr="007D41A8">
      <w:rPr>
        <w:b/>
        <w:sz w:val="18"/>
      </w:rPr>
      <w:instrText xml:space="preserve"> PAGE  \* MERGEFORMAT </w:instrText>
    </w:r>
    <w:r w:rsidRPr="007D41A8">
      <w:rPr>
        <w:b/>
        <w:sz w:val="18"/>
      </w:rPr>
      <w:fldChar w:fldCharType="separate"/>
    </w:r>
    <w:r w:rsidRPr="007D41A8">
      <w:rPr>
        <w:b/>
        <w:noProof/>
        <w:sz w:val="18"/>
      </w:rPr>
      <w:t>3</w:t>
    </w:r>
    <w:r w:rsidRPr="007D41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D330" w14:textId="37826986" w:rsidR="0068456F" w:rsidRPr="007D41A8" w:rsidRDefault="007D41A8" w:rsidP="007D41A8">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C81778E" wp14:editId="2AC147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22-05155  (F)</w:t>
    </w:r>
    <w:r>
      <w:rPr>
        <w:noProof/>
        <w:sz w:val="20"/>
      </w:rPr>
      <w:drawing>
        <wp:anchor distT="0" distB="0" distL="114300" distR="114300" simplePos="0" relativeHeight="251660288" behindDoc="0" locked="0" layoutInCell="1" allowOverlap="1" wp14:anchorId="42C1972F" wp14:editId="6C7FC28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060522    060522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7057" w14:textId="77777777" w:rsidR="00E368C1" w:rsidRPr="00AC3823" w:rsidRDefault="00E368C1" w:rsidP="00AC3823">
      <w:pPr>
        <w:pStyle w:val="Footer"/>
        <w:tabs>
          <w:tab w:val="right" w:pos="2155"/>
        </w:tabs>
        <w:spacing w:after="80" w:line="240" w:lineRule="atLeast"/>
        <w:ind w:left="680"/>
        <w:rPr>
          <w:u w:val="single"/>
        </w:rPr>
      </w:pPr>
      <w:r>
        <w:rPr>
          <w:u w:val="single"/>
        </w:rPr>
        <w:tab/>
      </w:r>
    </w:p>
  </w:footnote>
  <w:footnote w:type="continuationSeparator" w:id="0">
    <w:p w14:paraId="2E2F589F" w14:textId="77777777" w:rsidR="00E368C1" w:rsidRPr="00AC3823" w:rsidRDefault="00E368C1" w:rsidP="00AC3823">
      <w:pPr>
        <w:pStyle w:val="Footer"/>
        <w:tabs>
          <w:tab w:val="right" w:pos="2155"/>
        </w:tabs>
        <w:spacing w:after="80" w:line="240" w:lineRule="atLeast"/>
        <w:ind w:left="680"/>
        <w:rPr>
          <w:u w:val="single"/>
        </w:rPr>
      </w:pPr>
      <w:r>
        <w:rPr>
          <w:u w:val="single"/>
        </w:rPr>
        <w:tab/>
      </w:r>
    </w:p>
  </w:footnote>
  <w:footnote w:type="continuationNotice" w:id="1">
    <w:p w14:paraId="468B4AAA" w14:textId="77777777" w:rsidR="00E368C1" w:rsidRPr="00AC3823" w:rsidRDefault="00E368C1">
      <w:pPr>
        <w:spacing w:line="240" w:lineRule="auto"/>
        <w:rPr>
          <w:sz w:val="2"/>
          <w:szCs w:val="2"/>
        </w:rPr>
      </w:pPr>
    </w:p>
  </w:footnote>
  <w:footnote w:id="2">
    <w:p w14:paraId="26CC6190" w14:textId="69453526" w:rsidR="004610C5" w:rsidRPr="004610C5" w:rsidRDefault="004610C5">
      <w:pPr>
        <w:pStyle w:val="FootnoteText"/>
      </w:pPr>
      <w:r>
        <w:rPr>
          <w:rStyle w:val="FootnoteReference"/>
        </w:rPr>
        <w:tab/>
      </w:r>
      <w:r w:rsidRPr="004610C5">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081" w14:textId="15407B90" w:rsidR="007D41A8" w:rsidRPr="007D41A8" w:rsidRDefault="003B6019">
    <w:pPr>
      <w:pStyle w:val="Header"/>
    </w:pPr>
    <w:r>
      <w:fldChar w:fldCharType="begin"/>
    </w:r>
    <w:r>
      <w:instrText xml:space="preserve"> TITLE  \* MERGEFORMAT </w:instrText>
    </w:r>
    <w:r>
      <w:fldChar w:fldCharType="separate"/>
    </w:r>
    <w:r>
      <w:t>ST/SG/AC.10/C.3/2022/23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84A" w14:textId="1BFD3C0A" w:rsidR="007D41A8" w:rsidRPr="007D41A8" w:rsidRDefault="003B6019" w:rsidP="007D41A8">
    <w:pPr>
      <w:pStyle w:val="Header"/>
      <w:jc w:val="right"/>
    </w:pPr>
    <w:r>
      <w:fldChar w:fldCharType="begin"/>
    </w:r>
    <w:r>
      <w:instrText xml:space="preserve"> TITLE  \* MERGEFORMAT </w:instrText>
    </w:r>
    <w:r>
      <w:fldChar w:fldCharType="separate"/>
    </w:r>
    <w:r>
      <w:t>ST/SG/AC.10/C.3/2022/23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E3F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774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2"/>
  </w:num>
  <w:num w:numId="17">
    <w:abstractNumId w:val="16"/>
  </w:num>
  <w:num w:numId="18">
    <w:abstractNumId w:val="15"/>
  </w:num>
  <w:num w:numId="19">
    <w:abstractNumId w:val="10"/>
  </w:num>
  <w:num w:numId="20">
    <w:abstractNumId w:val="18"/>
  </w:num>
  <w:num w:numId="21">
    <w:abstractNumId w:val="14"/>
  </w:num>
  <w:num w:numId="22">
    <w:abstractNumId w:val="19"/>
  </w:num>
  <w:num w:numId="23">
    <w:abstractNumId w:val="13"/>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C1"/>
    <w:rsid w:val="00017F94"/>
    <w:rsid w:val="00023842"/>
    <w:rsid w:val="000305D3"/>
    <w:rsid w:val="000334F9"/>
    <w:rsid w:val="00052A8A"/>
    <w:rsid w:val="0007796D"/>
    <w:rsid w:val="000B7790"/>
    <w:rsid w:val="00111F2F"/>
    <w:rsid w:val="00132EA9"/>
    <w:rsid w:val="0014365E"/>
    <w:rsid w:val="001502B6"/>
    <w:rsid w:val="00172E49"/>
    <w:rsid w:val="00176178"/>
    <w:rsid w:val="001F525A"/>
    <w:rsid w:val="00223272"/>
    <w:rsid w:val="0024779E"/>
    <w:rsid w:val="00283190"/>
    <w:rsid w:val="002832AC"/>
    <w:rsid w:val="002D7C93"/>
    <w:rsid w:val="00366912"/>
    <w:rsid w:val="003768BB"/>
    <w:rsid w:val="003B6019"/>
    <w:rsid w:val="00441C3B"/>
    <w:rsid w:val="004421D3"/>
    <w:rsid w:val="00446FE5"/>
    <w:rsid w:val="00452396"/>
    <w:rsid w:val="004610C5"/>
    <w:rsid w:val="004A61C7"/>
    <w:rsid w:val="004E468C"/>
    <w:rsid w:val="005505B7"/>
    <w:rsid w:val="00573BE5"/>
    <w:rsid w:val="00584DC4"/>
    <w:rsid w:val="00586ED3"/>
    <w:rsid w:val="00596AA9"/>
    <w:rsid w:val="0068456F"/>
    <w:rsid w:val="0071601D"/>
    <w:rsid w:val="007A62E6"/>
    <w:rsid w:val="007D41A8"/>
    <w:rsid w:val="00800D7F"/>
    <w:rsid w:val="0080684C"/>
    <w:rsid w:val="008123E0"/>
    <w:rsid w:val="00871C75"/>
    <w:rsid w:val="008776DC"/>
    <w:rsid w:val="008B40CD"/>
    <w:rsid w:val="008D6E6C"/>
    <w:rsid w:val="00907515"/>
    <w:rsid w:val="009705C8"/>
    <w:rsid w:val="009C1CF4"/>
    <w:rsid w:val="00A277FB"/>
    <w:rsid w:val="00A30353"/>
    <w:rsid w:val="00A81281"/>
    <w:rsid w:val="00AC3823"/>
    <w:rsid w:val="00AE323C"/>
    <w:rsid w:val="00B00181"/>
    <w:rsid w:val="00B00B0D"/>
    <w:rsid w:val="00B765F7"/>
    <w:rsid w:val="00BA0CA9"/>
    <w:rsid w:val="00C02897"/>
    <w:rsid w:val="00D3439C"/>
    <w:rsid w:val="00D34C9E"/>
    <w:rsid w:val="00D35EBE"/>
    <w:rsid w:val="00DB1831"/>
    <w:rsid w:val="00DD3BFD"/>
    <w:rsid w:val="00DF6678"/>
    <w:rsid w:val="00E368C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1002D"/>
  <w15:docId w15:val="{695021DF-F4CC-4889-85FF-BB3EA094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4091</Words>
  <Characters>23322</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ST/SG/AC.10/C.3/2022/23</vt:lpstr>
    </vt:vector>
  </TitlesOfParts>
  <Company>DCM</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ST/SG/AC.10/C.3/2022/23</dc:title>
  <dc:subject/>
  <dc:creator>Marie DESCHAMPS</dc:creator>
  <cp:keywords/>
  <cp:lastModifiedBy>Laurence Berthet</cp:lastModifiedBy>
  <cp:revision>3</cp:revision>
  <cp:lastPrinted>2022-06-01T13:27:00Z</cp:lastPrinted>
  <dcterms:created xsi:type="dcterms:W3CDTF">2022-06-01T13:27:00Z</dcterms:created>
  <dcterms:modified xsi:type="dcterms:W3CDTF">2022-06-01T13:27:00Z</dcterms:modified>
</cp:coreProperties>
</file>