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0ED6" w14:textId="77777777" w:rsidR="005A5751" w:rsidRPr="00070A85" w:rsidRDefault="005A5751">
      <w:pPr>
        <w:rPr>
          <w:lang w:val="en-GB"/>
        </w:rPr>
      </w:pPr>
    </w:p>
    <w:p w14:paraId="779B137C" w14:textId="77777777" w:rsidR="008D0A48" w:rsidRPr="00070A85" w:rsidRDefault="008D0A48">
      <w:pPr>
        <w:rPr>
          <w:lang w:val="en-GB"/>
        </w:rPr>
      </w:pPr>
    </w:p>
    <w:p w14:paraId="134783E5" w14:textId="77777777" w:rsidR="00497A62" w:rsidRPr="00070A85" w:rsidRDefault="00497A6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0A85">
        <w:rPr>
          <w:rFonts w:ascii="Times New Roman" w:hAnsi="Times New Roman" w:cs="Times New Roman"/>
          <w:b/>
          <w:sz w:val="24"/>
          <w:szCs w:val="24"/>
          <w:lang w:val="en-GB"/>
        </w:rPr>
        <w:t>GRPE Proposals to amend document ECE/TRANS/WP.29/2021/148</w:t>
      </w:r>
    </w:p>
    <w:p w14:paraId="399BA7CE" w14:textId="77777777" w:rsidR="006E65BE" w:rsidRPr="00070A85" w:rsidRDefault="006E65BE" w:rsidP="006E65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70A85">
        <w:rPr>
          <w:rFonts w:ascii="Times New Roman" w:hAnsi="Times New Roman" w:cs="Times New Roman"/>
          <w:lang w:val="en-GB"/>
        </w:rPr>
        <w:t xml:space="preserve">1. </w:t>
      </w:r>
      <w:r w:rsidRPr="00070A85">
        <w:rPr>
          <w:rFonts w:ascii="Times New Roman" w:hAnsi="Times New Roman" w:cs="Times New Roman"/>
          <w:sz w:val="24"/>
          <w:szCs w:val="24"/>
          <w:lang w:val="en-GB"/>
        </w:rPr>
        <w:t xml:space="preserve">Amend item </w:t>
      </w:r>
      <w:r w:rsidR="00C00F8C" w:rsidRPr="00070A85">
        <w:rPr>
          <w:rFonts w:ascii="Times New Roman" w:hAnsi="Times New Roman" w:cs="Times New Roman"/>
          <w:sz w:val="24"/>
          <w:szCs w:val="24"/>
          <w:lang w:val="en-GB"/>
        </w:rPr>
        <w:t xml:space="preserve">16 to </w:t>
      </w:r>
      <w:r w:rsidRPr="00070A85">
        <w:rPr>
          <w:rFonts w:ascii="Times New Roman" w:hAnsi="Times New Roman" w:cs="Times New Roman"/>
          <w:sz w:val="24"/>
          <w:szCs w:val="24"/>
          <w:lang w:val="en-GB"/>
        </w:rPr>
        <w:t>18</w:t>
      </w:r>
      <w:r w:rsidR="00070A85">
        <w:rPr>
          <w:rFonts w:ascii="Times New Roman" w:hAnsi="Times New Roman" w:cs="Times New Roman"/>
          <w:sz w:val="24"/>
          <w:szCs w:val="24"/>
          <w:lang w:val="en-GB"/>
        </w:rPr>
        <w:t xml:space="preserve"> to read as follows:</w:t>
      </w:r>
    </w:p>
    <w:p w14:paraId="23816BD8" w14:textId="77777777" w:rsidR="005D03D8" w:rsidRPr="00070A85" w:rsidRDefault="00070A85" w:rsidP="005D03D8">
      <w:pPr>
        <w:pStyle w:val="Default"/>
        <w:rPr>
          <w:lang w:val="en-GB"/>
        </w:rPr>
      </w:pPr>
      <w:r>
        <w:rPr>
          <w:lang w:val="en-GB"/>
        </w:rPr>
        <w:t>“</w:t>
      </w:r>
      <w:r w:rsidR="00C00F8C" w:rsidRPr="00070A85">
        <w:rPr>
          <w:lang w:val="en-GB"/>
        </w:rPr>
        <w:t xml:space="preserve">16. The whole-life compliance approach shows the necessary stages to better ensure the vehicles’ performance, reasonably, during their whole life. </w:t>
      </w:r>
      <w:r w:rsidR="00BC00D3">
        <w:rPr>
          <w:lang w:val="en-GB"/>
        </w:rPr>
        <w:t>Table</w:t>
      </w:r>
      <w:r w:rsidR="005D03D8" w:rsidRPr="00070A85">
        <w:rPr>
          <w:lang w:val="en-GB"/>
        </w:rPr>
        <w:t xml:space="preserve"> 1 below shows various phases of whole-life compliance. </w:t>
      </w:r>
    </w:p>
    <w:p w14:paraId="3713076D" w14:textId="77777777" w:rsidR="00070A85" w:rsidRPr="00070A85" w:rsidRDefault="00070A85" w:rsidP="005D03D8">
      <w:pPr>
        <w:pStyle w:val="Default"/>
        <w:rPr>
          <w:lang w:val="en-GB"/>
        </w:rPr>
      </w:pPr>
    </w:p>
    <w:p w14:paraId="70109EC9" w14:textId="77777777" w:rsidR="00070A85" w:rsidRDefault="00BC00D3" w:rsidP="00BC00D3">
      <w:pPr>
        <w:pStyle w:val="Default"/>
        <w:rPr>
          <w:b/>
          <w:lang w:val="en-GB"/>
        </w:rPr>
      </w:pPr>
      <w:r>
        <w:rPr>
          <w:lang w:val="en-GB"/>
        </w:rPr>
        <w:t>Table</w:t>
      </w:r>
      <w:r w:rsidR="00070A85" w:rsidRPr="00070A85">
        <w:rPr>
          <w:lang w:val="en-GB"/>
        </w:rPr>
        <w:t xml:space="preserve"> 1.</w:t>
      </w:r>
      <w:r>
        <w:rPr>
          <w:lang w:val="en-GB"/>
        </w:rPr>
        <w:t xml:space="preserve"> </w:t>
      </w:r>
      <w:r w:rsidR="00070A85" w:rsidRPr="00070A85">
        <w:rPr>
          <w:b/>
          <w:lang w:val="en-GB"/>
        </w:rPr>
        <w:t>Whole-Life Compliance</w:t>
      </w:r>
    </w:p>
    <w:p w14:paraId="48A87C15" w14:textId="77777777" w:rsidR="00BC00D3" w:rsidRPr="00BC00D3" w:rsidRDefault="00BC00D3" w:rsidP="00BC00D3">
      <w:pPr>
        <w:pStyle w:val="Default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1705"/>
        <w:gridCol w:w="1572"/>
        <w:gridCol w:w="1721"/>
        <w:gridCol w:w="1316"/>
        <w:gridCol w:w="1890"/>
      </w:tblGrid>
      <w:tr w:rsidR="00070A85" w:rsidRPr="00070A85" w14:paraId="3F6F8EDF" w14:textId="77777777" w:rsidTr="00C73402">
        <w:tc>
          <w:tcPr>
            <w:tcW w:w="3072" w:type="dxa"/>
            <w:gridSpan w:val="2"/>
          </w:tcPr>
          <w:p w14:paraId="02ACFD3C" w14:textId="77777777" w:rsidR="00070A85" w:rsidRPr="00070A85" w:rsidRDefault="00070A85" w:rsidP="00C73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Development &amp; Production</w:t>
            </w:r>
          </w:p>
        </w:tc>
        <w:tc>
          <w:tcPr>
            <w:tcW w:w="6499" w:type="dxa"/>
            <w:gridSpan w:val="4"/>
          </w:tcPr>
          <w:p w14:paraId="417BA4D6" w14:textId="77777777" w:rsidR="00070A85" w:rsidRPr="00070A85" w:rsidRDefault="00070A85" w:rsidP="00C73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Vehicle in Use</w:t>
            </w:r>
          </w:p>
        </w:tc>
      </w:tr>
      <w:tr w:rsidR="00070A85" w:rsidRPr="00070A85" w14:paraId="41110EA6" w14:textId="77777777" w:rsidTr="00C73402">
        <w:tc>
          <w:tcPr>
            <w:tcW w:w="1367" w:type="dxa"/>
          </w:tcPr>
          <w:p w14:paraId="35C8C56C" w14:textId="77777777" w:rsidR="00070A85" w:rsidRPr="00070A85" w:rsidRDefault="00070A85" w:rsidP="00B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 Approval</w:t>
            </w:r>
          </w:p>
        </w:tc>
        <w:tc>
          <w:tcPr>
            <w:tcW w:w="1705" w:type="dxa"/>
          </w:tcPr>
          <w:p w14:paraId="724A93DA" w14:textId="77777777" w:rsidR="00070A85" w:rsidRPr="00070A85" w:rsidRDefault="00070A85" w:rsidP="00B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Conformity of Production</w:t>
            </w:r>
          </w:p>
        </w:tc>
        <w:tc>
          <w:tcPr>
            <w:tcW w:w="1572" w:type="dxa"/>
          </w:tcPr>
          <w:p w14:paraId="3217074F" w14:textId="77777777" w:rsidR="00070A85" w:rsidRPr="00070A85" w:rsidRDefault="00070A85" w:rsidP="00B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Service Conformity</w:t>
            </w:r>
          </w:p>
        </w:tc>
        <w:tc>
          <w:tcPr>
            <w:tcW w:w="1721" w:type="dxa"/>
          </w:tcPr>
          <w:p w14:paraId="388037F1" w14:textId="77777777" w:rsidR="00070A85" w:rsidRPr="00070A85" w:rsidRDefault="00070A85" w:rsidP="00B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Periodical Technical Inspections</w:t>
            </w:r>
          </w:p>
        </w:tc>
        <w:tc>
          <w:tcPr>
            <w:tcW w:w="1316" w:type="dxa"/>
          </w:tcPr>
          <w:p w14:paraId="29EEF504" w14:textId="77777777" w:rsidR="00070A85" w:rsidRPr="00070A85" w:rsidRDefault="00070A85" w:rsidP="00B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Road side inspection</w:t>
            </w:r>
          </w:p>
          <w:p w14:paraId="4F3A5379" w14:textId="77777777" w:rsidR="00070A85" w:rsidRPr="00070A85" w:rsidRDefault="00070A85" w:rsidP="00B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14:paraId="0BA12B91" w14:textId="77777777" w:rsidR="00070A85" w:rsidRPr="00070A85" w:rsidRDefault="00070A85" w:rsidP="00B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Market Surveillance</w:t>
            </w:r>
          </w:p>
        </w:tc>
      </w:tr>
      <w:tr w:rsidR="00070A85" w:rsidRPr="00070A85" w14:paraId="231ED892" w14:textId="77777777" w:rsidTr="00C73402">
        <w:tc>
          <w:tcPr>
            <w:tcW w:w="1367" w:type="dxa"/>
          </w:tcPr>
          <w:p w14:paraId="466BE041" w14:textId="77777777" w:rsidR="00070A85" w:rsidRPr="00070A85" w:rsidRDefault="00070A85" w:rsidP="00B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OEM, Approval  Authorities (1958 Agreement)</w:t>
            </w:r>
          </w:p>
        </w:tc>
        <w:tc>
          <w:tcPr>
            <w:tcW w:w="1705" w:type="dxa"/>
          </w:tcPr>
          <w:p w14:paraId="3386F14F" w14:textId="77777777" w:rsidR="00070A85" w:rsidRPr="00070A85" w:rsidRDefault="00070A85" w:rsidP="00B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OEM, Approval  Authorities (1958 Agreement)</w:t>
            </w:r>
          </w:p>
        </w:tc>
        <w:tc>
          <w:tcPr>
            <w:tcW w:w="1572" w:type="dxa"/>
          </w:tcPr>
          <w:p w14:paraId="5AE4396A" w14:textId="77777777" w:rsidR="00070A85" w:rsidRPr="00070A85" w:rsidRDefault="00070A85" w:rsidP="00B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OEM, Approval  Authorities (1958 Agreement)</w:t>
            </w:r>
          </w:p>
        </w:tc>
        <w:tc>
          <w:tcPr>
            <w:tcW w:w="1721" w:type="dxa"/>
          </w:tcPr>
          <w:p w14:paraId="007B8FEC" w14:textId="77777777" w:rsidR="00070A85" w:rsidRPr="00070A85" w:rsidRDefault="00070A85" w:rsidP="00B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Competent Authorities (1997 Agreement)</w:t>
            </w:r>
          </w:p>
        </w:tc>
        <w:tc>
          <w:tcPr>
            <w:tcW w:w="1316" w:type="dxa"/>
          </w:tcPr>
          <w:p w14:paraId="1F4D003E" w14:textId="77777777" w:rsidR="00070A85" w:rsidRPr="00070A85" w:rsidRDefault="00070A85" w:rsidP="00B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Competent Authorities (UN R.E.6)</w:t>
            </w:r>
          </w:p>
        </w:tc>
        <w:tc>
          <w:tcPr>
            <w:tcW w:w="1890" w:type="dxa"/>
          </w:tcPr>
          <w:p w14:paraId="680F0424" w14:textId="77777777" w:rsidR="00070A85" w:rsidRPr="00070A85" w:rsidRDefault="00070A85" w:rsidP="00B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Market Surveillance Competent Authorities (not included in the 1958/97 agreement)</w:t>
            </w:r>
          </w:p>
        </w:tc>
      </w:tr>
      <w:tr w:rsidR="00070A85" w:rsidRPr="00070A85" w14:paraId="7F678B35" w14:textId="77777777" w:rsidTr="00C73402">
        <w:tc>
          <w:tcPr>
            <w:tcW w:w="9571" w:type="dxa"/>
            <w:gridSpan w:val="6"/>
          </w:tcPr>
          <w:p w14:paraId="71672204" w14:textId="77777777" w:rsidR="00070A85" w:rsidRPr="00070A85" w:rsidRDefault="00070A85" w:rsidP="00C7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Whole-Life Compliance</w:t>
            </w:r>
          </w:p>
          <w:p w14:paraId="1C90F083" w14:textId="77777777" w:rsidR="00070A85" w:rsidRPr="00070A85" w:rsidRDefault="00070A85" w:rsidP="00C7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254643E" w14:textId="77777777" w:rsidR="00070A85" w:rsidRPr="00070A85" w:rsidRDefault="00070A85" w:rsidP="005D03D8">
      <w:pPr>
        <w:pStyle w:val="Default"/>
        <w:rPr>
          <w:lang w:val="en-GB"/>
        </w:rPr>
      </w:pPr>
    </w:p>
    <w:p w14:paraId="3A967F42" w14:textId="77777777" w:rsidR="00C00F8C" w:rsidRPr="00070A85" w:rsidRDefault="00C00F8C" w:rsidP="006E65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70A85">
        <w:rPr>
          <w:rFonts w:ascii="Times New Roman" w:hAnsi="Times New Roman" w:cs="Times New Roman"/>
          <w:sz w:val="24"/>
          <w:szCs w:val="24"/>
          <w:lang w:val="en-GB"/>
        </w:rPr>
        <w:t xml:space="preserve">The main tool to assess the convenience of stages of whole-life compliance, like the addition of market surveillance, geofencing, retrofit or recall campaigns, is the risk analysis described later. The risk analysis approach is also a valid framework to </w:t>
      </w:r>
      <w:r w:rsidR="00070A85" w:rsidRPr="00070A85">
        <w:rPr>
          <w:rFonts w:ascii="Times New Roman" w:hAnsi="Times New Roman" w:cs="Times New Roman"/>
          <w:sz w:val="24"/>
          <w:szCs w:val="24"/>
          <w:lang w:val="en-GB"/>
        </w:rPr>
        <w:t>prioritise</w:t>
      </w:r>
      <w:r w:rsidRPr="00070A85">
        <w:rPr>
          <w:rFonts w:ascii="Times New Roman" w:hAnsi="Times New Roman" w:cs="Times New Roman"/>
          <w:sz w:val="24"/>
          <w:szCs w:val="24"/>
          <w:lang w:val="en-GB"/>
        </w:rPr>
        <w:t xml:space="preserve"> the different stages of whole-life compliance.</w:t>
      </w:r>
    </w:p>
    <w:p w14:paraId="3A9CCD8F" w14:textId="77777777" w:rsidR="003570AA" w:rsidRPr="00070A85" w:rsidRDefault="006E65BE" w:rsidP="006E65BE">
      <w:pPr>
        <w:pStyle w:val="Default"/>
        <w:rPr>
          <w:lang w:val="en-GB"/>
        </w:rPr>
      </w:pPr>
      <w:r w:rsidRPr="00070A85">
        <w:rPr>
          <w:lang w:val="en-GB"/>
        </w:rPr>
        <w:t xml:space="preserve">17. The risk analysis consists of assessing the possibilities of noncompliance of vehicle, its parts and equipment and their impacts. </w:t>
      </w:r>
    </w:p>
    <w:p w14:paraId="2C86C4D6" w14:textId="77777777" w:rsidR="00070A85" w:rsidRPr="00070A85" w:rsidRDefault="00070A85" w:rsidP="006E65BE">
      <w:pPr>
        <w:pStyle w:val="Default"/>
        <w:rPr>
          <w:lang w:val="en-GB"/>
        </w:rPr>
      </w:pPr>
    </w:p>
    <w:p w14:paraId="493A1012" w14:textId="77777777" w:rsidR="006E65BE" w:rsidRPr="00070A85" w:rsidRDefault="006E65BE" w:rsidP="006E65BE">
      <w:pPr>
        <w:pStyle w:val="Default"/>
        <w:rPr>
          <w:lang w:val="en-GB"/>
        </w:rPr>
      </w:pPr>
      <w:r w:rsidRPr="00070A85">
        <w:rPr>
          <w:lang w:val="en-GB"/>
        </w:rPr>
        <w:t xml:space="preserve">18. Once followed the path described, a better rationale will be available to consider </w:t>
      </w:r>
      <w:r w:rsidR="00070A85" w:rsidRPr="00070A85">
        <w:rPr>
          <w:lang w:val="en-GB"/>
        </w:rPr>
        <w:t>the</w:t>
      </w:r>
      <w:r w:rsidR="00070A85" w:rsidRPr="00070A85">
        <w:rPr>
          <w:strike/>
          <w:lang w:val="en-GB"/>
        </w:rPr>
        <w:t xml:space="preserve"> </w:t>
      </w:r>
      <w:r w:rsidR="003A3C66" w:rsidRPr="00070A85">
        <w:rPr>
          <w:lang w:val="en-GB"/>
        </w:rPr>
        <w:t>necessity</w:t>
      </w:r>
      <w:r w:rsidRPr="00070A85">
        <w:rPr>
          <w:lang w:val="en-GB"/>
        </w:rPr>
        <w:t xml:space="preserve">: </w:t>
      </w:r>
    </w:p>
    <w:p w14:paraId="53876392" w14:textId="77777777" w:rsidR="006E65BE" w:rsidRPr="00070A85" w:rsidRDefault="006E65BE" w:rsidP="006E65BE">
      <w:pPr>
        <w:pStyle w:val="Default"/>
        <w:jc w:val="both"/>
        <w:rPr>
          <w:lang w:val="en-GB"/>
        </w:rPr>
      </w:pPr>
      <w:r w:rsidRPr="00070A85">
        <w:rPr>
          <w:lang w:val="en-GB"/>
        </w:rPr>
        <w:t xml:space="preserve">(a) to check </w:t>
      </w:r>
      <w:r w:rsidR="003570AA" w:rsidRPr="00070A85">
        <w:rPr>
          <w:lang w:val="en-GB"/>
        </w:rPr>
        <w:t>of vehicle, its parts and equipment during the life of the vehicle;</w:t>
      </w:r>
      <w:r w:rsidRPr="00070A85">
        <w:rPr>
          <w:lang w:val="en-GB"/>
        </w:rPr>
        <w:t xml:space="preserve"> </w:t>
      </w:r>
    </w:p>
    <w:p w14:paraId="0C03BA80" w14:textId="77777777" w:rsidR="006E65BE" w:rsidRPr="00070A85" w:rsidRDefault="006E65BE" w:rsidP="006E65BE">
      <w:pPr>
        <w:pStyle w:val="Default"/>
        <w:jc w:val="both"/>
        <w:rPr>
          <w:lang w:val="en-GB"/>
        </w:rPr>
      </w:pPr>
      <w:r w:rsidRPr="00070A85">
        <w:rPr>
          <w:lang w:val="en-GB"/>
        </w:rPr>
        <w:t xml:space="preserve">(b) to foresee any kind of provision </w:t>
      </w:r>
      <w:r w:rsidR="00E140F1" w:rsidRPr="00070A85">
        <w:rPr>
          <w:lang w:val="en-GB"/>
        </w:rPr>
        <w:t xml:space="preserve">required </w:t>
      </w:r>
      <w:r w:rsidRPr="00070A85">
        <w:rPr>
          <w:lang w:val="en-GB"/>
        </w:rPr>
        <w:t>d</w:t>
      </w:r>
      <w:r w:rsidR="003A3C66" w:rsidRPr="00070A85">
        <w:rPr>
          <w:lang w:val="en-GB"/>
        </w:rPr>
        <w:t>uring the Type Approval;</w:t>
      </w:r>
      <w:r w:rsidRPr="00070A85">
        <w:rPr>
          <w:lang w:val="en-GB"/>
        </w:rPr>
        <w:t xml:space="preserve"> </w:t>
      </w:r>
    </w:p>
    <w:p w14:paraId="0616678B" w14:textId="77777777" w:rsidR="006E65BE" w:rsidRPr="00070A85" w:rsidRDefault="006E65BE" w:rsidP="006E65B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0A85">
        <w:rPr>
          <w:rFonts w:ascii="Times New Roman" w:hAnsi="Times New Roman" w:cs="Times New Roman"/>
          <w:sz w:val="24"/>
          <w:szCs w:val="24"/>
          <w:lang w:val="en-GB"/>
        </w:rPr>
        <w:t xml:space="preserve">(c) to provide </w:t>
      </w:r>
      <w:r w:rsidR="003A3C66" w:rsidRPr="00070A85">
        <w:rPr>
          <w:rFonts w:ascii="Times New Roman" w:hAnsi="Times New Roman" w:cs="Times New Roman"/>
          <w:sz w:val="24"/>
          <w:szCs w:val="24"/>
          <w:lang w:val="en-GB"/>
        </w:rPr>
        <w:t xml:space="preserve">Competent Authorities </w:t>
      </w:r>
      <w:r w:rsidRPr="00070A85">
        <w:rPr>
          <w:rFonts w:ascii="Times New Roman" w:hAnsi="Times New Roman" w:cs="Times New Roman"/>
          <w:sz w:val="24"/>
          <w:szCs w:val="24"/>
          <w:lang w:val="en-GB"/>
        </w:rPr>
        <w:t>with data and system acc</w:t>
      </w:r>
      <w:r w:rsidR="003A3C66" w:rsidRPr="00070A85">
        <w:rPr>
          <w:rFonts w:ascii="Times New Roman" w:hAnsi="Times New Roman" w:cs="Times New Roman"/>
          <w:sz w:val="24"/>
          <w:szCs w:val="24"/>
          <w:lang w:val="en-GB"/>
        </w:rPr>
        <w:t>ess for an impartial assessment.</w:t>
      </w:r>
      <w:r w:rsidR="00070A85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14:paraId="248EE4F6" w14:textId="77777777" w:rsidR="00BB6CC1" w:rsidRDefault="00BB6CC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8F28451" w14:textId="77777777" w:rsidR="00497A62" w:rsidRPr="00070A85" w:rsidRDefault="006E65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70A85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497A62" w:rsidRPr="00070A85">
        <w:rPr>
          <w:rFonts w:ascii="Times New Roman" w:hAnsi="Times New Roman" w:cs="Times New Roman"/>
          <w:sz w:val="24"/>
          <w:szCs w:val="24"/>
          <w:lang w:val="en-GB"/>
        </w:rPr>
        <w:t>. Annex</w:t>
      </w:r>
      <w:r w:rsidR="00070A85" w:rsidRPr="00070A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6CC1">
        <w:rPr>
          <w:rFonts w:ascii="Times New Roman" w:hAnsi="Times New Roman" w:cs="Times New Roman"/>
          <w:sz w:val="24"/>
          <w:szCs w:val="24"/>
          <w:lang w:val="en-GB"/>
        </w:rPr>
        <w:t>to be</w:t>
      </w:r>
      <w:r w:rsidR="00070A85" w:rsidRPr="00070A85">
        <w:rPr>
          <w:rFonts w:ascii="Times New Roman" w:hAnsi="Times New Roman" w:cs="Times New Roman"/>
          <w:sz w:val="24"/>
          <w:szCs w:val="24"/>
          <w:lang w:val="en-GB"/>
        </w:rPr>
        <w:t xml:space="preserve"> deleted.</w:t>
      </w:r>
    </w:p>
    <w:sectPr w:rsidR="00497A62" w:rsidRPr="00070A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1D40" w14:textId="77777777" w:rsidR="00EC2BAC" w:rsidRDefault="00EC2BAC" w:rsidP="00EC2BAC">
      <w:pPr>
        <w:spacing w:after="0" w:line="240" w:lineRule="auto"/>
      </w:pPr>
      <w:r>
        <w:separator/>
      </w:r>
    </w:p>
  </w:endnote>
  <w:endnote w:type="continuationSeparator" w:id="0">
    <w:p w14:paraId="6C03CDFE" w14:textId="77777777" w:rsidR="00EC2BAC" w:rsidRDefault="00EC2BAC" w:rsidP="00EC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D124" w14:textId="77777777" w:rsidR="000200EA" w:rsidRDefault="00020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6397" w14:textId="77777777" w:rsidR="000200EA" w:rsidRDefault="00020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867F" w14:textId="77777777" w:rsidR="000200EA" w:rsidRDefault="00020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49D2" w14:textId="77777777" w:rsidR="00EC2BAC" w:rsidRDefault="00EC2BAC" w:rsidP="00EC2BAC">
      <w:pPr>
        <w:spacing w:after="0" w:line="240" w:lineRule="auto"/>
      </w:pPr>
      <w:r>
        <w:separator/>
      </w:r>
    </w:p>
  </w:footnote>
  <w:footnote w:type="continuationSeparator" w:id="0">
    <w:p w14:paraId="700CBDB2" w14:textId="77777777" w:rsidR="00EC2BAC" w:rsidRDefault="00EC2BAC" w:rsidP="00EC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FDF3" w14:textId="77777777" w:rsidR="000200EA" w:rsidRDefault="00020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3"/>
      <w:gridCol w:w="4808"/>
    </w:tblGrid>
    <w:tr w:rsidR="00EC2BAC" w:rsidRPr="005A4913" w14:paraId="53243002" w14:textId="77777777" w:rsidTr="007D6D00">
      <w:tc>
        <w:tcPr>
          <w:tcW w:w="4927" w:type="dxa"/>
        </w:tcPr>
        <w:p w14:paraId="6FA61A26" w14:textId="78FA1582" w:rsidR="00EC2BAC" w:rsidRPr="00EC2BAC" w:rsidRDefault="00EC2BAC" w:rsidP="00EC2BAC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 w:cs="Times New Roman"/>
              <w:b/>
              <w:lang w:val="fr-FR"/>
            </w:rPr>
          </w:pPr>
          <w:proofErr w:type="spellStart"/>
          <w:r w:rsidRPr="001212DD">
            <w:rPr>
              <w:rFonts w:ascii="Times New Roman" w:eastAsia="Times New Roman" w:hAnsi="Times New Roman" w:cs="Times New Roman"/>
            </w:rPr>
            <w:t>Submitted</w:t>
          </w:r>
          <w:proofErr w:type="spellEnd"/>
          <w:r w:rsidRPr="001212DD"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 w:rsidRPr="001212DD">
            <w:rPr>
              <w:rFonts w:ascii="Times New Roman" w:eastAsia="Times New Roman" w:hAnsi="Times New Roman" w:cs="Times New Roman"/>
            </w:rPr>
            <w:t>by</w:t>
          </w:r>
          <w:proofErr w:type="spellEnd"/>
          <w:r w:rsidRPr="001212DD"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 w:rsidRPr="001212DD">
            <w:rPr>
              <w:rFonts w:ascii="Times New Roman" w:eastAsia="Times New Roman" w:hAnsi="Times New Roman" w:cs="Times New Roman"/>
            </w:rPr>
            <w:t>the</w:t>
          </w:r>
          <w:proofErr w:type="spellEnd"/>
          <w:r w:rsidRPr="001212DD"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 w:rsidRPr="001212DD">
            <w:rPr>
              <w:rFonts w:ascii="Times New Roman" w:eastAsia="Times New Roman" w:hAnsi="Times New Roman" w:cs="Times New Roman"/>
            </w:rPr>
            <w:t>expert</w:t>
          </w:r>
          <w:proofErr w:type="spellEnd"/>
          <w:r w:rsidRPr="001212DD"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 w:rsidRPr="001212DD">
            <w:rPr>
              <w:rFonts w:ascii="Times New Roman" w:eastAsia="Times New Roman" w:hAnsi="Times New Roman" w:cs="Times New Roman"/>
            </w:rPr>
            <w:t>from</w:t>
          </w:r>
          <w:proofErr w:type="spellEnd"/>
          <w:r w:rsidRPr="001212DD">
            <w:rPr>
              <w:rFonts w:ascii="Times New Roman" w:eastAsia="Times New Roman" w:hAnsi="Times New Roman" w:cs="Times New Roman"/>
            </w:rPr>
            <w:t xml:space="preserve"> </w:t>
          </w:r>
          <w:r>
            <w:rPr>
              <w:rFonts w:ascii="Times New Roman" w:eastAsia="Times New Roman" w:hAnsi="Times New Roman" w:cs="Times New Roman"/>
              <w:lang w:val="fr-FR"/>
            </w:rPr>
            <w:t>EC and IWG on PTI</w:t>
          </w:r>
        </w:p>
      </w:tc>
      <w:tc>
        <w:tcPr>
          <w:tcW w:w="4928" w:type="dxa"/>
        </w:tcPr>
        <w:p w14:paraId="65BC2D28" w14:textId="3BE09782" w:rsidR="000200EA" w:rsidRPr="000200EA" w:rsidRDefault="00EC2BAC" w:rsidP="000200EA">
          <w:pPr>
            <w:tabs>
              <w:tab w:val="center" w:pos="4513"/>
              <w:tab w:val="right" w:pos="9026"/>
            </w:tabs>
            <w:ind w:left="1057"/>
            <w:rPr>
              <w:rFonts w:ascii="Times New Roman" w:eastAsia="Times New Roman" w:hAnsi="Times New Roman" w:cs="Times New Roman"/>
              <w:b/>
              <w:bCs/>
              <w:lang w:val="pt-BR"/>
            </w:rPr>
          </w:pPr>
          <w:r w:rsidRPr="005A4913">
            <w:rPr>
              <w:rFonts w:ascii="Times New Roman" w:eastAsia="Times New Roman" w:hAnsi="Times New Roman" w:cs="Times New Roman"/>
              <w:u w:val="single"/>
              <w:lang w:val="pt-BR"/>
            </w:rPr>
            <w:t xml:space="preserve">Informal </w:t>
          </w:r>
          <w:proofErr w:type="spellStart"/>
          <w:r w:rsidRPr="005A4913">
            <w:rPr>
              <w:rFonts w:ascii="Times New Roman" w:eastAsia="Times New Roman" w:hAnsi="Times New Roman" w:cs="Times New Roman"/>
              <w:u w:val="single"/>
              <w:lang w:val="pt-BR"/>
            </w:rPr>
            <w:t>document</w:t>
          </w:r>
          <w:proofErr w:type="spellEnd"/>
          <w:r w:rsidRPr="005A4913">
            <w:rPr>
              <w:rFonts w:ascii="Times New Roman" w:eastAsia="Times New Roman" w:hAnsi="Times New Roman" w:cs="Times New Roman"/>
              <w:lang w:val="pt-BR"/>
            </w:rPr>
            <w:t xml:space="preserve"> </w:t>
          </w:r>
          <w:r w:rsidRPr="005A4913">
            <w:rPr>
              <w:rFonts w:ascii="Times New Roman" w:eastAsia="Times New Roman" w:hAnsi="Times New Roman" w:cs="Times New Roman"/>
              <w:b/>
              <w:bCs/>
              <w:lang w:val="pt-BR"/>
            </w:rPr>
            <w:t>GRPE-</w:t>
          </w:r>
          <w:r>
            <w:rPr>
              <w:rFonts w:ascii="Times New Roman" w:eastAsia="Times New Roman" w:hAnsi="Times New Roman" w:cs="Times New Roman"/>
              <w:b/>
              <w:bCs/>
              <w:lang w:val="pt-BR"/>
            </w:rPr>
            <w:t>86-</w:t>
          </w:r>
          <w:r>
            <w:rPr>
              <w:rFonts w:ascii="Times New Roman" w:eastAsia="Times New Roman" w:hAnsi="Times New Roman" w:cs="Times New Roman"/>
              <w:b/>
              <w:bCs/>
              <w:lang w:val="pt-BR"/>
            </w:rPr>
            <w:t>4</w:t>
          </w:r>
          <w:r w:rsidR="000200EA">
            <w:rPr>
              <w:rFonts w:ascii="Times New Roman" w:eastAsia="Times New Roman" w:hAnsi="Times New Roman" w:cs="Times New Roman"/>
              <w:b/>
              <w:bCs/>
              <w:lang w:val="pt-BR"/>
            </w:rPr>
            <w:t>3</w:t>
          </w:r>
        </w:p>
        <w:p w14:paraId="67EBB1F4" w14:textId="77777777" w:rsidR="00EC2BAC" w:rsidRDefault="00EC2BAC" w:rsidP="00EC2BAC">
          <w:pPr>
            <w:tabs>
              <w:tab w:val="center" w:pos="4513"/>
              <w:tab w:val="right" w:pos="9026"/>
            </w:tabs>
            <w:ind w:left="1057"/>
            <w:rPr>
              <w:rFonts w:ascii="Times New Roman" w:eastAsia="Times New Roman" w:hAnsi="Times New Roman" w:cs="Times New Roman"/>
              <w:bCs/>
              <w:lang w:val="pt-BR"/>
            </w:rPr>
          </w:pPr>
          <w:r w:rsidRPr="005A4913">
            <w:rPr>
              <w:rFonts w:ascii="Times New Roman" w:eastAsia="Times New Roman" w:hAnsi="Times New Roman" w:cs="Times New Roman"/>
              <w:bCs/>
              <w:lang w:val="pt-BR"/>
            </w:rPr>
            <w:t>8</w:t>
          </w:r>
          <w:r>
            <w:rPr>
              <w:rFonts w:ascii="Times New Roman" w:eastAsia="Times New Roman" w:hAnsi="Times New Roman" w:cs="Times New Roman"/>
              <w:bCs/>
              <w:lang w:val="pt-BR"/>
            </w:rPr>
            <w:t>6</w:t>
          </w:r>
          <w:r w:rsidRPr="005A4913">
            <w:rPr>
              <w:rFonts w:ascii="Times New Roman" w:eastAsia="Times New Roman" w:hAnsi="Times New Roman" w:cs="Times New Roman"/>
              <w:bCs/>
              <w:vertAlign w:val="superscript"/>
              <w:lang w:val="pt-BR"/>
            </w:rPr>
            <w:t>th</w:t>
          </w:r>
          <w:r w:rsidRPr="005A4913">
            <w:rPr>
              <w:rFonts w:ascii="Times New Roman" w:eastAsia="Times New Roman" w:hAnsi="Times New Roman" w:cs="Times New Roman"/>
              <w:bCs/>
              <w:lang w:val="pt-BR"/>
            </w:rPr>
            <w:t xml:space="preserve"> GRPE, </w:t>
          </w:r>
          <w:r>
            <w:rPr>
              <w:rFonts w:ascii="Times New Roman" w:eastAsia="Times New Roman" w:hAnsi="Times New Roman" w:cs="Times New Roman"/>
              <w:bCs/>
              <w:lang w:val="pt-BR"/>
            </w:rPr>
            <w:t xml:space="preserve">30 May – 2 </w:t>
          </w:r>
          <w:proofErr w:type="spellStart"/>
          <w:r>
            <w:rPr>
              <w:rFonts w:ascii="Times New Roman" w:eastAsia="Times New Roman" w:hAnsi="Times New Roman" w:cs="Times New Roman"/>
              <w:bCs/>
              <w:lang w:val="pt-BR"/>
            </w:rPr>
            <w:t>June</w:t>
          </w:r>
          <w:proofErr w:type="spellEnd"/>
          <w:r>
            <w:rPr>
              <w:rFonts w:ascii="Times New Roman" w:eastAsia="Times New Roman" w:hAnsi="Times New Roman" w:cs="Times New Roman"/>
              <w:bCs/>
              <w:lang w:val="pt-BR"/>
            </w:rPr>
            <w:t xml:space="preserve"> 2022</w:t>
          </w:r>
        </w:p>
        <w:p w14:paraId="5816D3E0" w14:textId="6428A978" w:rsidR="00EC2BAC" w:rsidRPr="005A4913" w:rsidRDefault="00EC2BAC" w:rsidP="00EC2BAC">
          <w:pPr>
            <w:tabs>
              <w:tab w:val="center" w:pos="4513"/>
              <w:tab w:val="right" w:pos="9026"/>
            </w:tabs>
            <w:ind w:left="1057"/>
            <w:rPr>
              <w:rFonts w:ascii="Times New Roman" w:eastAsia="Times New Roman" w:hAnsi="Times New Roman" w:cs="Times New Roman"/>
              <w:lang w:val="pt-BR"/>
            </w:rPr>
          </w:pPr>
          <w:r w:rsidRPr="005A4913">
            <w:rPr>
              <w:rFonts w:ascii="Times New Roman" w:eastAsia="Times New Roman" w:hAnsi="Times New Roman" w:cs="Times New Roman"/>
              <w:lang w:val="pt-BR"/>
            </w:rPr>
            <w:t xml:space="preserve">Agenda item </w:t>
          </w:r>
          <w:r>
            <w:rPr>
              <w:rFonts w:ascii="Times New Roman" w:eastAsia="Times New Roman" w:hAnsi="Times New Roman" w:cs="Times New Roman"/>
              <w:lang w:val="pt-BR"/>
            </w:rPr>
            <w:t>1</w:t>
          </w:r>
          <w:r>
            <w:rPr>
              <w:rFonts w:ascii="Times New Roman" w:eastAsia="Times New Roman" w:hAnsi="Times New Roman" w:cs="Times New Roman"/>
              <w:lang w:val="pt-BR"/>
            </w:rPr>
            <w:t>3.</w:t>
          </w:r>
        </w:p>
        <w:p w14:paraId="7ECB2A56" w14:textId="77777777" w:rsidR="00EC2BAC" w:rsidRPr="005A4913" w:rsidRDefault="00EC2BAC" w:rsidP="00EC2BAC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  <w:b/>
              <w:lang w:val="pt-BR"/>
            </w:rPr>
          </w:pPr>
        </w:p>
      </w:tc>
    </w:tr>
  </w:tbl>
  <w:p w14:paraId="332B34F3" w14:textId="77777777" w:rsidR="00EC2BAC" w:rsidRDefault="00EC2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F401" w14:textId="77777777" w:rsidR="000200EA" w:rsidRDefault="00020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0A48"/>
    <w:rsid w:val="000200EA"/>
    <w:rsid w:val="00070A85"/>
    <w:rsid w:val="003570AA"/>
    <w:rsid w:val="003A3C66"/>
    <w:rsid w:val="00497A62"/>
    <w:rsid w:val="005A5751"/>
    <w:rsid w:val="005D03D8"/>
    <w:rsid w:val="00663865"/>
    <w:rsid w:val="006E65BE"/>
    <w:rsid w:val="006F1AF1"/>
    <w:rsid w:val="007B6F7E"/>
    <w:rsid w:val="008D0A48"/>
    <w:rsid w:val="00BB6CC1"/>
    <w:rsid w:val="00BC00D3"/>
    <w:rsid w:val="00C00F8C"/>
    <w:rsid w:val="00E140F1"/>
    <w:rsid w:val="00EC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77C66"/>
  <w15:docId w15:val="{E284A525-14FB-4D15-91D2-F8F26BB7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6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BAC"/>
  </w:style>
  <w:style w:type="paragraph" w:styleId="Footer">
    <w:name w:val="footer"/>
    <w:basedOn w:val="Normal"/>
    <w:link w:val="FooterChar"/>
    <w:uiPriority w:val="99"/>
    <w:unhideWhenUsed/>
    <w:rsid w:val="00EC2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A73F-1D31-4E0A-9A82-A4EDAC0BCC9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B50D9FE5-412F-4F26-8FF4-C79C99203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DF49E-DB50-4728-AAAC-F30096D37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4E7896-9BC3-4688-935A-765E51CB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Francois Cuenot</cp:lastModifiedBy>
  <cp:revision>5</cp:revision>
  <dcterms:created xsi:type="dcterms:W3CDTF">2022-06-02T10:38:00Z</dcterms:created>
  <dcterms:modified xsi:type="dcterms:W3CDTF">2022-06-03T10:03:00Z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