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B27775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41171E0" w14:textId="77777777" w:rsidR="002D5AAC" w:rsidRDefault="002D5AAC" w:rsidP="00C51B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C4A6BB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E129D40" w14:textId="6ECA0DFF" w:rsidR="002D5AAC" w:rsidRDefault="00C51B25" w:rsidP="00C51B25">
            <w:pPr>
              <w:jc w:val="right"/>
            </w:pPr>
            <w:r w:rsidRPr="00C51B25">
              <w:rPr>
                <w:sz w:val="40"/>
              </w:rPr>
              <w:t>ECE</w:t>
            </w:r>
            <w:r>
              <w:t>/TRANS/WP.29/2022/109</w:t>
            </w:r>
          </w:p>
        </w:tc>
      </w:tr>
      <w:tr w:rsidR="002D5AAC" w:rsidRPr="00984B7A" w14:paraId="1ECF1BD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4193AD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4164C23" wp14:editId="7673BE5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6F215F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C96598E" w14:textId="77777777" w:rsidR="002D5AAC" w:rsidRDefault="00C51B2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9CB8080" w14:textId="77777777" w:rsidR="00C51B25" w:rsidRDefault="00C51B25" w:rsidP="00C51B2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April 2022</w:t>
            </w:r>
          </w:p>
          <w:p w14:paraId="3CC3C9DD" w14:textId="77777777" w:rsidR="00C51B25" w:rsidRDefault="00C51B25" w:rsidP="00C51B2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041FE8D" w14:textId="03B2DD52" w:rsidR="00C51B25" w:rsidRPr="008D53B6" w:rsidRDefault="00C51B25" w:rsidP="00C51B2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A6B34C3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056AF9D" w14:textId="77777777" w:rsidR="00C51B25" w:rsidRPr="005B04BF" w:rsidRDefault="00C51B25" w:rsidP="00C51B25">
      <w:pPr>
        <w:spacing w:before="120"/>
        <w:rPr>
          <w:sz w:val="28"/>
          <w:szCs w:val="28"/>
        </w:rPr>
      </w:pPr>
      <w:r w:rsidRPr="005B04BF">
        <w:rPr>
          <w:sz w:val="28"/>
          <w:szCs w:val="28"/>
        </w:rPr>
        <w:t>Комитет по внутреннему транспорту</w:t>
      </w:r>
    </w:p>
    <w:p w14:paraId="489C1810" w14:textId="77777777" w:rsidR="00C51B25" w:rsidRPr="005B04BF" w:rsidRDefault="00C51B25" w:rsidP="00C51B25">
      <w:pPr>
        <w:spacing w:before="120"/>
        <w:rPr>
          <w:b/>
          <w:sz w:val="24"/>
          <w:szCs w:val="24"/>
        </w:rPr>
      </w:pPr>
      <w:r w:rsidRPr="005B04BF">
        <w:rPr>
          <w:b/>
          <w:sz w:val="24"/>
          <w:szCs w:val="24"/>
        </w:rPr>
        <w:t xml:space="preserve">Всемирный форум для согласования правил </w:t>
      </w:r>
      <w:r w:rsidRPr="005B04BF">
        <w:rPr>
          <w:b/>
          <w:sz w:val="24"/>
          <w:szCs w:val="24"/>
        </w:rPr>
        <w:br/>
        <w:t>в области транспортных средств</w:t>
      </w:r>
    </w:p>
    <w:p w14:paraId="27540BBC" w14:textId="77777777" w:rsidR="00C51B25" w:rsidRPr="005B04BF" w:rsidRDefault="00C51B25" w:rsidP="00C51B25">
      <w:pPr>
        <w:tabs>
          <w:tab w:val="center" w:pos="4819"/>
        </w:tabs>
        <w:spacing w:before="120"/>
        <w:rPr>
          <w:b/>
        </w:rPr>
      </w:pPr>
      <w:r w:rsidRPr="005B04BF">
        <w:rPr>
          <w:b/>
        </w:rPr>
        <w:t>Сто восемьдесят седьмая сессия</w:t>
      </w:r>
    </w:p>
    <w:p w14:paraId="5E52F0AE" w14:textId="77777777" w:rsidR="00C51B25" w:rsidRPr="005B04BF" w:rsidRDefault="00C51B25" w:rsidP="00C51B25">
      <w:r w:rsidRPr="005B04BF">
        <w:t>Женева, 21‒24 июня 2022 года</w:t>
      </w:r>
    </w:p>
    <w:p w14:paraId="2EE824B2" w14:textId="77777777" w:rsidR="00C51B25" w:rsidRPr="005B04BF" w:rsidRDefault="00C51B25" w:rsidP="00C51B25">
      <w:pPr>
        <w:ind w:right="827"/>
        <w:rPr>
          <w:rFonts w:eastAsia="MS Mincho"/>
          <w:bCs/>
          <w:szCs w:val="20"/>
        </w:rPr>
      </w:pPr>
      <w:r w:rsidRPr="005B04BF">
        <w:t>Пункт 14.2.1 предварительной повестки дня</w:t>
      </w:r>
    </w:p>
    <w:p w14:paraId="24290E93" w14:textId="6E821A7A" w:rsidR="00C51B25" w:rsidRPr="005B04BF" w:rsidRDefault="00C51B25" w:rsidP="00C51B25">
      <w:pPr>
        <w:ind w:right="827"/>
        <w:rPr>
          <w:rFonts w:eastAsia="MS Mincho"/>
          <w:b/>
          <w:bCs/>
          <w:szCs w:val="20"/>
        </w:rPr>
      </w:pPr>
      <w:r w:rsidRPr="005B04BF">
        <w:rPr>
          <w:b/>
        </w:rPr>
        <w:t xml:space="preserve">Рассмотрение АС.3 проектов ГТП ООН </w:t>
      </w:r>
      <w:r w:rsidR="00331A7E">
        <w:rPr>
          <w:b/>
        </w:rPr>
        <w:br/>
      </w:r>
      <w:r w:rsidRPr="005B04BF">
        <w:rPr>
          <w:b/>
        </w:rPr>
        <w:t xml:space="preserve">и/или проектов поправок к введенным </w:t>
      </w:r>
      <w:r w:rsidR="00331A7E">
        <w:rPr>
          <w:b/>
        </w:rPr>
        <w:br/>
      </w:r>
      <w:r w:rsidRPr="005B04BF">
        <w:rPr>
          <w:b/>
        </w:rPr>
        <w:t xml:space="preserve">ГТП ООН, если таковые представлены, </w:t>
      </w:r>
      <w:r w:rsidR="00331A7E">
        <w:rPr>
          <w:b/>
        </w:rPr>
        <w:br/>
      </w:r>
      <w:r w:rsidRPr="005B04BF">
        <w:rPr>
          <w:b/>
        </w:rPr>
        <w:t xml:space="preserve">и голосование по ним: </w:t>
      </w:r>
      <w:r w:rsidR="00331A7E">
        <w:rPr>
          <w:b/>
        </w:rPr>
        <w:br/>
      </w:r>
      <w:r w:rsidRPr="005B04BF">
        <w:rPr>
          <w:b/>
        </w:rPr>
        <w:t>Предложение по поправкам к ГТП ООН</w:t>
      </w:r>
    </w:p>
    <w:p w14:paraId="5620DE24" w14:textId="5A09A5D2" w:rsidR="00C51B25" w:rsidRPr="005B04BF" w:rsidRDefault="00C51B25" w:rsidP="00C51B25">
      <w:pPr>
        <w:pStyle w:val="HChG"/>
        <w:rPr>
          <w:color w:val="000000" w:themeColor="text1"/>
        </w:rPr>
      </w:pPr>
      <w:r w:rsidRPr="005B04BF">
        <w:tab/>
      </w:r>
      <w:r w:rsidRPr="005B04BF">
        <w:tab/>
        <w:t xml:space="preserve">Предложение по техническому докладу о разработке поправки 5 к ГТП № 2 ООН (процедура измерения </w:t>
      </w:r>
      <w:r>
        <w:br/>
      </w:r>
      <w:r w:rsidRPr="005B04BF">
        <w:t xml:space="preserve">для двух- и трехколесных транспортных средств, оснащенных двигателем с принудительным зажиганием или двигателем с воспламенением от сжатия, </w:t>
      </w:r>
      <w:r>
        <w:br/>
      </w:r>
      <w:r w:rsidRPr="005B04BF">
        <w:t>в отношении выбросов газообразных загрязняющих веществ, выбросов СО</w:t>
      </w:r>
      <w:r w:rsidRPr="005B04BF">
        <w:rPr>
          <w:vertAlign w:val="subscript"/>
        </w:rPr>
        <w:t>2</w:t>
      </w:r>
      <w:r w:rsidRPr="005B04BF">
        <w:t xml:space="preserve"> и расхода топлива)</w:t>
      </w:r>
    </w:p>
    <w:p w14:paraId="45F6E285" w14:textId="3F2B60A6" w:rsidR="00C51B25" w:rsidRPr="005B04BF" w:rsidRDefault="00C51B25" w:rsidP="00C51B25">
      <w:pPr>
        <w:pStyle w:val="H1G"/>
        <w:rPr>
          <w:rFonts w:eastAsia="MS Mincho"/>
          <w:bCs/>
        </w:rPr>
      </w:pPr>
      <w:r w:rsidRPr="005B04BF">
        <w:tab/>
      </w:r>
      <w:r w:rsidRPr="005B04BF">
        <w:tab/>
      </w:r>
      <w:r w:rsidRPr="005B04BF">
        <w:rPr>
          <w:rFonts w:eastAsia="MS Mincho"/>
        </w:rPr>
        <w:t xml:space="preserve">Представлено Рабочей группой по проблемам энергии </w:t>
      </w:r>
      <w:r>
        <w:rPr>
          <w:rFonts w:eastAsia="MS Mincho"/>
        </w:rPr>
        <w:br/>
      </w:r>
      <w:r w:rsidRPr="005B04BF">
        <w:rPr>
          <w:rFonts w:eastAsia="MS Mincho"/>
        </w:rPr>
        <w:t>и загрязнения окружающей среды</w:t>
      </w:r>
      <w:r w:rsidRPr="00331A7E">
        <w:rPr>
          <w:rFonts w:eastAsia="MS Mincho"/>
          <w:b w:val="0"/>
          <w:bCs/>
          <w:sz w:val="20"/>
          <w:szCs w:val="16"/>
        </w:rPr>
        <w:footnoteReference w:customMarkFollows="1" w:id="1"/>
        <w:t>*</w:t>
      </w:r>
    </w:p>
    <w:p w14:paraId="2B5CE12F" w14:textId="34345DB2" w:rsidR="00C51B25" w:rsidRPr="00331A7E" w:rsidRDefault="00C51B25" w:rsidP="00C51B25">
      <w:pPr>
        <w:pStyle w:val="SingleTxtG"/>
      </w:pPr>
      <w:r>
        <w:tab/>
      </w:r>
      <w:r w:rsidRPr="005B04BF">
        <w:t xml:space="preserve">Воспроизведенный ниже текст обсуждался Рабочей группой по проблемам энергии и загрязнения окружающей среды (GRPE) на ее восемьдесят </w:t>
      </w:r>
      <w:r w:rsidR="00331A7E">
        <w:t>пятой</w:t>
      </w:r>
      <w:r w:rsidRPr="005B04BF">
        <w:t xml:space="preserve"> сессии (ECE/TRANS/WP.29/GRPE/85, п</w:t>
      </w:r>
      <w:r w:rsidR="00331A7E">
        <w:t>. </w:t>
      </w:r>
      <w:r w:rsidRPr="005B04BF">
        <w:t>50). Он</w:t>
      </w:r>
      <w:r>
        <w:t xml:space="preserve"> представляет</w:t>
      </w:r>
      <w:r w:rsidRPr="005B04BF">
        <w:t xml:space="preserve"> собой технический доклад, </w:t>
      </w:r>
      <w:r>
        <w:t>сопровождающий</w:t>
      </w:r>
      <w:r w:rsidRPr="005B04BF">
        <w:t xml:space="preserve"> предложение по поправке 5 к ГТП № 2 ООН (ECE/TRANS/WP.29/</w:t>
      </w:r>
      <w:r w:rsidR="00331A7E">
        <w:t xml:space="preserve"> </w:t>
      </w:r>
      <w:r w:rsidRPr="005B04BF">
        <w:t>2022/108). Этот текст представляется Всемирному форуму для согласования правил в области транспортных средств (WP.29) и Исполнительному комитету (АС.3) Соглашения 1998 года для рассмотрения на их сессиях в июне 2022 года.</w:t>
      </w:r>
    </w:p>
    <w:p w14:paraId="25378BE3" w14:textId="77777777" w:rsidR="00C51B25" w:rsidRPr="005B04BF" w:rsidRDefault="00C51B25" w:rsidP="00C51B25">
      <w:pPr>
        <w:ind w:right="827"/>
        <w:rPr>
          <w:color w:val="000000" w:themeColor="text1"/>
        </w:rPr>
      </w:pPr>
    </w:p>
    <w:p w14:paraId="5EFE45B3" w14:textId="2EBDE3AF" w:rsidR="00C51B25" w:rsidRPr="005B04BF" w:rsidRDefault="00C51B25" w:rsidP="00C51B25">
      <w:pPr>
        <w:pStyle w:val="HChG"/>
        <w:rPr>
          <w:color w:val="000000" w:themeColor="text1"/>
        </w:rPr>
      </w:pPr>
      <w:r w:rsidRPr="005B04BF">
        <w:rPr>
          <w:color w:val="000000" w:themeColor="text1"/>
        </w:rPr>
        <w:lastRenderedPageBreak/>
        <w:tab/>
      </w:r>
      <w:r w:rsidRPr="005B04BF">
        <w:tab/>
      </w:r>
      <w:r w:rsidRPr="005B04BF">
        <w:rPr>
          <w:bCs/>
        </w:rPr>
        <w:t xml:space="preserve">Технический доклад о разработке поправки 5 </w:t>
      </w:r>
      <w:r>
        <w:rPr>
          <w:bCs/>
        </w:rPr>
        <w:br/>
      </w:r>
      <w:r w:rsidRPr="005B04BF">
        <w:rPr>
          <w:bCs/>
        </w:rPr>
        <w:t xml:space="preserve">к ГТП № 2 ООН, касающимся процедуры измерения </w:t>
      </w:r>
      <w:r>
        <w:rPr>
          <w:bCs/>
        </w:rPr>
        <w:br/>
      </w:r>
      <w:r w:rsidRPr="005B04BF">
        <w:rPr>
          <w:bCs/>
        </w:rPr>
        <w:t xml:space="preserve">для двух- и трехколесных транспортных средств, оснащенных двигателем с принудительным зажиганием или двигателем с воспламенением от сжатия, </w:t>
      </w:r>
      <w:r>
        <w:rPr>
          <w:bCs/>
        </w:rPr>
        <w:br/>
      </w:r>
      <w:r w:rsidRPr="005B04BF">
        <w:rPr>
          <w:bCs/>
        </w:rPr>
        <w:t>в отношении выбросов газообразных загрязняющих веществ, выбросов СО</w:t>
      </w:r>
      <w:r w:rsidRPr="005B04BF">
        <w:rPr>
          <w:bCs/>
          <w:vertAlign w:val="subscript"/>
        </w:rPr>
        <w:t>2</w:t>
      </w:r>
      <w:r w:rsidRPr="005B04BF">
        <w:rPr>
          <w:bCs/>
        </w:rPr>
        <w:t xml:space="preserve"> и расхода топлива</w:t>
      </w:r>
    </w:p>
    <w:p w14:paraId="5BC4D3BE" w14:textId="77777777" w:rsidR="00C51B25" w:rsidRPr="005B04BF" w:rsidRDefault="00C51B25" w:rsidP="00C51B25">
      <w:pPr>
        <w:pStyle w:val="HChG"/>
        <w:rPr>
          <w:rFonts w:eastAsia="MS Mincho"/>
          <w:bCs/>
        </w:rPr>
      </w:pPr>
      <w:r w:rsidRPr="005B04BF">
        <w:rPr>
          <w:rFonts w:eastAsia="MS Mincho"/>
        </w:rPr>
        <w:tab/>
        <w:t>I.</w:t>
      </w:r>
      <w:r w:rsidRPr="005B04BF">
        <w:rPr>
          <w:rFonts w:eastAsia="MS Mincho"/>
        </w:rPr>
        <w:tab/>
        <w:t>Мандат</w:t>
      </w:r>
    </w:p>
    <w:p w14:paraId="28FC198F" w14:textId="77777777" w:rsidR="00C51B25" w:rsidRPr="005B04BF" w:rsidRDefault="00C51B25" w:rsidP="00C51B25">
      <w:pPr>
        <w:pStyle w:val="SingleTxtG"/>
        <w:rPr>
          <w:color w:val="000000" w:themeColor="text1"/>
        </w:rPr>
      </w:pPr>
      <w:r w:rsidRPr="005B04BF">
        <w:t>1.</w:t>
      </w:r>
      <w:r w:rsidRPr="005B04BF">
        <w:tab/>
        <w:t>Поправка 5 к Глобальным техническим правилам (ГТП) № 2 была разработана неофициальной рабочей группой (НРГ) по требованиям к экологическим и тяговым характеристикам транспортных средств категории L (ТЭТХ). Исполнительный комитет (AC.3) Соглашения 1998 года утвердил разрешение на разработку поправок к Глобальным техническим правилам № 2 ООН (ГТП ООН) на своей сорок пятой сессии (12 ноября 2015 года) (ECE/TRANS/WP.29/AC.3/36/Rev.1).</w:t>
      </w:r>
    </w:p>
    <w:p w14:paraId="6A6D4E40" w14:textId="77777777" w:rsidR="00C51B25" w:rsidRPr="005B04BF" w:rsidRDefault="00C51B25" w:rsidP="00C51B25">
      <w:pPr>
        <w:pStyle w:val="HChG"/>
        <w:rPr>
          <w:rFonts w:eastAsia="MS Mincho"/>
          <w:bCs/>
        </w:rPr>
      </w:pPr>
      <w:r w:rsidRPr="005B04BF">
        <w:rPr>
          <w:rFonts w:eastAsia="MS Mincho"/>
        </w:rPr>
        <w:tab/>
        <w:t>II.</w:t>
      </w:r>
      <w:r w:rsidRPr="005B04BF">
        <w:rPr>
          <w:rFonts w:eastAsia="MS Mincho"/>
        </w:rPr>
        <w:tab/>
        <w:t>Цели</w:t>
      </w:r>
    </w:p>
    <w:p w14:paraId="7E5FDC24" w14:textId="77777777" w:rsidR="00C51B25" w:rsidRPr="00C51B25" w:rsidRDefault="00C51B25" w:rsidP="00C51B25">
      <w:pPr>
        <w:pStyle w:val="SingleTxtG"/>
      </w:pPr>
      <w:r w:rsidRPr="005B04BF">
        <w:t>2.</w:t>
      </w:r>
      <w:r w:rsidRPr="005B04BF">
        <w:tab/>
        <w:t xml:space="preserve">Основная </w:t>
      </w:r>
      <w:r>
        <w:t>цель</w:t>
      </w:r>
      <w:r w:rsidRPr="005B04BF">
        <w:t xml:space="preserve"> вышеуказанного разрешения заключается в разработке требований и/или процедур испытаний в рамках Соглашения 1998 года и достижении синергии с правилами</w:t>
      </w:r>
      <w:r w:rsidRPr="00C51B25">
        <w:t xml:space="preserve"> ООН, прилагаемыми к Соглашению 1958 года. По мере возможности предусматривается разработка общих требований в виде одного или нескольких наборов правил ООН и одного или нескольких наборов ГТП ООН, а также соответствующих поправок и/или дополнений.</w:t>
      </w:r>
    </w:p>
    <w:p w14:paraId="3E8D4AB0" w14:textId="77777777" w:rsidR="00C51B25" w:rsidRPr="005B04BF" w:rsidRDefault="00C51B25" w:rsidP="00C51B25">
      <w:pPr>
        <w:pStyle w:val="SingleTxtG"/>
        <w:rPr>
          <w:color w:val="000000" w:themeColor="text1"/>
        </w:rPr>
      </w:pPr>
      <w:r w:rsidRPr="00C51B25">
        <w:t>3.</w:t>
      </w:r>
      <w:r w:rsidRPr="00C51B25">
        <w:tab/>
        <w:t>Работа над решением этой задачи началась с согласования процедур испытаний для двухколесных транспортных средств, оснащенных обычным двигателем внутреннего сгорания, а на последующем этапе деятельности в нее было включено рассмотрение трехколесных т</w:t>
      </w:r>
      <w:r w:rsidRPr="005B04BF">
        <w:t>ранспортных средств и двигател</w:t>
      </w:r>
      <w:r>
        <w:t>ей</w:t>
      </w:r>
      <w:r w:rsidRPr="005B04BF">
        <w:t xml:space="preserve"> других типов. </w:t>
      </w:r>
    </w:p>
    <w:p w14:paraId="4D771448" w14:textId="77777777" w:rsidR="00C51B25" w:rsidRPr="005B04BF" w:rsidRDefault="00C51B25" w:rsidP="00C51B25">
      <w:pPr>
        <w:pStyle w:val="SingleTxtG"/>
      </w:pPr>
      <w:r w:rsidRPr="005B04BF">
        <w:t>4.</w:t>
      </w:r>
      <w:r w:rsidRPr="005B04BF">
        <w:tab/>
        <w:t xml:space="preserve">Сфера обсуждения не </w:t>
      </w:r>
      <w:r>
        <w:t>распространяется на</w:t>
      </w:r>
      <w:r w:rsidRPr="005B04BF">
        <w:t xml:space="preserve"> легкие четырехколесные транспортные средства в контексте ГТП ООН, касающихся выбросов.</w:t>
      </w:r>
    </w:p>
    <w:p w14:paraId="6C51FFE5" w14:textId="77777777" w:rsidR="00C51B25" w:rsidRPr="005B04BF" w:rsidRDefault="00C51B25" w:rsidP="00C51B25">
      <w:pPr>
        <w:pStyle w:val="HChGR"/>
        <w:keepNext w:val="0"/>
        <w:keepLines w:val="0"/>
        <w:widowControl w:val="0"/>
        <w:ind w:left="0" w:firstLine="0"/>
        <w:rPr>
          <w:rFonts w:eastAsia="MS Mincho"/>
        </w:rPr>
      </w:pPr>
      <w:r w:rsidRPr="005B04BF">
        <w:tab/>
        <w:t>III.</w:t>
      </w:r>
      <w:r w:rsidRPr="005B04BF">
        <w:tab/>
        <w:t xml:space="preserve">Технические </w:t>
      </w:r>
      <w:r w:rsidRPr="005B04BF">
        <w:rPr>
          <w:rFonts w:eastAsia="MS Mincho"/>
        </w:rPr>
        <w:t>соображения</w:t>
      </w:r>
      <w:r w:rsidRPr="005B04BF">
        <w:t xml:space="preserve"> и обоснование</w:t>
      </w:r>
    </w:p>
    <w:p w14:paraId="20D2EA0E" w14:textId="77777777" w:rsidR="00C51B25" w:rsidRPr="005B04BF" w:rsidRDefault="00C51B25" w:rsidP="00C51B25">
      <w:pPr>
        <w:pStyle w:val="H1G"/>
      </w:pPr>
      <w:r w:rsidRPr="005B04BF">
        <w:tab/>
        <w:t>A.</w:t>
      </w:r>
      <w:r w:rsidRPr="005B04BF">
        <w:tab/>
        <w:t>Введение</w:t>
      </w:r>
    </w:p>
    <w:p w14:paraId="5669EA49" w14:textId="365CEAF5" w:rsidR="00C51B25" w:rsidRPr="00C51B25" w:rsidRDefault="00C51B25" w:rsidP="00C51B25">
      <w:pPr>
        <w:pStyle w:val="SingleTxtG"/>
      </w:pPr>
      <w:r w:rsidRPr="005B04BF">
        <w:rPr>
          <w:shd w:val="clear" w:color="auto" w:fill="FFFFFF"/>
        </w:rPr>
        <w:t>5.</w:t>
      </w:r>
      <w:r w:rsidRPr="005B04BF">
        <w:rPr>
          <w:shd w:val="clear" w:color="auto" w:fill="FFFFFF"/>
        </w:rPr>
        <w:tab/>
        <w:t>Производство двух- и трехколесных транс</w:t>
      </w:r>
      <w:r w:rsidRPr="00C51B25">
        <w:t>портных средств носит глобальный характер, и предприятия-изготовители реализуют свою продукцию во многих странах мира. Договаривающиеся стороны Соглашения 1998</w:t>
      </w:r>
      <w:r w:rsidR="00BD2CDC" w:rsidRPr="00BD2CDC">
        <w:t xml:space="preserve"> </w:t>
      </w:r>
      <w:r w:rsidRPr="00C51B25">
        <w:t>года единодушно решили, что в качестве одного из путей улучшения в международном масштабе качества атмосферного воздуха надлежит приступить к работе для решения проблемы выбросов двухколесным автотранспортом.</w:t>
      </w:r>
    </w:p>
    <w:p w14:paraId="384DCC22" w14:textId="77777777" w:rsidR="00C51B25" w:rsidRPr="00C51B25" w:rsidRDefault="00C51B25" w:rsidP="00C51B25">
      <w:pPr>
        <w:pStyle w:val="SingleTxtG"/>
      </w:pPr>
      <w:r w:rsidRPr="00C51B25">
        <w:t>6.</w:t>
      </w:r>
      <w:r w:rsidRPr="00C51B25">
        <w:tab/>
        <w:t xml:space="preserve">Настоящими ГТП ООН охватываются три основных типа проверочных экологических испытаний, служащих для проверки и подтверждения экологических характеристик самых различных типов двух- </w:t>
      </w:r>
      <w:r w:rsidRPr="00C51B25">
        <w:rPr>
          <w:rFonts w:eastAsiaTheme="minorEastAsia"/>
        </w:rPr>
        <w:t>и трех</w:t>
      </w:r>
      <w:r w:rsidRPr="00C51B25">
        <w:t>колесных автотранспортных средств.</w:t>
      </w:r>
    </w:p>
    <w:p w14:paraId="1B9D177C" w14:textId="25AE9372" w:rsidR="00C51B25" w:rsidRPr="00C51B25" w:rsidRDefault="00C51B25" w:rsidP="00C51B25">
      <w:pPr>
        <w:pStyle w:val="SingleTxtG"/>
      </w:pPr>
      <w:r w:rsidRPr="00C51B25">
        <w:t>7.</w:t>
      </w:r>
      <w:r w:rsidRPr="00C51B25">
        <w:tab/>
        <w:t>Цель настоящих ГТП ООН состоит в том, чтобы обеспечить меры в поддержку всемирного согласования законодательства, касающегося официального утверждения и сертификации двух- и трехколесных транспортных средств, для повышения затратоэффективности испытаний экологических характеристик, снятия торговых барьеров, уменьшения общей сложности глобальн</w:t>
      </w:r>
      <w:r w:rsidRPr="00C51B25">
        <w:rPr>
          <w:rFonts w:eastAsiaTheme="minorEastAsia"/>
        </w:rPr>
        <w:t>ых норм</w:t>
      </w:r>
      <w:r w:rsidRPr="00C51B25">
        <w:t>,</w:t>
      </w:r>
      <w:r w:rsidRPr="005B04BF">
        <w:rPr>
          <w:shd w:val="clear" w:color="auto" w:fill="FFFFFF"/>
        </w:rPr>
        <w:t xml:space="preserve"> устранения потенциальных коллизий и противо</w:t>
      </w:r>
      <w:r>
        <w:rPr>
          <w:shd w:val="clear" w:color="auto" w:fill="FFFFFF"/>
        </w:rPr>
        <w:t>речащих друг другу</w:t>
      </w:r>
      <w:r w:rsidRPr="005B04BF">
        <w:rPr>
          <w:shd w:val="clear" w:color="auto" w:fill="FFFFFF"/>
        </w:rPr>
        <w:t xml:space="preserve"> требований и улучшения качества воздуха.</w:t>
      </w:r>
    </w:p>
    <w:p w14:paraId="749AAF6F" w14:textId="77777777" w:rsidR="00C51B25" w:rsidRPr="005B04BF" w:rsidRDefault="00C51B25" w:rsidP="00C51B25">
      <w:pPr>
        <w:pStyle w:val="SingleTxtG"/>
      </w:pPr>
      <w:r w:rsidRPr="00C51B25">
        <w:t>8.</w:t>
      </w:r>
      <w:r w:rsidRPr="00C51B25">
        <w:tab/>
        <w:t>Первым шагом в этом процессе стало введение в 2004 году в рамках согласованных ГТП № 2 ООН процедуры сертификации на предмет выбросов отработавших газов мотоциклами. В результате пересмотра 1 ГТП № 2 ООН область применения была распространена на все двухколесные транспортные средства, обновлена методология испытаний для оценки технического прогресса и установлены требования к измерению энергоэффективн</w:t>
      </w:r>
      <w:r w:rsidRPr="005B04BF">
        <w:rPr>
          <w:shd w:val="clear" w:color="auto" w:fill="FFFFFF"/>
        </w:rPr>
        <w:t xml:space="preserve">ости различных типов силовых установок, которыми оснащаются </w:t>
      </w:r>
      <w:r>
        <w:rPr>
          <w:shd w:val="clear" w:color="auto" w:fill="FFFFFF"/>
        </w:rPr>
        <w:t>двухколесные транспортные</w:t>
      </w:r>
      <w:r w:rsidRPr="005B04BF">
        <w:rPr>
          <w:shd w:val="clear" w:color="auto" w:fill="FFFFFF"/>
        </w:rPr>
        <w:t xml:space="preserve"> средства. Процедуры испытаний были разработаны с таким расчетом, чтобы они:</w:t>
      </w:r>
    </w:p>
    <w:p w14:paraId="6D4928C9" w14:textId="4983A2C1" w:rsidR="00C51B25" w:rsidRPr="00984B7A" w:rsidRDefault="00284B9C" w:rsidP="00984B7A">
      <w:pPr>
        <w:pStyle w:val="SingleTxtG"/>
      </w:pPr>
      <w:r w:rsidRPr="00984B7A">
        <w:tab/>
      </w:r>
      <w:r w:rsidR="00C51B25" w:rsidRPr="00984B7A">
        <w:t>a)</w:t>
      </w:r>
      <w:r w:rsidR="00C51B25" w:rsidRPr="00984B7A">
        <w:tab/>
        <w:t>были репрезентативными для реальных дорожных условий эксплуатации транспортных средств во всем мире;</w:t>
      </w:r>
    </w:p>
    <w:p w14:paraId="2AAEA3C7" w14:textId="5A079C81" w:rsidR="00C51B25" w:rsidRPr="00984B7A" w:rsidRDefault="00284B9C" w:rsidP="00984B7A">
      <w:pPr>
        <w:pStyle w:val="SingleTxtG"/>
      </w:pPr>
      <w:r w:rsidRPr="00984B7A">
        <w:tab/>
      </w:r>
      <w:r w:rsidR="00C51B25" w:rsidRPr="00984B7A">
        <w:t>b)</w:t>
      </w:r>
      <w:r w:rsidR="00C51B25" w:rsidRPr="00984B7A">
        <w:tab/>
        <w:t>представляли собой согласованный на международном уровне комплекс экологических испытаний для обеспечения эффективного и практически осуществимого контроля за выбросами в дорожных условиях на протяжении обычного срока эксплуатации транспортного средства;</w:t>
      </w:r>
    </w:p>
    <w:p w14:paraId="08CDCD68" w14:textId="710BEB42" w:rsidR="00C51B25" w:rsidRPr="00984B7A" w:rsidRDefault="00284B9C" w:rsidP="00984B7A">
      <w:pPr>
        <w:pStyle w:val="SingleTxtG"/>
      </w:pPr>
      <w:r w:rsidRPr="00984B7A">
        <w:tab/>
      </w:r>
      <w:r w:rsidR="00C51B25" w:rsidRPr="00984B7A">
        <w:t>c)</w:t>
      </w:r>
      <w:r w:rsidR="00C51B25" w:rsidRPr="00984B7A">
        <w:tab/>
        <w:t>соответствовали самой передовой методике проведения испытаний, отбора проб и измерений, требуемых при испытании двухколесных транспортных средств на экологические характеристики;</w:t>
      </w:r>
    </w:p>
    <w:p w14:paraId="5A4DC687" w14:textId="714D407B" w:rsidR="00C51B25" w:rsidRPr="00984B7A" w:rsidRDefault="00284B9C" w:rsidP="00984B7A">
      <w:pPr>
        <w:pStyle w:val="SingleTxtG"/>
      </w:pPr>
      <w:r w:rsidRPr="00984B7A">
        <w:tab/>
      </w:r>
      <w:r w:rsidR="00C51B25" w:rsidRPr="00984B7A">
        <w:t>d)</w:t>
      </w:r>
      <w:r w:rsidR="00C51B25" w:rsidRPr="00984B7A">
        <w:tab/>
        <w:t>были применимы на практике для существующих и предполагаемых будущих технологий снижения уровня выбросов отработавших газов;</w:t>
      </w:r>
    </w:p>
    <w:p w14:paraId="74C60846" w14:textId="3BAF921D" w:rsidR="00C51B25" w:rsidRPr="00984B7A" w:rsidRDefault="00284B9C" w:rsidP="00984B7A">
      <w:pPr>
        <w:pStyle w:val="SingleTxtG"/>
      </w:pPr>
      <w:r w:rsidRPr="00984B7A">
        <w:tab/>
      </w:r>
      <w:r w:rsidR="00C51B25" w:rsidRPr="00984B7A">
        <w:t>e)</w:t>
      </w:r>
      <w:r w:rsidR="00C51B25" w:rsidRPr="00984B7A">
        <w:tab/>
        <w:t>были применимы на практике для существующих и предполагаемых будущих технологий силовых агрегатов;</w:t>
      </w:r>
    </w:p>
    <w:p w14:paraId="6C386076" w14:textId="06241A11" w:rsidR="00C51B25" w:rsidRPr="00984B7A" w:rsidRDefault="00284B9C" w:rsidP="00984B7A">
      <w:pPr>
        <w:pStyle w:val="SingleTxtG"/>
      </w:pPr>
      <w:r w:rsidRPr="00984B7A">
        <w:tab/>
      </w:r>
      <w:r w:rsidR="00C51B25" w:rsidRPr="00984B7A">
        <w:t>f)</w:t>
      </w:r>
      <w:r w:rsidR="00C51B25" w:rsidRPr="00984B7A">
        <w:tab/>
        <w:t>были в состоянии обеспечить достоверную градацию различных типов двигателей по уровню выбросов отработавших газов;</w:t>
      </w:r>
    </w:p>
    <w:p w14:paraId="49D97299" w14:textId="3208AD88" w:rsidR="00C51B25" w:rsidRPr="00984B7A" w:rsidRDefault="00284B9C" w:rsidP="00984B7A">
      <w:pPr>
        <w:pStyle w:val="SingleTxtG"/>
      </w:pPr>
      <w:r w:rsidRPr="00984B7A">
        <w:tab/>
      </w:r>
      <w:r w:rsidR="00C51B25" w:rsidRPr="00984B7A">
        <w:t>g)</w:t>
      </w:r>
      <w:r w:rsidR="00C51B25" w:rsidRPr="00984B7A">
        <w:tab/>
        <w:t>предусматривали надлежащие положения по недопущению обхода испытательного цикла.</w:t>
      </w:r>
    </w:p>
    <w:p w14:paraId="360E286E" w14:textId="77777777" w:rsidR="00C51B25" w:rsidRPr="005B04BF" w:rsidRDefault="00C51B25" w:rsidP="00C51B25">
      <w:pPr>
        <w:pStyle w:val="SingleTxtG"/>
      </w:pPr>
      <w:r w:rsidRPr="005B04BF">
        <w:t>9.</w:t>
      </w:r>
      <w:r w:rsidRPr="005B04BF">
        <w:tab/>
        <w:t xml:space="preserve">Поправкой 5 к </w:t>
      </w:r>
      <w:r w:rsidRPr="005B04BF">
        <w:rPr>
          <w:shd w:val="clear" w:color="auto" w:fill="FFFFFF"/>
        </w:rPr>
        <w:t>ГТП № 2 ООН охватываются три типа испытаний, связанных с выбросами отработавших газов:</w:t>
      </w:r>
    </w:p>
    <w:p w14:paraId="5831DD6D" w14:textId="77777777" w:rsidR="00C51B25" w:rsidRPr="005B04BF" w:rsidRDefault="00C51B25" w:rsidP="00C51B25">
      <w:pPr>
        <w:pStyle w:val="H23G"/>
      </w:pPr>
      <w:r w:rsidRPr="005B04BF">
        <w:tab/>
      </w:r>
      <w:r w:rsidRPr="005B04BF">
        <w:rPr>
          <w:rFonts w:eastAsia="MS Mincho"/>
        </w:rPr>
        <w:t>1.</w:t>
      </w:r>
      <w:r w:rsidRPr="005B04BF">
        <w:rPr>
          <w:rFonts w:eastAsia="MS Mincho"/>
        </w:rPr>
        <w:tab/>
        <w:t>Испытание типа I: выбросы отработавших газов после запуска холодного двигателя</w:t>
      </w:r>
    </w:p>
    <w:p w14:paraId="0C0873CB" w14:textId="77777777" w:rsidR="00C51B25" w:rsidRPr="005B04BF" w:rsidRDefault="00C51B25" w:rsidP="00C51B25">
      <w:pPr>
        <w:pStyle w:val="SingleTxtG"/>
      </w:pPr>
      <w:r w:rsidRPr="005B04BF">
        <w:t>10.</w:t>
      </w:r>
      <w:r w:rsidRPr="005B04BF">
        <w:tab/>
        <w:t xml:space="preserve">Испытанием типа I, служащим для целей мониторинга уровня выбросов </w:t>
      </w:r>
      <w:r w:rsidRPr="005B04BF">
        <w:rPr>
          <w:shd w:val="clear" w:color="auto" w:fill="FFFFFF"/>
        </w:rPr>
        <w:t xml:space="preserve">транспортным средством </w:t>
      </w:r>
      <w:r w:rsidRPr="005B04BF">
        <w:t xml:space="preserve">газообразных загрязняющих веществ </w:t>
      </w:r>
      <w:r w:rsidRPr="005B04BF">
        <w:rPr>
          <w:shd w:val="clear" w:color="auto" w:fill="FFFFFF"/>
        </w:rPr>
        <w:t>в обычных условиях эксплуатации</w:t>
      </w:r>
      <w:r w:rsidRPr="005B04BF">
        <w:t xml:space="preserve">, определяется процедура испытания с запуском холодного двигателя и прогоном по соответствующему ездовому циклу на </w:t>
      </w:r>
      <w:r w:rsidRPr="005B04BF">
        <w:rPr>
          <w:shd w:val="clear" w:color="auto" w:fill="FFFFFF"/>
        </w:rPr>
        <w:t>динамометрическом стенде, специально спроектированном под данный класс транспортных средств, причем с учетом требований в отношении</w:t>
      </w:r>
      <w:r w:rsidRPr="005B04BF">
        <w:t xml:space="preserve"> </w:t>
      </w:r>
      <w:r w:rsidRPr="005B04BF">
        <w:rPr>
          <w:shd w:val="clear" w:color="auto" w:fill="FFFFFF"/>
        </w:rPr>
        <w:t>повторяемости и воспроизводимости результатов испытания.</w:t>
      </w:r>
    </w:p>
    <w:p w14:paraId="3B4EFA61" w14:textId="77777777" w:rsidR="00C51B25" w:rsidRPr="005B04BF" w:rsidRDefault="00C51B25" w:rsidP="00C51B25">
      <w:pPr>
        <w:pStyle w:val="H23G"/>
      </w:pPr>
      <w:r w:rsidRPr="005B04BF">
        <w:tab/>
      </w:r>
      <w:r w:rsidRPr="005B04BF">
        <w:rPr>
          <w:rFonts w:eastAsia="MS Mincho"/>
        </w:rPr>
        <w:t>2.</w:t>
      </w:r>
      <w:r w:rsidRPr="005B04BF">
        <w:rPr>
          <w:rFonts w:eastAsia="MS Mincho"/>
        </w:rPr>
        <w:tab/>
        <w:t>Испытание типа II: выбросы с отработавшими газами на холостом ходу (двигатель с ПЗ) и при свободном ускорении (двигатель с ВС)</w:t>
      </w:r>
    </w:p>
    <w:p w14:paraId="5FE82797" w14:textId="5CF5D3FE" w:rsidR="00C51B25" w:rsidRPr="005B04BF" w:rsidRDefault="00C51B25" w:rsidP="00C51B25">
      <w:pPr>
        <w:pStyle w:val="SingleTxtG"/>
      </w:pPr>
      <w:r w:rsidRPr="005B04BF">
        <w:t>11.</w:t>
      </w:r>
      <w:r w:rsidRPr="005B04BF">
        <w:tab/>
        <w:t>Испытанием типа II, служащим для целей измерения уровня выбросов на</w:t>
      </w:r>
      <w:r w:rsidR="00BD2CDC" w:rsidRPr="00BD2CDC">
        <w:t xml:space="preserve"> </w:t>
      </w:r>
      <w:r w:rsidRPr="005B04BF">
        <w:t xml:space="preserve">холостом ходу (при низких и высоких оборотах) в ходе испытаний на пригодность к эксплуатации, определяются </w:t>
      </w:r>
      <w:r w:rsidRPr="005B04BF">
        <w:rPr>
          <w:shd w:val="clear" w:color="auto" w:fill="FFFFFF"/>
        </w:rPr>
        <w:t>—</w:t>
      </w:r>
      <w:r w:rsidRPr="005B04BF">
        <w:t xml:space="preserve"> применительно к транспортным средствам, </w:t>
      </w:r>
      <w:r w:rsidRPr="005B04BF">
        <w:rPr>
          <w:shd w:val="clear" w:color="auto" w:fill="FFFFFF"/>
        </w:rPr>
        <w:t xml:space="preserve">оснащенным </w:t>
      </w:r>
      <w:r w:rsidRPr="005B04BF">
        <w:t xml:space="preserve">двигателями с ПЗ, и для измерения уровня выбросов CO </w:t>
      </w:r>
      <w:r w:rsidRPr="005B04BF">
        <w:br/>
        <w:t>и HC — процедура испытания при двух значениях частоты вращения холостого хода, а</w:t>
      </w:r>
      <w:r w:rsidR="00BD2CDC" w:rsidRPr="00BD2CDC">
        <w:t xml:space="preserve"> </w:t>
      </w:r>
      <w:r w:rsidRPr="005B04BF">
        <w:t xml:space="preserve">применительно к транспортным средствам, </w:t>
      </w:r>
      <w:r w:rsidRPr="005B04BF">
        <w:rPr>
          <w:shd w:val="clear" w:color="auto" w:fill="FFFFFF"/>
        </w:rPr>
        <w:t xml:space="preserve">оснащенным </w:t>
      </w:r>
      <w:r w:rsidRPr="005B04BF">
        <w:t xml:space="preserve">двигателями с ВС, и для измерения дымности, которая косвенно отражает уровень выбросов этими транспортными средствами </w:t>
      </w:r>
      <w:r w:rsidRPr="005B04BF">
        <w:rPr>
          <w:shd w:val="clear" w:color="auto" w:fill="FFFFFF"/>
        </w:rPr>
        <w:t>взвешенных частиц</w:t>
      </w:r>
      <w:r w:rsidRPr="005B04BF">
        <w:t xml:space="preserve"> — процедура испытания при свободном ускорении</w:t>
      </w:r>
      <w:r w:rsidRPr="005B04BF">
        <w:rPr>
          <w:shd w:val="clear" w:color="auto" w:fill="FFFFFF"/>
        </w:rPr>
        <w:t>.</w:t>
      </w:r>
    </w:p>
    <w:p w14:paraId="6843A937" w14:textId="740CE092" w:rsidR="00C51B25" w:rsidRPr="005B04BF" w:rsidRDefault="00C51B25" w:rsidP="00C51B25">
      <w:pPr>
        <w:pStyle w:val="H23G"/>
      </w:pPr>
      <w:r w:rsidRPr="005B04BF">
        <w:tab/>
      </w:r>
      <w:r w:rsidRPr="005B04BF">
        <w:rPr>
          <w:rFonts w:eastAsia="MS Mincho"/>
        </w:rPr>
        <w:t>3.</w:t>
      </w:r>
      <w:r w:rsidRPr="005B04BF">
        <w:rPr>
          <w:rFonts w:eastAsia="MS Mincho"/>
        </w:rPr>
        <w:tab/>
        <w:t>Испытание типа VII: энергоэффективность, т. е. выбросы CO</w:t>
      </w:r>
      <w:r w:rsidRPr="006A5E6D">
        <w:rPr>
          <w:rFonts w:eastAsia="MS Mincho"/>
          <w:vertAlign w:val="subscript"/>
        </w:rPr>
        <w:t>2</w:t>
      </w:r>
      <w:r w:rsidRPr="005B04BF">
        <w:rPr>
          <w:rFonts w:eastAsia="MS Mincho"/>
        </w:rPr>
        <w:t xml:space="preserve"> и</w:t>
      </w:r>
      <w:r w:rsidR="00BD2CDC" w:rsidRPr="00C2249B">
        <w:rPr>
          <w:rFonts w:eastAsia="MS Mincho"/>
        </w:rPr>
        <w:t xml:space="preserve"> </w:t>
      </w:r>
      <w:r w:rsidRPr="005B04BF">
        <w:rPr>
          <w:rFonts w:eastAsia="MS Mincho"/>
        </w:rPr>
        <w:t>расход топлива</w:t>
      </w:r>
    </w:p>
    <w:p w14:paraId="06BF8943" w14:textId="77777777" w:rsidR="00C51B25" w:rsidRPr="00C51B25" w:rsidRDefault="00C51B25" w:rsidP="00C51B25">
      <w:pPr>
        <w:pStyle w:val="SingleTxtG"/>
      </w:pPr>
      <w:r w:rsidRPr="005B04BF">
        <w:t>12.</w:t>
      </w:r>
      <w:r w:rsidRPr="005B04BF">
        <w:tab/>
        <w:t>Испытание типа VII, служащее для получения информации, необходимой потребителям для оценки энергоэффективности, эксплуатационных расходов и практичности транспортного средства, проводят в интереса</w:t>
      </w:r>
      <w:r w:rsidRPr="00C51B25">
        <w:t>х опубликования и включения в специализированную литературу данных об энергоэффективности в плане выбросов CO</w:t>
      </w:r>
      <w:r w:rsidRPr="00C2249B">
        <w:rPr>
          <w:vertAlign w:val="subscript"/>
        </w:rPr>
        <w:t>2</w:t>
      </w:r>
      <w:r w:rsidRPr="00C51B25">
        <w:t xml:space="preserve"> и расхода топлива.</w:t>
      </w:r>
    </w:p>
    <w:p w14:paraId="7D01807D" w14:textId="45EF1210" w:rsidR="00C51B25" w:rsidRPr="005B04BF" w:rsidRDefault="00C51B25" w:rsidP="00C51B25">
      <w:pPr>
        <w:pStyle w:val="SingleTxtG"/>
        <w:rPr>
          <w:shd w:val="clear" w:color="auto" w:fill="FFFFFF"/>
        </w:rPr>
      </w:pPr>
      <w:r w:rsidRPr="00C51B25">
        <w:t>13.</w:t>
      </w:r>
      <w:r w:rsidRPr="00C51B25">
        <w:tab/>
        <w:t>В основу базового варианта ГТП № 2 ООН положены наработки неофициальной рабочей группы (НРГ) по ВЦИМ, итоги ее обсуждений и сделанные ею выводы, отраженные в техническом докладе группы (ECE/TRANS/180/ Add.2/Appendix 1); последняя поправка в базовый вариант ГТП № 2 ООН была внесена в 2011 году. В основу поправки 5 к ГТП № 2 ООН положены результаты деятельности НРГ по требованиям к экологическим и тяговым характеристикам автотранспортных средств (ТЭТХ), которая провела свое первое заседание в ходе шестьдесят пятой сессии GRPE в январе 2013 г</w:t>
      </w:r>
      <w:r w:rsidRPr="005B04BF">
        <w:rPr>
          <w:shd w:val="clear" w:color="auto" w:fill="FFFFFF"/>
        </w:rPr>
        <w:t>ода под эгидой Европейской комиссии</w:t>
      </w:r>
      <w:r w:rsidR="00C97A77" w:rsidRPr="00C97A77">
        <w:rPr>
          <w:shd w:val="clear" w:color="auto" w:fill="FFFFFF"/>
        </w:rPr>
        <w:t xml:space="preserve"> </w:t>
      </w:r>
      <w:r w:rsidRPr="005B04BF">
        <w:rPr>
          <w:shd w:val="clear" w:color="auto" w:fill="FFFFFF"/>
        </w:rPr>
        <w:t>(ЕК).</w:t>
      </w:r>
    </w:p>
    <w:p w14:paraId="3DAB419B" w14:textId="77777777" w:rsidR="00C51B25" w:rsidRPr="005B04BF" w:rsidRDefault="00C51B25" w:rsidP="00C51B25">
      <w:pPr>
        <w:pStyle w:val="H1G"/>
        <w:rPr>
          <w:rFonts w:eastAsia="MS Mincho"/>
        </w:rPr>
      </w:pPr>
      <w:r w:rsidRPr="005B04BF">
        <w:rPr>
          <w:rFonts w:eastAsia="MS Mincho"/>
        </w:rPr>
        <w:tab/>
        <w:t>B.</w:t>
      </w:r>
      <w:r w:rsidRPr="005B04BF">
        <w:rPr>
          <w:rFonts w:eastAsia="MS Mincho"/>
        </w:rPr>
        <w:tab/>
      </w:r>
      <w:bookmarkStart w:id="0" w:name="_Hlk36820804"/>
      <w:r w:rsidRPr="005B04BF">
        <w:rPr>
          <w:rFonts w:eastAsia="MS Mincho"/>
        </w:rPr>
        <w:t>Справочная информация процедурного характера</w:t>
      </w:r>
      <w:bookmarkEnd w:id="0"/>
    </w:p>
    <w:p w14:paraId="6E00BD6F" w14:textId="77777777" w:rsidR="00C51B25" w:rsidRPr="00C51B25" w:rsidRDefault="00C51B25" w:rsidP="00C51B25">
      <w:pPr>
        <w:pStyle w:val="SingleTxtG"/>
      </w:pPr>
      <w:r w:rsidRPr="005B04BF">
        <w:t>14.</w:t>
      </w:r>
      <w:r w:rsidRPr="005B04BF">
        <w:tab/>
        <w:t xml:space="preserve">Первоначальная работа над базовым вариантом </w:t>
      </w:r>
      <w:r w:rsidRPr="005B04BF">
        <w:rPr>
          <w:shd w:val="clear" w:color="auto" w:fill="FFFFFF"/>
        </w:rPr>
        <w:t>ГТП № 2 ООН началась в мае 2000 года с учреждения неофициальной рабочей группы по ВЦИМ</w:t>
      </w:r>
      <w:r w:rsidRPr="00C51B25">
        <w:t xml:space="preserve">. На сорок пятой сессии Рабочей группы ЕЭК ООН по проблемам энергии и загрязнения окружающей среды (GRPE) в январе 2003 года было одобрено официальное предложение Германии по разработке и введению ГТП ООН для представления Исполнительному комитету Соглашения 1998 года (АС.3). На своей сессии 13 ноября 2003 года АС.3 также одобрил это предложение Германии в качестве проекта ГТП ООН. </w:t>
      </w:r>
    </w:p>
    <w:p w14:paraId="2D703B45" w14:textId="77777777" w:rsidR="00C51B25" w:rsidRPr="00C51B25" w:rsidRDefault="00C51B25" w:rsidP="00C51B25">
      <w:pPr>
        <w:pStyle w:val="SingleTxtG"/>
      </w:pPr>
      <w:r w:rsidRPr="00C51B25">
        <w:t>15.</w:t>
      </w:r>
      <w:r w:rsidRPr="00C51B25">
        <w:tab/>
        <w:t>Базовый вариант ГТП № 2 ООН был одобрен АС.3 в июне 2005 года. Поправка 1 к базовому варианту ГТП № 2 ООН была одобрена АС.3 в ноябре 2007 года. Проект текста поправки 2 к ГТП № 2 ООН о введении требований к эффективности (предельные нормы выбросов загрязняющих веществ транспортными средствами, оснащенными бензиновыми двигателями) был одобрен GRPE в январе 2011 года в ожидании принятия АС.3 окончательных решений относительно формата этого текста.</w:t>
      </w:r>
    </w:p>
    <w:p w14:paraId="459E87EE" w14:textId="77777777" w:rsidR="00C51B25" w:rsidRPr="00C51B25" w:rsidRDefault="00C51B25" w:rsidP="00C51B25">
      <w:pPr>
        <w:pStyle w:val="SingleTxtG"/>
      </w:pPr>
      <w:r w:rsidRPr="00C51B25">
        <w:t>16.</w:t>
      </w:r>
      <w:r w:rsidRPr="00C51B25">
        <w:tab/>
        <w:t>На своем заседании, проведенном в Пуне (Индия) в апреле 2006 года, неофициальная рабочая группа по основополагающим элементам ВЦИМ решила подготовить новые предложения в отношении цикла испытаний и новую классификацию транспортных средств для проекта поправок к ГТП ООН, с тем чтобы обеспечить учет транспортных средств малой мощности, например таких, которые широко используются в Индии и Китае.</w:t>
      </w:r>
    </w:p>
    <w:p w14:paraId="6DD18256" w14:textId="77777777" w:rsidR="00C51B25" w:rsidRPr="005B04BF" w:rsidRDefault="00C51B25" w:rsidP="00C51B25">
      <w:pPr>
        <w:pStyle w:val="SingleTxtG"/>
        <w:rPr>
          <w:shd w:val="clear" w:color="auto" w:fill="FFFFFF"/>
        </w:rPr>
      </w:pPr>
      <w:r w:rsidRPr="00C51B25">
        <w:t>17.</w:t>
      </w:r>
      <w:r w:rsidRPr="00C51B25">
        <w:tab/>
        <w:t>Для подготовки предложения по циклу(ам) испытаний и любой новой классификации, которая могла бы потребоваться для достижения этой цели, была сформирована небольшая целевая группа по ВЦИМ, координи</w:t>
      </w:r>
      <w:r w:rsidRPr="005B04BF">
        <w:rPr>
          <w:shd w:val="clear" w:color="auto" w:fill="FFFFFF"/>
        </w:rPr>
        <w:t>руемая по линии Международной ассоциации заводов — изготовителей мотоциклов (МАЗМ). В состав этой целевой группы вошли представители Германии, Индии, Италии, Японии, ЕК и МАЗМ. Заседания целевой группы проводились в августе и октябре 2006 года.</w:t>
      </w:r>
    </w:p>
    <w:p w14:paraId="19820505" w14:textId="77777777" w:rsidR="00C51B25" w:rsidRPr="00C51B25" w:rsidRDefault="00C51B25" w:rsidP="00C51B25">
      <w:pPr>
        <w:pStyle w:val="SingleTxtG"/>
      </w:pPr>
      <w:r w:rsidRPr="005B04BF">
        <w:t>18.</w:t>
      </w:r>
      <w:r w:rsidRPr="005B04BF">
        <w:tab/>
      </w:r>
      <w:r>
        <w:t>В</w:t>
      </w:r>
      <w:r w:rsidRPr="005B04BF">
        <w:t xml:space="preserve"> ноябре 2006 года </w:t>
      </w:r>
      <w:r>
        <w:t>н</w:t>
      </w:r>
      <w:r w:rsidRPr="005B04BF">
        <w:t xml:space="preserve">а своем заседании в Анн-Арборе (Соединенные Штаты Америки) </w:t>
      </w:r>
      <w:r>
        <w:t>г</w:t>
      </w:r>
      <w:r w:rsidRPr="005B04BF">
        <w:t xml:space="preserve">руппа по основополагающим </w:t>
      </w:r>
      <w:r w:rsidRPr="00C51B25">
        <w:t>элементам ВЦИМ согласовала видоизмененный вариант одного из предложений целевой группы по ВЦИМ и направила его в январе 2007 года неофициальной группе по ВЦИМ, которая одобрила его для представления GRPЕ.</w:t>
      </w:r>
    </w:p>
    <w:p w14:paraId="2C075A53" w14:textId="0B4ACEDC" w:rsidR="00C51B25" w:rsidRPr="00C51B25" w:rsidRDefault="00C51B25" w:rsidP="00C51B25">
      <w:pPr>
        <w:pStyle w:val="SingleTxtG"/>
      </w:pPr>
      <w:r w:rsidRPr="00C51B25">
        <w:t>19.</w:t>
      </w:r>
      <w:r w:rsidRPr="00C51B25">
        <w:tab/>
        <w:t>ЕС выступил с инициативой учреждения группы, объявив о своем намерении в ходе шестьдесят третьей и шестьдесят четвертой сессий GRPE в январе и июне 2012 года и на сто пятьдесят седьмой сессии WP.29 в июне 2012</w:t>
      </w:r>
      <w:r w:rsidR="00C97A77" w:rsidRPr="00C97A77">
        <w:t xml:space="preserve"> </w:t>
      </w:r>
      <w:r w:rsidRPr="00C51B25">
        <w:t>года.</w:t>
      </w:r>
    </w:p>
    <w:p w14:paraId="3120DCE6" w14:textId="77777777" w:rsidR="00C51B25" w:rsidRPr="005B04BF" w:rsidRDefault="00C51B25" w:rsidP="00C51B25">
      <w:pPr>
        <w:pStyle w:val="SingleTxtG"/>
      </w:pPr>
      <w:r w:rsidRPr="00C51B25">
        <w:t>20.</w:t>
      </w:r>
      <w:r w:rsidRPr="00C51B25">
        <w:tab/>
        <w:t>В соответствии с мандатом (неофициальный документ WP.29-158-15), одобренным на сто пятьдесят восьмой сессии WP.29 (13–16 ноября 2012 года), в рамках GRPE была учреждена НРГ по требованиям к экологическим и тяговым характеристикам автотранспортных средств (ТЭТХ).</w:t>
      </w:r>
      <w:r w:rsidRPr="005B04BF">
        <w:t xml:space="preserve"> На семьдесят девятой сессии GRPE в 2019 году было представлено подготовленное НРГ по </w:t>
      </w:r>
      <w:r w:rsidRPr="005B04BF">
        <w:rPr>
          <w:shd w:val="clear" w:color="auto" w:fill="FFFFFF"/>
        </w:rPr>
        <w:t>ТЭТХ</w:t>
      </w:r>
      <w:r w:rsidRPr="005B04BF">
        <w:t xml:space="preserve"> </w:t>
      </w:r>
      <w:r w:rsidRPr="005B04BF">
        <w:rPr>
          <w:shd w:val="clear" w:color="auto" w:fill="FFFFFF"/>
        </w:rPr>
        <w:t>официальное предложение по поправке 4 к настоящим ГТП ООН для принятия Исполнительным комитетом Соглашения 1998 года (АС.3).</w:t>
      </w:r>
    </w:p>
    <w:p w14:paraId="54C7269D" w14:textId="3E18D155" w:rsidR="00C51B25" w:rsidRPr="005B04BF" w:rsidRDefault="00C51B25" w:rsidP="00C51B25">
      <w:pPr>
        <w:pStyle w:val="SingleTxtG"/>
      </w:pPr>
      <w:r w:rsidRPr="005B04BF">
        <w:rPr>
          <w:shd w:val="clear" w:color="auto" w:fill="FFFFFF"/>
        </w:rPr>
        <w:t>21.</w:t>
      </w:r>
      <w:r w:rsidRPr="005B04BF">
        <w:rPr>
          <w:shd w:val="clear" w:color="auto" w:fill="FFFFFF"/>
        </w:rPr>
        <w:tab/>
        <w:t xml:space="preserve">Технические требования, приведенные в настоящих ГТП ООН, являются результатом текущей разработки типов и процедур испытаний и проводимого на глобальном уровне обсуждения аспектов согласования. Окончательный текст ГТП ООН представлен в </w:t>
      </w:r>
      <w:r w:rsidRPr="003276E4">
        <w:rPr>
          <w:shd w:val="clear" w:color="auto" w:fill="FFFFFF"/>
        </w:rPr>
        <w:t>части</w:t>
      </w:r>
      <w:r w:rsidR="00CB04B4" w:rsidRPr="00CB04B4">
        <w:rPr>
          <w:shd w:val="clear" w:color="auto" w:fill="FFFFFF"/>
        </w:rPr>
        <w:t xml:space="preserve"> </w:t>
      </w:r>
      <w:r w:rsidRPr="003276E4">
        <w:rPr>
          <w:shd w:val="clear" w:color="auto" w:fill="FFFFFF"/>
        </w:rPr>
        <w:t>II рабочего документа, касающегося ГТП.</w:t>
      </w:r>
    </w:p>
    <w:p w14:paraId="772144AD" w14:textId="77777777" w:rsidR="00C51B25" w:rsidRPr="005B04BF" w:rsidRDefault="00C51B25" w:rsidP="00C51B25">
      <w:pPr>
        <w:pStyle w:val="H1G"/>
        <w:rPr>
          <w:rFonts w:eastAsia="MS Mincho"/>
          <w:bCs/>
        </w:rPr>
      </w:pPr>
      <w:r w:rsidRPr="005B04BF">
        <w:rPr>
          <w:rFonts w:eastAsia="MS Mincho"/>
        </w:rPr>
        <w:tab/>
        <w:t>C.</w:t>
      </w:r>
      <w:bookmarkStart w:id="1" w:name="_Hlk36820850"/>
      <w:r w:rsidRPr="005B04BF">
        <w:rPr>
          <w:rFonts w:eastAsia="MS Mincho"/>
        </w:rPr>
        <w:tab/>
        <w:t>Нормативные положения и международные добровольные стандарты</w:t>
      </w:r>
      <w:bookmarkEnd w:id="1"/>
      <w:r w:rsidRPr="005B04BF">
        <w:rPr>
          <w:rFonts w:eastAsia="MS Mincho"/>
        </w:rPr>
        <w:t>, использовавшиеся в качестве источников</w:t>
      </w:r>
    </w:p>
    <w:p w14:paraId="5254936A" w14:textId="11F60C75" w:rsidR="00C51B25" w:rsidRPr="005B04BF" w:rsidRDefault="00C51B25" w:rsidP="00C51B25">
      <w:pPr>
        <w:pStyle w:val="H23G"/>
      </w:pPr>
      <w:r w:rsidRPr="005B04BF">
        <w:tab/>
      </w:r>
      <w:r w:rsidRPr="005B04BF">
        <w:rPr>
          <w:rFonts w:eastAsia="MS Mincho"/>
        </w:rPr>
        <w:t>1.</w:t>
      </w:r>
      <w:r w:rsidRPr="005B04BF">
        <w:rPr>
          <w:rFonts w:eastAsia="MS Mincho"/>
        </w:rPr>
        <w:tab/>
        <w:t>Источники технической информации, использовавшиеся при разработке поправки 5 к ГТП № 2 ООН</w:t>
      </w:r>
    </w:p>
    <w:p w14:paraId="11A81903" w14:textId="77777777" w:rsidR="00C51B25" w:rsidRPr="005B04BF" w:rsidRDefault="00C51B25" w:rsidP="00C51B25">
      <w:pPr>
        <w:pStyle w:val="SingleTxtG"/>
      </w:pPr>
      <w:r w:rsidRPr="005B04BF">
        <w:t>22.</w:t>
      </w:r>
      <w:r w:rsidRPr="005B04BF">
        <w:tab/>
        <w:t xml:space="preserve">Для целей разработки поправки 5 к </w:t>
      </w:r>
      <w:r w:rsidRPr="005B04BF">
        <w:rPr>
          <w:shd w:val="clear" w:color="auto" w:fill="FFFFFF"/>
        </w:rPr>
        <w:t xml:space="preserve">ГТП № 2 ООН </w:t>
      </w:r>
      <w:r w:rsidRPr="005B04BF">
        <w:t xml:space="preserve">в качестве </w:t>
      </w:r>
      <w:r w:rsidRPr="005B04BF">
        <w:rPr>
          <w:shd w:val="clear" w:color="auto" w:fill="FFFFFF"/>
        </w:rPr>
        <w:t xml:space="preserve">источников технической информации </w:t>
      </w:r>
      <w:r w:rsidRPr="005B04BF">
        <w:t xml:space="preserve">использовались нижеследующие </w:t>
      </w:r>
      <w:r w:rsidRPr="005B04BF">
        <w:rPr>
          <w:shd w:val="clear" w:color="auto" w:fill="FFFFFF"/>
        </w:rPr>
        <w:t xml:space="preserve">нормативные положения, </w:t>
      </w:r>
      <w:r w:rsidRPr="005B04BF">
        <w:t xml:space="preserve">содержащие соответствующие применимые требования </w:t>
      </w:r>
      <w:r w:rsidRPr="005B04BF">
        <w:rPr>
          <w:shd w:val="clear" w:color="auto" w:fill="FFFFFF"/>
        </w:rPr>
        <w:t>к двух- и трехколесным транспортным средствам в отношении выбросов отработавших газов.</w:t>
      </w:r>
    </w:p>
    <w:p w14:paraId="78D430D9" w14:textId="77777777" w:rsidR="00C51B25" w:rsidRPr="005B04BF" w:rsidRDefault="00C51B25" w:rsidP="00C51B25">
      <w:pPr>
        <w:pStyle w:val="SingleTxtG"/>
        <w:ind w:left="1701"/>
      </w:pPr>
      <w:r w:rsidRPr="005B04BF">
        <w:t>a)</w:t>
      </w:r>
      <w:r w:rsidRPr="005B04BF">
        <w:tab/>
        <w:t>ЕЭК ООН:</w:t>
      </w:r>
    </w:p>
    <w:p w14:paraId="7F62EDD6" w14:textId="77777777" w:rsidR="00C51B25" w:rsidRPr="005B04BF" w:rsidRDefault="00C51B25" w:rsidP="00D95969">
      <w:pPr>
        <w:pStyle w:val="SingleTxtG"/>
        <w:ind w:left="1701"/>
      </w:pPr>
      <w:r w:rsidRPr="005B04BF">
        <w:t>Правила № 40 ООН с поправками серии 01 (Единообразные предписания, касающиеся официального утверждения мотоциклов с двигателями с принудительным зажиганием в отношении выделяемых двигателем загрязняющих выхлопных газов).</w:t>
      </w:r>
    </w:p>
    <w:p w14:paraId="114B386F" w14:textId="77777777" w:rsidR="00C51B25" w:rsidRPr="005B04BF" w:rsidRDefault="00C51B25" w:rsidP="00C51B25">
      <w:pPr>
        <w:pStyle w:val="SingleTxtG"/>
        <w:ind w:left="1701"/>
        <w:rPr>
          <w:rFonts w:eastAsia="SimSun"/>
        </w:rPr>
      </w:pPr>
      <w:r w:rsidRPr="005B04BF">
        <w:t>b)</w:t>
      </w:r>
      <w:r w:rsidRPr="005B04BF">
        <w:tab/>
      </w:r>
      <w:r w:rsidRPr="005B04BF">
        <w:rPr>
          <w:shd w:val="clear" w:color="auto" w:fill="FFFFFF"/>
        </w:rPr>
        <w:t xml:space="preserve">Нормативные положения, применяемые в </w:t>
      </w:r>
      <w:r w:rsidRPr="005B04BF">
        <w:t>Китае:</w:t>
      </w:r>
    </w:p>
    <w:p w14:paraId="0DC0C063" w14:textId="77777777" w:rsidR="00C51B25" w:rsidRPr="009C4824" w:rsidRDefault="00C51B25" w:rsidP="00D95969">
      <w:pPr>
        <w:pStyle w:val="SingleTxtG"/>
        <w:ind w:left="1701"/>
        <w:rPr>
          <w:shd w:val="clear" w:color="auto" w:fill="FFFFFF"/>
        </w:rPr>
      </w:pPr>
      <w:r w:rsidRPr="009C4824">
        <w:rPr>
          <w:shd w:val="clear" w:color="auto" w:fill="FFFFFF"/>
        </w:rPr>
        <w:t>i)</w:t>
      </w:r>
      <w:r w:rsidRPr="009C4824">
        <w:rPr>
          <w:shd w:val="clear" w:color="auto" w:fill="FFFFFF"/>
        </w:rPr>
        <w:tab/>
        <w:t>GB 14622-2016 «Предельные значения и методы измерения для выбросов мотоциклами» (КИТАЙ Ⅳ)</w:t>
      </w:r>
      <w:r>
        <w:rPr>
          <w:shd w:val="clear" w:color="auto" w:fill="FFFFFF"/>
        </w:rPr>
        <w:t>;</w:t>
      </w:r>
    </w:p>
    <w:p w14:paraId="36A14313" w14:textId="77777777" w:rsidR="00C51B25" w:rsidRPr="004872D7" w:rsidRDefault="00C51B25" w:rsidP="00D95969">
      <w:pPr>
        <w:pStyle w:val="SingleTxtG"/>
        <w:ind w:left="1701"/>
        <w:rPr>
          <w:shd w:val="clear" w:color="auto" w:fill="FFFFFF"/>
        </w:rPr>
      </w:pPr>
      <w:r w:rsidRPr="004872D7">
        <w:rPr>
          <w:shd w:val="clear" w:color="auto" w:fill="FFFFFF"/>
        </w:rPr>
        <w:t>ii)</w:t>
      </w:r>
      <w:r w:rsidRPr="004872D7">
        <w:rPr>
          <w:shd w:val="clear" w:color="auto" w:fill="FFFFFF"/>
        </w:rPr>
        <w:tab/>
        <w:t>GB 18176-2016 «Предельные значения и методы измерения для выбросов мопедами» (КИТАЙ Ⅳ).</w:t>
      </w:r>
    </w:p>
    <w:p w14:paraId="6396F0B7" w14:textId="77777777" w:rsidR="00C51B25" w:rsidRPr="005B04BF" w:rsidRDefault="00C51B25" w:rsidP="00C51B25">
      <w:pPr>
        <w:pStyle w:val="SingleTxtG"/>
        <w:ind w:left="1701"/>
      </w:pPr>
      <w:r w:rsidRPr="005B04BF">
        <w:t xml:space="preserve">c) </w:t>
      </w:r>
      <w:r w:rsidRPr="005B04BF">
        <w:tab/>
      </w:r>
      <w:r w:rsidRPr="005B04BF">
        <w:rPr>
          <w:shd w:val="clear" w:color="auto" w:fill="FFFFFF"/>
        </w:rPr>
        <w:t xml:space="preserve">Нормативные положения, применяемые в </w:t>
      </w:r>
      <w:r w:rsidRPr="005B04BF">
        <w:t>ЕС:</w:t>
      </w:r>
    </w:p>
    <w:p w14:paraId="309D7AE4" w14:textId="77777777" w:rsidR="00C51B25" w:rsidRPr="00284B9C" w:rsidRDefault="00C51B25" w:rsidP="00D95969">
      <w:pPr>
        <w:pStyle w:val="SingleTxtG"/>
        <w:ind w:left="1701"/>
        <w:rPr>
          <w:shd w:val="clear" w:color="auto" w:fill="FFFFFF"/>
        </w:rPr>
      </w:pPr>
      <w:r w:rsidRPr="00284B9C">
        <w:rPr>
          <w:shd w:val="clear" w:color="auto" w:fill="FFFFFF"/>
        </w:rPr>
        <w:t>i)</w:t>
      </w:r>
      <w:r w:rsidRPr="00284B9C">
        <w:rPr>
          <w:shd w:val="clear" w:color="auto" w:fill="FFFFFF"/>
        </w:rPr>
        <w:tab/>
        <w:t>Регламент (ЕС) № 168/2013, принятый в 2013 году, с изменениями, внесенными на основании регламентов (ЕС) 2019/129 и 2020/1694, и делегированный акт о требованиях к экологическим и тяговым характеристикам;</w:t>
      </w:r>
    </w:p>
    <w:p w14:paraId="24805193" w14:textId="59236D03" w:rsidR="00C51B25" w:rsidRPr="00284B9C" w:rsidRDefault="00C51B25" w:rsidP="00D95969">
      <w:pPr>
        <w:pStyle w:val="SingleTxtG"/>
        <w:ind w:left="1701"/>
        <w:rPr>
          <w:shd w:val="clear" w:color="auto" w:fill="FFFFFF"/>
        </w:rPr>
      </w:pPr>
      <w:r w:rsidRPr="00284B9C">
        <w:rPr>
          <w:shd w:val="clear" w:color="auto" w:fill="FFFFFF"/>
        </w:rPr>
        <w:t>ii)</w:t>
      </w:r>
      <w:r w:rsidRPr="00284B9C">
        <w:rPr>
          <w:shd w:val="clear" w:color="auto" w:fill="FFFFFF"/>
        </w:rPr>
        <w:tab/>
        <w:t xml:space="preserve">Регламент (ЕС) № 134/2014 (РТЭТХ) с изменениями, внесенными на основании регламентов (ЕС) 2016/1824 и 2018/295, устанавливающий процедуры испытания на соответствие экологическим характеристикам. </w:t>
      </w:r>
    </w:p>
    <w:p w14:paraId="69C63896" w14:textId="77777777" w:rsidR="00C51B25" w:rsidRPr="005B04BF" w:rsidRDefault="00C51B25" w:rsidP="00C51B25">
      <w:pPr>
        <w:pStyle w:val="SingleTxtG"/>
        <w:ind w:left="1701"/>
      </w:pPr>
      <w:r w:rsidRPr="005B04BF">
        <w:t>d)</w:t>
      </w:r>
      <w:r w:rsidRPr="005B04BF">
        <w:tab/>
      </w:r>
      <w:r w:rsidRPr="005B04BF">
        <w:rPr>
          <w:shd w:val="clear" w:color="auto" w:fill="FFFFFF"/>
        </w:rPr>
        <w:t xml:space="preserve">Нормативные положения, применяемые в </w:t>
      </w:r>
      <w:r w:rsidRPr="005B04BF">
        <w:t>Индии:</w:t>
      </w:r>
    </w:p>
    <w:p w14:paraId="7475B791" w14:textId="09E88F21" w:rsidR="00C51B25" w:rsidRPr="00284B9C" w:rsidRDefault="00C51B25" w:rsidP="00D95969">
      <w:pPr>
        <w:pStyle w:val="SingleTxtG"/>
        <w:ind w:left="1701"/>
        <w:rPr>
          <w:shd w:val="clear" w:color="auto" w:fill="FFFFFF"/>
        </w:rPr>
      </w:pPr>
      <w:r w:rsidRPr="00284B9C">
        <w:rPr>
          <w:shd w:val="clear" w:color="auto" w:fill="FFFFFF"/>
        </w:rPr>
        <w:t>i)</w:t>
      </w:r>
      <w:r w:rsidRPr="00284B9C">
        <w:rPr>
          <w:shd w:val="clear" w:color="auto" w:fill="FFFFFF"/>
        </w:rPr>
        <w:tab/>
        <w:t>MoSRT&amp;H/CMVR/TAP-115/116, Централизованные правила № 115, касающиеся механических транспортных средств, и AIS</w:t>
      </w:r>
      <w:r w:rsidR="001052DC">
        <w:rPr>
          <w:shd w:val="clear" w:color="auto" w:fill="FFFFFF"/>
          <w:lang w:val="fr-CH"/>
        </w:rPr>
        <w:t> </w:t>
      </w:r>
      <w:r w:rsidRPr="00284B9C">
        <w:rPr>
          <w:shd w:val="clear" w:color="auto" w:fill="FFFFFF"/>
        </w:rPr>
        <w:t>137, часть 1;</w:t>
      </w:r>
    </w:p>
    <w:p w14:paraId="63103726" w14:textId="77777777" w:rsidR="00C51B25" w:rsidRPr="00284B9C" w:rsidRDefault="00C51B25" w:rsidP="00D95969">
      <w:pPr>
        <w:pStyle w:val="SingleTxtG"/>
        <w:ind w:left="1701"/>
        <w:rPr>
          <w:shd w:val="clear" w:color="auto" w:fill="FFFFFF"/>
        </w:rPr>
      </w:pPr>
      <w:r w:rsidRPr="00284B9C">
        <w:rPr>
          <w:shd w:val="clear" w:color="auto" w:fill="FFFFFF"/>
        </w:rPr>
        <w:t>ii)</w:t>
      </w:r>
      <w:r w:rsidRPr="00284B9C">
        <w:rPr>
          <w:shd w:val="clear" w:color="auto" w:fill="FFFFFF"/>
        </w:rPr>
        <w:tab/>
        <w:t>уведомления, публикуемые в официальном вестнике правительства Индии: GSR 889 (E) от 19.09.2016 и GSR 881 (E) от 26.11.2019.</w:t>
      </w:r>
    </w:p>
    <w:p w14:paraId="0020A837" w14:textId="77777777" w:rsidR="00C51B25" w:rsidRPr="005B04BF" w:rsidRDefault="00C51B25" w:rsidP="00C51B25">
      <w:pPr>
        <w:pStyle w:val="Bullet1G"/>
        <w:numPr>
          <w:ilvl w:val="0"/>
          <w:numId w:val="0"/>
        </w:numPr>
        <w:ind w:left="1701"/>
      </w:pPr>
      <w:r w:rsidRPr="005B04BF">
        <w:t xml:space="preserve">e) </w:t>
      </w:r>
      <w:r w:rsidRPr="005B04BF">
        <w:tab/>
        <w:t>Нормативные положения, применяемые в Японии:</w:t>
      </w:r>
    </w:p>
    <w:p w14:paraId="7FE1FFAC" w14:textId="1C1BA0C2" w:rsidR="00C51B25" w:rsidRPr="00284B9C" w:rsidRDefault="00C51B25" w:rsidP="00D95969">
      <w:pPr>
        <w:pStyle w:val="SingleTxtG"/>
        <w:ind w:left="1701"/>
        <w:rPr>
          <w:shd w:val="clear" w:color="auto" w:fill="FFFFFF"/>
        </w:rPr>
      </w:pPr>
      <w:r w:rsidRPr="005B04BF">
        <w:t>i</w:t>
      </w:r>
      <w:r w:rsidRPr="00284B9C">
        <w:rPr>
          <w:shd w:val="clear" w:color="auto" w:fill="FFFFFF"/>
        </w:rPr>
        <w:t>)</w:t>
      </w:r>
      <w:r w:rsidRPr="00284B9C">
        <w:rPr>
          <w:shd w:val="clear" w:color="auto" w:fill="FFFFFF"/>
        </w:rPr>
        <w:tab/>
        <w:t>Закон о дорожных транспортных средствах, статья</w:t>
      </w:r>
      <w:r w:rsidR="00CB04B4" w:rsidRPr="00284B9C">
        <w:rPr>
          <w:shd w:val="clear" w:color="auto" w:fill="FFFFFF"/>
        </w:rPr>
        <w:t xml:space="preserve"> </w:t>
      </w:r>
      <w:r w:rsidRPr="00284B9C">
        <w:rPr>
          <w:shd w:val="clear" w:color="auto" w:fill="FFFFFF"/>
        </w:rPr>
        <w:t>41 «Системы и устройства для механических транспортных средств»;</w:t>
      </w:r>
    </w:p>
    <w:p w14:paraId="1C1A6472" w14:textId="77777777" w:rsidR="00C51B25" w:rsidRPr="00284B9C" w:rsidRDefault="00C51B25" w:rsidP="00D95969">
      <w:pPr>
        <w:pStyle w:val="SingleTxtG"/>
        <w:ind w:left="1701"/>
        <w:rPr>
          <w:shd w:val="clear" w:color="auto" w:fill="FFFFFF"/>
        </w:rPr>
      </w:pPr>
      <w:r w:rsidRPr="00284B9C">
        <w:rPr>
          <w:shd w:val="clear" w:color="auto" w:fill="FFFFFF"/>
        </w:rPr>
        <w:t>ii)</w:t>
      </w:r>
      <w:r w:rsidRPr="00284B9C">
        <w:rPr>
          <w:shd w:val="clear" w:color="auto" w:fill="FFFFFF"/>
        </w:rPr>
        <w:tab/>
        <w:t>Правила безопасности для дорожных транспортных средств, статья 31 «Устройства ограничения выбросов».</w:t>
      </w:r>
    </w:p>
    <w:p w14:paraId="3B8C2E20" w14:textId="68FBABD9" w:rsidR="00C51B25" w:rsidRPr="00984B7A" w:rsidRDefault="00984B7A" w:rsidP="00984B7A">
      <w:pPr>
        <w:pStyle w:val="SingleTxtG"/>
        <w:keepNext/>
      </w:pPr>
      <w:r>
        <w:tab/>
      </w:r>
      <w:r w:rsidR="00C51B25" w:rsidRPr="00984B7A">
        <w:t>f)</w:t>
      </w:r>
      <w:r w:rsidR="00C51B25" w:rsidRPr="00984B7A">
        <w:tab/>
        <w:t>Нормативные положения, применяемые в Соединенных Штатах Америки:</w:t>
      </w:r>
    </w:p>
    <w:p w14:paraId="0BD24AC2" w14:textId="2FED75A6" w:rsidR="00C51B25" w:rsidRPr="005B04BF" w:rsidRDefault="00C51B25" w:rsidP="00D95969">
      <w:pPr>
        <w:pStyle w:val="SingleTxtG"/>
        <w:ind w:left="1701"/>
        <w:rPr>
          <w:shd w:val="clear" w:color="auto" w:fill="FFFFFF"/>
        </w:rPr>
      </w:pPr>
      <w:r w:rsidRPr="005B04BF">
        <w:rPr>
          <w:shd w:val="clear" w:color="auto" w:fill="FFFFFF"/>
        </w:rPr>
        <w:t xml:space="preserve">Свод федеральных правил США, раздел 40, часть 86, </w:t>
      </w:r>
      <w:r w:rsidR="00CB04B4">
        <w:rPr>
          <w:shd w:val="clear" w:color="auto" w:fill="FFFFFF"/>
        </w:rPr>
        <w:br/>
      </w:r>
      <w:r w:rsidRPr="005B04BF">
        <w:rPr>
          <w:shd w:val="clear" w:color="auto" w:fill="FFFFFF"/>
        </w:rPr>
        <w:t>подразделы E и F.</w:t>
      </w:r>
    </w:p>
    <w:p w14:paraId="1D8AB2BF" w14:textId="1779DB3E" w:rsidR="00C51B25" w:rsidRPr="005B04BF" w:rsidRDefault="00C51B25" w:rsidP="00C51B25">
      <w:pPr>
        <w:pStyle w:val="SingleTxtG"/>
        <w:rPr>
          <w:shd w:val="clear" w:color="auto" w:fill="FFFFFF"/>
        </w:rPr>
      </w:pPr>
      <w:r w:rsidRPr="005B04BF">
        <w:rPr>
          <w:shd w:val="clear" w:color="auto" w:fill="FFFFFF"/>
        </w:rPr>
        <w:tab/>
        <w:t>g)</w:t>
      </w:r>
      <w:r w:rsidRPr="005B04BF">
        <w:rPr>
          <w:shd w:val="clear" w:color="auto" w:fill="FFFFFF"/>
        </w:rPr>
        <w:tab/>
        <w:t>Стандарты ИСО</w:t>
      </w:r>
      <w:r w:rsidR="00D95969">
        <w:rPr>
          <w:shd w:val="clear" w:color="auto" w:fill="FFFFFF"/>
        </w:rPr>
        <w:t>:</w:t>
      </w:r>
    </w:p>
    <w:p w14:paraId="6CF7FAB0" w14:textId="77777777" w:rsidR="00C51B25" w:rsidRPr="00284B9C" w:rsidRDefault="00C51B25" w:rsidP="00D95969">
      <w:pPr>
        <w:pStyle w:val="SingleTxtG"/>
        <w:ind w:left="1701"/>
        <w:rPr>
          <w:shd w:val="clear" w:color="auto" w:fill="FFFFFF"/>
        </w:rPr>
      </w:pPr>
      <w:r w:rsidRPr="00284B9C">
        <w:rPr>
          <w:shd w:val="clear" w:color="auto" w:fill="FFFFFF"/>
        </w:rPr>
        <w:t>i)</w:t>
      </w:r>
      <w:r w:rsidRPr="00284B9C">
        <w:rPr>
          <w:shd w:val="clear" w:color="auto" w:fill="FFFFFF"/>
        </w:rPr>
        <w:tab/>
        <w:t>ISO 11486 (</w:t>
      </w:r>
      <w:r w:rsidRPr="005B04BF">
        <w:rPr>
          <w:shd w:val="clear" w:color="auto" w:fill="FFFFFF"/>
        </w:rPr>
        <w:t>Мотоциклы — Метод регулировки бегового барабана</w:t>
      </w:r>
      <w:r w:rsidRPr="00284B9C">
        <w:rPr>
          <w:shd w:val="clear" w:color="auto" w:fill="FFFFFF"/>
        </w:rPr>
        <w:t>);</w:t>
      </w:r>
    </w:p>
    <w:p w14:paraId="00591FB6" w14:textId="77777777" w:rsidR="00C51B25" w:rsidRPr="00284B9C" w:rsidRDefault="00C51B25" w:rsidP="00D95969">
      <w:pPr>
        <w:pStyle w:val="SingleTxtG"/>
        <w:ind w:left="1701"/>
        <w:rPr>
          <w:shd w:val="clear" w:color="auto" w:fill="FFFFFF"/>
        </w:rPr>
      </w:pPr>
      <w:r w:rsidRPr="00284B9C">
        <w:rPr>
          <w:shd w:val="clear" w:color="auto" w:fill="FFFFFF"/>
        </w:rPr>
        <w:t>ii)</w:t>
      </w:r>
      <w:r w:rsidRPr="00284B9C">
        <w:rPr>
          <w:shd w:val="clear" w:color="auto" w:fill="FFFFFF"/>
        </w:rPr>
        <w:tab/>
        <w:t xml:space="preserve">ISO 6460 (Отбор </w:t>
      </w:r>
      <w:r w:rsidRPr="005B04BF">
        <w:rPr>
          <w:shd w:val="clear" w:color="auto" w:fill="FFFFFF"/>
        </w:rPr>
        <w:t>проб</w:t>
      </w:r>
      <w:r w:rsidRPr="00284B9C">
        <w:rPr>
          <w:shd w:val="clear" w:color="auto" w:fill="FFFFFF"/>
        </w:rPr>
        <w:t xml:space="preserve"> газа и расход топлива);</w:t>
      </w:r>
    </w:p>
    <w:p w14:paraId="762240A3" w14:textId="77777777" w:rsidR="00C51B25" w:rsidRPr="00284B9C" w:rsidRDefault="00C51B25" w:rsidP="00D95969">
      <w:pPr>
        <w:pStyle w:val="SingleTxtG"/>
        <w:ind w:left="1701"/>
        <w:rPr>
          <w:shd w:val="clear" w:color="auto" w:fill="FFFFFF"/>
        </w:rPr>
      </w:pPr>
      <w:r w:rsidRPr="00284B9C">
        <w:rPr>
          <w:shd w:val="clear" w:color="auto" w:fill="FFFFFF"/>
        </w:rPr>
        <w:t>iii)</w:t>
      </w:r>
      <w:r w:rsidRPr="00284B9C">
        <w:rPr>
          <w:shd w:val="clear" w:color="auto" w:fill="FFFFFF"/>
        </w:rPr>
        <w:tab/>
      </w:r>
      <w:r w:rsidRPr="005B04BF">
        <w:rPr>
          <w:shd w:val="clear" w:color="auto" w:fill="FFFFFF"/>
        </w:rPr>
        <w:t>ISO</w:t>
      </w:r>
      <w:r w:rsidRPr="00284B9C">
        <w:rPr>
          <w:shd w:val="clear" w:color="auto" w:fill="FFFFFF"/>
        </w:rPr>
        <w:t xml:space="preserve"> 4106 (</w:t>
      </w:r>
      <w:r w:rsidRPr="005B04BF">
        <w:rPr>
          <w:shd w:val="clear" w:color="auto" w:fill="FFFFFF"/>
        </w:rPr>
        <w:t>Мотоциклы —</w:t>
      </w:r>
      <w:r w:rsidRPr="00284B9C">
        <w:rPr>
          <w:shd w:val="clear" w:color="auto" w:fill="FFFFFF"/>
        </w:rPr>
        <w:t xml:space="preserve"> Методика испытания двигателей — Полезная мощность).</w:t>
      </w:r>
    </w:p>
    <w:p w14:paraId="1B169DE9" w14:textId="77777777" w:rsidR="00C51B25" w:rsidRPr="005B04BF" w:rsidRDefault="00C51B25" w:rsidP="00C51B25">
      <w:pPr>
        <w:pStyle w:val="SingleTxtG"/>
      </w:pPr>
      <w:r w:rsidRPr="005B04BF">
        <w:t>23.</w:t>
      </w:r>
      <w:r w:rsidRPr="005B04BF">
        <w:tab/>
      </w:r>
      <w:r w:rsidRPr="005B04BF">
        <w:rPr>
          <w:shd w:val="clear" w:color="auto" w:fill="FFFFFF"/>
        </w:rPr>
        <w:t xml:space="preserve">Большинство этих правил действуют на протяжении уже многих лет, однако </w:t>
      </w:r>
      <w:r>
        <w:rPr>
          <w:shd w:val="clear" w:color="auto" w:fill="FFFFFF"/>
        </w:rPr>
        <w:t xml:space="preserve">применяемые в них </w:t>
      </w:r>
      <w:r w:rsidRPr="005B04BF">
        <w:rPr>
          <w:shd w:val="clear" w:color="auto" w:fill="FFFFFF"/>
        </w:rPr>
        <w:t xml:space="preserve">методы измерения значительно различаются. Экспертам по техническим вопросам было известно об этих требованиях, и они обсуждали их в ходе своих рабочих совещаний. Поэтому НРГ по ТЭТХ </w:t>
      </w:r>
      <w:r>
        <w:rPr>
          <w:shd w:val="clear" w:color="auto" w:fill="FFFFFF"/>
        </w:rPr>
        <w:t>пришла к выводу</w:t>
      </w:r>
      <w:r w:rsidRPr="005B04BF">
        <w:rPr>
          <w:shd w:val="clear" w:color="auto" w:fill="FFFFFF"/>
        </w:rPr>
        <w:t xml:space="preserve">, что </w:t>
      </w:r>
      <w:r>
        <w:rPr>
          <w:shd w:val="clear" w:color="auto" w:fill="FFFFFF"/>
        </w:rPr>
        <w:t xml:space="preserve">для </w:t>
      </w:r>
      <w:r w:rsidRPr="005B04BF">
        <w:rPr>
          <w:shd w:val="clear" w:color="auto" w:fill="FFFFFF"/>
        </w:rPr>
        <w:t xml:space="preserve">обеспечения возможности определить реальное воздействие двухколесного автотранспорта на окружающую среду </w:t>
      </w:r>
      <w:r>
        <w:rPr>
          <w:shd w:val="clear" w:color="auto" w:fill="FFFFFF"/>
        </w:rPr>
        <w:t xml:space="preserve">в том, что касается </w:t>
      </w:r>
      <w:r w:rsidRPr="005B04BF">
        <w:rPr>
          <w:shd w:val="clear" w:color="auto" w:fill="FFFFFF"/>
        </w:rPr>
        <w:t>выбросов загрязняющих веществ с отработавшими газами и энергоэффективности</w:t>
      </w:r>
      <w:r>
        <w:rPr>
          <w:shd w:val="clear" w:color="auto" w:fill="FFFFFF"/>
        </w:rPr>
        <w:t>,</w:t>
      </w:r>
      <w:r w:rsidRPr="005B04BF">
        <w:t xml:space="preserve"> </w:t>
      </w:r>
      <w:r w:rsidRPr="005B04BF">
        <w:rPr>
          <w:shd w:val="clear" w:color="auto" w:fill="FFFFFF"/>
        </w:rPr>
        <w:t>процедура испытания и, следовательно, ГТП № 2 ООН должны отражать современные реальные условия эксплуатации транспортн</w:t>
      </w:r>
      <w:r>
        <w:rPr>
          <w:shd w:val="clear" w:color="auto" w:fill="FFFFFF"/>
        </w:rPr>
        <w:t xml:space="preserve">ых </w:t>
      </w:r>
      <w:r w:rsidRPr="005B04BF">
        <w:rPr>
          <w:shd w:val="clear" w:color="auto" w:fill="FFFFFF"/>
        </w:rPr>
        <w:t>средств.</w:t>
      </w:r>
    </w:p>
    <w:p w14:paraId="4DB4BCB3" w14:textId="2E15FFD3" w:rsidR="00C51B25" w:rsidRPr="005B04BF" w:rsidRDefault="00C51B25" w:rsidP="00C51B25">
      <w:pPr>
        <w:pStyle w:val="HChG"/>
        <w:rPr>
          <w:rFonts w:eastAsia="MS Mincho"/>
          <w:bCs/>
          <w:sz w:val="20"/>
        </w:rPr>
      </w:pPr>
      <w:r w:rsidRPr="005B04BF">
        <w:rPr>
          <w:rFonts w:eastAsia="MS Mincho"/>
          <w:sz w:val="20"/>
        </w:rPr>
        <w:tab/>
      </w:r>
      <w:r w:rsidRPr="005B04BF">
        <w:rPr>
          <w:rFonts w:eastAsia="MS Mincho"/>
        </w:rPr>
        <w:t>IV.</w:t>
      </w:r>
      <w:r>
        <w:rPr>
          <w:rFonts w:eastAsia="MS Mincho"/>
        </w:rPr>
        <w:tab/>
      </w:r>
      <w:r w:rsidRPr="005B04BF">
        <w:rPr>
          <w:rFonts w:eastAsia="MS Mincho"/>
        </w:rPr>
        <w:t>Разработка поправки 5</w:t>
      </w:r>
    </w:p>
    <w:p w14:paraId="29B7FCB0" w14:textId="1BF4F7AC" w:rsidR="00C51B25" w:rsidRPr="005B04BF" w:rsidRDefault="00C51B25" w:rsidP="00C51B25">
      <w:pPr>
        <w:pStyle w:val="SingleTxtG"/>
        <w:rPr>
          <w:color w:val="000000" w:themeColor="text1"/>
        </w:rPr>
      </w:pPr>
      <w:r w:rsidRPr="005B04BF">
        <w:t>24.</w:t>
      </w:r>
      <w:r w:rsidRPr="005B04BF">
        <w:tab/>
        <w:t>В соответствии с вышеуказанным мандатом (ECE/TRANS/WP.29/AC.3/</w:t>
      </w:r>
      <w:r w:rsidR="00CB04B4" w:rsidRPr="00CB04B4">
        <w:t xml:space="preserve"> </w:t>
      </w:r>
      <w:r w:rsidRPr="005B04BF">
        <w:t>36/Rev.1) и согласованным кругом ведения НРГ (GRPE-81-23r1e.pdf) НРГ по ТЭТХ приступила к полному пересмотру ГТП № 2 ООН в рамках разработки поправки</w:t>
      </w:r>
      <w:r>
        <w:rPr>
          <w:lang w:val="en-US"/>
        </w:rPr>
        <w:t> </w:t>
      </w:r>
      <w:r w:rsidRPr="005B04BF">
        <w:t>5 для решения следующих задач:</w:t>
      </w:r>
    </w:p>
    <w:p w14:paraId="1265C7BA" w14:textId="14A1FB57" w:rsidR="00C51B25" w:rsidRPr="00984B7A" w:rsidRDefault="00984B7A" w:rsidP="00984B7A">
      <w:pPr>
        <w:pStyle w:val="SingleTxtG"/>
      </w:pPr>
      <w:r>
        <w:tab/>
      </w:r>
      <w:r w:rsidR="00C51B25" w:rsidRPr="00984B7A">
        <w:t>a)</w:t>
      </w:r>
      <w:r w:rsidR="00C51B25" w:rsidRPr="00984B7A">
        <w:tab/>
        <w:t>исправление редакционных ошибок, опечаток и ошибок форматирования;</w:t>
      </w:r>
    </w:p>
    <w:p w14:paraId="65ABF19A" w14:textId="25340350" w:rsidR="00C51B25" w:rsidRPr="00984B7A" w:rsidRDefault="00984B7A" w:rsidP="00984B7A">
      <w:pPr>
        <w:pStyle w:val="SingleTxtG"/>
      </w:pPr>
      <w:r>
        <w:tab/>
      </w:r>
      <w:r w:rsidR="00C51B25" w:rsidRPr="00984B7A">
        <w:t>b)</w:t>
      </w:r>
      <w:r w:rsidR="00C51B25" w:rsidRPr="00984B7A">
        <w:tab/>
        <w:t>согласование ГТП ООН с результатами работы, проведенной НРГ по всемирной согласованной процедуре испытания транспортных средств малой грузоподъемности (ВПИМ), если это будет сочтено целесообразным, для того чтобы обеспечить гармонизацию и избежать дублирования усилий;</w:t>
      </w:r>
    </w:p>
    <w:p w14:paraId="10608248" w14:textId="576FCB35" w:rsidR="00C51B25" w:rsidRPr="00984B7A" w:rsidRDefault="00984B7A" w:rsidP="00984B7A">
      <w:pPr>
        <w:pStyle w:val="SingleTxtG"/>
      </w:pPr>
      <w:r>
        <w:tab/>
      </w:r>
      <w:r w:rsidR="00C51B25" w:rsidRPr="00984B7A">
        <w:t>c)</w:t>
      </w:r>
      <w:r w:rsidR="00C51B25" w:rsidRPr="00984B7A">
        <w:tab/>
        <w:t>обновление по мере необходимости ГТП ООН с учетом технического прогресса;</w:t>
      </w:r>
    </w:p>
    <w:p w14:paraId="6172B5C2" w14:textId="76D3A477" w:rsidR="00C51B25" w:rsidRPr="00984B7A" w:rsidRDefault="00984B7A" w:rsidP="00984B7A">
      <w:pPr>
        <w:pStyle w:val="SingleTxtG"/>
      </w:pPr>
      <w:r>
        <w:tab/>
      </w:r>
      <w:r w:rsidR="00C51B25" w:rsidRPr="00984B7A">
        <w:t>d)</w:t>
      </w:r>
      <w:r w:rsidR="00C51B25" w:rsidRPr="00984B7A">
        <w:tab/>
        <w:t>включение в сферу применения трехколесных транспортных средств, за исключением трехколесных транспортных средств малой мощности, характерных для Индии;</w:t>
      </w:r>
    </w:p>
    <w:p w14:paraId="08B3B6C3" w14:textId="30595EDF" w:rsidR="00C51B25" w:rsidRPr="00984B7A" w:rsidRDefault="00984B7A" w:rsidP="00984B7A">
      <w:pPr>
        <w:pStyle w:val="SingleTxtG"/>
      </w:pPr>
      <w:r>
        <w:tab/>
      </w:r>
      <w:r w:rsidR="00C51B25" w:rsidRPr="00984B7A">
        <w:t>e)</w:t>
      </w:r>
      <w:r w:rsidR="00C51B25" w:rsidRPr="00984B7A">
        <w:tab/>
        <w:t>добавление определения транспортных средств со сдвоенными колесами в целях уточнения;</w:t>
      </w:r>
    </w:p>
    <w:p w14:paraId="7176FDCD" w14:textId="6F994B61" w:rsidR="00C51B25" w:rsidRPr="00984B7A" w:rsidRDefault="00984B7A" w:rsidP="00984B7A">
      <w:pPr>
        <w:pStyle w:val="SingleTxtG"/>
      </w:pPr>
      <w:r>
        <w:tab/>
      </w:r>
      <w:r w:rsidR="00C51B25" w:rsidRPr="00984B7A">
        <w:t>f)</w:t>
      </w:r>
      <w:r w:rsidR="00C51B25" w:rsidRPr="00984B7A">
        <w:tab/>
        <w:t>распространение области применения на альтернативные виды топлива (в частности, КПГ и СНГ).</w:t>
      </w:r>
    </w:p>
    <w:p w14:paraId="7CF38CB1" w14:textId="484CAA1C" w:rsidR="00C51B25" w:rsidRPr="005B04BF" w:rsidRDefault="00C51B25" w:rsidP="00C51B25">
      <w:pPr>
        <w:pStyle w:val="SingleTxtG"/>
        <w:rPr>
          <w:color w:val="000000" w:themeColor="text1"/>
        </w:rPr>
      </w:pPr>
      <w:r w:rsidRPr="005B04BF">
        <w:t>25.</w:t>
      </w:r>
      <w:r w:rsidRPr="005B04BF">
        <w:tab/>
      </w:r>
      <w:r>
        <w:t>Несмотря на то, что</w:t>
      </w:r>
      <w:r w:rsidRPr="005B04BF">
        <w:t xml:space="preserve"> соответствие текста ГТП № 2 ООН положениям Евро</w:t>
      </w:r>
      <w:r>
        <w:t>-</w:t>
      </w:r>
      <w:r w:rsidRPr="005B04BF">
        <w:t xml:space="preserve">5 в целом было сохранено </w:t>
      </w:r>
      <w:r>
        <w:t>(</w:t>
      </w:r>
      <w:r w:rsidRPr="005B04BF">
        <w:t>как</w:t>
      </w:r>
      <w:r>
        <w:t xml:space="preserve"> это и</w:t>
      </w:r>
      <w:r w:rsidRPr="005B04BF">
        <w:t xml:space="preserve"> было согласовано в начале процесса пересмотра</w:t>
      </w:r>
      <w:r>
        <w:t>)</w:t>
      </w:r>
      <w:r w:rsidRPr="005B04BF">
        <w:t xml:space="preserve"> по</w:t>
      </w:r>
      <w:r w:rsidR="00984B7A">
        <w:t> </w:t>
      </w:r>
      <w:r w:rsidRPr="005B04BF">
        <w:t xml:space="preserve">сравнению с поправкой 4 в рамках поправки 5 к этим ГТП ООН были согласованы </w:t>
      </w:r>
      <w:r>
        <w:t xml:space="preserve">указанные ниже </w:t>
      </w:r>
      <w:r w:rsidRPr="005B04BF">
        <w:t xml:space="preserve">изменения.  </w:t>
      </w:r>
    </w:p>
    <w:p w14:paraId="26695FCF" w14:textId="77777777" w:rsidR="00C51B25" w:rsidRPr="005B04BF" w:rsidRDefault="00C51B25" w:rsidP="00C51B25">
      <w:pPr>
        <w:pStyle w:val="H1G"/>
        <w:rPr>
          <w:rFonts w:eastAsia="MS Mincho"/>
          <w:bCs/>
        </w:rPr>
      </w:pPr>
      <w:r w:rsidRPr="005B04BF">
        <w:rPr>
          <w:rFonts w:eastAsia="MS Mincho"/>
        </w:rPr>
        <w:tab/>
        <w:t>A.</w:t>
      </w:r>
      <w:r w:rsidRPr="005B04BF">
        <w:rPr>
          <w:rFonts w:eastAsia="MS Mincho"/>
        </w:rPr>
        <w:tab/>
        <w:t>Исправления общего характера</w:t>
      </w:r>
    </w:p>
    <w:p w14:paraId="338D4544" w14:textId="77777777" w:rsidR="00C51B25" w:rsidRPr="005B04BF" w:rsidRDefault="00C51B25" w:rsidP="00C51B25">
      <w:pPr>
        <w:pStyle w:val="H23G"/>
        <w:rPr>
          <w:rFonts w:eastAsia="MS Mincho"/>
          <w:bCs/>
        </w:rPr>
      </w:pPr>
      <w:r w:rsidRPr="005B04BF">
        <w:rPr>
          <w:rFonts w:eastAsia="MS Mincho"/>
        </w:rPr>
        <w:tab/>
        <w:t>1.</w:t>
      </w:r>
      <w:r w:rsidRPr="005B04BF">
        <w:rPr>
          <w:rFonts w:eastAsia="MS Mincho"/>
        </w:rPr>
        <w:tab/>
        <w:t>Мотоцикл</w:t>
      </w:r>
    </w:p>
    <w:p w14:paraId="4DA71CF7" w14:textId="1CC6ED19" w:rsidR="00C51B25" w:rsidRPr="005B04BF" w:rsidRDefault="00C51B25" w:rsidP="00C51B25">
      <w:pPr>
        <w:pStyle w:val="SingleTxtG"/>
        <w:rPr>
          <w:color w:val="000000" w:themeColor="text1"/>
        </w:rPr>
      </w:pPr>
      <w:r w:rsidRPr="005B04BF">
        <w:t>26.</w:t>
      </w:r>
      <w:r w:rsidRPr="005B04BF">
        <w:tab/>
      </w:r>
      <w:r>
        <w:t>Использование т</w:t>
      </w:r>
      <w:r w:rsidRPr="005B04BF">
        <w:t>ермин</w:t>
      </w:r>
      <w:r>
        <w:t>ов</w:t>
      </w:r>
      <w:r w:rsidRPr="005B04BF">
        <w:t xml:space="preserve"> </w:t>
      </w:r>
      <w:r w:rsidR="00CB04B4" w:rsidRPr="00CB04B4">
        <w:t>«</w:t>
      </w:r>
      <w:r w:rsidRPr="005B04BF">
        <w:t>мотоциклы</w:t>
      </w:r>
      <w:r w:rsidR="00CB04B4">
        <w:t>»</w:t>
      </w:r>
      <w:r w:rsidRPr="005B04BF">
        <w:t xml:space="preserve"> и </w:t>
      </w:r>
      <w:r w:rsidR="00CB04B4">
        <w:t>«</w:t>
      </w:r>
      <w:r w:rsidRPr="005B04BF">
        <w:t>мопеды</w:t>
      </w:r>
      <w:r w:rsidR="00CB04B4">
        <w:t>»</w:t>
      </w:r>
      <w:r w:rsidRPr="005B04BF">
        <w:t xml:space="preserve"> был</w:t>
      </w:r>
      <w:r>
        <w:t>о</w:t>
      </w:r>
      <w:r w:rsidRPr="005B04BF">
        <w:t xml:space="preserve"> по </w:t>
      </w:r>
      <w:r>
        <w:t xml:space="preserve">мере </w:t>
      </w:r>
      <w:r w:rsidRPr="005B04BF">
        <w:t>возможности исключен</w:t>
      </w:r>
      <w:r>
        <w:t>о</w:t>
      </w:r>
      <w:r w:rsidRPr="005B04BF">
        <w:t xml:space="preserve">, поскольку их применение характерно только для одного региона (ЕС), </w:t>
      </w:r>
      <w:r w:rsidR="00CB04B4">
        <w:br/>
      </w:r>
      <w:r w:rsidRPr="005B04BF">
        <w:t xml:space="preserve">в то время как в настоящих ГТП ООН </w:t>
      </w:r>
      <w:r>
        <w:t xml:space="preserve">содержатся </w:t>
      </w:r>
      <w:r w:rsidRPr="005B04BF">
        <w:t>определен</w:t>
      </w:r>
      <w:r>
        <w:t>ия</w:t>
      </w:r>
      <w:r w:rsidRPr="005B04BF">
        <w:t xml:space="preserve"> конкретны</w:t>
      </w:r>
      <w:r>
        <w:t>х</w:t>
      </w:r>
      <w:r w:rsidRPr="005B04BF">
        <w:t xml:space="preserve"> класс</w:t>
      </w:r>
      <w:r>
        <w:t>ов</w:t>
      </w:r>
      <w:r w:rsidRPr="005B04BF">
        <w:t xml:space="preserve"> транспортных средств (0, 1, 2, 3).</w:t>
      </w:r>
    </w:p>
    <w:p w14:paraId="1F0F12B7" w14:textId="77777777" w:rsidR="00C51B25" w:rsidRPr="005B04BF" w:rsidRDefault="00C51B25" w:rsidP="00C1487C">
      <w:pPr>
        <w:pStyle w:val="H23G"/>
        <w:rPr>
          <w:rFonts w:eastAsia="MS Mincho"/>
          <w:bCs/>
        </w:rPr>
      </w:pPr>
      <w:r w:rsidRPr="005B04BF">
        <w:rPr>
          <w:rFonts w:eastAsia="MS Mincho"/>
        </w:rPr>
        <w:tab/>
        <w:t>2.</w:t>
      </w:r>
      <w:r w:rsidRPr="005B04BF">
        <w:rPr>
          <w:rFonts w:eastAsia="MS Mincho"/>
        </w:rPr>
        <w:tab/>
        <w:t>Эталонные виды топлива</w:t>
      </w:r>
    </w:p>
    <w:p w14:paraId="204DA7EF" w14:textId="77777777" w:rsidR="00C51B25" w:rsidRPr="005B04BF" w:rsidRDefault="00C51B25" w:rsidP="00C1487C">
      <w:pPr>
        <w:pStyle w:val="af3"/>
        <w:keepNext/>
        <w:numPr>
          <w:ilvl w:val="0"/>
          <w:numId w:val="0"/>
        </w:numPr>
        <w:tabs>
          <w:tab w:val="left" w:pos="1701"/>
        </w:tabs>
        <w:ind w:left="1134" w:right="1134"/>
        <w:jc w:val="both"/>
        <w:rPr>
          <w:color w:val="000000" w:themeColor="text1"/>
        </w:rPr>
      </w:pPr>
      <w:r w:rsidRPr="005B04BF">
        <w:t>27.</w:t>
      </w:r>
      <w:r w:rsidRPr="005B04BF">
        <w:tab/>
        <w:t>Исправление ошибки:</w:t>
      </w:r>
    </w:p>
    <w:p w14:paraId="5E30512B" w14:textId="77777777" w:rsidR="00C51B25" w:rsidRPr="005B04BF" w:rsidRDefault="00C51B25" w:rsidP="00C51B25">
      <w:pPr>
        <w:pStyle w:val="af3"/>
        <w:numPr>
          <w:ilvl w:val="0"/>
          <w:numId w:val="0"/>
        </w:numPr>
        <w:ind w:left="1701" w:right="1134"/>
        <w:jc w:val="both"/>
        <w:rPr>
          <w:color w:val="000000" w:themeColor="text1"/>
        </w:rPr>
      </w:pPr>
      <w:r w:rsidRPr="005B04BF">
        <w:t>Основной (Евро-5)</w:t>
      </w:r>
    </w:p>
    <w:p w14:paraId="7EA6B430" w14:textId="77777777" w:rsidR="00C51B25" w:rsidRPr="005B04BF" w:rsidRDefault="00C51B25" w:rsidP="00C51B25">
      <w:pPr>
        <w:pStyle w:val="af3"/>
        <w:numPr>
          <w:ilvl w:val="0"/>
          <w:numId w:val="0"/>
        </w:numPr>
        <w:ind w:left="2268" w:right="1134"/>
        <w:jc w:val="both"/>
        <w:rPr>
          <w:color w:val="000000" w:themeColor="text1"/>
        </w:rPr>
      </w:pPr>
      <w:r w:rsidRPr="005B04BF">
        <w:tab/>
        <w:t>Таблица A4.App 2/1</w:t>
      </w:r>
      <w:r w:rsidRPr="005B04BF">
        <w:t>：</w:t>
      </w:r>
      <w:r w:rsidRPr="005B04BF">
        <w:t>Япония E0</w:t>
      </w:r>
    </w:p>
    <w:p w14:paraId="5C5B7FE9" w14:textId="77777777" w:rsidR="00C51B25" w:rsidRPr="005B04BF" w:rsidRDefault="00C51B25" w:rsidP="00C51B25">
      <w:pPr>
        <w:pStyle w:val="af3"/>
        <w:numPr>
          <w:ilvl w:val="0"/>
          <w:numId w:val="0"/>
        </w:numPr>
        <w:ind w:left="2268" w:right="1134"/>
        <w:jc w:val="both"/>
        <w:rPr>
          <w:color w:val="000000" w:themeColor="text1"/>
        </w:rPr>
      </w:pPr>
      <w:r w:rsidRPr="005B04BF">
        <w:tab/>
        <w:t>Таблица A4.App 2/3</w:t>
      </w:r>
      <w:r w:rsidRPr="005B04BF">
        <w:t>：</w:t>
      </w:r>
      <w:r w:rsidRPr="005B04BF">
        <w:t>Япония E0 100</w:t>
      </w:r>
    </w:p>
    <w:p w14:paraId="3D46EBD4" w14:textId="77777777" w:rsidR="00C51B25" w:rsidRPr="00325F26" w:rsidRDefault="00C51B25" w:rsidP="00C51B25">
      <w:pPr>
        <w:pStyle w:val="af3"/>
        <w:numPr>
          <w:ilvl w:val="0"/>
          <w:numId w:val="0"/>
        </w:numPr>
        <w:ind w:left="2268" w:right="1134"/>
        <w:jc w:val="both"/>
        <w:rPr>
          <w:color w:val="000000" w:themeColor="text1"/>
          <w:lang w:val="en-US"/>
        </w:rPr>
      </w:pPr>
      <w:r w:rsidRPr="005B04BF">
        <w:tab/>
        <w:t>Таблица</w:t>
      </w:r>
      <w:r w:rsidRPr="00325F26">
        <w:rPr>
          <w:lang w:val="en-US"/>
        </w:rPr>
        <w:t xml:space="preserve"> A4.App 2/4</w:t>
      </w:r>
      <w:r w:rsidRPr="00325F26">
        <w:rPr>
          <w:lang w:val="en-US"/>
        </w:rPr>
        <w:t>：</w:t>
      </w:r>
      <w:r w:rsidRPr="005B04BF">
        <w:t>ЕС</w:t>
      </w:r>
      <w:r w:rsidRPr="00325F26">
        <w:rPr>
          <w:lang w:val="en-US"/>
        </w:rPr>
        <w:t xml:space="preserve"> E5</w:t>
      </w:r>
    </w:p>
    <w:p w14:paraId="64D20A37" w14:textId="77777777" w:rsidR="00C51B25" w:rsidRPr="00325F26" w:rsidRDefault="00C51B25" w:rsidP="00C51B25">
      <w:pPr>
        <w:pStyle w:val="af3"/>
        <w:numPr>
          <w:ilvl w:val="0"/>
          <w:numId w:val="0"/>
        </w:numPr>
        <w:ind w:left="2268" w:right="1134"/>
        <w:jc w:val="both"/>
        <w:rPr>
          <w:color w:val="000000" w:themeColor="text1"/>
          <w:lang w:val="en-US"/>
        </w:rPr>
      </w:pPr>
      <w:r w:rsidRPr="00325F26">
        <w:rPr>
          <w:lang w:val="en-US"/>
        </w:rPr>
        <w:tab/>
      </w:r>
      <w:r w:rsidRPr="005B04BF">
        <w:t>Таблица</w:t>
      </w:r>
      <w:r w:rsidRPr="00325F26">
        <w:rPr>
          <w:lang w:val="en-US"/>
        </w:rPr>
        <w:t xml:space="preserve"> A4.App 2/6</w:t>
      </w:r>
      <w:r w:rsidRPr="00325F26">
        <w:rPr>
          <w:lang w:val="en-US"/>
        </w:rPr>
        <w:t>：</w:t>
      </w:r>
      <w:r w:rsidRPr="005B04BF">
        <w:t>ЕС</w:t>
      </w:r>
      <w:r w:rsidRPr="00325F26">
        <w:rPr>
          <w:lang w:val="en-US"/>
        </w:rPr>
        <w:t xml:space="preserve"> B5</w:t>
      </w:r>
    </w:p>
    <w:p w14:paraId="68DED6E4" w14:textId="77777777" w:rsidR="00C51B25" w:rsidRPr="00325F26" w:rsidRDefault="00C51B25" w:rsidP="00C51B25">
      <w:pPr>
        <w:pStyle w:val="af3"/>
        <w:numPr>
          <w:ilvl w:val="0"/>
          <w:numId w:val="0"/>
        </w:numPr>
        <w:ind w:left="1701" w:right="1134"/>
        <w:jc w:val="both"/>
        <w:rPr>
          <w:color w:val="000000" w:themeColor="text1"/>
          <w:lang w:val="en-US"/>
        </w:rPr>
      </w:pPr>
      <w:r w:rsidRPr="005B04BF">
        <w:t>Альт</w:t>
      </w:r>
      <w:r w:rsidRPr="00325F26">
        <w:rPr>
          <w:lang w:val="en-US"/>
        </w:rPr>
        <w:t>-A (</w:t>
      </w:r>
      <w:r w:rsidRPr="005B04BF">
        <w:t>Индия</w:t>
      </w:r>
      <w:r w:rsidRPr="00325F26">
        <w:rPr>
          <w:lang w:val="en-US"/>
        </w:rPr>
        <w:t xml:space="preserve"> BS-4)</w:t>
      </w:r>
    </w:p>
    <w:p w14:paraId="47E6CCC8" w14:textId="65949A9C" w:rsidR="00C51B25" w:rsidRPr="00325F26" w:rsidRDefault="00C51B25" w:rsidP="00C51B25">
      <w:pPr>
        <w:pStyle w:val="af3"/>
        <w:numPr>
          <w:ilvl w:val="0"/>
          <w:numId w:val="0"/>
        </w:numPr>
        <w:ind w:left="2268" w:right="1134"/>
        <w:jc w:val="both"/>
        <w:rPr>
          <w:color w:val="000000" w:themeColor="text1"/>
          <w:lang w:val="en-US"/>
        </w:rPr>
      </w:pPr>
      <w:r w:rsidRPr="00325F26">
        <w:rPr>
          <w:lang w:val="en-US"/>
        </w:rPr>
        <w:tab/>
      </w:r>
      <w:r w:rsidRPr="005B04BF">
        <w:t>Таблица</w:t>
      </w:r>
      <w:r w:rsidRPr="00325F26">
        <w:rPr>
          <w:lang w:val="en-US"/>
        </w:rPr>
        <w:t xml:space="preserve"> A4.App 2/2</w:t>
      </w:r>
      <w:r w:rsidR="00F01CDB" w:rsidRPr="00BA590C">
        <w:rPr>
          <w:color w:val="000000" w:themeColor="text1"/>
          <w:lang w:val="it-IT"/>
        </w:rPr>
        <w:t>：</w:t>
      </w:r>
      <w:r w:rsidRPr="005B04BF">
        <w:t>ЕС</w:t>
      </w:r>
      <w:r w:rsidRPr="00325F26">
        <w:rPr>
          <w:lang w:val="en-US"/>
        </w:rPr>
        <w:t xml:space="preserve"> E0</w:t>
      </w:r>
    </w:p>
    <w:p w14:paraId="7C4AFA55" w14:textId="77777777" w:rsidR="00C51B25" w:rsidRPr="00325F26" w:rsidRDefault="00C51B25" w:rsidP="00C51B25">
      <w:pPr>
        <w:pStyle w:val="af3"/>
        <w:numPr>
          <w:ilvl w:val="0"/>
          <w:numId w:val="0"/>
        </w:numPr>
        <w:ind w:left="1701" w:right="1134"/>
        <w:jc w:val="both"/>
        <w:rPr>
          <w:color w:val="000000" w:themeColor="text1"/>
          <w:lang w:val="en-US"/>
        </w:rPr>
      </w:pPr>
      <w:r w:rsidRPr="005B04BF">
        <w:t>Альт</w:t>
      </w:r>
      <w:r w:rsidRPr="00325F26">
        <w:rPr>
          <w:lang w:val="en-US"/>
        </w:rPr>
        <w:t>-B (</w:t>
      </w:r>
      <w:r w:rsidRPr="005B04BF">
        <w:t>Евро</w:t>
      </w:r>
      <w:r w:rsidRPr="00325F26">
        <w:rPr>
          <w:lang w:val="en-US"/>
        </w:rPr>
        <w:t>-4)</w:t>
      </w:r>
    </w:p>
    <w:p w14:paraId="63727B60" w14:textId="77777777" w:rsidR="00C51B25" w:rsidRPr="00325F26" w:rsidRDefault="00C51B25" w:rsidP="00C51B25">
      <w:pPr>
        <w:pStyle w:val="af3"/>
        <w:numPr>
          <w:ilvl w:val="0"/>
          <w:numId w:val="0"/>
        </w:numPr>
        <w:ind w:left="2268" w:right="1134"/>
        <w:jc w:val="both"/>
        <w:rPr>
          <w:color w:val="000000" w:themeColor="text1"/>
          <w:lang w:val="en-US"/>
        </w:rPr>
      </w:pPr>
      <w:r w:rsidRPr="00325F26">
        <w:rPr>
          <w:lang w:val="en-US"/>
        </w:rPr>
        <w:tab/>
      </w:r>
      <w:r w:rsidRPr="005B04BF">
        <w:t>Таблица</w:t>
      </w:r>
      <w:r w:rsidRPr="00325F26">
        <w:rPr>
          <w:lang w:val="en-US"/>
        </w:rPr>
        <w:t xml:space="preserve"> A4.App 2/4</w:t>
      </w:r>
      <w:r w:rsidRPr="00325F26">
        <w:rPr>
          <w:lang w:val="en-US"/>
        </w:rPr>
        <w:t>：</w:t>
      </w:r>
      <w:r w:rsidRPr="005B04BF">
        <w:t>ЕС</w:t>
      </w:r>
      <w:r w:rsidRPr="00325F26">
        <w:rPr>
          <w:lang w:val="en-US"/>
        </w:rPr>
        <w:t xml:space="preserve"> E5</w:t>
      </w:r>
    </w:p>
    <w:p w14:paraId="39F3EC50" w14:textId="77777777" w:rsidR="00C51B25" w:rsidRPr="005B04BF" w:rsidRDefault="00C51B25" w:rsidP="00C51B25">
      <w:pPr>
        <w:pStyle w:val="af3"/>
        <w:numPr>
          <w:ilvl w:val="0"/>
          <w:numId w:val="0"/>
        </w:numPr>
        <w:ind w:left="1701" w:right="1134"/>
        <w:jc w:val="both"/>
        <w:rPr>
          <w:color w:val="000000" w:themeColor="text1"/>
        </w:rPr>
      </w:pPr>
      <w:r w:rsidRPr="005B04BF">
        <w:t>Альт-С (Евро-3)</w:t>
      </w:r>
    </w:p>
    <w:p w14:paraId="5DBD9C1E" w14:textId="77777777" w:rsidR="00C51B25" w:rsidRPr="00984B7A" w:rsidRDefault="00C51B25" w:rsidP="00C51B25">
      <w:pPr>
        <w:pStyle w:val="af3"/>
        <w:numPr>
          <w:ilvl w:val="0"/>
          <w:numId w:val="0"/>
        </w:numPr>
        <w:ind w:left="2268" w:right="1134"/>
        <w:jc w:val="both"/>
        <w:rPr>
          <w:color w:val="000000" w:themeColor="text1"/>
          <w:lang w:val="en-US"/>
        </w:rPr>
      </w:pPr>
      <w:r w:rsidRPr="005B04BF">
        <w:tab/>
        <w:t>Таблица</w:t>
      </w:r>
      <w:r w:rsidRPr="00984B7A">
        <w:rPr>
          <w:lang w:val="en-US"/>
        </w:rPr>
        <w:t xml:space="preserve"> A4.App 2/4</w:t>
      </w:r>
      <w:r w:rsidRPr="00984B7A">
        <w:rPr>
          <w:lang w:val="en-US"/>
        </w:rPr>
        <w:t>：</w:t>
      </w:r>
      <w:r w:rsidRPr="005B04BF">
        <w:t>ЕС</w:t>
      </w:r>
      <w:r w:rsidRPr="00984B7A">
        <w:rPr>
          <w:lang w:val="en-US"/>
        </w:rPr>
        <w:t xml:space="preserve"> E5</w:t>
      </w:r>
    </w:p>
    <w:p w14:paraId="4E1B09AF" w14:textId="77777777" w:rsidR="00C51B25" w:rsidRPr="005B04BF" w:rsidRDefault="00C51B25" w:rsidP="00C51B25">
      <w:pPr>
        <w:pStyle w:val="H23G"/>
        <w:rPr>
          <w:rFonts w:eastAsia="MS Mincho"/>
          <w:bCs/>
        </w:rPr>
      </w:pPr>
      <w:r w:rsidRPr="00984B7A">
        <w:rPr>
          <w:rFonts w:eastAsia="MS Mincho"/>
          <w:lang w:val="en-US"/>
        </w:rPr>
        <w:tab/>
      </w:r>
      <w:r w:rsidRPr="005B04BF">
        <w:rPr>
          <w:rFonts w:eastAsia="MS Mincho"/>
        </w:rPr>
        <w:t>3.</w:t>
      </w:r>
      <w:r w:rsidRPr="005B04BF">
        <w:rPr>
          <w:rFonts w:eastAsia="MS Mincho"/>
        </w:rPr>
        <w:tab/>
        <w:t>Административные предписания</w:t>
      </w:r>
    </w:p>
    <w:p w14:paraId="7E4F4FCB" w14:textId="77777777" w:rsidR="00C51B25" w:rsidRPr="005B04BF" w:rsidRDefault="00C51B25" w:rsidP="00C51B25">
      <w:pPr>
        <w:pStyle w:val="SingleTxtG"/>
        <w:rPr>
          <w:color w:val="000000" w:themeColor="text1"/>
        </w:rPr>
      </w:pPr>
      <w:r w:rsidRPr="005B04BF">
        <w:t>28.</w:t>
      </w:r>
      <w:r w:rsidRPr="005B04BF">
        <w:tab/>
        <w:t xml:space="preserve">Поскольку </w:t>
      </w:r>
      <w:r>
        <w:t xml:space="preserve">процедура </w:t>
      </w:r>
      <w:r w:rsidRPr="005B04BF">
        <w:t>официально</w:t>
      </w:r>
      <w:r>
        <w:t>го</w:t>
      </w:r>
      <w:r w:rsidRPr="005B04BF">
        <w:t xml:space="preserve"> утверждени</w:t>
      </w:r>
      <w:r>
        <w:t>я</w:t>
      </w:r>
      <w:r w:rsidRPr="005B04BF">
        <w:t xml:space="preserve"> типа</w:t>
      </w:r>
      <w:r w:rsidRPr="00E30ACE">
        <w:t xml:space="preserve"> </w:t>
      </w:r>
      <w:r w:rsidRPr="005B04BF">
        <w:t>применяется</w:t>
      </w:r>
      <w:r w:rsidRPr="00E30ACE">
        <w:t xml:space="preserve"> </w:t>
      </w:r>
      <w:r w:rsidRPr="005B04BF">
        <w:t>не во всех регионах, вместо термина «официальное утверждение типа» использовался термин «сертификация», а вместо термина «орган по официальному утверждению типа» использовался термин «компетентный орган».</w:t>
      </w:r>
    </w:p>
    <w:p w14:paraId="43B51B0D" w14:textId="77777777" w:rsidR="00C51B25" w:rsidRPr="005B04BF" w:rsidRDefault="00C51B25" w:rsidP="00C51B25">
      <w:pPr>
        <w:pStyle w:val="H1G"/>
        <w:rPr>
          <w:rFonts w:eastAsia="MS Mincho"/>
          <w:bCs/>
        </w:rPr>
      </w:pPr>
      <w:r w:rsidRPr="005B04BF">
        <w:rPr>
          <w:rFonts w:eastAsia="MS Mincho"/>
        </w:rPr>
        <w:tab/>
        <w:t>B.</w:t>
      </w:r>
      <w:r w:rsidRPr="005B04BF">
        <w:rPr>
          <w:rFonts w:eastAsia="MS Mincho"/>
        </w:rPr>
        <w:tab/>
        <w:t>Согласование с ВПИМ</w:t>
      </w:r>
    </w:p>
    <w:p w14:paraId="15DBA8C1" w14:textId="77777777" w:rsidR="00C51B25" w:rsidRPr="005B04BF" w:rsidRDefault="00C51B25" w:rsidP="00C51B25">
      <w:pPr>
        <w:pStyle w:val="H23G"/>
        <w:rPr>
          <w:rFonts w:eastAsia="MS Mincho"/>
          <w:bCs/>
        </w:rPr>
      </w:pPr>
      <w:r w:rsidRPr="005B04BF">
        <w:rPr>
          <w:rFonts w:eastAsia="MS Mincho"/>
        </w:rPr>
        <w:tab/>
        <w:t>1.</w:t>
      </w:r>
      <w:r w:rsidRPr="005B04BF">
        <w:rPr>
          <w:rFonts w:eastAsia="MS Mincho"/>
        </w:rPr>
        <w:tab/>
        <w:t>Введение</w:t>
      </w:r>
    </w:p>
    <w:p w14:paraId="26E59E3A" w14:textId="25EEF881" w:rsidR="00C51B25" w:rsidRPr="005B04BF" w:rsidRDefault="00C51B25" w:rsidP="00C51B25">
      <w:pPr>
        <w:pStyle w:val="SingleTxtG"/>
        <w:rPr>
          <w:bCs/>
          <w:color w:val="000000" w:themeColor="text1"/>
        </w:rPr>
      </w:pPr>
      <w:r w:rsidRPr="005B04BF">
        <w:t>29.</w:t>
      </w:r>
      <w:r w:rsidRPr="005B04BF">
        <w:tab/>
        <w:t xml:space="preserve">На тридцать девятом заседании НРГ по ТЭТХ (октябрь 2020 года) </w:t>
      </w:r>
      <w:r w:rsidR="00D83845">
        <w:br/>
      </w:r>
      <w:r w:rsidRPr="005B04BF">
        <w:t>МАЗМ предложила провести общее согласование положений с ВПИМ (документы EPPR-39-02 и EPPR 39-03):</w:t>
      </w:r>
    </w:p>
    <w:p w14:paraId="51F3CDB1" w14:textId="7A911B7C" w:rsidR="00C51B25" w:rsidRPr="00984B7A" w:rsidRDefault="00984B7A" w:rsidP="00984B7A">
      <w:pPr>
        <w:pStyle w:val="SingleTxtG"/>
      </w:pPr>
      <w:r>
        <w:tab/>
      </w:r>
      <w:r w:rsidR="00C51B25" w:rsidRPr="00984B7A">
        <w:t>a)</w:t>
      </w:r>
      <w:r w:rsidR="00C51B25" w:rsidRPr="00984B7A">
        <w:tab/>
        <w:t>для приведения положений в соответствие с последней версией поправки</w:t>
      </w:r>
      <w:r>
        <w:t> </w:t>
      </w:r>
      <w:r w:rsidR="00C51B25" w:rsidRPr="00984B7A">
        <w:t>6 к ГТП № 15 ООН, касающимся ВПИМ;</w:t>
      </w:r>
    </w:p>
    <w:p w14:paraId="1126E91A" w14:textId="2BD84F45" w:rsidR="00C51B25" w:rsidRPr="00984B7A" w:rsidRDefault="00984B7A" w:rsidP="00984B7A">
      <w:pPr>
        <w:pStyle w:val="SingleTxtG"/>
      </w:pPr>
      <w:r>
        <w:tab/>
      </w:r>
      <w:r w:rsidR="00C51B25" w:rsidRPr="00984B7A">
        <w:t>b)</w:t>
      </w:r>
      <w:r w:rsidR="00C51B25" w:rsidRPr="00984B7A">
        <w:tab/>
        <w:t>для разрешения/предотвращения проблем, связанных с толкованием.</w:t>
      </w:r>
    </w:p>
    <w:p w14:paraId="1CC95035" w14:textId="48862F29" w:rsidR="00C51B25" w:rsidRPr="005B04BF" w:rsidRDefault="00C51B25" w:rsidP="00C51B25">
      <w:pPr>
        <w:pStyle w:val="SingleTxtG"/>
        <w:rPr>
          <w:color w:val="000000" w:themeColor="text1"/>
        </w:rPr>
      </w:pPr>
      <w:r>
        <w:tab/>
      </w:r>
      <w:r w:rsidRPr="005B04BF">
        <w:t xml:space="preserve">На тридцать девятом заседании НРГ по ТЭТХ это предложение было поддержано Японией, а на сороковом заседании НРГ по ТЭТХ (декабрь 2020 года) </w:t>
      </w:r>
      <w:r>
        <w:t>его поддержала</w:t>
      </w:r>
      <w:r w:rsidRPr="005B04BF">
        <w:t xml:space="preserve"> ЕК, и, таким образом, оно было согласовано.</w:t>
      </w:r>
    </w:p>
    <w:p w14:paraId="7216B8D9" w14:textId="77777777" w:rsidR="00C51B25" w:rsidRPr="005B04BF" w:rsidRDefault="00C51B25" w:rsidP="00C51B25">
      <w:pPr>
        <w:pStyle w:val="H23G"/>
        <w:rPr>
          <w:rFonts w:eastAsia="MS Mincho"/>
          <w:bCs/>
        </w:rPr>
      </w:pPr>
      <w:r w:rsidRPr="005B04BF">
        <w:rPr>
          <w:rFonts w:eastAsia="MS Mincho"/>
        </w:rPr>
        <w:tab/>
        <w:t>2.</w:t>
      </w:r>
      <w:r w:rsidRPr="005B04BF">
        <w:rPr>
          <w:rFonts w:eastAsia="MS Mincho"/>
        </w:rPr>
        <w:tab/>
        <w:t xml:space="preserve">Схема </w:t>
      </w:r>
    </w:p>
    <w:p w14:paraId="6CBE547D" w14:textId="77777777" w:rsidR="00C51B25" w:rsidRPr="005B04BF" w:rsidRDefault="00C51B25" w:rsidP="00C51B25">
      <w:pPr>
        <w:pStyle w:val="SingleTxtG"/>
        <w:rPr>
          <w:color w:val="000000" w:themeColor="text1"/>
        </w:rPr>
      </w:pPr>
      <w:r w:rsidRPr="005B04BF">
        <w:t>30.</w:t>
      </w:r>
      <w:r w:rsidRPr="005B04BF">
        <w:tab/>
        <w:t>В документе EPPR-43-05 (март 2021 года) МАЗМ предложила заменить схему на рис. A1/7, содержащемся в поправке 4, схемой на рис. A6/1 из ГТП № 15 ООН, касающихся ВПИМ (ECE/TRANS/WP29/2020/127)</w:t>
      </w:r>
      <w:r>
        <w:t>,</w:t>
      </w:r>
      <w:r w:rsidRPr="005B04BF">
        <w:t xml:space="preserve"> в целях </w:t>
      </w:r>
      <w:r>
        <w:t>согласования с положениями</w:t>
      </w:r>
      <w:r w:rsidRPr="005B04BF">
        <w:t xml:space="preserve"> ВПИМ.</w:t>
      </w:r>
    </w:p>
    <w:p w14:paraId="5CBC42C2" w14:textId="77777777" w:rsidR="00C51B25" w:rsidRPr="005B04BF" w:rsidRDefault="00C51B25" w:rsidP="00C51B25">
      <w:pPr>
        <w:pStyle w:val="af3"/>
        <w:keepNext/>
        <w:numPr>
          <w:ilvl w:val="0"/>
          <w:numId w:val="0"/>
        </w:numPr>
        <w:ind w:left="1134"/>
        <w:rPr>
          <w:color w:val="000000" w:themeColor="text1"/>
        </w:rPr>
      </w:pPr>
      <w:r w:rsidRPr="005B04BF">
        <w:t>Старый рисунок, содержащийся в поправке 4:</w:t>
      </w:r>
    </w:p>
    <w:p w14:paraId="3F4CA76C" w14:textId="1E39BD01" w:rsidR="00C51B25" w:rsidRPr="005B04BF" w:rsidRDefault="00C51B25" w:rsidP="00C51B25">
      <w:pPr>
        <w:pStyle w:val="H23G"/>
        <w:rPr>
          <w:b w:val="0"/>
          <w:color w:val="000000" w:themeColor="text1"/>
        </w:rPr>
      </w:pPr>
      <w:r>
        <w:tab/>
      </w:r>
      <w:r w:rsidRPr="00C51B25">
        <w:rPr>
          <w:b w:val="0"/>
          <w:bCs/>
        </w:rPr>
        <w:tab/>
        <w:t>Рис. A1/7</w:t>
      </w:r>
      <w:r>
        <w:br/>
      </w:r>
      <w:r w:rsidRPr="005B04BF">
        <w:rPr>
          <w:bCs/>
        </w:rPr>
        <w:t>Схема для определения числа испытаний типа I</w:t>
      </w:r>
      <w:r w:rsidRPr="005B04BF">
        <w:t xml:space="preserve"> </w:t>
      </w:r>
    </w:p>
    <w:p w14:paraId="7ABFB412" w14:textId="77777777" w:rsidR="00C51B25" w:rsidRPr="005B04BF" w:rsidRDefault="00C51B25" w:rsidP="00C51B25">
      <w:pPr>
        <w:ind w:left="840"/>
        <w:rPr>
          <w:rFonts w:eastAsia="Times New Roman"/>
          <w:color w:val="000000" w:themeColor="text1"/>
        </w:rPr>
      </w:pPr>
      <w:r w:rsidRPr="005B04BF">
        <w:rPr>
          <w:noProof/>
          <w:color w:val="000000" w:themeColor="text1"/>
          <w:lang w:eastAsia="nl-NL"/>
        </w:rPr>
        <w:drawing>
          <wp:inline distT="0" distB="0" distL="0" distR="0" wp14:anchorId="3047BAE7" wp14:editId="4AD9EE2F">
            <wp:extent cx="4174490" cy="443674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90" cy="443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7F6F0" w14:textId="77777777" w:rsidR="00C51B25" w:rsidRPr="005B04BF" w:rsidRDefault="00C51B25" w:rsidP="00EE4D4B">
      <w:pPr>
        <w:pStyle w:val="SingleTxtG"/>
        <w:pageBreakBefore/>
        <w:spacing w:before="240"/>
        <w:rPr>
          <w:color w:val="000000" w:themeColor="text1"/>
        </w:rPr>
      </w:pPr>
      <w:r w:rsidRPr="005B04BF">
        <w:t>Рисунок, предложенный для поправки 5:</w:t>
      </w:r>
    </w:p>
    <w:p w14:paraId="28B6CB24" w14:textId="05BCB536" w:rsidR="00C51B25" w:rsidRPr="0009588F" w:rsidRDefault="00C51B25" w:rsidP="00C51B25">
      <w:pPr>
        <w:pStyle w:val="H23G"/>
      </w:pPr>
      <w:r>
        <w:tab/>
      </w:r>
      <w:r w:rsidRPr="00C51B25">
        <w:rPr>
          <w:b w:val="0"/>
          <w:bCs/>
        </w:rPr>
        <w:tab/>
        <w:t>Рис. A1/7</w:t>
      </w:r>
      <w:r>
        <w:br/>
      </w:r>
      <w:r w:rsidRPr="0009588F">
        <w:t xml:space="preserve">Схема для определения числа испытаний типа </w:t>
      </w:r>
      <w:r w:rsidRPr="00F62BE5">
        <w:rPr>
          <w:lang w:val="en-AU"/>
        </w:rPr>
        <w:t>I</w:t>
      </w:r>
    </w:p>
    <w:p w14:paraId="068890A0" w14:textId="77777777" w:rsidR="00C51B25" w:rsidRPr="005B04BF" w:rsidRDefault="00C51B25" w:rsidP="00F01CDB">
      <w:pPr>
        <w:pStyle w:val="af3"/>
        <w:numPr>
          <w:ilvl w:val="0"/>
          <w:numId w:val="0"/>
        </w:numPr>
        <w:tabs>
          <w:tab w:val="left" w:pos="1701"/>
        </w:tabs>
        <w:spacing w:before="0" w:after="0"/>
        <w:ind w:left="1134" w:right="1134"/>
        <w:jc w:val="both"/>
        <w:rPr>
          <w:color w:val="000000" w:themeColor="text1"/>
        </w:rPr>
      </w:pPr>
      <w:r w:rsidRPr="005B04BF">
        <w:rPr>
          <w:noProof/>
        </w:rPr>
        <mc:AlternateContent>
          <mc:Choice Requires="wpc">
            <w:drawing>
              <wp:inline distT="0" distB="0" distL="0" distR="0" wp14:anchorId="259358BE" wp14:editId="19DCA98F">
                <wp:extent cx="5539105" cy="5617029"/>
                <wp:effectExtent l="0" t="0" r="0" b="0"/>
                <wp:docPr id="608" name="Canvas 1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9" name="Text Box 13866"/>
                        <wps:cNvSpPr txBox="1">
                          <a:spLocks noChangeArrowheads="1"/>
                        </wps:cNvSpPr>
                        <wps:spPr bwMode="auto">
                          <a:xfrm>
                            <a:off x="2175335" y="57521"/>
                            <a:ext cx="1213485" cy="27012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254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7D2776" w14:textId="77777777" w:rsidR="00C51B25" w:rsidRPr="00BA5A2F" w:rsidRDefault="00C51B25" w:rsidP="00EE4D4B">
                              <w:pPr>
                                <w:spacing w:line="200" w:lineRule="exact"/>
                                <w:rPr>
                                  <w:lang w:eastAsia="ja-JP"/>
                                </w:rPr>
                              </w:pPr>
                              <w:r w:rsidRPr="00BA5A2F">
                                <w:rPr>
                                  <w:lang w:eastAsia="ja-JP"/>
                                </w:rPr>
                                <w:t>Первое испытание</w:t>
                              </w:r>
                            </w:p>
                          </w:txbxContent>
                        </wps:txbx>
                        <wps:bodyPr rot="0" vert="horz" wrap="none" lIns="91440" tIns="72000" rIns="91440" bIns="45720" anchor="t" anchorCtr="0" upright="1">
                          <a:spAutoFit/>
                        </wps:bodyPr>
                      </wps:wsp>
                      <wps:wsp>
                        <wps:cNvPr id="100" name="Flowchart: Preparation 13867"/>
                        <wps:cNvSpPr>
                          <a:spLocks noChangeArrowheads="1"/>
                        </wps:cNvSpPr>
                        <wps:spPr bwMode="auto">
                          <a:xfrm>
                            <a:off x="1119190" y="470642"/>
                            <a:ext cx="3444100" cy="391003"/>
                          </a:xfrm>
                          <a:prstGeom prst="flowChartPreparation">
                            <a:avLst/>
                          </a:prstGeom>
                          <a:solidFill>
                            <a:srgbClr val="FFFF99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406AA6" w14:textId="77777777" w:rsidR="00C51B25" w:rsidRPr="00B26DDE" w:rsidRDefault="00C51B25" w:rsidP="00EE4D4B">
                              <w:pPr>
                                <w:pStyle w:val="af5"/>
                                <w:ind w:left="-142"/>
                                <w:jc w:val="center"/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</w:pPr>
                              <w:r w:rsidRPr="00B26DDE">
                                <w:rPr>
                                  <w:rFonts w:eastAsia="SimSu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>Уровень выбросов любого основного загрязнителя &gt; предельного значения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1" name="Text Box 13869"/>
                        <wps:cNvSpPr txBox="1">
                          <a:spLocks noChangeArrowheads="1"/>
                        </wps:cNvSpPr>
                        <wps:spPr bwMode="auto">
                          <a:xfrm>
                            <a:off x="4554900" y="379744"/>
                            <a:ext cx="304165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5B2A18" w14:textId="77777777" w:rsidR="00C51B25" w:rsidRPr="00F779E3" w:rsidRDefault="00C51B25" w:rsidP="00C51B25">
                              <w:pPr>
                                <w:rPr>
                                  <w:lang w:eastAsia="ja-JP"/>
                                </w:rPr>
                              </w:pPr>
                              <w:r w:rsidRPr="007726B7">
                                <w:rPr>
                                  <w:lang w:eastAsia="ja-JP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02" name="Straight Arrow Connector 1088"/>
                        <wps:cNvCnPr/>
                        <wps:spPr bwMode="auto">
                          <a:xfrm>
                            <a:off x="2838800" y="353041"/>
                            <a:ext cx="2400" cy="117614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419000" y="337139"/>
                            <a:ext cx="246300" cy="24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0E6C9F" w14:textId="77777777" w:rsidR="00C51B25" w:rsidRPr="00DA3873" w:rsidRDefault="00C51B25" w:rsidP="00C51B25">
                              <w:pPr>
                                <w:pStyle w:val="af5"/>
                                <w:spacing w:line="240" w:lineRule="exact"/>
                                <w:rPr>
                                  <w:rFonts w:eastAsia="SimSun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04" name="Flowchart: Preparation 13867"/>
                        <wps:cNvSpPr>
                          <a:spLocks noChangeArrowheads="1"/>
                        </wps:cNvSpPr>
                        <wps:spPr bwMode="auto">
                          <a:xfrm>
                            <a:off x="1119200" y="1019918"/>
                            <a:ext cx="3444100" cy="552964"/>
                          </a:xfrm>
                          <a:prstGeom prst="flowChartPreparation">
                            <a:avLst/>
                          </a:prstGeom>
                          <a:solidFill>
                            <a:srgbClr val="FFFF99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B02A1F" w14:textId="77777777" w:rsidR="00C51B25" w:rsidRPr="00BB0677" w:rsidRDefault="00C51B25" w:rsidP="00C51B25">
                              <w:pPr>
                                <w:pStyle w:val="af5"/>
                                <w:ind w:left="-142"/>
                                <w:jc w:val="center"/>
                                <w:rPr>
                                  <w:rFonts w:eastAsia="SimSu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</w:pPr>
                              <w:r w:rsidRPr="00BB0677">
                                <w:rPr>
                                  <w:rFonts w:eastAsia="SimSu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>Все критерии, указанные в строке «Первое испытание» таблицы А</w:t>
                              </w:r>
                              <w:r>
                                <w:rPr>
                                  <w:rFonts w:eastAsia="SimSu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677">
                                <w:rPr>
                                  <w:rFonts w:eastAsia="SimSu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>/</w:t>
                              </w:r>
                              <w:r>
                                <w:rPr>
                                  <w:rFonts w:eastAsia="SimSu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BB0677">
                                <w:rPr>
                                  <w:rFonts w:eastAsia="SimSu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>, выполнены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5" name="Straight Arrow Connector 1088"/>
                        <wps:cNvCnPr/>
                        <wps:spPr bwMode="auto">
                          <a:xfrm flipH="1">
                            <a:off x="2841175" y="861623"/>
                            <a:ext cx="2000" cy="15826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Text Box 13869"/>
                        <wps:cNvSpPr txBox="1">
                          <a:spLocks noChangeArrowheads="1"/>
                        </wps:cNvSpPr>
                        <wps:spPr bwMode="auto">
                          <a:xfrm>
                            <a:off x="2468900" y="803893"/>
                            <a:ext cx="36322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5227EC" w14:textId="77777777" w:rsidR="00C51B25" w:rsidRPr="00F779E3" w:rsidRDefault="00C51B25" w:rsidP="00C51B25">
                              <w:r w:rsidRPr="007726B7">
                                <w:t>нет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07" name="Text Box 13869"/>
                        <wps:cNvSpPr txBox="1">
                          <a:spLocks noChangeArrowheads="1"/>
                        </wps:cNvSpPr>
                        <wps:spPr bwMode="auto">
                          <a:xfrm>
                            <a:off x="903600" y="989315"/>
                            <a:ext cx="35687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EC603" w14:textId="77777777" w:rsidR="00C51B25" w:rsidRPr="00F779E3" w:rsidRDefault="00C51B25" w:rsidP="00C51B25">
                              <w:pPr>
                                <w:rPr>
                                  <w:lang w:eastAsia="ja-JP"/>
                                </w:rPr>
                              </w:pPr>
                              <w:r w:rsidRPr="007726B7">
                                <w:rPr>
                                  <w:lang w:eastAsia="ja-JP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8" name="Text Box 13866"/>
                        <wps:cNvSpPr txBox="1">
                          <a:spLocks noChangeArrowheads="1"/>
                        </wps:cNvSpPr>
                        <wps:spPr bwMode="auto">
                          <a:xfrm>
                            <a:off x="2244050" y="1711997"/>
                            <a:ext cx="1209040" cy="27012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254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9384D3" w14:textId="77777777" w:rsidR="00C51B25" w:rsidRPr="00D228C1" w:rsidRDefault="00C51B25" w:rsidP="00EE4D4B">
                              <w:pPr>
                                <w:spacing w:line="200" w:lineRule="exact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Второе</w:t>
                              </w:r>
                              <w:r w:rsidRPr="00F779E3">
                                <w:rPr>
                                  <w:lang w:eastAsia="ja-JP"/>
                                </w:rPr>
                                <w:t xml:space="preserve"> испытание</w:t>
                              </w:r>
                            </w:p>
                          </w:txbxContent>
                        </wps:txbx>
                        <wps:bodyPr rot="0" vert="horz" wrap="none" lIns="91440" tIns="72000" rIns="91440" bIns="45720" anchor="t" anchorCtr="0" upright="1">
                          <a:spAutoFit/>
                        </wps:bodyPr>
                      </wps:wsp>
                      <wps:wsp>
                        <wps:cNvPr id="109" name="Flowchart: Preparation 13867"/>
                        <wps:cNvSpPr>
                          <a:spLocks noChangeArrowheads="1"/>
                        </wps:cNvSpPr>
                        <wps:spPr bwMode="auto">
                          <a:xfrm>
                            <a:off x="1115890" y="2122289"/>
                            <a:ext cx="3447400" cy="404033"/>
                          </a:xfrm>
                          <a:prstGeom prst="flowChartPreparation">
                            <a:avLst/>
                          </a:prstGeom>
                          <a:solidFill>
                            <a:srgbClr val="FFFF99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13E0D9" w14:textId="77777777" w:rsidR="00C51B25" w:rsidRPr="00BB0677" w:rsidRDefault="00C51B25" w:rsidP="00C51B25">
                              <w:pPr>
                                <w:pStyle w:val="af5"/>
                                <w:ind w:left="-142"/>
                                <w:jc w:val="center"/>
                                <w:rPr>
                                  <w:rFonts w:eastAsia="SimSu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</w:pPr>
                              <w:r w:rsidRPr="00BB0677">
                                <w:rPr>
                                  <w:rFonts w:eastAsia="SimSu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>Уровень выбросов любого основного загрязнителя &gt; предельного значения</w:t>
                              </w:r>
                            </w:p>
                            <w:p w14:paraId="3CA5BF92" w14:textId="77777777" w:rsidR="00C51B25" w:rsidRPr="00BB0677" w:rsidRDefault="00C51B25" w:rsidP="00C51B25">
                              <w:pPr>
                                <w:pStyle w:val="af5"/>
                                <w:ind w:left="-142"/>
                                <w:jc w:val="center"/>
                                <w:rPr>
                                  <w:rFonts w:eastAsia="SimSu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0" name="Text Box 13869"/>
                        <wps:cNvSpPr txBox="1">
                          <a:spLocks noChangeArrowheads="1"/>
                        </wps:cNvSpPr>
                        <wps:spPr bwMode="auto">
                          <a:xfrm>
                            <a:off x="4551700" y="2030735"/>
                            <a:ext cx="313000" cy="243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5D349C" w14:textId="77777777" w:rsidR="00C51B25" w:rsidRPr="00F779E3" w:rsidRDefault="00C51B25" w:rsidP="00C51B25">
                              <w:pPr>
                                <w:pStyle w:val="af5"/>
                                <w:spacing w:line="24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726B7">
                                <w:rPr>
                                  <w:spacing w:val="4"/>
                                  <w:w w:val="103"/>
                                  <w:kern w:val="14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11" name="Straight Arrow Connector 1088"/>
                        <wps:cNvCnPr/>
                        <wps:spPr bwMode="auto">
                          <a:xfrm>
                            <a:off x="2838000" y="1995931"/>
                            <a:ext cx="1600" cy="12641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949700" y="1988830"/>
                            <a:ext cx="218400" cy="243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6458C" w14:textId="77777777" w:rsidR="00C51B25" w:rsidRPr="00C817F3" w:rsidRDefault="00C51B25" w:rsidP="00C51B25">
                              <w:pPr>
                                <w:pStyle w:val="af5"/>
                                <w:spacing w:line="240" w:lineRule="exact"/>
                              </w:pPr>
                              <w:r w:rsidRPr="00C817F3">
                                <w:rPr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13" name="Straight Arrow Connector 1088"/>
                        <wps:cNvCnPr/>
                        <wps:spPr bwMode="auto">
                          <a:xfrm>
                            <a:off x="2832095" y="2526255"/>
                            <a:ext cx="9080" cy="17738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Text Box 13869"/>
                        <wps:cNvSpPr txBox="1">
                          <a:spLocks noChangeArrowheads="1"/>
                        </wps:cNvSpPr>
                        <wps:spPr bwMode="auto">
                          <a:xfrm>
                            <a:off x="2470178" y="2471695"/>
                            <a:ext cx="419511" cy="24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43690C" w14:textId="77777777" w:rsidR="00C51B25" w:rsidRPr="00F779E3" w:rsidRDefault="00C51B25" w:rsidP="00C51B25">
                              <w:pPr>
                                <w:pStyle w:val="af5"/>
                                <w:spacing w:line="24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726B7">
                                <w:rPr>
                                  <w:spacing w:val="4"/>
                                  <w:w w:val="103"/>
                                  <w:kern w:val="14"/>
                                  <w:sz w:val="20"/>
                                  <w:szCs w:val="20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13869"/>
                        <wps:cNvSpPr txBox="1">
                          <a:spLocks noChangeArrowheads="1"/>
                        </wps:cNvSpPr>
                        <wps:spPr bwMode="auto">
                          <a:xfrm>
                            <a:off x="903600" y="2752719"/>
                            <a:ext cx="313100" cy="243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DC67F4" w14:textId="77777777" w:rsidR="00C51B25" w:rsidRPr="00F779E3" w:rsidRDefault="00C51B25" w:rsidP="00C51B25">
                              <w:pPr>
                                <w:pStyle w:val="af5"/>
                                <w:spacing w:line="24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726B7">
                                <w:rPr>
                                  <w:spacing w:val="4"/>
                                  <w:w w:val="103"/>
                                  <w:kern w:val="14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17" name="Straight Arrow Connector 1088"/>
                        <wps:cNvCnPr/>
                        <wps:spPr bwMode="auto">
                          <a:xfrm flipH="1">
                            <a:off x="2838000" y="1572882"/>
                            <a:ext cx="3200" cy="12751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Text Box 13866"/>
                        <wps:cNvSpPr txBox="1">
                          <a:spLocks noChangeArrowheads="1"/>
                        </wps:cNvSpPr>
                        <wps:spPr bwMode="auto">
                          <a:xfrm>
                            <a:off x="2265050" y="3555974"/>
                            <a:ext cx="1189355" cy="27012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254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659E33" w14:textId="77777777" w:rsidR="00C51B25" w:rsidRPr="00D228C1" w:rsidRDefault="00C51B25" w:rsidP="00EE4D4B">
                              <w:pPr>
                                <w:spacing w:line="200" w:lineRule="exact"/>
                              </w:pPr>
                              <w:r w:rsidRPr="00D228C1">
                                <w:t xml:space="preserve">Третье </w:t>
                              </w:r>
                              <w:r w:rsidRPr="00C965F3">
                                <w:rPr>
                                  <w:lang w:eastAsia="ja-JP"/>
                                </w:rPr>
                                <w:t>испытание</w:t>
                              </w:r>
                            </w:p>
                          </w:txbxContent>
                        </wps:txbx>
                        <wps:bodyPr rot="0" vert="horz" wrap="none" lIns="91440" tIns="72000" rIns="91440" bIns="45720" anchor="t" anchorCtr="0" upright="1">
                          <a:spAutoFit/>
                        </wps:bodyPr>
                      </wps:wsp>
                      <wps:wsp>
                        <wps:cNvPr id="119" name="Flowchart: Preparation 13867"/>
                        <wps:cNvSpPr>
                          <a:spLocks noChangeArrowheads="1"/>
                        </wps:cNvSpPr>
                        <wps:spPr bwMode="auto">
                          <a:xfrm>
                            <a:off x="1119090" y="3991656"/>
                            <a:ext cx="3444200" cy="375189"/>
                          </a:xfrm>
                          <a:prstGeom prst="flowChartPreparation">
                            <a:avLst/>
                          </a:prstGeom>
                          <a:solidFill>
                            <a:srgbClr val="FFFF99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9CA1C9" w14:textId="77777777" w:rsidR="00C51B25" w:rsidRPr="00BB0677" w:rsidRDefault="00C51B25" w:rsidP="00C51B25">
                              <w:pPr>
                                <w:pStyle w:val="af5"/>
                                <w:ind w:left="-142"/>
                                <w:jc w:val="center"/>
                                <w:rPr>
                                  <w:rFonts w:eastAsia="SimSu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</w:pPr>
                              <w:r w:rsidRPr="00BB0677">
                                <w:rPr>
                                  <w:rFonts w:eastAsia="SimSu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>Уровень выбросов любого основного загрязнителя &gt; предельного значения</w:t>
                              </w:r>
                            </w:p>
                            <w:p w14:paraId="02F779D5" w14:textId="77777777" w:rsidR="00C51B25" w:rsidRPr="00BB0677" w:rsidRDefault="00C51B25" w:rsidP="00C51B25">
                              <w:pPr>
                                <w:pStyle w:val="af5"/>
                                <w:ind w:left="-142"/>
                                <w:jc w:val="center"/>
                                <w:rPr>
                                  <w:rFonts w:eastAsia="SimSu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0" name="Text Box 13869"/>
                        <wps:cNvSpPr txBox="1">
                          <a:spLocks noChangeArrowheads="1"/>
                        </wps:cNvSpPr>
                        <wps:spPr bwMode="auto">
                          <a:xfrm>
                            <a:off x="4554900" y="3899552"/>
                            <a:ext cx="313000" cy="243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DB6ED0" w14:textId="77777777" w:rsidR="00C51B25" w:rsidRPr="00F779E3" w:rsidRDefault="00C51B25" w:rsidP="00C51B25">
                              <w:pPr>
                                <w:pStyle w:val="af5"/>
                                <w:spacing w:line="24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726B7">
                                <w:rPr>
                                  <w:spacing w:val="4"/>
                                  <w:w w:val="103"/>
                                  <w:kern w:val="14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21" name="Straight Arrow Connector 1088"/>
                        <wps:cNvCnPr/>
                        <wps:spPr bwMode="auto">
                          <a:xfrm flipH="1">
                            <a:off x="2841200" y="3865148"/>
                            <a:ext cx="5100" cy="12661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419000" y="3858247"/>
                            <a:ext cx="218400" cy="243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8FA1B" w14:textId="77777777" w:rsidR="00C51B25" w:rsidRPr="00C817F3" w:rsidRDefault="00C51B25" w:rsidP="00C51B25">
                              <w:pPr>
                                <w:pStyle w:val="af5"/>
                                <w:spacing w:line="240" w:lineRule="exact"/>
                              </w:pPr>
                              <w:r w:rsidRPr="00C817F3">
                                <w:rPr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23" name="Straight Arrow Connector 1088"/>
                        <wps:cNvCnPr/>
                        <wps:spPr bwMode="auto">
                          <a:xfrm flipH="1">
                            <a:off x="2843175" y="4366730"/>
                            <a:ext cx="3100" cy="30298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フローチャート : 代替処理 648"/>
                        <wps:cNvSpPr>
                          <a:spLocks noChangeArrowheads="1"/>
                        </wps:cNvSpPr>
                        <wps:spPr bwMode="auto">
                          <a:xfrm>
                            <a:off x="4491600" y="4669341"/>
                            <a:ext cx="921300" cy="734996"/>
                          </a:xfrm>
                          <a:prstGeom prst="flowChartAlternateProcess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254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6EFB42" w14:textId="77777777" w:rsidR="00C51B25" w:rsidRPr="00DA646E" w:rsidRDefault="00C51B25" w:rsidP="00C51B25">
                              <w:pPr>
                                <w:pStyle w:val="af5"/>
                                <w:jc w:val="center"/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</w:pPr>
                              <w:r w:rsidRPr="00DA646E"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>Отбраковка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5" name="Text Box 13869"/>
                        <wps:cNvSpPr txBox="1">
                          <a:spLocks noChangeArrowheads="1"/>
                        </wps:cNvSpPr>
                        <wps:spPr bwMode="auto">
                          <a:xfrm>
                            <a:off x="2470200" y="4361201"/>
                            <a:ext cx="375900" cy="243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814D91" w14:textId="77777777" w:rsidR="00C51B25" w:rsidRPr="007726B7" w:rsidRDefault="00C51B25" w:rsidP="00C51B25">
                              <w:pPr>
                                <w:pStyle w:val="af5"/>
                                <w:spacing w:line="240" w:lineRule="exact"/>
                                <w:rPr>
                                  <w:spacing w:val="4"/>
                                  <w:w w:val="103"/>
                                  <w:kern w:val="14"/>
                                  <w:sz w:val="20"/>
                                  <w:szCs w:val="20"/>
                                </w:rPr>
                              </w:pPr>
                              <w:r w:rsidRPr="007726B7">
                                <w:rPr>
                                  <w:spacing w:val="4"/>
                                  <w:w w:val="103"/>
                                  <w:kern w:val="14"/>
                                  <w:sz w:val="20"/>
                                  <w:szCs w:val="20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26" name="Straight Arrow Connector 1088"/>
                        <wps:cNvCnPr/>
                        <wps:spPr bwMode="auto">
                          <a:xfrm>
                            <a:off x="2853700" y="3293686"/>
                            <a:ext cx="0" cy="26228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フローチャート : 代替処理 655"/>
                        <wps:cNvSpPr>
                          <a:spLocks noChangeArrowheads="1"/>
                        </wps:cNvSpPr>
                        <wps:spPr bwMode="auto">
                          <a:xfrm>
                            <a:off x="1607100" y="4669841"/>
                            <a:ext cx="2472200" cy="734496"/>
                          </a:xfrm>
                          <a:prstGeom prst="flowChartAlternateProcess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254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C769F7" w14:textId="0BDF5ABF" w:rsidR="00C51B25" w:rsidRPr="007726B7" w:rsidRDefault="00C51B25" w:rsidP="00EE4D4B">
                              <w:pPr>
                                <w:pStyle w:val="af5"/>
                                <w:suppressAutoHyphens/>
                                <w:jc w:val="center"/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</w:pPr>
                              <w:r w:rsidRPr="007726B7"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 xml:space="preserve">Заявленное значение или усредненный показатель по трем значениям </w:t>
                              </w:r>
                              <w:r w:rsidR="00EE4D4B" w:rsidRPr="00EE4D4B"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>—</w:t>
                              </w:r>
                              <w:r w:rsidRPr="007726B7"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E4D4B"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br/>
                              </w:r>
                              <w:r w:rsidRPr="007726B7"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 xml:space="preserve">с учетом заключения по каждому показанию </w:t>
                              </w:r>
                              <w:r w:rsidR="00EE4D4B" w:rsidRPr="00EE4D4B"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>—</w:t>
                              </w:r>
                              <w:r w:rsidRPr="007726B7"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 xml:space="preserve"> считают приемлемым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8" name="カギ線コネクタ 66"/>
                        <wps:cNvCnPr>
                          <a:cxnSpLocks noChangeShapeType="1"/>
                        </wps:cNvCnPr>
                        <wps:spPr bwMode="auto">
                          <a:xfrm>
                            <a:off x="4563300" y="672943"/>
                            <a:ext cx="388900" cy="4032067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カギ線コネクタ 656"/>
                        <wps:cNvCnPr>
                          <a:cxnSpLocks noChangeShapeType="1"/>
                        </wps:cNvCnPr>
                        <wps:spPr bwMode="auto">
                          <a:xfrm>
                            <a:off x="4563300" y="2326938"/>
                            <a:ext cx="388900" cy="2380676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カギ線コネクタ 657"/>
                        <wps:cNvCnPr>
                          <a:cxnSpLocks noChangeShapeType="1"/>
                        </wps:cNvCnPr>
                        <wps:spPr bwMode="auto">
                          <a:xfrm>
                            <a:off x="4563300" y="4190230"/>
                            <a:ext cx="388900" cy="511159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フローチャート : 代替処理 658"/>
                        <wps:cNvSpPr>
                          <a:spLocks noChangeArrowheads="1"/>
                        </wps:cNvSpPr>
                        <wps:spPr bwMode="auto">
                          <a:xfrm>
                            <a:off x="23200" y="4669340"/>
                            <a:ext cx="1381300" cy="734997"/>
                          </a:xfrm>
                          <a:prstGeom prst="flowChartAlternateProcess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254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311CC4" w14:textId="77777777" w:rsidR="00C51B25" w:rsidRPr="007726B7" w:rsidRDefault="00C51B25" w:rsidP="00C51B25">
                              <w:pPr>
                                <w:pStyle w:val="af5"/>
                                <w:jc w:val="center"/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</w:pPr>
                              <w:r w:rsidRPr="007726B7"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 xml:space="preserve">Все заявленные </w:t>
                              </w:r>
                              <w:r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br/>
                              </w:r>
                              <w:r w:rsidRPr="007726B7"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>значения и уровни выбросов считают приемлемыми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2" name="カギ線コネクタ 659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713800" y="1296450"/>
                            <a:ext cx="405400" cy="3372891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カギ線コネクタ 660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713800" y="2996547"/>
                            <a:ext cx="405400" cy="1672794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Text Box 13869"/>
                        <wps:cNvSpPr txBox="1">
                          <a:spLocks noChangeArrowheads="1"/>
                        </wps:cNvSpPr>
                        <wps:spPr bwMode="auto">
                          <a:xfrm>
                            <a:off x="2461900" y="1531576"/>
                            <a:ext cx="36322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C6AF0" w14:textId="77777777" w:rsidR="00C51B25" w:rsidRPr="00F779E3" w:rsidRDefault="00C51B25" w:rsidP="00C51B25">
                              <w:pPr>
                                <w:spacing w:line="200" w:lineRule="exact"/>
                              </w:pPr>
                              <w:r w:rsidRPr="007726B7">
                                <w:t>нет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13869"/>
                        <wps:cNvSpPr txBox="1">
                          <a:spLocks noChangeArrowheads="1"/>
                        </wps:cNvSpPr>
                        <wps:spPr bwMode="auto">
                          <a:xfrm>
                            <a:off x="2449200" y="3333741"/>
                            <a:ext cx="363220" cy="18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EC714" w14:textId="77777777" w:rsidR="00C51B25" w:rsidRPr="00D228C1" w:rsidRDefault="00C51B25" w:rsidP="00C51B25">
                              <w:pPr>
                                <w:spacing w:line="200" w:lineRule="atLeast"/>
                              </w:pPr>
                              <w:r w:rsidRPr="007726B7">
                                <w:t>нет</w:t>
                              </w:r>
                            </w:p>
                          </w:txbxContent>
                        </wps:txbx>
                        <wps:bodyPr rot="0" vert="horz" wrap="none" lIns="91440" tIns="10800" rIns="91440" bIns="45720" anchor="t" anchorCtr="0" upright="1">
                          <a:noAutofit/>
                        </wps:bodyPr>
                      </wps:wsp>
                      <wps:wsp>
                        <wps:cNvPr id="136" name="Flowchart: Preparation 13867"/>
                        <wps:cNvSpPr>
                          <a:spLocks noChangeArrowheads="1"/>
                        </wps:cNvSpPr>
                        <wps:spPr bwMode="auto">
                          <a:xfrm>
                            <a:off x="1119200" y="2703713"/>
                            <a:ext cx="3444100" cy="585768"/>
                          </a:xfrm>
                          <a:prstGeom prst="flowChartPreparation">
                            <a:avLst/>
                          </a:prstGeom>
                          <a:solidFill>
                            <a:srgbClr val="FFFF99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815221" w14:textId="77777777" w:rsidR="00C51B25" w:rsidRPr="00BB0677" w:rsidRDefault="00C51B25" w:rsidP="00C51B25">
                              <w:pPr>
                                <w:pStyle w:val="af5"/>
                                <w:ind w:left="-142"/>
                                <w:jc w:val="center"/>
                                <w:rPr>
                                  <w:rFonts w:eastAsia="SimSu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</w:pPr>
                              <w:r w:rsidRPr="00BB0677">
                                <w:rPr>
                                  <w:rFonts w:eastAsia="SimSu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>Все критерии, указанные в строке «Второе испытание» таблицы А</w:t>
                              </w:r>
                              <w:r>
                                <w:rPr>
                                  <w:rFonts w:eastAsia="SimSu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677">
                                <w:rPr>
                                  <w:rFonts w:eastAsia="SimSu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>/</w:t>
                              </w:r>
                              <w:r>
                                <w:rPr>
                                  <w:rFonts w:eastAsia="SimSu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BB0677">
                                <w:rPr>
                                  <w:rFonts w:eastAsia="SimSu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>, выполнены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59358BE" id="Canvas 1116" o:spid="_x0000_s1026" editas="canvas" style="width:436.15pt;height:442.3pt;mso-position-horizontal-relative:char;mso-position-vertical-relative:line" coordsize="55391,56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391;height:5616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866" o:spid="_x0000_s1028" type="#_x0000_t202" style="position:absolute;left:21753;top:575;width:12135;height:27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" strokeweight="2pt">
                  <v:textbox style="mso-fit-shape-to-text:t" inset=",2mm">
                    <w:txbxContent>
                      <w:p w14:paraId="767D2776" w14:textId="77777777" w:rsidR="00C51B25" w:rsidRPr="00BA5A2F" w:rsidRDefault="00C51B25" w:rsidP="00EE4D4B">
                        <w:pPr>
                          <w:spacing w:line="200" w:lineRule="exact"/>
                          <w:rPr>
                            <w:lang w:eastAsia="ja-JP"/>
                          </w:rPr>
                        </w:pPr>
                        <w:r w:rsidRPr="00BA5A2F">
                          <w:rPr>
                            <w:lang w:eastAsia="ja-JP"/>
                          </w:rPr>
                          <w:t>Первое испытание</w:t>
                        </w:r>
                      </w:p>
                    </w:txbxContent>
                  </v:textbox>
                </v:shape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Flowchart: Preparation 13867" o:spid="_x0000_s1029" type="#_x0000_t117" style="position:absolute;left:11191;top:4706;width:34441;height:39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" fillcolor="#ff9" strokeweight=".5pt">
                  <v:textbox>
                    <w:txbxContent>
                      <w:p w14:paraId="0B406AA6" w14:textId="77777777" w:rsidR="00C51B25" w:rsidRPr="00B26DDE" w:rsidRDefault="00C51B25" w:rsidP="00EE4D4B">
                        <w:pPr>
                          <w:pStyle w:val="af5"/>
                          <w:ind w:left="-142"/>
                          <w:jc w:val="center"/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</w:pPr>
                        <w:r w:rsidRPr="00B26DDE">
                          <w:rPr>
                            <w:rFonts w:eastAsia="SimSun"/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>Уровень выбросов любого основного загрязнителя &gt; предельного значения</w:t>
                        </w:r>
                      </w:p>
                    </w:txbxContent>
                  </v:textbox>
                </v:shape>
                <v:shape id="Text Box 13869" o:spid="_x0000_s1030" type="#_x0000_t202" style="position:absolute;left:45549;top:3797;width:3041;height:24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" filled="f" stroked="f" strokeweight=".5pt">
                  <v:textbox style="mso-fit-shape-to-text:t">
                    <w:txbxContent>
                      <w:p w14:paraId="085B2A18" w14:textId="77777777" w:rsidR="00C51B25" w:rsidRPr="00F779E3" w:rsidRDefault="00C51B25" w:rsidP="00C51B25">
                        <w:pPr>
                          <w:rPr>
                            <w:lang w:eastAsia="ja-JP"/>
                          </w:rPr>
                        </w:pPr>
                        <w:r w:rsidRPr="007726B7">
                          <w:rPr>
                            <w:lang w:eastAsia="ja-JP"/>
                          </w:rPr>
                          <w:t>да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88" o:spid="_x0000_s1031" type="#_x0000_t32" style="position:absolute;left:28388;top:3530;width:24;height:11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" strokeweight=".5pt">
                  <v:stroke endarrow="block"/>
                </v:shape>
                <v:shape id="Text Box 10" o:spid="_x0000_s1032" type="#_x0000_t202" style="position:absolute;left:44190;top:3371;width:2463;height:24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" filled="f" stroked="f" strokeweight=".5pt">
                  <v:textbox style="mso-fit-shape-to-text:t">
                    <w:txbxContent>
                      <w:p w14:paraId="110E6C9F" w14:textId="77777777" w:rsidR="00C51B25" w:rsidRPr="00DA3873" w:rsidRDefault="00C51B25" w:rsidP="00C51B25">
                        <w:pPr>
                          <w:pStyle w:val="af5"/>
                          <w:spacing w:line="240" w:lineRule="exact"/>
                          <w:rPr>
                            <w:rFonts w:eastAsia="SimSun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Flowchart: Preparation 13867" o:spid="_x0000_s1033" type="#_x0000_t117" style="position:absolute;left:11192;top:10199;width:34441;height:5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" fillcolor="#ff9" strokeweight=".5pt">
                  <v:textbox>
                    <w:txbxContent>
                      <w:p w14:paraId="01B02A1F" w14:textId="77777777" w:rsidR="00C51B25" w:rsidRPr="00BB0677" w:rsidRDefault="00C51B25" w:rsidP="00C51B25">
                        <w:pPr>
                          <w:pStyle w:val="af5"/>
                          <w:ind w:left="-142"/>
                          <w:jc w:val="center"/>
                          <w:rPr>
                            <w:rFonts w:eastAsia="SimSun"/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</w:pPr>
                        <w:r w:rsidRPr="00BB0677">
                          <w:rPr>
                            <w:rFonts w:eastAsia="SimSun"/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>Все критерии, указанные в строке «Первое испытание» таблицы А</w:t>
                        </w:r>
                        <w:r>
                          <w:rPr>
                            <w:rFonts w:eastAsia="SimSun"/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>1</w:t>
                        </w:r>
                        <w:r w:rsidRPr="00BB0677">
                          <w:rPr>
                            <w:rFonts w:eastAsia="SimSun"/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eastAsia="SimSun"/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>5</w:t>
                        </w:r>
                        <w:r w:rsidRPr="00BB0677">
                          <w:rPr>
                            <w:rFonts w:eastAsia="SimSun"/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>, выполнены</w:t>
                        </w:r>
                      </w:p>
                    </w:txbxContent>
                  </v:textbox>
                </v:shape>
                <v:shape id="Straight Arrow Connector 1088" o:spid="_x0000_s1034" type="#_x0000_t32" style="position:absolute;left:28411;top:8616;width:20;height:158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" strokeweight=".5pt">
                  <v:stroke endarrow="block"/>
                </v:shape>
                <v:shape id="Text Box 13869" o:spid="_x0000_s1035" type="#_x0000_t202" style="position:absolute;left:24689;top:8038;width:3632;height:24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" filled="f" stroked="f" strokeweight=".5pt">
                  <v:textbox style="mso-fit-shape-to-text:t">
                    <w:txbxContent>
                      <w:p w14:paraId="3A5227EC" w14:textId="77777777" w:rsidR="00C51B25" w:rsidRPr="00F779E3" w:rsidRDefault="00C51B25" w:rsidP="00C51B25">
                        <w:r w:rsidRPr="007726B7">
                          <w:t>нет</w:t>
                        </w:r>
                      </w:p>
                    </w:txbxContent>
                  </v:textbox>
                </v:shape>
                <v:shape id="Text Box 13869" o:spid="_x0000_s1036" type="#_x0000_t202" style="position:absolute;left:9036;top:9893;width:3568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" filled="f" stroked="f" strokeweight=".5pt">
                  <v:textbox style="mso-fit-shape-to-text:t">
                    <w:txbxContent>
                      <w:p w14:paraId="2F3EC603" w14:textId="77777777" w:rsidR="00C51B25" w:rsidRPr="00F779E3" w:rsidRDefault="00C51B25" w:rsidP="00C51B25">
                        <w:pPr>
                          <w:rPr>
                            <w:lang w:eastAsia="ja-JP"/>
                          </w:rPr>
                        </w:pPr>
                        <w:r w:rsidRPr="007726B7">
                          <w:rPr>
                            <w:lang w:eastAsia="ja-JP"/>
                          </w:rPr>
                          <w:t>да</w:t>
                        </w:r>
                      </w:p>
                    </w:txbxContent>
                  </v:textbox>
                </v:shape>
                <v:shape id="Text Box 13866" o:spid="_x0000_s1037" type="#_x0000_t202" style="position:absolute;left:22440;top:17119;width:12090;height:2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" strokeweight="2pt">
                  <v:textbox style="mso-fit-shape-to-text:t" inset=",2mm">
                    <w:txbxContent>
                      <w:p w14:paraId="139384D3" w14:textId="77777777" w:rsidR="00C51B25" w:rsidRPr="00D228C1" w:rsidRDefault="00C51B25" w:rsidP="00EE4D4B">
                        <w:pPr>
                          <w:spacing w:line="200" w:lineRule="exact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Второе</w:t>
                        </w:r>
                        <w:r w:rsidRPr="00F779E3">
                          <w:rPr>
                            <w:lang w:eastAsia="ja-JP"/>
                          </w:rPr>
                          <w:t xml:space="preserve"> испытание</w:t>
                        </w:r>
                      </w:p>
                    </w:txbxContent>
                  </v:textbox>
                </v:shape>
                <v:shape id="Flowchart: Preparation 13867" o:spid="_x0000_s1038" type="#_x0000_t117" style="position:absolute;left:11158;top:21222;width:34474;height:4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" fillcolor="#ff9" strokeweight=".5pt">
                  <v:textbox>
                    <w:txbxContent>
                      <w:p w14:paraId="5313E0D9" w14:textId="77777777" w:rsidR="00C51B25" w:rsidRPr="00BB0677" w:rsidRDefault="00C51B25" w:rsidP="00C51B25">
                        <w:pPr>
                          <w:pStyle w:val="af5"/>
                          <w:ind w:left="-142"/>
                          <w:jc w:val="center"/>
                          <w:rPr>
                            <w:rFonts w:eastAsia="SimSun"/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</w:pPr>
                        <w:r w:rsidRPr="00BB0677">
                          <w:rPr>
                            <w:rFonts w:eastAsia="SimSun"/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>Уровень выбросов любого основного загрязнителя &gt; предельного значения</w:t>
                        </w:r>
                      </w:p>
                      <w:p w14:paraId="3CA5BF92" w14:textId="77777777" w:rsidR="00C51B25" w:rsidRPr="00BB0677" w:rsidRDefault="00C51B25" w:rsidP="00C51B25">
                        <w:pPr>
                          <w:pStyle w:val="af5"/>
                          <w:ind w:left="-142"/>
                          <w:jc w:val="center"/>
                          <w:rPr>
                            <w:rFonts w:eastAsia="SimSun"/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3869" o:spid="_x0000_s1039" type="#_x0000_t202" style="position:absolute;left:45517;top:20307;width:3130;height:24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" filled="f" stroked="f" strokeweight=".5pt">
                  <v:textbox style="mso-fit-shape-to-text:t">
                    <w:txbxContent>
                      <w:p w14:paraId="1B5D349C" w14:textId="77777777" w:rsidR="00C51B25" w:rsidRPr="00F779E3" w:rsidRDefault="00C51B25" w:rsidP="00C51B25">
                        <w:pPr>
                          <w:pStyle w:val="af5"/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 w:rsidRPr="007726B7">
                          <w:rPr>
                            <w:spacing w:val="4"/>
                            <w:w w:val="103"/>
                            <w:kern w:val="14"/>
                            <w:sz w:val="20"/>
                            <w:szCs w:val="20"/>
                          </w:rPr>
                          <w:t>да</w:t>
                        </w:r>
                      </w:p>
                    </w:txbxContent>
                  </v:textbox>
                </v:shape>
                <v:shape id="Straight Arrow Connector 1088" o:spid="_x0000_s1040" type="#_x0000_t32" style="position:absolute;left:28380;top:19959;width:16;height:12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" strokeweight=".5pt">
                  <v:stroke endarrow="block"/>
                </v:shape>
                <v:shape id="Text Box 10" o:spid="_x0000_s1041" type="#_x0000_t202" style="position:absolute;left:39497;top:19888;width:2184;height:24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" filled="f" stroked="f" strokeweight=".5pt">
                  <v:textbox style="mso-fit-shape-to-text:t">
                    <w:txbxContent>
                      <w:p w14:paraId="6E66458C" w14:textId="77777777" w:rsidR="00C51B25" w:rsidRPr="00C817F3" w:rsidRDefault="00C51B25" w:rsidP="00C51B25">
                        <w:pPr>
                          <w:pStyle w:val="af5"/>
                          <w:spacing w:line="240" w:lineRule="exact"/>
                        </w:pPr>
                        <w:r w:rsidRPr="00C817F3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Straight Arrow Connector 1088" o:spid="_x0000_s1042" type="#_x0000_t32" style="position:absolute;left:28320;top:25262;width:91;height:17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" strokeweight=".5pt">
                  <v:stroke endarrow="block"/>
                </v:shape>
                <v:shape id="Text Box 13869" o:spid="_x0000_s1043" type="#_x0000_t202" style="position:absolute;left:24701;top:24716;width:4195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" filled="f" stroked="f" strokeweight=".5pt">
                  <v:textbox>
                    <w:txbxContent>
                      <w:p w14:paraId="2743690C" w14:textId="77777777" w:rsidR="00C51B25" w:rsidRPr="00F779E3" w:rsidRDefault="00C51B25" w:rsidP="00C51B25">
                        <w:pPr>
                          <w:pStyle w:val="af5"/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 w:rsidRPr="007726B7">
                          <w:rPr>
                            <w:spacing w:val="4"/>
                            <w:w w:val="103"/>
                            <w:kern w:val="14"/>
                            <w:sz w:val="20"/>
                            <w:szCs w:val="20"/>
                          </w:rPr>
                          <w:t>нет</w:t>
                        </w:r>
                      </w:p>
                    </w:txbxContent>
                  </v:textbox>
                </v:shape>
                <v:shape id="Text Box 13869" o:spid="_x0000_s1044" type="#_x0000_t202" style="position:absolute;left:9036;top:27527;width:3131;height:24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" filled="f" stroked="f" strokeweight=".5pt">
                  <v:textbox style="mso-fit-shape-to-text:t">
                    <w:txbxContent>
                      <w:p w14:paraId="09DC67F4" w14:textId="77777777" w:rsidR="00C51B25" w:rsidRPr="00F779E3" w:rsidRDefault="00C51B25" w:rsidP="00C51B25">
                        <w:pPr>
                          <w:pStyle w:val="af5"/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 w:rsidRPr="007726B7">
                          <w:rPr>
                            <w:spacing w:val="4"/>
                            <w:w w:val="103"/>
                            <w:kern w:val="14"/>
                            <w:sz w:val="20"/>
                            <w:szCs w:val="20"/>
                          </w:rPr>
                          <w:t>да</w:t>
                        </w:r>
                      </w:p>
                    </w:txbxContent>
                  </v:textbox>
                </v:shape>
                <v:shape id="Straight Arrow Connector 1088" o:spid="_x0000_s1045" type="#_x0000_t32" style="position:absolute;left:28380;top:15728;width:32;height:127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" strokeweight=".5pt">
                  <v:stroke endarrow="block"/>
                </v:shape>
                <v:shape id="Text Box 13866" o:spid="_x0000_s1046" type="#_x0000_t202" style="position:absolute;left:22650;top:35559;width:11894;height:27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" strokeweight="2pt">
                  <v:textbox style="mso-fit-shape-to-text:t" inset=",2mm">
                    <w:txbxContent>
                      <w:p w14:paraId="1E659E33" w14:textId="77777777" w:rsidR="00C51B25" w:rsidRPr="00D228C1" w:rsidRDefault="00C51B25" w:rsidP="00EE4D4B">
                        <w:pPr>
                          <w:spacing w:line="200" w:lineRule="exact"/>
                        </w:pPr>
                        <w:r w:rsidRPr="00D228C1">
                          <w:t xml:space="preserve">Третье </w:t>
                        </w:r>
                        <w:r w:rsidRPr="00C965F3">
                          <w:rPr>
                            <w:lang w:eastAsia="ja-JP"/>
                          </w:rPr>
                          <w:t>испытание</w:t>
                        </w:r>
                      </w:p>
                    </w:txbxContent>
                  </v:textbox>
                </v:shape>
                <v:shape id="Flowchart: Preparation 13867" o:spid="_x0000_s1047" type="#_x0000_t117" style="position:absolute;left:11190;top:39916;width:34442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" fillcolor="#ff9" strokeweight=".5pt">
                  <v:textbox>
                    <w:txbxContent>
                      <w:p w14:paraId="3B9CA1C9" w14:textId="77777777" w:rsidR="00C51B25" w:rsidRPr="00BB0677" w:rsidRDefault="00C51B25" w:rsidP="00C51B25">
                        <w:pPr>
                          <w:pStyle w:val="af5"/>
                          <w:ind w:left="-142"/>
                          <w:jc w:val="center"/>
                          <w:rPr>
                            <w:rFonts w:eastAsia="SimSun"/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</w:pPr>
                        <w:r w:rsidRPr="00BB0677">
                          <w:rPr>
                            <w:rFonts w:eastAsia="SimSun"/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>Уровень выбросов любого основного загрязнителя &gt; предельного значения</w:t>
                        </w:r>
                      </w:p>
                      <w:p w14:paraId="02F779D5" w14:textId="77777777" w:rsidR="00C51B25" w:rsidRPr="00BB0677" w:rsidRDefault="00C51B25" w:rsidP="00C51B25">
                        <w:pPr>
                          <w:pStyle w:val="af5"/>
                          <w:ind w:left="-142"/>
                          <w:jc w:val="center"/>
                          <w:rPr>
                            <w:rFonts w:eastAsia="SimSun"/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3869" o:spid="_x0000_s1048" type="#_x0000_t202" style="position:absolute;left:45549;top:38995;width:3130;height:24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" filled="f" stroked="f" strokeweight=".5pt">
                  <v:textbox style="mso-fit-shape-to-text:t">
                    <w:txbxContent>
                      <w:p w14:paraId="6BDB6ED0" w14:textId="77777777" w:rsidR="00C51B25" w:rsidRPr="00F779E3" w:rsidRDefault="00C51B25" w:rsidP="00C51B25">
                        <w:pPr>
                          <w:pStyle w:val="af5"/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 w:rsidRPr="007726B7">
                          <w:rPr>
                            <w:spacing w:val="4"/>
                            <w:w w:val="103"/>
                            <w:kern w:val="14"/>
                            <w:sz w:val="20"/>
                            <w:szCs w:val="20"/>
                          </w:rPr>
                          <w:t>да</w:t>
                        </w:r>
                      </w:p>
                    </w:txbxContent>
                  </v:textbox>
                </v:shape>
                <v:shape id="Straight Arrow Connector 1088" o:spid="_x0000_s1049" type="#_x0000_t32" style="position:absolute;left:28412;top:38651;width:51;height:126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" strokeweight=".5pt">
                  <v:stroke endarrow="block"/>
                </v:shape>
                <v:shape id="Text Box 10" o:spid="_x0000_s1050" type="#_x0000_t202" style="position:absolute;left:44190;top:38582;width:2184;height:24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" filled="f" stroked="f" strokeweight=".5pt">
                  <v:textbox style="mso-fit-shape-to-text:t">
                    <w:txbxContent>
                      <w:p w14:paraId="4908FA1B" w14:textId="77777777" w:rsidR="00C51B25" w:rsidRPr="00C817F3" w:rsidRDefault="00C51B25" w:rsidP="00C51B25">
                        <w:pPr>
                          <w:pStyle w:val="af5"/>
                          <w:spacing w:line="240" w:lineRule="exact"/>
                        </w:pPr>
                        <w:r w:rsidRPr="00C817F3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Straight Arrow Connector 1088" o:spid="_x0000_s1051" type="#_x0000_t32" style="position:absolute;left:28431;top:43667;width:31;height:30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" strokeweight=".5pt">
                  <v:stroke endarrow="block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フローチャート : 代替処理 648" o:spid="_x0000_s1052" type="#_x0000_t176" style="position:absolute;left:44916;top:46693;width:9213;height:7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" strokeweight="2pt">
                  <v:textbox>
                    <w:txbxContent>
                      <w:p w14:paraId="726EFB42" w14:textId="77777777" w:rsidR="00C51B25" w:rsidRPr="00DA646E" w:rsidRDefault="00C51B25" w:rsidP="00C51B25">
                        <w:pPr>
                          <w:pStyle w:val="af5"/>
                          <w:jc w:val="center"/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</w:pPr>
                        <w:r w:rsidRPr="00DA646E"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>Отбраковка</w:t>
                        </w:r>
                      </w:p>
                    </w:txbxContent>
                  </v:textbox>
                </v:shape>
                <v:shape id="Text Box 13869" o:spid="_x0000_s1053" type="#_x0000_t202" style="position:absolute;left:24702;top:43612;width:3759;height:24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" filled="f" stroked="f" strokeweight=".5pt">
                  <v:textbox style="mso-fit-shape-to-text:t">
                    <w:txbxContent>
                      <w:p w14:paraId="61814D91" w14:textId="77777777" w:rsidR="00C51B25" w:rsidRPr="007726B7" w:rsidRDefault="00C51B25" w:rsidP="00C51B25">
                        <w:pPr>
                          <w:pStyle w:val="af5"/>
                          <w:spacing w:line="240" w:lineRule="exact"/>
                          <w:rPr>
                            <w:spacing w:val="4"/>
                            <w:w w:val="103"/>
                            <w:kern w:val="14"/>
                            <w:sz w:val="20"/>
                            <w:szCs w:val="20"/>
                          </w:rPr>
                        </w:pPr>
                        <w:r w:rsidRPr="007726B7">
                          <w:rPr>
                            <w:spacing w:val="4"/>
                            <w:w w:val="103"/>
                            <w:kern w:val="14"/>
                            <w:sz w:val="20"/>
                            <w:szCs w:val="20"/>
                          </w:rPr>
                          <w:t>нет</w:t>
                        </w:r>
                      </w:p>
                    </w:txbxContent>
                  </v:textbox>
                </v:shape>
                <v:shape id="Straight Arrow Connector 1088" o:spid="_x0000_s1054" type="#_x0000_t32" style="position:absolute;left:28537;top:32936;width:0;height:26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" strokeweight=".5pt">
                  <v:stroke endarrow="block"/>
                </v:shape>
                <v:shape id="フローチャート : 代替処理 655" o:spid="_x0000_s1055" type="#_x0000_t176" style="position:absolute;left:16071;top:46698;width:24722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" strokeweight="2pt">
                  <v:textbox>
                    <w:txbxContent>
                      <w:p w14:paraId="10C769F7" w14:textId="0BDF5ABF" w:rsidR="00C51B25" w:rsidRPr="007726B7" w:rsidRDefault="00C51B25" w:rsidP="00EE4D4B">
                        <w:pPr>
                          <w:pStyle w:val="af5"/>
                          <w:suppressAutoHyphens/>
                          <w:jc w:val="center"/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</w:pPr>
                        <w:r w:rsidRPr="007726B7"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 xml:space="preserve">Заявленное значение или усредненный показатель по трем значениям </w:t>
                        </w:r>
                        <w:r w:rsidR="00EE4D4B" w:rsidRPr="00EE4D4B"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>—</w:t>
                        </w:r>
                        <w:r w:rsidRPr="007726B7"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 xml:space="preserve"> </w:t>
                        </w:r>
                        <w:r w:rsidR="00EE4D4B"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br/>
                        </w:r>
                        <w:r w:rsidRPr="007726B7"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 xml:space="preserve">с учетом заключения по каждому показанию </w:t>
                        </w:r>
                        <w:r w:rsidR="00EE4D4B" w:rsidRPr="00EE4D4B"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>—</w:t>
                        </w:r>
                        <w:r w:rsidRPr="007726B7"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 xml:space="preserve"> считают приемлемым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カギ線コネクタ 66" o:spid="_x0000_s1056" type="#_x0000_t33" style="position:absolute;left:45633;top:6729;width:3889;height:4032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">
                  <v:stroke endarrow="block"/>
                </v:shape>
                <v:shape id="カギ線コネクタ 656" o:spid="_x0000_s1057" type="#_x0000_t33" style="position:absolute;left:45633;top:23269;width:3889;height:2380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">
                  <v:stroke endarrow="block"/>
                </v:shape>
                <v:shape id="カギ線コネクタ 657" o:spid="_x0000_s1058" type="#_x0000_t33" style="position:absolute;left:45633;top:41902;width:3889;height:511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">
                  <v:stroke endarrow="block"/>
                </v:shape>
                <v:shape id="フローチャート : 代替処理 658" o:spid="_x0000_s1059" type="#_x0000_t176" style="position:absolute;left:232;top:46693;width:13813;height:7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" strokeweight="2pt">
                  <v:textbox>
                    <w:txbxContent>
                      <w:p w14:paraId="18311CC4" w14:textId="77777777" w:rsidR="00C51B25" w:rsidRPr="007726B7" w:rsidRDefault="00C51B25" w:rsidP="00C51B25">
                        <w:pPr>
                          <w:pStyle w:val="af5"/>
                          <w:jc w:val="center"/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</w:pPr>
                        <w:r w:rsidRPr="007726B7"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 xml:space="preserve">Все заявленные </w:t>
                        </w:r>
                        <w:r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br/>
                        </w:r>
                        <w:r w:rsidRPr="007726B7"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>значения и уровни выбросов считают приемлемыми</w:t>
                        </w:r>
                      </w:p>
                    </w:txbxContent>
                  </v:textbox>
                </v:shape>
                <v:shape id="カギ線コネクタ 659" o:spid="_x0000_s1060" type="#_x0000_t33" style="position:absolute;left:7138;top:12964;width:4054;height:33729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">
                  <v:stroke endarrow="block"/>
                </v:shape>
                <v:shape id="カギ線コネクタ 660" o:spid="_x0000_s1061" type="#_x0000_t33" style="position:absolute;left:7138;top:29965;width:4054;height:16728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">
                  <v:stroke endarrow="block"/>
                </v:shape>
                <v:shape id="Text Box 13869" o:spid="_x0000_s1062" type="#_x0000_t202" style="position:absolute;left:24619;top:15315;width:3632;height:24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" filled="f" stroked="f" strokeweight=".5pt">
                  <v:textbox>
                    <w:txbxContent>
                      <w:p w14:paraId="5F1C6AF0" w14:textId="77777777" w:rsidR="00C51B25" w:rsidRPr="00F779E3" w:rsidRDefault="00C51B25" w:rsidP="00C51B25">
                        <w:pPr>
                          <w:spacing w:line="200" w:lineRule="exact"/>
                        </w:pPr>
                        <w:r w:rsidRPr="007726B7">
                          <w:t>нет</w:t>
                        </w:r>
                      </w:p>
                    </w:txbxContent>
                  </v:textbox>
                </v:shape>
                <v:shape id="Text Box 13869" o:spid="_x0000_s1063" type="#_x0000_t202" style="position:absolute;left:24492;top:33337;width:3632;height:18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" filled="f" stroked="f" strokeweight=".5pt">
                  <v:textbox inset=",.3mm">
                    <w:txbxContent>
                      <w:p w14:paraId="7AFEC714" w14:textId="77777777" w:rsidR="00C51B25" w:rsidRPr="00D228C1" w:rsidRDefault="00C51B25" w:rsidP="00C51B25">
                        <w:pPr>
                          <w:spacing w:line="200" w:lineRule="atLeast"/>
                        </w:pPr>
                        <w:r w:rsidRPr="007726B7">
                          <w:t>нет</w:t>
                        </w:r>
                      </w:p>
                    </w:txbxContent>
                  </v:textbox>
                </v:shape>
                <v:shape id="Flowchart: Preparation 13867" o:spid="_x0000_s1064" type="#_x0000_t117" style="position:absolute;left:11192;top:27037;width:34441;height:5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" fillcolor="#ff9" strokeweight=".5pt">
                  <v:textbox>
                    <w:txbxContent>
                      <w:p w14:paraId="73815221" w14:textId="77777777" w:rsidR="00C51B25" w:rsidRPr="00BB0677" w:rsidRDefault="00C51B25" w:rsidP="00C51B25">
                        <w:pPr>
                          <w:pStyle w:val="af5"/>
                          <w:ind w:left="-142"/>
                          <w:jc w:val="center"/>
                          <w:rPr>
                            <w:rFonts w:eastAsia="SimSun"/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</w:pPr>
                        <w:r w:rsidRPr="00BB0677">
                          <w:rPr>
                            <w:rFonts w:eastAsia="SimSun"/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>Все критерии, указанные в строке «Второе испытание» таблицы А</w:t>
                        </w:r>
                        <w:r>
                          <w:rPr>
                            <w:rFonts w:eastAsia="SimSun"/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>1</w:t>
                        </w:r>
                        <w:r w:rsidRPr="00BB0677">
                          <w:rPr>
                            <w:rFonts w:eastAsia="SimSun"/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eastAsia="SimSun"/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>5</w:t>
                        </w:r>
                        <w:r w:rsidRPr="00BB0677">
                          <w:rPr>
                            <w:rFonts w:eastAsia="SimSun"/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>, выполнены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20F62F" w14:textId="1F1BB008" w:rsidR="00C51B25" w:rsidRPr="005B04BF" w:rsidRDefault="00C51B25" w:rsidP="00C51B25">
      <w:pPr>
        <w:pStyle w:val="SingleTxtG"/>
        <w:rPr>
          <w:color w:val="000000" w:themeColor="text1"/>
        </w:rPr>
      </w:pPr>
      <w:r w:rsidRPr="005B04BF">
        <w:t>31.</w:t>
      </w:r>
      <w:r w:rsidRPr="005B04BF">
        <w:tab/>
        <w:t xml:space="preserve">Основное отличие </w:t>
      </w:r>
      <w:r>
        <w:t>по сравнению со</w:t>
      </w:r>
      <w:r w:rsidRPr="005B04BF">
        <w:t xml:space="preserve"> старой схем</w:t>
      </w:r>
      <w:r w:rsidR="00F01CDB">
        <w:t>ой</w:t>
      </w:r>
      <w:r w:rsidRPr="005B04BF">
        <w:t xml:space="preserve"> заключается в том, что</w:t>
      </w:r>
      <w:r>
        <w:t xml:space="preserve"> в новой схеме</w:t>
      </w:r>
      <w:r w:rsidRPr="005B04BF">
        <w:t xml:space="preserve"> были исправление ссылки: </w:t>
      </w:r>
      <w:r>
        <w:t>ссылки на</w:t>
      </w:r>
      <w:r w:rsidRPr="005B04BF">
        <w:t xml:space="preserve"> таблицу A5/1 </w:t>
      </w:r>
      <w:r>
        <w:t>изменены на ссылки</w:t>
      </w:r>
      <w:r w:rsidRPr="005B04BF">
        <w:t xml:space="preserve"> на таблицу A6/2.</w:t>
      </w:r>
    </w:p>
    <w:p w14:paraId="4B913B6C" w14:textId="2D6F19F9" w:rsidR="00C51B25" w:rsidRPr="005B04BF" w:rsidRDefault="00F01CDB" w:rsidP="00C51B25">
      <w:pPr>
        <w:pStyle w:val="SingleTxtG"/>
        <w:rPr>
          <w:color w:val="000000" w:themeColor="text1"/>
        </w:rPr>
      </w:pPr>
      <w:r>
        <w:tab/>
      </w:r>
      <w:r w:rsidR="00C51B25" w:rsidRPr="005B04BF">
        <w:t>Индия (Кумбхар) отметила, что в ГТП № 15 ООН «заявленное значение или усредненный показатель по трем значениям» предназначены для выбросов CO</w:t>
      </w:r>
      <w:r w:rsidR="00C51B25" w:rsidRPr="00777993">
        <w:rPr>
          <w:vertAlign w:val="subscript"/>
        </w:rPr>
        <w:t>2</w:t>
      </w:r>
      <w:r w:rsidR="00C51B25" w:rsidRPr="005B04BF">
        <w:t xml:space="preserve"> и загрязняющих веществ, </w:t>
      </w:r>
      <w:r w:rsidR="00C51B25">
        <w:t>однако</w:t>
      </w:r>
      <w:r w:rsidR="00C51B25" w:rsidRPr="005B04BF">
        <w:t xml:space="preserve"> такое толкование неприменимо к ГТП № 2 ООН, в которых CO</w:t>
      </w:r>
      <w:r w:rsidR="00C51B25" w:rsidRPr="0082523C">
        <w:rPr>
          <w:vertAlign w:val="subscript"/>
        </w:rPr>
        <w:t>2</w:t>
      </w:r>
      <w:r w:rsidR="00C51B25" w:rsidRPr="0082523C">
        <w:t xml:space="preserve"> </w:t>
      </w:r>
      <w:r w:rsidR="00C51B25" w:rsidRPr="005B04BF">
        <w:t>не рассматривается</w:t>
      </w:r>
      <w:r w:rsidR="00C51B25">
        <w:t>.</w:t>
      </w:r>
    </w:p>
    <w:p w14:paraId="1DA1699D" w14:textId="1A442F57" w:rsidR="00C51B25" w:rsidRPr="005B04BF" w:rsidRDefault="00F01CDB" w:rsidP="00C51B25">
      <w:pPr>
        <w:pStyle w:val="SingleTxtG"/>
        <w:rPr>
          <w:color w:val="000000" w:themeColor="text1"/>
        </w:rPr>
      </w:pPr>
      <w:r>
        <w:tab/>
      </w:r>
      <w:r w:rsidR="00C51B25" w:rsidRPr="005B04BF">
        <w:t>МАЗМ обещала пересмотреть схему в соответствии с этим комментарием.</w:t>
      </w:r>
    </w:p>
    <w:p w14:paraId="545D7B88" w14:textId="33305E26" w:rsidR="00C51B25" w:rsidRPr="005B04BF" w:rsidRDefault="00F01CDB" w:rsidP="008544DB">
      <w:pPr>
        <w:pStyle w:val="SingleTxtG"/>
        <w:rPr>
          <w:color w:val="000000" w:themeColor="text1"/>
        </w:rPr>
      </w:pPr>
      <w:r>
        <w:tab/>
      </w:r>
      <w:r w:rsidR="00C51B25" w:rsidRPr="005B04BF">
        <w:t>На своем сорок шестом заседании (июнь 2021 года) НРГ по ТЭТХ решила вновь проверить вышеуказанную схему, содержащуюся в EPPR-46-06,</w:t>
      </w:r>
      <w:r w:rsidR="00C51B25">
        <w:t xml:space="preserve"> и</w:t>
      </w:r>
      <w:r>
        <w:t>,</w:t>
      </w:r>
      <w:r w:rsidR="00C51B25" w:rsidRPr="005B04BF">
        <w:t xml:space="preserve"> в частности</w:t>
      </w:r>
      <w:r>
        <w:t>,</w:t>
      </w:r>
      <w:r w:rsidR="00C51B25" w:rsidRPr="005B04BF">
        <w:t xml:space="preserve"> рассмотреть вопрос о необходимости третьего испытания на выбросы загрязнит</w:t>
      </w:r>
      <w:r w:rsidR="00C51B25">
        <w:t>елей</w:t>
      </w:r>
      <w:r w:rsidR="00C51B25" w:rsidRPr="005B04BF">
        <w:t xml:space="preserve">. Встречные предложения </w:t>
      </w:r>
      <w:r w:rsidR="00C51B25">
        <w:t xml:space="preserve">необходимо было направить </w:t>
      </w:r>
      <w:r w:rsidR="00C51B25" w:rsidRPr="005B04BF">
        <w:t>до следующего заседания НРГ по ТЭТХ в письменно</w:t>
      </w:r>
      <w:r w:rsidR="00C51B25">
        <w:t>м виде в с</w:t>
      </w:r>
      <w:r w:rsidR="00C51B25" w:rsidRPr="005B04BF">
        <w:t xml:space="preserve">рок, достаточный для </w:t>
      </w:r>
      <w:r w:rsidR="00C51B25">
        <w:t xml:space="preserve">их </w:t>
      </w:r>
      <w:r w:rsidR="00C51B25" w:rsidRPr="005B04BF">
        <w:t>оценки НРГ по ТЭТХ.</w:t>
      </w:r>
    </w:p>
    <w:p w14:paraId="215905E5" w14:textId="6198B34A" w:rsidR="00C51B25" w:rsidRPr="005B04BF" w:rsidRDefault="00F01CDB" w:rsidP="00C51B25">
      <w:pPr>
        <w:pStyle w:val="SingleTxtG"/>
        <w:rPr>
          <w:color w:val="000000" w:themeColor="text1"/>
        </w:rPr>
      </w:pPr>
      <w:r>
        <w:tab/>
      </w:r>
      <w:r w:rsidR="00C51B25" w:rsidRPr="005B04BF">
        <w:t>Ввиду отсутствия каких-либо встречных предложений, согласованных НРГ по ТЭТХ до установленного на 19 октября крайнего срока, в GRPE будет представлена схема, содержащаяся в документе EPPR-46-06 (из документа GRPE-83-26-rev.1).</w:t>
      </w:r>
    </w:p>
    <w:p w14:paraId="6F43F4D6" w14:textId="4E693BAC" w:rsidR="00C51B25" w:rsidRPr="005B04BF" w:rsidRDefault="00F01CDB" w:rsidP="00C51B25">
      <w:pPr>
        <w:pStyle w:val="SingleTxtG"/>
        <w:rPr>
          <w:color w:val="000000" w:themeColor="text1"/>
          <w:u w:val="single"/>
        </w:rPr>
      </w:pPr>
      <w:r>
        <w:tab/>
      </w:r>
      <w:r w:rsidR="00C51B25" w:rsidRPr="005B04BF">
        <w:t xml:space="preserve">На сорок седьмом заседании </w:t>
      </w:r>
      <w:r w:rsidR="00C51B25">
        <w:t xml:space="preserve">НРГ по </w:t>
      </w:r>
      <w:r w:rsidR="00C51B25" w:rsidRPr="005B04BF">
        <w:t xml:space="preserve">ТЭТХ (июль 2021 года) секретариат предложил </w:t>
      </w:r>
      <w:r w:rsidR="00C51B25">
        <w:t xml:space="preserve">НРГ </w:t>
      </w:r>
      <w:r w:rsidR="00C51B25" w:rsidRPr="005B04BF">
        <w:t>изложить свою позицию по схеме, представленной на рис. A1/7 в документе EPPR-46-06, в частности</w:t>
      </w:r>
      <w:r>
        <w:t xml:space="preserve">, </w:t>
      </w:r>
      <w:r w:rsidR="00C51B25" w:rsidRPr="005B04BF">
        <w:t>по вопросу о необходимости третьего испытания на выбросы загрязнителей.</w:t>
      </w:r>
    </w:p>
    <w:p w14:paraId="1D149CFF" w14:textId="36231684" w:rsidR="00C51B25" w:rsidRPr="005B04BF" w:rsidRDefault="00F01CDB" w:rsidP="00C51B25">
      <w:pPr>
        <w:pStyle w:val="SingleTxtG"/>
        <w:rPr>
          <w:color w:val="000000" w:themeColor="text1"/>
        </w:rPr>
      </w:pPr>
      <w:r>
        <w:tab/>
      </w:r>
      <w:r w:rsidR="00C51B25" w:rsidRPr="005B04BF">
        <w:t>Согласно ВПИМ такое испытание требуется для CO</w:t>
      </w:r>
      <w:r w:rsidR="00C51B25" w:rsidRPr="005C7789">
        <w:rPr>
          <w:vertAlign w:val="subscript"/>
        </w:rPr>
        <w:t>2</w:t>
      </w:r>
      <w:r w:rsidR="00C51B25" w:rsidRPr="005B04BF">
        <w:t xml:space="preserve">, </w:t>
      </w:r>
      <w:r w:rsidR="00C51B25">
        <w:t>но</w:t>
      </w:r>
      <w:r w:rsidR="00C51B25" w:rsidRPr="005B04BF">
        <w:t xml:space="preserve"> не для выбросов загрязнителей.</w:t>
      </w:r>
    </w:p>
    <w:p w14:paraId="3AD7A1CD" w14:textId="7B23A868" w:rsidR="00C51B25" w:rsidRPr="005B04BF" w:rsidRDefault="00F01CDB" w:rsidP="00C51B25">
      <w:pPr>
        <w:pStyle w:val="SingleTxtG"/>
        <w:rPr>
          <w:color w:val="000000" w:themeColor="text1"/>
        </w:rPr>
      </w:pPr>
      <w:r>
        <w:tab/>
      </w:r>
      <w:r w:rsidR="00C51B25" w:rsidRPr="005B04BF">
        <w:t>На предыдущем сорок шестом заседании</w:t>
      </w:r>
      <w:r w:rsidR="00C51B25">
        <w:t xml:space="preserve"> НРГ по</w:t>
      </w:r>
      <w:r w:rsidR="00C51B25" w:rsidRPr="005B04BF">
        <w:t xml:space="preserve"> ТЭТХ Китай </w:t>
      </w:r>
      <w:r w:rsidR="00C51B25">
        <w:t>поднял</w:t>
      </w:r>
      <w:r w:rsidR="00C51B25" w:rsidRPr="005B04BF">
        <w:t xml:space="preserve"> вопрос о то</w:t>
      </w:r>
      <w:r w:rsidR="00C51B25">
        <w:t>м</w:t>
      </w:r>
      <w:r w:rsidR="00C51B25" w:rsidRPr="005B04BF">
        <w:t>, нужно ли проводить третье испытание для выбросов загрязнителей.</w:t>
      </w:r>
    </w:p>
    <w:p w14:paraId="7D671407" w14:textId="2200918C" w:rsidR="00C51B25" w:rsidRPr="005B04BF" w:rsidRDefault="00F01CDB" w:rsidP="00C51B25">
      <w:pPr>
        <w:pStyle w:val="SingleTxtG"/>
        <w:rPr>
          <w:color w:val="000000" w:themeColor="text1"/>
          <w:u w:val="single"/>
        </w:rPr>
      </w:pPr>
      <w:r>
        <w:tab/>
      </w:r>
      <w:r w:rsidR="00C51B25" w:rsidRPr="005B04BF">
        <w:t>Председатель вы</w:t>
      </w:r>
      <w:r w:rsidR="00C51B25">
        <w:t>разил</w:t>
      </w:r>
      <w:r w:rsidR="00C51B25" w:rsidRPr="005B04BF">
        <w:t xml:space="preserve"> свое предпочтение в пользу сохранения схемы в том виде, в к</w:t>
      </w:r>
      <w:r w:rsidR="00C51B25">
        <w:t>аком</w:t>
      </w:r>
      <w:r w:rsidR="00C51B25" w:rsidRPr="005B04BF">
        <w:t xml:space="preserve"> она была предложена в EPPR-46-06.</w:t>
      </w:r>
    </w:p>
    <w:p w14:paraId="76785995" w14:textId="0ADC73C4" w:rsidR="00C51B25" w:rsidRPr="005B04BF" w:rsidRDefault="00F01CDB" w:rsidP="00C51B25">
      <w:pPr>
        <w:pStyle w:val="SingleTxtG"/>
        <w:rPr>
          <w:color w:val="000000" w:themeColor="text1"/>
          <w:u w:val="single"/>
        </w:rPr>
      </w:pPr>
      <w:r>
        <w:tab/>
      </w:r>
      <w:r w:rsidR="00C51B25" w:rsidRPr="005B04BF">
        <w:t xml:space="preserve">Ввиду отсутствия каких-либо встречных предложений Председатель предложил принять схему в том виде, в </w:t>
      </w:r>
      <w:r w:rsidR="00C51B25">
        <w:t>каком</w:t>
      </w:r>
      <w:r w:rsidR="00C51B25" w:rsidRPr="005B04BF">
        <w:t xml:space="preserve"> она представлена в EPPR-46-06, просив НРГ по ТЭТХ передать любые потенциальные встречные предложения своевременно до представления в октябре официального документа</w:t>
      </w:r>
      <w:r w:rsidR="00C51B25" w:rsidRPr="00412142">
        <w:t xml:space="preserve"> </w:t>
      </w:r>
      <w:r w:rsidR="00C51B25" w:rsidRPr="005B04BF">
        <w:t xml:space="preserve">в GRPE. </w:t>
      </w:r>
    </w:p>
    <w:p w14:paraId="0211B1E1" w14:textId="4651D9C1" w:rsidR="00C51B25" w:rsidRPr="005B04BF" w:rsidRDefault="00F01CDB" w:rsidP="00C51B25">
      <w:pPr>
        <w:pStyle w:val="SingleTxtG"/>
        <w:rPr>
          <w:color w:val="000000" w:themeColor="text1"/>
          <w:u w:val="single"/>
        </w:rPr>
      </w:pPr>
      <w:r>
        <w:tab/>
      </w:r>
      <w:r w:rsidR="00C51B25" w:rsidRPr="005B04BF">
        <w:t>Оценив соответствующую схему ВПИМ, Япония подтвердила свою позицию, согласно которо</w:t>
      </w:r>
      <w:r w:rsidR="00C51B25">
        <w:t>й</w:t>
      </w:r>
      <w:r w:rsidR="00C51B25" w:rsidRPr="005B04BF">
        <w:t xml:space="preserve"> схему следует оставить без изменений.</w:t>
      </w:r>
    </w:p>
    <w:p w14:paraId="7BE1A4E1" w14:textId="4D1B99C1" w:rsidR="00C51B25" w:rsidRPr="005B04BF" w:rsidRDefault="00F01CDB" w:rsidP="00C51B25">
      <w:pPr>
        <w:pStyle w:val="SingleTxtG"/>
        <w:rPr>
          <w:color w:val="000000" w:themeColor="text1"/>
        </w:rPr>
      </w:pPr>
      <w:r>
        <w:tab/>
      </w:r>
      <w:r w:rsidR="00C51B25" w:rsidRPr="005B04BF">
        <w:t xml:space="preserve">Китай напомнил о своей просьбе, высказанной на предыдущем сорок шестом заседании </w:t>
      </w:r>
      <w:r w:rsidR="00C51B25">
        <w:t xml:space="preserve">НРГ по </w:t>
      </w:r>
      <w:r w:rsidR="00C51B25" w:rsidRPr="005B04BF">
        <w:t xml:space="preserve">ТЭТХ, </w:t>
      </w:r>
      <w:r w:rsidR="00C51B25">
        <w:t xml:space="preserve">об </w:t>
      </w:r>
      <w:r w:rsidR="00C51B25" w:rsidRPr="005B04BF">
        <w:t>уточ</w:t>
      </w:r>
      <w:r w:rsidR="00C51B25">
        <w:t xml:space="preserve">нении вопроса о </w:t>
      </w:r>
      <w:r w:rsidR="00C51B25" w:rsidRPr="005B04BF">
        <w:t>необходимо</w:t>
      </w:r>
      <w:r w:rsidR="00C51B25">
        <w:t>сти</w:t>
      </w:r>
      <w:r w:rsidR="00C51B25" w:rsidRPr="005B04BF">
        <w:t xml:space="preserve"> третье</w:t>
      </w:r>
      <w:r w:rsidR="00C51B25">
        <w:t>го</w:t>
      </w:r>
      <w:r w:rsidR="00C51B25" w:rsidRPr="005B04BF">
        <w:t xml:space="preserve"> испытани</w:t>
      </w:r>
      <w:r w:rsidR="00C51B25">
        <w:t>я</w:t>
      </w:r>
      <w:r w:rsidR="00C51B25" w:rsidRPr="005B04BF">
        <w:t xml:space="preserve"> для выбросов загрязнителей.</w:t>
      </w:r>
    </w:p>
    <w:p w14:paraId="1A7F4906" w14:textId="3D8CBC34" w:rsidR="00C51B25" w:rsidRPr="005B04BF" w:rsidRDefault="00F01CDB" w:rsidP="00C51B25">
      <w:pPr>
        <w:pStyle w:val="SingleTxtG"/>
        <w:rPr>
          <w:color w:val="000000" w:themeColor="text1"/>
        </w:rPr>
      </w:pPr>
      <w:r>
        <w:tab/>
      </w:r>
      <w:r w:rsidR="00C51B25" w:rsidRPr="005B04BF">
        <w:t xml:space="preserve">В отсутствие встречных предложений схема в EPPR-46-06 была оставлена в том виде, в </w:t>
      </w:r>
      <w:r w:rsidR="00C51B25">
        <w:t>каком</w:t>
      </w:r>
      <w:r w:rsidR="00C51B25" w:rsidRPr="005B04BF">
        <w:t xml:space="preserve"> она представлена на рисунке A1/7,</w:t>
      </w:r>
      <w:r w:rsidR="00C51B25">
        <w:t xml:space="preserve"> и</w:t>
      </w:r>
      <w:r w:rsidR="00C51B25" w:rsidRPr="005B04BF">
        <w:t xml:space="preserve"> при этом отмечается, что в </w:t>
      </w:r>
      <w:r>
        <w:br/>
      </w:r>
      <w:r w:rsidR="00C51B25" w:rsidRPr="005B04BF">
        <w:t>ГТП № 2 ООН третье испытание применяется только в отношении выбросов загрязнителей.</w:t>
      </w:r>
    </w:p>
    <w:p w14:paraId="20212A59" w14:textId="77777777" w:rsidR="00C51B25" w:rsidRPr="005B04BF" w:rsidRDefault="00C51B25" w:rsidP="00C51B25">
      <w:pPr>
        <w:pStyle w:val="H23G"/>
        <w:rPr>
          <w:rFonts w:eastAsia="MS Mincho"/>
          <w:bCs/>
        </w:rPr>
      </w:pPr>
      <w:r w:rsidRPr="005B04BF">
        <w:rPr>
          <w:rFonts w:eastAsia="MS Mincho"/>
        </w:rPr>
        <w:tab/>
        <w:t>3.</w:t>
      </w:r>
      <w:r w:rsidRPr="005B04BF">
        <w:rPr>
          <w:rFonts w:eastAsia="MS Mincho"/>
        </w:rPr>
        <w:tab/>
        <w:t>Контрольная масса (m</w:t>
      </w:r>
      <w:r w:rsidRPr="003838E9">
        <w:rPr>
          <w:rFonts w:eastAsia="MS Mincho"/>
          <w:vertAlign w:val="subscript"/>
        </w:rPr>
        <w:t>ref</w:t>
      </w:r>
      <w:r w:rsidRPr="005B04BF">
        <w:rPr>
          <w:rFonts w:eastAsia="MS Mincho"/>
        </w:rPr>
        <w:t>)</w:t>
      </w:r>
    </w:p>
    <w:p w14:paraId="33625088" w14:textId="77777777" w:rsidR="00C51B25" w:rsidRPr="005B04BF" w:rsidRDefault="00C51B25" w:rsidP="00F01CDB">
      <w:pPr>
        <w:pStyle w:val="SingleTxtG"/>
        <w:rPr>
          <w:color w:val="000000" w:themeColor="text1"/>
        </w:rPr>
      </w:pPr>
      <w:r w:rsidRPr="005B04BF">
        <w:t>32.</w:t>
      </w:r>
      <w:r w:rsidRPr="005B04BF">
        <w:tab/>
        <w:t>НРГ по ТЭТХ договорилась о том, что в таблице A4.App13/2 приложения 4 поправки 4 к ГТП № 2 ООН необходимо исправить m</w:t>
      </w:r>
      <w:r w:rsidRPr="0002580E">
        <w:rPr>
          <w:vertAlign w:val="subscript"/>
        </w:rPr>
        <w:t>ref</w:t>
      </w:r>
      <w:r w:rsidRPr="005B04BF">
        <w:t xml:space="preserve"> 199 кг на m</w:t>
      </w:r>
      <w:r w:rsidRPr="0002580E">
        <w:rPr>
          <w:vertAlign w:val="subscript"/>
        </w:rPr>
        <w:t>k</w:t>
      </w:r>
      <w:r w:rsidRPr="005B04BF">
        <w:t xml:space="preserve"> 199 кг, как в поправке 6 к ГТП № 15 ООН (ВПИМ).</w:t>
      </w:r>
    </w:p>
    <w:p w14:paraId="5DB82DB9" w14:textId="77777777" w:rsidR="00C51B25" w:rsidRPr="005B04BF" w:rsidRDefault="00C51B25" w:rsidP="00C51B25">
      <w:pPr>
        <w:pStyle w:val="H23G"/>
        <w:rPr>
          <w:rFonts w:eastAsia="MS Mincho"/>
          <w:bCs/>
        </w:rPr>
      </w:pPr>
      <w:r w:rsidRPr="005B04BF">
        <w:rPr>
          <w:rFonts w:eastAsia="MS Mincho"/>
        </w:rPr>
        <w:tab/>
        <w:t>4.</w:t>
      </w:r>
      <w:r w:rsidRPr="005B04BF">
        <w:rPr>
          <w:rFonts w:eastAsia="MS Mincho"/>
        </w:rPr>
        <w:tab/>
        <w:t xml:space="preserve">Прочие вопросы </w:t>
      </w:r>
    </w:p>
    <w:p w14:paraId="7DBEF482" w14:textId="6DC3F7FF" w:rsidR="00C51B25" w:rsidRPr="005B04BF" w:rsidRDefault="00C51B25" w:rsidP="00C51B25">
      <w:pPr>
        <w:pStyle w:val="SingleTxtG"/>
        <w:rPr>
          <w:color w:val="000000" w:themeColor="text1"/>
        </w:rPr>
      </w:pPr>
      <w:r w:rsidRPr="005B04BF">
        <w:t>33.</w:t>
      </w:r>
      <w:r w:rsidRPr="005B04BF">
        <w:tab/>
        <w:t>В целях согласования с ВПИМ в таблицу A1/6 «Интервалы калибровки приборов» были внесены следующие изменения: обозначение NO</w:t>
      </w:r>
      <w:r w:rsidRPr="002B1215">
        <w:rPr>
          <w:vertAlign w:val="subscript"/>
        </w:rPr>
        <w:t>2</w:t>
      </w:r>
      <w:r w:rsidRPr="005B04BF">
        <w:t xml:space="preserve"> было </w:t>
      </w:r>
      <w:r>
        <w:t>изменено</w:t>
      </w:r>
      <w:r w:rsidRPr="005B04BF">
        <w:t xml:space="preserve"> на NO</w:t>
      </w:r>
      <w:r w:rsidRPr="002B1215">
        <w:rPr>
          <w:vertAlign w:val="subscript"/>
        </w:rPr>
        <w:t>X</w:t>
      </w:r>
      <w:r w:rsidRPr="005B04BF">
        <w:t xml:space="preserve">; обозначение 1,25 кПа было </w:t>
      </w:r>
      <w:r>
        <w:t>изменено</w:t>
      </w:r>
      <w:r w:rsidRPr="005B04BF">
        <w:t xml:space="preserve"> на 1,25 кПа; был добавлен пункт 3.4.3.8.1 и информация о материале, из которого изготовлены мешки.</w:t>
      </w:r>
    </w:p>
    <w:p w14:paraId="21B72B6B" w14:textId="120DF597" w:rsidR="00C51B25" w:rsidRPr="005B04BF" w:rsidRDefault="00F01CDB" w:rsidP="00C51B25">
      <w:pPr>
        <w:pStyle w:val="SingleTxtG"/>
      </w:pPr>
      <w:r>
        <w:tab/>
      </w:r>
      <w:r w:rsidR="00C51B25" w:rsidRPr="005B04BF">
        <w:t>Мешки для сбора смеси разбавляющего воздуха и разбавленных отработавших газов должны иметь достаточную емкость, чтобы не уменьшать нормальный поток проб газа и исключать возможность изменения характеристик соответствующих загрязняющих веществ.</w:t>
      </w:r>
    </w:p>
    <w:p w14:paraId="0B097C05" w14:textId="4477B912" w:rsidR="00C51B25" w:rsidRPr="005B04BF" w:rsidRDefault="000E449E" w:rsidP="00C51B25">
      <w:pPr>
        <w:pStyle w:val="SingleTxtG"/>
        <w:rPr>
          <w:bCs/>
        </w:rPr>
      </w:pPr>
      <w:r>
        <w:tab/>
      </w:r>
      <w:r w:rsidR="00C51B25" w:rsidRPr="005B04BF">
        <w:t xml:space="preserve">Материал, из которого изготовлены мешки, не должен влиять ни на сами измерения, ни на химический состав проб газов по прошествии 30 минут более чем </w:t>
      </w:r>
      <w:r>
        <w:br/>
      </w:r>
      <w:r w:rsidR="00C51B25" w:rsidRPr="005B04BF">
        <w:t>на ±2</w:t>
      </w:r>
      <w:r>
        <w:rPr>
          <w:lang w:val="en-US"/>
        </w:rPr>
        <w:t> </w:t>
      </w:r>
      <w:r w:rsidR="00C51B25" w:rsidRPr="005B04BF">
        <w:t>% (например, слоистые полиэтиленовые/полиамидные пленки или фторпроизводные полиуглеводороды).</w:t>
      </w:r>
    </w:p>
    <w:p w14:paraId="05E77E9F" w14:textId="77777777" w:rsidR="00C51B25" w:rsidRPr="005B04BF" w:rsidRDefault="00C51B25" w:rsidP="00C51B25">
      <w:pPr>
        <w:pStyle w:val="SingleTxtG"/>
        <w:rPr>
          <w:color w:val="000000" w:themeColor="text1"/>
        </w:rPr>
      </w:pPr>
      <w:r w:rsidRPr="005B04BF">
        <w:t>34.</w:t>
      </w:r>
      <w:r w:rsidRPr="005B04BF">
        <w:tab/>
        <w:t>В пункте 4.2.3.4.5 были добавлены некоторые параметры</w:t>
      </w:r>
      <w:r w:rsidRPr="00C876D5">
        <w:t xml:space="preserve"> </w:t>
      </w:r>
      <w:r w:rsidRPr="005B04BF">
        <w:t>в целях согласования с ВПИМ:</w:t>
      </w:r>
    </w:p>
    <w:p w14:paraId="1CF15316" w14:textId="4003B3E4" w:rsidR="00C51B25" w:rsidRPr="005B04BF" w:rsidRDefault="000E449E" w:rsidP="00C51B25">
      <w:pPr>
        <w:pStyle w:val="SingleTxtG"/>
        <w:rPr>
          <w:bCs/>
        </w:rPr>
      </w:pPr>
      <w:r>
        <w:tab/>
      </w:r>
      <w:r w:rsidR="00C51B25" w:rsidRPr="005B04BF">
        <w:t>«По траектории кривой линеаризации и точкам линеаризации можно проверить правильность выполнения калибровки. Следует указывать различные характерные параметры анализатора, в частности:</w:t>
      </w:r>
    </w:p>
    <w:p w14:paraId="710D24BE" w14:textId="55FC4A96" w:rsidR="00C51B25" w:rsidRPr="005B04BF" w:rsidRDefault="00C51B25" w:rsidP="008544DB">
      <w:pPr>
        <w:pStyle w:val="SingleTxtG"/>
        <w:ind w:left="1701"/>
      </w:pPr>
      <w:r w:rsidRPr="005B04BF">
        <w:t>a)</w:t>
      </w:r>
      <w:r w:rsidRPr="005B04BF">
        <w:tab/>
        <w:t xml:space="preserve">шкалу газоанализатора; </w:t>
      </w:r>
    </w:p>
    <w:p w14:paraId="20477E3E" w14:textId="30AAF301" w:rsidR="00C51B25" w:rsidRPr="005B04BF" w:rsidRDefault="00C51B25" w:rsidP="00C51B25">
      <w:pPr>
        <w:pStyle w:val="SingleTxtG"/>
      </w:pPr>
      <w:r>
        <w:tab/>
      </w:r>
      <w:r w:rsidRPr="005B04BF">
        <w:t>b)</w:t>
      </w:r>
      <w:r w:rsidRPr="005B04BF">
        <w:tab/>
        <w:t xml:space="preserve">диапазон измерений; </w:t>
      </w:r>
    </w:p>
    <w:p w14:paraId="71C2D5AE" w14:textId="29393DC3" w:rsidR="00C51B25" w:rsidRPr="005B04BF" w:rsidRDefault="00C51B25" w:rsidP="00C51B25">
      <w:pPr>
        <w:pStyle w:val="SingleTxtG"/>
      </w:pPr>
      <w:r>
        <w:tab/>
      </w:r>
      <w:r w:rsidRPr="005B04BF">
        <w:t>c)</w:t>
      </w:r>
      <w:r w:rsidRPr="005B04BF">
        <w:tab/>
        <w:t>дату поверки линейности».</w:t>
      </w:r>
    </w:p>
    <w:p w14:paraId="5A8C6726" w14:textId="77777777" w:rsidR="00C51B25" w:rsidRPr="005B04BF" w:rsidRDefault="00C51B25" w:rsidP="00C51B25">
      <w:pPr>
        <w:pStyle w:val="SingleTxtG"/>
        <w:rPr>
          <w:color w:val="000000" w:themeColor="text1"/>
        </w:rPr>
      </w:pPr>
      <w:r w:rsidRPr="005B04BF">
        <w:t>35.</w:t>
      </w:r>
      <w:r w:rsidRPr="005B04BF">
        <w:tab/>
        <w:t>В пункте 4.2.3.6.1 в целях согласования с поправкой 6 к ГТП № 15 ООН, касающимся ВПИМ, был добавлен следующий текст:</w:t>
      </w:r>
    </w:p>
    <w:p w14:paraId="575E0F38" w14:textId="3229159A" w:rsidR="00C51B25" w:rsidRPr="005B04BF" w:rsidRDefault="00C51B25" w:rsidP="00EB75E1">
      <w:pPr>
        <w:pStyle w:val="af3"/>
        <w:numPr>
          <w:ilvl w:val="0"/>
          <w:numId w:val="0"/>
        </w:numPr>
        <w:tabs>
          <w:tab w:val="left" w:pos="1701"/>
        </w:tabs>
        <w:ind w:left="1701" w:right="1134"/>
        <w:jc w:val="both"/>
      </w:pPr>
      <w:r w:rsidRPr="005B04BF">
        <w:t xml:space="preserve">«Для калибровки и работы оборудования нужны следующие чистые газы: </w:t>
      </w:r>
    </w:p>
    <w:p w14:paraId="4E7ABF32" w14:textId="6D2E7E4C" w:rsidR="00C51B25" w:rsidRPr="000E449E" w:rsidRDefault="000E449E" w:rsidP="00EB75E1">
      <w:pPr>
        <w:pStyle w:val="SingleTxtG"/>
        <w:ind w:left="1701"/>
      </w:pPr>
      <w:r>
        <w:rPr>
          <w:lang w:val="en-US"/>
        </w:rPr>
        <w:t>e</w:t>
      </w:r>
      <w:r w:rsidR="00C51B25" w:rsidRPr="005B04BF">
        <w:t>сли в регионе нельзя найти газы, укладывающиеся в пределы нижеследующего допуска заявленного значения, то по просьбе Договаривающейся стороны можно использовать имеющиеся в регионе газы с бо</w:t>
      </w:r>
      <w:r w:rsidRPr="000E449E">
        <w:t>́</w:t>
      </w:r>
      <w:r w:rsidR="00C51B25" w:rsidRPr="005B04BF">
        <w:t>льшим — но максимально жестким — допуском</w:t>
      </w:r>
      <w:r>
        <w:t>;</w:t>
      </w:r>
    </w:p>
    <w:p w14:paraId="5605B190" w14:textId="3321B567" w:rsidR="00C51B25" w:rsidRPr="005B04BF" w:rsidRDefault="00C51B25" w:rsidP="00EB75E1">
      <w:pPr>
        <w:pStyle w:val="SingleTxtG"/>
        <w:ind w:left="1701"/>
      </w:pPr>
      <w:r w:rsidRPr="005B04BF">
        <w:t xml:space="preserve">очищенный водород (и смесь, содержащая гелий или азот): (чистота: </w:t>
      </w:r>
      <w:r w:rsidR="000E449E">
        <w:br/>
      </w:r>
      <w:r w:rsidRPr="005B04BF">
        <w:t>≤</w:t>
      </w:r>
      <w:r w:rsidR="00284B9C" w:rsidRPr="00284B9C">
        <w:t xml:space="preserve"> </w:t>
      </w:r>
      <w:r w:rsidRPr="005B04BF">
        <w:t>1 млн–1 С1, ≤</w:t>
      </w:r>
      <w:r w:rsidR="00284B9C" w:rsidRPr="00284B9C">
        <w:t xml:space="preserve"> </w:t>
      </w:r>
      <w:r w:rsidRPr="005B04BF">
        <w:t>400 млн–1 CO</w:t>
      </w:r>
      <w:r w:rsidRPr="00837225">
        <w:rPr>
          <w:vertAlign w:val="subscript"/>
        </w:rPr>
        <w:t>2</w:t>
      </w:r>
      <w:r w:rsidRPr="005B04BF">
        <w:t>; содержание водорода 39−41 %);»</w:t>
      </w:r>
      <w:r w:rsidR="000E449E">
        <w:t>.</w:t>
      </w:r>
    </w:p>
    <w:p w14:paraId="3379B755" w14:textId="2465E136" w:rsidR="00C51B25" w:rsidRPr="005B04BF" w:rsidRDefault="00C51B25" w:rsidP="00C51B25">
      <w:pPr>
        <w:pStyle w:val="SingleTxtG"/>
        <w:rPr>
          <w:color w:val="000000" w:themeColor="text1"/>
        </w:rPr>
      </w:pPr>
      <w:r w:rsidRPr="005B04BF">
        <w:t>36.</w:t>
      </w:r>
      <w:r w:rsidRPr="005B04BF">
        <w:tab/>
        <w:t xml:space="preserve">Анализ проб: в пункте 4.2.7.2 обозначение 20 минут было </w:t>
      </w:r>
      <w:r>
        <w:t>изменено</w:t>
      </w:r>
      <w:r w:rsidRPr="005B04BF">
        <w:t xml:space="preserve"> на 30 минут</w:t>
      </w:r>
      <w:r w:rsidRPr="00837225">
        <w:t xml:space="preserve"> </w:t>
      </w:r>
      <w:r w:rsidRPr="005B04BF">
        <w:t>в целях согласования с ВПИМ.</w:t>
      </w:r>
    </w:p>
    <w:p w14:paraId="5F7AFF6F" w14:textId="77777777" w:rsidR="00C51B25" w:rsidRPr="005B04BF" w:rsidRDefault="00C51B25" w:rsidP="00C51B25">
      <w:pPr>
        <w:pStyle w:val="SingleTxtG"/>
        <w:rPr>
          <w:color w:val="000000" w:themeColor="text1"/>
        </w:rPr>
      </w:pPr>
      <w:r w:rsidRPr="005B04BF">
        <w:t>37.</w:t>
      </w:r>
      <w:r w:rsidRPr="005B04BF">
        <w:tab/>
        <w:t>Контроль параметров выбросов (разбавленного газа): в пункте 4.2.7.2 слова «надлежит провести» были заменены на «могут быть проведены» в целях согласования с ВПИМ.</w:t>
      </w:r>
    </w:p>
    <w:p w14:paraId="0CA63113" w14:textId="4C039D45" w:rsidR="00C51B25" w:rsidRPr="005B04BF" w:rsidRDefault="000E449E" w:rsidP="00C51B25">
      <w:pPr>
        <w:pStyle w:val="SingleTxtG"/>
      </w:pPr>
      <w:r>
        <w:tab/>
      </w:r>
      <w:r w:rsidR="00C51B25" w:rsidRPr="005B04BF">
        <w:t>В рамках ВПИМ</w:t>
      </w:r>
      <w:r w:rsidR="00C51B25" w:rsidRPr="005B04BF">
        <w:rPr>
          <w:b/>
          <w:bCs/>
        </w:rPr>
        <w:t xml:space="preserve"> </w:t>
      </w:r>
      <w:r w:rsidR="00C51B25" w:rsidRPr="005B04BF">
        <w:t xml:space="preserve">процедура не описывается: </w:t>
      </w:r>
    </w:p>
    <w:p w14:paraId="5EB56105" w14:textId="1F410DE6" w:rsidR="00C51B25" w:rsidRPr="005B04BF" w:rsidRDefault="00C51B25" w:rsidP="00EB75E1">
      <w:pPr>
        <w:pStyle w:val="SingleTxtG"/>
        <w:ind w:left="1701"/>
      </w:pPr>
      <w:r w:rsidRPr="005B04BF">
        <w:t>«2.9</w:t>
      </w:r>
      <w:r w:rsidRPr="005B04BF">
        <w:tab/>
        <w:t xml:space="preserve">Отбор проб газов </w:t>
      </w:r>
    </w:p>
    <w:p w14:paraId="6F57E2B7" w14:textId="1DBEE0A9" w:rsidR="00C51B25" w:rsidRPr="005B04BF" w:rsidRDefault="00C51B25" w:rsidP="00EB75E1">
      <w:pPr>
        <w:pStyle w:val="SingleTxtG"/>
        <w:ind w:left="1701"/>
      </w:pPr>
      <w:r w:rsidRPr="005B04BF">
        <w:t>Пробы газов отбирают в мешки; химический состав проб анализируют либо по окончании всего испытания или соответствующей фазы испытания, либо непрерывно с последующим интегрированием за весь цикл».</w:t>
      </w:r>
    </w:p>
    <w:p w14:paraId="19A187E2" w14:textId="3EBD7E66" w:rsidR="00C51B25" w:rsidRPr="005B04BF" w:rsidRDefault="00C51B25" w:rsidP="00EB75E1">
      <w:pPr>
        <w:pStyle w:val="SingleTxtG"/>
        <w:ind w:left="1701"/>
      </w:pPr>
      <w:r w:rsidRPr="005B04BF">
        <w:t xml:space="preserve">Пункт 86.537-90 раздела 40 Свода федеральных правил гласит: </w:t>
      </w:r>
    </w:p>
    <w:p w14:paraId="64E6B740" w14:textId="06A6E214" w:rsidR="00C51B25" w:rsidRPr="005B04BF" w:rsidRDefault="00C51B25" w:rsidP="00EB75E1">
      <w:pPr>
        <w:pStyle w:val="SingleTxtG"/>
        <w:ind w:left="1701"/>
      </w:pPr>
      <w:r>
        <w:t>«</w:t>
      </w:r>
      <w:r w:rsidRPr="005B04BF">
        <w:t>Непрерывное осуществление мониторинга выхлопных газов, как правило, не допускается. Для осуществления непрерывного мониторинга выхлопных газов необходимо получить специальное письменное разрешение административного органа».</w:t>
      </w:r>
    </w:p>
    <w:p w14:paraId="0210FD67" w14:textId="77777777" w:rsidR="00C51B25" w:rsidRPr="005B04BF" w:rsidRDefault="00C51B25" w:rsidP="00C51B25">
      <w:pPr>
        <w:pStyle w:val="SingleTxtG"/>
        <w:rPr>
          <w:color w:val="000000" w:themeColor="text1"/>
        </w:rPr>
      </w:pPr>
      <w:r w:rsidRPr="005B04BF">
        <w:t>38.</w:t>
      </w:r>
      <w:r w:rsidRPr="005B04BF">
        <w:tab/>
        <w:t xml:space="preserve">Анализ проб: в пункте 5.1.1.1 обозначение 20 минут было </w:t>
      </w:r>
      <w:r>
        <w:t>изменено</w:t>
      </w:r>
      <w:r w:rsidRPr="005B04BF">
        <w:t xml:space="preserve"> на 30 минут в целях согласования с ВПИМ.</w:t>
      </w:r>
    </w:p>
    <w:p w14:paraId="60D60227" w14:textId="48CAC4B8" w:rsidR="00C51B25" w:rsidRPr="005B04BF" w:rsidRDefault="000E449E" w:rsidP="000E449E">
      <w:pPr>
        <w:pStyle w:val="SingleTxtG"/>
        <w:rPr>
          <w:color w:val="000000" w:themeColor="text1"/>
        </w:rPr>
      </w:pPr>
      <w:r>
        <w:tab/>
      </w:r>
      <w:r w:rsidR="00C51B25" w:rsidRPr="005B04BF">
        <w:t>В пункте 5.1.1.4.3 были добавлены спецификации B5 и B7 в целях согласования с ВПИМ.</w:t>
      </w:r>
    </w:p>
    <w:p w14:paraId="0D1D72AE" w14:textId="67E87962" w:rsidR="00C51B25" w:rsidRPr="005B04BF" w:rsidRDefault="000E449E" w:rsidP="000E449E">
      <w:pPr>
        <w:pStyle w:val="SingleTxtG"/>
        <w:rPr>
          <w:color w:val="000000" w:themeColor="text1"/>
        </w:rPr>
      </w:pPr>
      <w:r>
        <w:tab/>
      </w:r>
      <w:r w:rsidR="00C51B25" w:rsidRPr="005B04BF">
        <w:t>В пункте 5.1.1.4.9 были добавлены спецификации B0 и B7 в целях согласования с ВПИМ.</w:t>
      </w:r>
    </w:p>
    <w:p w14:paraId="3DC545E4" w14:textId="5C858389" w:rsidR="00C51B25" w:rsidRPr="005B04BF" w:rsidRDefault="000E449E" w:rsidP="000E449E">
      <w:pPr>
        <w:pStyle w:val="SingleTxtG"/>
        <w:rPr>
          <w:color w:val="000000" w:themeColor="text1"/>
        </w:rPr>
      </w:pPr>
      <w:r>
        <w:tab/>
      </w:r>
      <w:r w:rsidR="00C51B25" w:rsidRPr="005B04BF">
        <w:t>В пункте 2.2.4 приложения 3 были добавлены спецификации B5 и B7 в целях согласования с ВПИМ.</w:t>
      </w:r>
    </w:p>
    <w:p w14:paraId="54171D02" w14:textId="7AC16263" w:rsidR="00C51B25" w:rsidRPr="005B04BF" w:rsidRDefault="000E449E" w:rsidP="000E449E">
      <w:pPr>
        <w:pStyle w:val="SingleTxtG"/>
        <w:rPr>
          <w:color w:val="000000" w:themeColor="text1"/>
        </w:rPr>
      </w:pPr>
      <w:r>
        <w:tab/>
      </w:r>
      <w:r w:rsidR="00C51B25" w:rsidRPr="005B04BF">
        <w:t>В пункте 1.4.3.6 приложения 3 были добавлены спецификации B0 в целях согласования с ВПИМ.</w:t>
      </w:r>
    </w:p>
    <w:p w14:paraId="15C0C61F" w14:textId="75B324E6" w:rsidR="00C51B25" w:rsidRPr="005B04BF" w:rsidRDefault="003B5624" w:rsidP="003B5624">
      <w:pPr>
        <w:pStyle w:val="H1G"/>
      </w:pPr>
      <w:r>
        <w:tab/>
      </w:r>
      <w:r w:rsidR="00C51B25" w:rsidRPr="005B04BF">
        <w:t>C.</w:t>
      </w:r>
      <w:r w:rsidR="00C51B25" w:rsidRPr="005B04BF">
        <w:tab/>
        <w:t>Исправления технического характера</w:t>
      </w:r>
    </w:p>
    <w:p w14:paraId="1F7D586C" w14:textId="77777777" w:rsidR="00C51B25" w:rsidRPr="005B04BF" w:rsidRDefault="00C51B25" w:rsidP="003B5624">
      <w:pPr>
        <w:pStyle w:val="H23G"/>
        <w:rPr>
          <w:rFonts w:eastAsia="MS Mincho"/>
          <w:bCs/>
        </w:rPr>
      </w:pPr>
      <w:r w:rsidRPr="005B04BF">
        <w:rPr>
          <w:rFonts w:eastAsia="MS Mincho"/>
        </w:rPr>
        <w:tab/>
        <w:t>1.</w:t>
      </w:r>
      <w:r w:rsidRPr="005B04BF">
        <w:rPr>
          <w:rFonts w:eastAsia="MS Mincho"/>
        </w:rPr>
        <w:tab/>
        <w:t xml:space="preserve">Массы, </w:t>
      </w:r>
      <w:r>
        <w:rPr>
          <w:rFonts w:eastAsia="MS Mincho"/>
        </w:rPr>
        <w:t>используемые</w:t>
      </w:r>
      <w:r w:rsidRPr="005B04BF">
        <w:rPr>
          <w:rFonts w:eastAsia="MS Mincho"/>
        </w:rPr>
        <w:t xml:space="preserve"> при настройке динамометрического стенда</w:t>
      </w:r>
    </w:p>
    <w:p w14:paraId="26B5F3D0" w14:textId="77777777" w:rsidR="00C51B25" w:rsidRPr="005B04BF" w:rsidRDefault="00C51B25" w:rsidP="003B5624">
      <w:pPr>
        <w:pStyle w:val="SingleTxtG"/>
        <w:rPr>
          <w:color w:val="000000" w:themeColor="text1"/>
        </w:rPr>
      </w:pPr>
      <w:r w:rsidRPr="005B04BF">
        <w:t>39.</w:t>
      </w:r>
      <w:r w:rsidRPr="005B04BF">
        <w:tab/>
      </w:r>
      <w:r>
        <w:t>Согласно объяснению, изложенному ЕК</w:t>
      </w:r>
      <w:r w:rsidRPr="005B04BF">
        <w:t xml:space="preserve"> в документе EPPR-40-01, в Евро</w:t>
      </w:r>
      <w:r>
        <w:t>-</w:t>
      </w:r>
      <w:r w:rsidRPr="005B04BF">
        <w:t xml:space="preserve">5 и ГТП № 2 ООН отмечаются различия в значениях масс, которые необходимо </w:t>
      </w:r>
      <w:r>
        <w:t>использовать</w:t>
      </w:r>
      <w:r w:rsidRPr="005B04BF">
        <w:t xml:space="preserve"> при настройке динамометрического стенда, обусловленные ошибкой в Евро</w:t>
      </w:r>
      <w:r>
        <w:t>-</w:t>
      </w:r>
      <w:r w:rsidRPr="005B04BF">
        <w:t>5.</w:t>
      </w:r>
    </w:p>
    <w:p w14:paraId="2D573E77" w14:textId="0913FDEF" w:rsidR="00C51B25" w:rsidRPr="005B04BF" w:rsidRDefault="000E449E" w:rsidP="003B5624">
      <w:pPr>
        <w:pStyle w:val="SingleTxtG"/>
        <w:rPr>
          <w:color w:val="000000" w:themeColor="text1"/>
        </w:rPr>
      </w:pPr>
      <w:r>
        <w:tab/>
      </w:r>
      <w:r w:rsidR="00C51B25" w:rsidRPr="005B04BF">
        <w:t>При настройке динамометра согласно Евро-5 используется m</w:t>
      </w:r>
      <w:r w:rsidR="00C51B25" w:rsidRPr="0095636A">
        <w:rPr>
          <w:vertAlign w:val="subscript"/>
        </w:rPr>
        <w:t>k</w:t>
      </w:r>
      <w:r w:rsidR="00C51B25" w:rsidRPr="005B04BF">
        <w:t>, равная массе в снаряженном состоянии без учета массы водителя, а в поправке 4 к ГТП № 2 ООН используется m</w:t>
      </w:r>
      <w:r w:rsidR="00C51B25" w:rsidRPr="0095636A">
        <w:rPr>
          <w:vertAlign w:val="subscript"/>
        </w:rPr>
        <w:t>ref</w:t>
      </w:r>
      <w:r w:rsidR="00C51B25" w:rsidRPr="005B04BF">
        <w:t>, которая включает в себя массу водителя в соответствии с ISO11486: m</w:t>
      </w:r>
      <w:r w:rsidR="00C51B25" w:rsidRPr="0095636A">
        <w:rPr>
          <w:vertAlign w:val="subscript"/>
        </w:rPr>
        <w:t>ref</w:t>
      </w:r>
      <w:r w:rsidR="00C51B25" w:rsidRPr="005B04BF">
        <w:t xml:space="preserve"> = m</w:t>
      </w:r>
      <w:r w:rsidR="00C51B25" w:rsidRPr="0095636A">
        <w:rPr>
          <w:vertAlign w:val="subscript"/>
        </w:rPr>
        <w:t>k</w:t>
      </w:r>
      <w:r w:rsidR="00C51B25" w:rsidRPr="005B04BF">
        <w:t xml:space="preserve"> + 75 кг.</w:t>
      </w:r>
    </w:p>
    <w:p w14:paraId="07043526" w14:textId="5F016129" w:rsidR="00C51B25" w:rsidRPr="005B04BF" w:rsidRDefault="000E449E" w:rsidP="003B5624">
      <w:pPr>
        <w:pStyle w:val="SingleTxtG"/>
        <w:rPr>
          <w:color w:val="000000" w:themeColor="text1"/>
        </w:rPr>
      </w:pPr>
      <w:r>
        <w:tab/>
      </w:r>
      <w:r w:rsidR="00C51B25" w:rsidRPr="005B04BF">
        <w:t xml:space="preserve">На сороковом заседании НРГ по ТЭТХ (декабрь 2020 года) ЕК пояснила, что в ГТП № 2 ООН массы указаны правильно, </w:t>
      </w:r>
      <w:r w:rsidR="00C51B25">
        <w:t>в то время как</w:t>
      </w:r>
      <w:r w:rsidR="00C51B25" w:rsidRPr="005B04BF">
        <w:t xml:space="preserve"> в Регламенте (ЕС) № 134/2014, касающемся Евро</w:t>
      </w:r>
      <w:r w:rsidR="00C51B25">
        <w:t>-</w:t>
      </w:r>
      <w:r w:rsidR="00C51B25" w:rsidRPr="005B04BF">
        <w:t>5, содержится ошибка, о которой подробно говорится в презентации EPPR-40-01 (ЕК). НРГ по ТЭТХ решила продолжать в основном использовать m</w:t>
      </w:r>
      <w:r w:rsidR="00C51B25" w:rsidRPr="00AF5C49">
        <w:rPr>
          <w:vertAlign w:val="subscript"/>
        </w:rPr>
        <w:t>k</w:t>
      </w:r>
      <w:r w:rsidR="00C51B25" w:rsidRPr="005B04BF">
        <w:t xml:space="preserve"> </w:t>
      </w:r>
      <w:r w:rsidR="00C51B25">
        <w:t>—</w:t>
      </w:r>
      <w:r w:rsidR="00C51B25" w:rsidRPr="005B04BF">
        <w:t xml:space="preserve"> до тех пор, пока это практически осуществимо.</w:t>
      </w:r>
    </w:p>
    <w:p w14:paraId="4777A515" w14:textId="52F94998" w:rsidR="00C51B25" w:rsidRPr="005B04BF" w:rsidRDefault="000E449E" w:rsidP="003B5624">
      <w:pPr>
        <w:pStyle w:val="SingleTxtG"/>
        <w:rPr>
          <w:color w:val="000000" w:themeColor="text1"/>
        </w:rPr>
      </w:pPr>
      <w:r>
        <w:tab/>
      </w:r>
      <w:r w:rsidR="00C51B25" w:rsidRPr="005B04BF">
        <w:t xml:space="preserve">Следует обратить внимание на ISO11486 </w:t>
      </w:r>
      <w:r w:rsidR="00C51B25">
        <w:t>«</w:t>
      </w:r>
      <w:r w:rsidR="00C51B25" w:rsidRPr="005B04BF">
        <w:t xml:space="preserve">Мотоциклы </w:t>
      </w:r>
      <w:r w:rsidR="00C51B25">
        <w:t>—</w:t>
      </w:r>
      <w:r w:rsidR="00C51B25" w:rsidRPr="005B04BF">
        <w:t xml:space="preserve"> методы настройки сопротивления движению на динамометрическом стенде</w:t>
      </w:r>
      <w:r w:rsidR="00C51B25">
        <w:t>»</w:t>
      </w:r>
      <w:r w:rsidR="00C51B25" w:rsidRPr="005B04BF">
        <w:t>, чтобы исходя из этого документа определиться с руководящими указаниями относительно выбора массы для таблицы значений силы сопротивления.</w:t>
      </w:r>
    </w:p>
    <w:p w14:paraId="5404EBE5" w14:textId="4089350B" w:rsidR="00C51B25" w:rsidRPr="005B04BF" w:rsidRDefault="000E449E" w:rsidP="003B5624">
      <w:pPr>
        <w:pStyle w:val="SingleTxtG"/>
        <w:rPr>
          <w:color w:val="000000" w:themeColor="text1"/>
        </w:rPr>
      </w:pPr>
      <w:r>
        <w:tab/>
      </w:r>
      <w:r w:rsidR="00C51B25" w:rsidRPr="005B04BF">
        <w:t>В этом документе говорится:</w:t>
      </w:r>
    </w:p>
    <w:p w14:paraId="5BDAA527" w14:textId="4B3BD6A2" w:rsidR="00C51B25" w:rsidRPr="005B04BF" w:rsidRDefault="00C51B25" w:rsidP="00EB75E1">
      <w:pPr>
        <w:pStyle w:val="SingleTxtG"/>
        <w:ind w:left="1701"/>
        <w:rPr>
          <w:color w:val="000000" w:themeColor="text1"/>
        </w:rPr>
      </w:pPr>
      <w:r>
        <w:t>«</w:t>
      </w:r>
      <w:r w:rsidRPr="005B04BF">
        <w:t>10 Настройки динамометрического стенда с использованием таблицы значений силы сопротивления.</w:t>
      </w:r>
    </w:p>
    <w:p w14:paraId="6DFEB7C2" w14:textId="62012D9F" w:rsidR="00C51B25" w:rsidRPr="005B04BF" w:rsidRDefault="00C51B25" w:rsidP="00EB75E1">
      <w:pPr>
        <w:pStyle w:val="SingleTxtG"/>
        <w:ind w:left="1701"/>
        <w:rPr>
          <w:color w:val="000000" w:themeColor="text1"/>
        </w:rPr>
      </w:pPr>
      <w:r w:rsidRPr="005B04BF">
        <w:t>10.1 Сфера применения</w:t>
      </w:r>
    </w:p>
    <w:p w14:paraId="5FDC9193" w14:textId="51A5D5A0" w:rsidR="00C51B25" w:rsidRPr="005B04BF" w:rsidRDefault="00C51B25" w:rsidP="00EB75E1">
      <w:pPr>
        <w:pStyle w:val="SingleTxtG"/>
        <w:ind w:left="1701"/>
        <w:rPr>
          <w:color w:val="000000" w:themeColor="text1"/>
        </w:rPr>
      </w:pPr>
      <w:r w:rsidRPr="005B04BF">
        <w:t>Регулировка динамометрического стенда может производиться с использованием не значений силы сопротивления поступательному движению, полученных при помощи метода измерения при движении накатом, а значений, взятых из соответствующей таблицы. В случае метода, предполагающего использование таблицы, регулировку динамометрического стенда производят исходя из контрольной массы мотоцикла вне зависимости от его технических характеристик».</w:t>
      </w:r>
    </w:p>
    <w:p w14:paraId="2BC9973C" w14:textId="62400613" w:rsidR="00C51B25" w:rsidRPr="005B04BF" w:rsidRDefault="000E449E" w:rsidP="00EB75E1">
      <w:pPr>
        <w:pStyle w:val="af3"/>
        <w:numPr>
          <w:ilvl w:val="0"/>
          <w:numId w:val="0"/>
        </w:numPr>
        <w:ind w:left="1701" w:right="1134"/>
        <w:jc w:val="both"/>
        <w:rPr>
          <w:color w:val="000000" w:themeColor="text1"/>
        </w:rPr>
      </w:pPr>
      <w:r>
        <w:tab/>
      </w:r>
      <w:r w:rsidR="00C51B25" w:rsidRPr="005B04BF">
        <w:t>В разделе 4 «Условные обозначения» ISO11486 указано следующее:</w:t>
      </w:r>
    </w:p>
    <w:p w14:paraId="6FBBA2AC" w14:textId="4D35F486" w:rsidR="00C51B25" w:rsidRPr="005B04BF" w:rsidRDefault="00C51B25" w:rsidP="00EB75E1">
      <w:pPr>
        <w:pStyle w:val="SingleTxtG"/>
        <w:ind w:left="1701"/>
        <w:rPr>
          <w:color w:val="000000" w:themeColor="text1"/>
        </w:rPr>
      </w:pPr>
      <w:r w:rsidRPr="005B04BF">
        <w:t>«M</w:t>
      </w:r>
      <w:r w:rsidRPr="00497D50">
        <w:rPr>
          <w:vertAlign w:val="subscript"/>
        </w:rPr>
        <w:t xml:space="preserve">ref </w:t>
      </w:r>
      <w:r w:rsidRPr="005B04BF">
        <w:t>= масса мотоцикла в снаряженном состоянии, увеличенная на постоянную величину в 75 кг, которая соответствует массе водителя».</w:t>
      </w:r>
    </w:p>
    <w:p w14:paraId="0C5CA470" w14:textId="77777777" w:rsidR="00C51B25" w:rsidRPr="005B04BF" w:rsidRDefault="00C51B25" w:rsidP="003B5624">
      <w:pPr>
        <w:pStyle w:val="H23G"/>
        <w:rPr>
          <w:rFonts w:eastAsia="MS Mincho"/>
          <w:bCs/>
        </w:rPr>
      </w:pPr>
      <w:r>
        <w:rPr>
          <w:rFonts w:eastAsia="MS Mincho"/>
        </w:rPr>
        <w:tab/>
      </w:r>
      <w:r w:rsidRPr="005B04BF">
        <w:rPr>
          <w:rFonts w:eastAsia="MS Mincho"/>
        </w:rPr>
        <w:t>2.</w:t>
      </w:r>
      <w:r w:rsidRPr="005B04BF">
        <w:rPr>
          <w:rFonts w:eastAsia="MS Mincho"/>
        </w:rPr>
        <w:tab/>
        <w:t>Транспортные средства со сдвоенными колесами</w:t>
      </w:r>
    </w:p>
    <w:p w14:paraId="591D0B37" w14:textId="77777777" w:rsidR="00C51B25" w:rsidRPr="005B04BF" w:rsidRDefault="00C51B25" w:rsidP="003B5624">
      <w:pPr>
        <w:pStyle w:val="SingleTxtG"/>
        <w:rPr>
          <w:color w:val="000000" w:themeColor="text1"/>
        </w:rPr>
      </w:pPr>
      <w:r w:rsidRPr="005B04BF">
        <w:t>40.</w:t>
      </w:r>
      <w:r w:rsidRPr="005B04BF">
        <w:tab/>
        <w:t xml:space="preserve">Двухколесные транспортные средства со сдвоенными колесами уже были включены в поправку 4 к ГТП № 2 ООН, что </w:t>
      </w:r>
      <w:r>
        <w:t xml:space="preserve">было подтверждено </w:t>
      </w:r>
      <w:r w:rsidRPr="005B04BF">
        <w:t>МАЗМ на сорок первом заседании НРГ по ТЭТХ (январь 2021 года).</w:t>
      </w:r>
    </w:p>
    <w:p w14:paraId="4A443577" w14:textId="4130FB18" w:rsidR="00C51B25" w:rsidRPr="005B04BF" w:rsidRDefault="00EB75E1" w:rsidP="003B5624">
      <w:pPr>
        <w:pStyle w:val="SingleTxtG"/>
        <w:rPr>
          <w:color w:val="000000" w:themeColor="text1"/>
        </w:rPr>
      </w:pPr>
      <w:r>
        <w:tab/>
      </w:r>
      <w:r w:rsidR="00C51B25" w:rsidRPr="005B04BF">
        <w:t xml:space="preserve">Однако в связи с отсутствием определения сдвоенных колес во избежание возможного недопонимания МАЗМ выступила на сорок втором заседании НРГ по ТЭТХ в феврале 2021 года с докладом, в котором объяснялась разница между </w:t>
      </w:r>
      <w:r w:rsidR="00C51B25">
        <w:t>«</w:t>
      </w:r>
      <w:r w:rsidR="00C51B25" w:rsidRPr="005B04BF">
        <w:t>сдвоенными колесами</w:t>
      </w:r>
      <w:r w:rsidR="00C51B25">
        <w:t>»</w:t>
      </w:r>
      <w:r w:rsidR="00C51B25" w:rsidRPr="005B04BF">
        <w:t xml:space="preserve"> и </w:t>
      </w:r>
      <w:r w:rsidR="00C51B25">
        <w:t>«</w:t>
      </w:r>
      <w:r w:rsidR="00C51B25" w:rsidRPr="005B04BF">
        <w:t>трехколесными транспортными средствам</w:t>
      </w:r>
      <w:r w:rsidR="00C51B25">
        <w:t>и»</w:t>
      </w:r>
      <w:r w:rsidR="00C51B25" w:rsidRPr="005B04BF">
        <w:t xml:space="preserve"> </w:t>
      </w:r>
      <w:r>
        <w:br/>
      </w:r>
      <w:r w:rsidR="00C51B25" w:rsidRPr="005B04BF">
        <w:t>(см. EPPR-42-06r1).</w:t>
      </w:r>
    </w:p>
    <w:p w14:paraId="35C3F311" w14:textId="7BD4DEC2" w:rsidR="00C51B25" w:rsidRPr="005B04BF" w:rsidRDefault="00EB75E1" w:rsidP="003B5624">
      <w:pPr>
        <w:pStyle w:val="SingleTxtG"/>
        <w:rPr>
          <w:color w:val="000000" w:themeColor="text1"/>
        </w:rPr>
      </w:pPr>
      <w:r>
        <w:tab/>
      </w:r>
      <w:r w:rsidR="00C51B25" w:rsidRPr="005B04BF">
        <w:t xml:space="preserve">В документе EPPR-43-02 МАЗМ предложила добавить определение </w:t>
      </w:r>
      <w:r w:rsidR="00C51B25">
        <w:t>«</w:t>
      </w:r>
      <w:r w:rsidR="00C51B25" w:rsidRPr="005B04BF">
        <w:t>сдвоенных колес</w:t>
      </w:r>
      <w:r w:rsidR="00C51B25">
        <w:t>»</w:t>
      </w:r>
      <w:r w:rsidR="00C51B25" w:rsidRPr="005B04BF">
        <w:t>, чтобы привести положения поправки 5 в соответствие с Регламентом (ЕС) № 134/2014.</w:t>
      </w:r>
    </w:p>
    <w:p w14:paraId="3950AF0A" w14:textId="3072C604" w:rsidR="00C51B25" w:rsidRPr="005B04BF" w:rsidRDefault="00EB75E1" w:rsidP="003B5624">
      <w:pPr>
        <w:pStyle w:val="SingleTxtG"/>
        <w:rPr>
          <w:color w:val="000000" w:themeColor="text1"/>
        </w:rPr>
      </w:pPr>
      <w:r>
        <w:tab/>
      </w:r>
      <w:r w:rsidR="00C51B25" w:rsidRPr="005B04BF">
        <w:t xml:space="preserve">В EPPR-43-05 МАЗМ предложила дополнительно добавить разъяснение о необходимости наклона при повороте для конфигурации </w:t>
      </w:r>
      <w:r w:rsidR="00C51B25">
        <w:t>«</w:t>
      </w:r>
      <w:r w:rsidR="00C51B25" w:rsidRPr="005B04BF">
        <w:t>со сдвоенными колесами</w:t>
      </w:r>
      <w:r w:rsidR="00C51B25">
        <w:t>»</w:t>
      </w:r>
      <w:r w:rsidR="00C51B25" w:rsidRPr="005B04BF">
        <w:t>. Это предложение было в принципе согласовано, при этом формулировка была изменена таким образом, чтобы речь шла о</w:t>
      </w:r>
      <w:r w:rsidR="00C51B25">
        <w:t xml:space="preserve"> «</w:t>
      </w:r>
      <w:r w:rsidR="00C51B25" w:rsidRPr="005B04BF">
        <w:t>двухколесных мопедах</w:t>
      </w:r>
      <w:r w:rsidR="00C51B25">
        <w:t>»</w:t>
      </w:r>
      <w:r w:rsidR="00C51B25" w:rsidRPr="005B04BF">
        <w:t xml:space="preserve"> и </w:t>
      </w:r>
      <w:r w:rsidR="00C51B25">
        <w:t>«</w:t>
      </w:r>
      <w:r w:rsidR="00C51B25" w:rsidRPr="005B04BF">
        <w:t>двухколесных мотоциклах</w:t>
      </w:r>
      <w:r w:rsidR="00C51B25">
        <w:t>»</w:t>
      </w:r>
      <w:r w:rsidR="00C51B25" w:rsidRPr="005B04BF">
        <w:t>.</w:t>
      </w:r>
    </w:p>
    <w:p w14:paraId="6757E0A2" w14:textId="3E2365F0" w:rsidR="00C51B25" w:rsidRPr="005B04BF" w:rsidRDefault="00EB75E1" w:rsidP="003B5624">
      <w:pPr>
        <w:pStyle w:val="SingleTxtG"/>
        <w:rPr>
          <w:color w:val="000000" w:themeColor="text1"/>
        </w:rPr>
      </w:pPr>
      <w:r>
        <w:tab/>
      </w:r>
      <w:r w:rsidR="00C51B25" w:rsidRPr="005B04BF">
        <w:t>Обновленное предложение относительно сдвоенных колес было отражено в строке 15 документа EPPR-43-10:</w:t>
      </w:r>
    </w:p>
    <w:p w14:paraId="31518410" w14:textId="29F2888E" w:rsidR="00C51B25" w:rsidRPr="005B04BF" w:rsidRDefault="00C51B25" w:rsidP="00EB75E1">
      <w:pPr>
        <w:pStyle w:val="SingleTxtG"/>
        <w:ind w:left="1701"/>
      </w:pPr>
      <w:r w:rsidRPr="005B04BF">
        <w:t>«</w:t>
      </w:r>
      <w:r w:rsidRPr="00FC78CD">
        <w:t>“</w:t>
      </w:r>
      <w:r>
        <w:rPr>
          <w:i/>
          <w:iCs/>
        </w:rPr>
        <w:t>С</w:t>
      </w:r>
      <w:r w:rsidRPr="005B04BF">
        <w:rPr>
          <w:i/>
          <w:iCs/>
        </w:rPr>
        <w:t>двоенные колеса</w:t>
      </w:r>
      <w:r w:rsidRPr="00FC78CD">
        <w:t>”</w:t>
      </w:r>
      <w:r w:rsidRPr="005B04BF">
        <w:t xml:space="preserve"> означают два колеса, расположенные на одной оси, которые рассматриваются в качестве одного колеса при условии, что расстояние между центрами пятен контакта с дорогой составляет не более 460 мм.</w:t>
      </w:r>
    </w:p>
    <w:p w14:paraId="1F443228" w14:textId="586D7B30" w:rsidR="00C51B25" w:rsidRPr="005B04BF" w:rsidRDefault="00C51B25" w:rsidP="00EB75E1">
      <w:pPr>
        <w:pStyle w:val="SingleTxtG"/>
        <w:ind w:left="1701"/>
      </w:pPr>
      <w:r w:rsidRPr="005B04BF">
        <w:t xml:space="preserve">В случае двухколесных мопедов и двухколесных мотоциклов, если оснащение транспортного средства соответствует конфигурации со </w:t>
      </w:r>
      <w:r w:rsidRPr="00FC78CD">
        <w:t>“</w:t>
      </w:r>
      <w:r w:rsidRPr="005B04BF">
        <w:t>сдвоенными колесами</w:t>
      </w:r>
      <w:r w:rsidRPr="00FC78CD">
        <w:t>”</w:t>
      </w:r>
      <w:r w:rsidRPr="005B04BF">
        <w:t>, то вся конструкция транспортного средства или часть этой конструкции должна наклоняться при повороте».</w:t>
      </w:r>
    </w:p>
    <w:p w14:paraId="1644E1EE" w14:textId="735B553A" w:rsidR="00C51B25" w:rsidRPr="005B04BF" w:rsidRDefault="00EB75E1" w:rsidP="00EB75E1">
      <w:pPr>
        <w:pStyle w:val="SingleTxtG"/>
        <w:rPr>
          <w:color w:val="000000" w:themeColor="text1"/>
        </w:rPr>
      </w:pPr>
      <w:r>
        <w:tab/>
      </w:r>
      <w:r w:rsidR="00C51B25" w:rsidRPr="005B04BF">
        <w:t>Приведенный выше текст был включен в EPPR-44-03 и в официальный документ (GRPE/2022/6).</w:t>
      </w:r>
    </w:p>
    <w:p w14:paraId="6B9C202E" w14:textId="77777777" w:rsidR="00C51B25" w:rsidRPr="005B04BF" w:rsidRDefault="00C51B25" w:rsidP="003B5624">
      <w:pPr>
        <w:pStyle w:val="H23G"/>
        <w:rPr>
          <w:rFonts w:eastAsia="MS Mincho"/>
          <w:bCs/>
        </w:rPr>
      </w:pPr>
      <w:r w:rsidRPr="005B04BF">
        <w:rPr>
          <w:rFonts w:eastAsia="MS Mincho"/>
        </w:rPr>
        <w:tab/>
        <w:t>3.</w:t>
      </w:r>
      <w:r w:rsidRPr="005B04BF">
        <w:rPr>
          <w:rFonts w:eastAsia="MS Mincho"/>
        </w:rPr>
        <w:tab/>
        <w:t>Трехколесные транспортные средства</w:t>
      </w:r>
    </w:p>
    <w:p w14:paraId="5F8B71CE" w14:textId="0932F2AE" w:rsidR="00C51B25" w:rsidRPr="005B04BF" w:rsidRDefault="00C51B25" w:rsidP="003B5624">
      <w:pPr>
        <w:pStyle w:val="SingleTxtG"/>
        <w:rPr>
          <w:color w:val="000000" w:themeColor="text1"/>
        </w:rPr>
      </w:pPr>
      <w:r w:rsidRPr="005B04BF">
        <w:t>41.</w:t>
      </w:r>
      <w:r w:rsidRPr="005B04BF">
        <w:tab/>
        <w:t xml:space="preserve">В октябре 2020 года в ходе тридцать девятого заседания НРГ по ТЭТХ МАЗМ объявила о своем намерении внести предложение о включении трехколесных транспортных средств в поправку 5 к ГТП № 2 ООН. Трехколесные транспортные средства не были включены в поправку 4, чтобы не усложнять задачу и удовлетворить требованиям ряда стран завершить работу над этой поправкой в короткий срок в целях выполнения национальных обязательств. Однако изначально область применения </w:t>
      </w:r>
      <w:r w:rsidR="00EB75E1">
        <w:br/>
      </w:r>
      <w:r w:rsidRPr="005B04BF">
        <w:t>ГТП № 2 ООН распространялась на трехколесные транспортные средства, и поэтому МАЗМ предлагает вновь включить трехколесные транспортные средства в область применения ГТП № 2 ООН.</w:t>
      </w:r>
    </w:p>
    <w:p w14:paraId="0399D7A9" w14:textId="0294C509" w:rsidR="00C51B25" w:rsidRPr="005B04BF" w:rsidRDefault="00EB75E1" w:rsidP="003B5624">
      <w:pPr>
        <w:pStyle w:val="SingleTxtG"/>
        <w:rPr>
          <w:color w:val="000000" w:themeColor="text1"/>
        </w:rPr>
      </w:pPr>
      <w:r>
        <w:tab/>
      </w:r>
      <w:r w:rsidR="00C51B25" w:rsidRPr="005B04BF">
        <w:t xml:space="preserve">На том же заседании </w:t>
      </w:r>
      <w:r w:rsidR="00C51B25">
        <w:t>данное</w:t>
      </w:r>
      <w:r w:rsidR="00C51B25" w:rsidRPr="005B04BF">
        <w:t xml:space="preserve"> предложение было поддержано АООС.</w:t>
      </w:r>
    </w:p>
    <w:p w14:paraId="3FF3307B" w14:textId="20578E80" w:rsidR="00C51B25" w:rsidRPr="005B04BF" w:rsidRDefault="00EB75E1" w:rsidP="003B5624">
      <w:pPr>
        <w:pStyle w:val="SingleTxtG"/>
        <w:rPr>
          <w:color w:val="000000" w:themeColor="text1"/>
        </w:rPr>
      </w:pPr>
      <w:r>
        <w:tab/>
      </w:r>
      <w:r w:rsidR="00C51B25" w:rsidRPr="005B04BF">
        <w:t xml:space="preserve">В ходе своего сорок первого заседания (январь 2021 года) НРГ по ТЭТХ </w:t>
      </w:r>
      <w:r w:rsidR="00C51B25">
        <w:t>приняла решение</w:t>
      </w:r>
      <w:r w:rsidR="00C51B25" w:rsidRPr="005B04BF">
        <w:t xml:space="preserve"> включить в область применения трехколесные транспортные средства. Впоследствии было принято решение исключить из области применения трехколесные транспортные средства малой мощности, распространенные в Индии (см. ниже).</w:t>
      </w:r>
    </w:p>
    <w:p w14:paraId="6F97C076" w14:textId="77777777" w:rsidR="00C51B25" w:rsidRPr="005B04BF" w:rsidRDefault="00C51B25" w:rsidP="003B5624">
      <w:pPr>
        <w:pStyle w:val="H23G"/>
        <w:rPr>
          <w:rFonts w:eastAsia="MS Mincho"/>
          <w:bCs/>
        </w:rPr>
      </w:pPr>
      <w:r w:rsidRPr="005B04BF">
        <w:rPr>
          <w:rFonts w:eastAsia="MS Mincho"/>
        </w:rPr>
        <w:tab/>
        <w:t>4.</w:t>
      </w:r>
      <w:r w:rsidRPr="005B04BF">
        <w:rPr>
          <w:rFonts w:eastAsia="MS Mincho"/>
        </w:rPr>
        <w:tab/>
        <w:t>Трехколесные транспортные средства, распространенные в Индии</w:t>
      </w:r>
    </w:p>
    <w:p w14:paraId="2BBF70A5" w14:textId="77777777" w:rsidR="00C51B25" w:rsidRPr="005B04BF" w:rsidRDefault="00C51B25" w:rsidP="003B5624">
      <w:pPr>
        <w:pStyle w:val="SingleTxtG"/>
        <w:rPr>
          <w:color w:val="000000" w:themeColor="text1"/>
        </w:rPr>
      </w:pPr>
      <w:r w:rsidRPr="005B04BF">
        <w:t>42.</w:t>
      </w:r>
      <w:r w:rsidRPr="005B04BF">
        <w:tab/>
        <w:t>В документе EPPR-41-02 (январь 2021 года) Индия первоначально предложила включить в область применения трехколесные транспортные средства малой мощности, характерные для индийского рынка.</w:t>
      </w:r>
    </w:p>
    <w:p w14:paraId="6A51347E" w14:textId="5A028461" w:rsidR="00C51B25" w:rsidRPr="005B04BF" w:rsidRDefault="00EB75E1" w:rsidP="003B5624">
      <w:pPr>
        <w:pStyle w:val="SingleTxtG"/>
        <w:rPr>
          <w:color w:val="000000" w:themeColor="text1"/>
        </w:rPr>
      </w:pPr>
      <w:r>
        <w:tab/>
      </w:r>
      <w:r w:rsidR="00C51B25" w:rsidRPr="005B04BF">
        <w:t xml:space="preserve">Однако было отмечено, что из-за низкого отношения мощности к массе максимальная скорость и ускорение индийских трехколесных транспортных средств намного меньше, чем требуется в соответствии с действующим циклом </w:t>
      </w:r>
      <w:r w:rsidR="00C51B25">
        <w:t>ВЦИМ</w:t>
      </w:r>
      <w:r w:rsidR="00C51B25" w:rsidRPr="005B04BF">
        <w:t>.</w:t>
      </w:r>
    </w:p>
    <w:p w14:paraId="4857BBB6" w14:textId="07D63F68" w:rsidR="00C51B25" w:rsidRPr="005B04BF" w:rsidRDefault="00EB75E1" w:rsidP="003B5624">
      <w:pPr>
        <w:pStyle w:val="SingleTxtG"/>
        <w:rPr>
          <w:color w:val="000000" w:themeColor="text1"/>
        </w:rPr>
      </w:pPr>
      <w:r>
        <w:tab/>
      </w:r>
      <w:r w:rsidR="00C51B25" w:rsidRPr="005B04BF">
        <w:t xml:space="preserve">С точки зрения правил, касающихся выбросов, данная категория транспортных средств в Индии рассматривается отдельно от других транспортных средств </w:t>
      </w:r>
      <w:r>
        <w:br/>
      </w:r>
      <w:r w:rsidR="00C51B25" w:rsidRPr="005B04BF">
        <w:t>категории L из-за особых условий их эксплуатации.</w:t>
      </w:r>
    </w:p>
    <w:p w14:paraId="68C90B35" w14:textId="0A514EDA" w:rsidR="00C51B25" w:rsidRPr="005B04BF" w:rsidRDefault="00C51B25" w:rsidP="003B5624">
      <w:pPr>
        <w:pStyle w:val="SingleTxtG"/>
        <w:rPr>
          <w:color w:val="000000" w:themeColor="text1"/>
        </w:rPr>
      </w:pPr>
      <w:r w:rsidRPr="005B04BF">
        <w:t>43.</w:t>
      </w:r>
      <w:r w:rsidRPr="005B04BF">
        <w:tab/>
        <w:t xml:space="preserve">Для этого типа транспортных средств в Индии действуют особые нормы выбросов отработавших газов, </w:t>
      </w:r>
      <w:r>
        <w:t>вступившие</w:t>
      </w:r>
      <w:r w:rsidRPr="005B04BF">
        <w:t xml:space="preserve"> в силу </w:t>
      </w:r>
      <w:r>
        <w:t>в</w:t>
      </w:r>
      <w:r w:rsidRPr="005B04BF">
        <w:t xml:space="preserve"> апрел</w:t>
      </w:r>
      <w:r>
        <w:t>е</w:t>
      </w:r>
      <w:r w:rsidRPr="005B04BF">
        <w:t xml:space="preserve"> 2020 года в рамках </w:t>
      </w:r>
      <w:r w:rsidR="00EB75E1">
        <w:br/>
      </w:r>
      <w:r w:rsidRPr="005B04BF">
        <w:t>этапа VI Бхарат (BS</w:t>
      </w:r>
      <w:r w:rsidR="00EB75E1">
        <w:t> </w:t>
      </w:r>
      <w:r w:rsidRPr="005B04BF">
        <w:t>VI) на основе индийского ездового цикла (ИЕЦ), который отличается от испытательного цикла, предусмотренного в ГТП № 2 ООН.</w:t>
      </w:r>
    </w:p>
    <w:p w14:paraId="03BFE525" w14:textId="38E9C78E" w:rsidR="00C51B25" w:rsidRPr="005B04BF" w:rsidRDefault="00C51B25" w:rsidP="003B5624">
      <w:pPr>
        <w:pStyle w:val="SingleTxtG"/>
        <w:rPr>
          <w:color w:val="000000" w:themeColor="text1"/>
        </w:rPr>
      </w:pPr>
      <w:r w:rsidRPr="005B04BF">
        <w:t>44.</w:t>
      </w:r>
      <w:r w:rsidRPr="005B04BF">
        <w:tab/>
        <w:t xml:space="preserve">Поскольку Индия пока еще не смогла прояснить, нужен </w:t>
      </w:r>
      <w:r w:rsidR="00EB75E1">
        <w:t xml:space="preserve">ли </w:t>
      </w:r>
      <w:r w:rsidRPr="005B04BF">
        <w:t>для этого типа транспортных средств особый цикл в том числе в рамках ГТП № 2 ООН, на сорок втором заседании НРГ по ТЭТХ (февраль 2021 года) Индия поддержала в принципе предложение о включении в поправку 5 к ГТП № 2 ООН типа трехколесных транспортных средств, уже включенных в Евро-5, исключив на время транспортные средства малой мощности, характерные для индийского рынка</w:t>
      </w:r>
      <w:r>
        <w:t>,</w:t>
      </w:r>
      <w:r w:rsidRPr="005B04BF">
        <w:t xml:space="preserve"> с возможность их рассмотрения в рамках будущих поправок. НРГ по ТЭТХ решила включить после пункта 1.1 пояснительную записку, в которой уточняется, что рассмотрение транспортных средств с УММ ≤</w:t>
      </w:r>
      <w:r w:rsidR="00284B9C" w:rsidRPr="00284B9C">
        <w:t xml:space="preserve"> </w:t>
      </w:r>
      <w:r w:rsidRPr="005B04BF">
        <w:t xml:space="preserve">22 Вт/кг и максимальной расчетной скоростью </w:t>
      </w:r>
      <w:r w:rsidR="00EB75E1">
        <w:br/>
      </w:r>
      <w:r w:rsidRPr="005B04BF">
        <w:t>≤</w:t>
      </w:r>
      <w:r w:rsidR="00284B9C" w:rsidRPr="00984B7A">
        <w:t xml:space="preserve"> </w:t>
      </w:r>
      <w:r w:rsidRPr="005B04BF">
        <w:t xml:space="preserve">70 км/ч в рамках поправки 5 было отложено. </w:t>
      </w:r>
    </w:p>
    <w:p w14:paraId="73C67DB3" w14:textId="6332B043" w:rsidR="00C51B25" w:rsidRPr="005B04BF" w:rsidRDefault="00C51B25" w:rsidP="003B5624">
      <w:pPr>
        <w:pStyle w:val="H23G"/>
        <w:rPr>
          <w:rFonts w:eastAsia="MS Mincho"/>
          <w:bCs/>
        </w:rPr>
      </w:pPr>
      <w:r w:rsidRPr="005B04BF">
        <w:rPr>
          <w:rFonts w:eastAsia="MS Mincho"/>
        </w:rPr>
        <w:tab/>
        <w:t>5.</w:t>
      </w:r>
      <w:r w:rsidR="003B5624">
        <w:rPr>
          <w:rFonts w:eastAsia="MS Mincho"/>
        </w:rPr>
        <w:tab/>
      </w:r>
      <w:r w:rsidRPr="005B04BF">
        <w:rPr>
          <w:rFonts w:eastAsia="MS Mincho"/>
        </w:rPr>
        <w:t>Альтернативные виды топлива</w:t>
      </w:r>
    </w:p>
    <w:p w14:paraId="20D14440" w14:textId="77777777" w:rsidR="00C51B25" w:rsidRPr="005B04BF" w:rsidRDefault="00C51B25" w:rsidP="003B5624">
      <w:pPr>
        <w:pStyle w:val="SingleTxtG"/>
        <w:rPr>
          <w:color w:val="000000" w:themeColor="text1"/>
        </w:rPr>
      </w:pPr>
      <w:r w:rsidRPr="005B04BF">
        <w:t>45.</w:t>
      </w:r>
      <w:r w:rsidRPr="005B04BF">
        <w:tab/>
        <w:t xml:space="preserve">В документе EPPR-41-02 (январь 2021 года) Индия предложила включить в область применения ГТП № 2 ООН газомоторные трехколесные транспортные средства, в частности трехколесные транспортные средства, работающие на КПГ и СНГ, и внести для этой цели следующие изменения: </w:t>
      </w:r>
    </w:p>
    <w:p w14:paraId="1734076C" w14:textId="77777777" w:rsidR="00C51B25" w:rsidRPr="005B04BF" w:rsidRDefault="00C51B25" w:rsidP="003B5624">
      <w:pPr>
        <w:pStyle w:val="SingleTxtG"/>
        <w:ind w:left="1701"/>
        <w:rPr>
          <w:color w:val="000000" w:themeColor="text1"/>
        </w:rPr>
      </w:pPr>
      <w:r w:rsidRPr="005B04BF">
        <w:t>«Включить в ГТП № 2 ООН аварийную топливную систему для газомоторных трехколесных транспортных средств.</w:t>
      </w:r>
    </w:p>
    <w:p w14:paraId="420D683E" w14:textId="77777777" w:rsidR="00C51B25" w:rsidRPr="005B04BF" w:rsidRDefault="00C51B25" w:rsidP="003B5624">
      <w:pPr>
        <w:pStyle w:val="SingleTxtG"/>
        <w:ind w:left="1701"/>
        <w:rPr>
          <w:color w:val="000000" w:themeColor="text1"/>
        </w:rPr>
      </w:pPr>
      <w:r>
        <w:t>И</w:t>
      </w:r>
      <w:r w:rsidRPr="005B04BF">
        <w:t xml:space="preserve">з испытаний на выбросы </w:t>
      </w:r>
      <w:r>
        <w:t>и</w:t>
      </w:r>
      <w:r w:rsidRPr="005B04BF">
        <w:t>сключить аварийную топливную систему (р</w:t>
      </w:r>
      <w:r>
        <w:t xml:space="preserve">аботающую </w:t>
      </w:r>
      <w:r w:rsidRPr="005B04BF">
        <w:t>на бензине).</w:t>
      </w:r>
    </w:p>
    <w:p w14:paraId="1764DA3C" w14:textId="77777777" w:rsidR="00C51B25" w:rsidRPr="005B04BF" w:rsidRDefault="00C51B25" w:rsidP="003B5624">
      <w:pPr>
        <w:pStyle w:val="SingleTxtG"/>
        <w:ind w:left="1701"/>
        <w:rPr>
          <w:color w:val="000000" w:themeColor="text1"/>
        </w:rPr>
      </w:pPr>
      <w:r w:rsidRPr="005B04BF">
        <w:t xml:space="preserve">Включить новые определения, </w:t>
      </w:r>
      <w:r>
        <w:t>касающиеся</w:t>
      </w:r>
      <w:r w:rsidRPr="005B04BF">
        <w:t xml:space="preserve"> газомоторны</w:t>
      </w:r>
      <w:r>
        <w:t>х</w:t>
      </w:r>
      <w:r w:rsidRPr="005B04BF">
        <w:t xml:space="preserve"> транспортны</w:t>
      </w:r>
      <w:r>
        <w:t>х</w:t>
      </w:r>
      <w:r w:rsidRPr="005B04BF">
        <w:t xml:space="preserve"> средств (монотопливное транспортное средство</w:t>
      </w:r>
      <w:r>
        <w:t>;</w:t>
      </w:r>
      <w:r w:rsidRPr="005B04BF">
        <w:t xml:space="preserve"> монотопливное транспортное средство, работающее на газе</w:t>
      </w:r>
      <w:r>
        <w:t>;</w:t>
      </w:r>
      <w:r w:rsidRPr="005B04BF">
        <w:t xml:space="preserve"> аварийный режим).</w:t>
      </w:r>
    </w:p>
    <w:p w14:paraId="1314DCC2" w14:textId="77777777" w:rsidR="00C51B25" w:rsidRPr="005B04BF" w:rsidRDefault="00C51B25" w:rsidP="003B5624">
      <w:pPr>
        <w:pStyle w:val="SingleTxtG"/>
        <w:ind w:left="1701"/>
        <w:rPr>
          <w:color w:val="000000" w:themeColor="text1"/>
        </w:rPr>
      </w:pPr>
      <w:r w:rsidRPr="005B04BF">
        <w:t>Включить спецификации эталонных видов топлива для КПГ и СНГ».</w:t>
      </w:r>
    </w:p>
    <w:p w14:paraId="2265B15B" w14:textId="77777777" w:rsidR="00C51B25" w:rsidRPr="005B04BF" w:rsidRDefault="00C51B25" w:rsidP="003B5624">
      <w:pPr>
        <w:pStyle w:val="SingleTxtG"/>
        <w:rPr>
          <w:color w:val="000000" w:themeColor="text1"/>
        </w:rPr>
      </w:pPr>
      <w:r w:rsidRPr="005B04BF">
        <w:t>46.</w:t>
      </w:r>
      <w:r w:rsidRPr="005B04BF">
        <w:tab/>
        <w:t xml:space="preserve">Индия предложила распространить область применения на газомоторные транспортные средства (не только трехколесные), в частности включить в область применения транспортные средства, работающие на КПГ и СНГ. Индия </w:t>
      </w:r>
      <w:r>
        <w:t>высказала</w:t>
      </w:r>
      <w:r w:rsidRPr="005B04BF">
        <w:t xml:space="preserve"> предпочтение в пользу включения этих транспортных средств в поправку 5, но также проявила гибкость в отношении возможности рассмотрения вопроса об их включении в рамках последующей поправки.</w:t>
      </w:r>
    </w:p>
    <w:p w14:paraId="3251B059" w14:textId="09D2226B" w:rsidR="00C51B25" w:rsidRPr="005B04BF" w:rsidRDefault="000175EB" w:rsidP="003B5624">
      <w:pPr>
        <w:pStyle w:val="SingleTxtG"/>
        <w:rPr>
          <w:color w:val="000000" w:themeColor="text1"/>
        </w:rPr>
      </w:pPr>
      <w:r>
        <w:tab/>
      </w:r>
      <w:r w:rsidR="00C51B25" w:rsidRPr="005B04BF">
        <w:t>На своем сорок четвертом заседании (апрель 2021 года) НРГ по ТЭТХ приняла решение включить альтернативные виды топлива в соответствии с предложением Индии, изложенным в EPPR-43-08.</w:t>
      </w:r>
    </w:p>
    <w:p w14:paraId="02E71A55" w14:textId="77777777" w:rsidR="00C51B25" w:rsidRPr="005B04BF" w:rsidRDefault="00C51B25" w:rsidP="003B5624">
      <w:pPr>
        <w:pStyle w:val="H23G"/>
        <w:rPr>
          <w:rFonts w:eastAsia="MS Mincho"/>
          <w:bCs/>
        </w:rPr>
      </w:pPr>
      <w:r w:rsidRPr="005B04BF">
        <w:rPr>
          <w:rFonts w:eastAsia="MS Mincho"/>
        </w:rPr>
        <w:tab/>
        <w:t>6.</w:t>
      </w:r>
      <w:r w:rsidRPr="005B04BF">
        <w:rPr>
          <w:rFonts w:eastAsia="MS Mincho"/>
        </w:rPr>
        <w:tab/>
        <w:t>Определение аварийной топливной системы (работающей на бензине)</w:t>
      </w:r>
    </w:p>
    <w:p w14:paraId="76E9D3BE" w14:textId="2F8C1637" w:rsidR="00C51B25" w:rsidRPr="005B04BF" w:rsidRDefault="00C51B25" w:rsidP="003B5624">
      <w:pPr>
        <w:pStyle w:val="SingleTxtG"/>
      </w:pPr>
      <w:r w:rsidRPr="005B04BF">
        <w:t>47.</w:t>
      </w:r>
      <w:r w:rsidRPr="005B04BF">
        <w:tab/>
        <w:t>В ходе сорок второго заседани</w:t>
      </w:r>
      <w:r w:rsidR="000175EB">
        <w:t>я</w:t>
      </w:r>
      <w:r w:rsidRPr="005B04BF">
        <w:t xml:space="preserve"> НРГ по ТЭТХ в феврале 2021 года Индия представила по просьбе Председателя следующее разъяснение относительно «аварийной топливной системы (работающей на бензине)», которая не является обязательной.</w:t>
      </w:r>
    </w:p>
    <w:p w14:paraId="036D07F5" w14:textId="77777777" w:rsidR="00C51B25" w:rsidRPr="005B04BF" w:rsidRDefault="00C51B25" w:rsidP="003B5624">
      <w:pPr>
        <w:pStyle w:val="SingleTxtG"/>
      </w:pPr>
      <w:r w:rsidRPr="005B04BF">
        <w:t>48.</w:t>
      </w:r>
      <w:r w:rsidRPr="005B04BF">
        <w:tab/>
        <w:t xml:space="preserve">Аварийная топливная система (работающая на бензине) может использоваться на монотопливном транспортном средстве, предназначенном для работы на СНГ или ПГ/биометане. Такая система состоит из вспомогательного бензинового топливного бака с ограниченной емкостью и предназначена для использования </w:t>
      </w:r>
      <w:r>
        <w:t>при эксплуатации</w:t>
      </w:r>
      <w:r w:rsidRPr="005B04BF">
        <w:t xml:space="preserve"> транспортного средства в аварийных ситуациях. Это позволяет водителю в экстренных случаях доехать на своем транспортном средстве до ближайшей газозаправочной станции.</w:t>
      </w:r>
    </w:p>
    <w:p w14:paraId="08D6E3A7" w14:textId="2C3D172B" w:rsidR="00C51B25" w:rsidRPr="005B04BF" w:rsidRDefault="000175EB" w:rsidP="003B5624">
      <w:pPr>
        <w:pStyle w:val="SingleTxtG"/>
      </w:pPr>
      <w:r>
        <w:tab/>
      </w:r>
      <w:r w:rsidR="00C51B25" w:rsidRPr="005B04BF">
        <w:t>Емкость топливного бака для такой системы не должна превышать двух литров в случае двухколесных мотоциклов и мотоциклов с коляской и не должна превышать трех литров в случае трехколесных транспортных средств в соответствии с ГТП № 17 ООН и ГТП № 18 ООН, чтобы исключить возможность работы транспортного средства на бензине в условиях, отличных от аварийных.</w:t>
      </w:r>
    </w:p>
    <w:p w14:paraId="36E82023" w14:textId="3EAEA8A2" w:rsidR="00C51B25" w:rsidRPr="005B04BF" w:rsidRDefault="000175EB" w:rsidP="003B5624">
      <w:pPr>
        <w:pStyle w:val="SingleTxtG"/>
      </w:pPr>
      <w:r>
        <w:tab/>
      </w:r>
      <w:r w:rsidR="00C51B25" w:rsidRPr="005B04BF">
        <w:t>При эксплуатации транспортного средства в режиме потребления бензина измерения, касающиеся требований к рабочим характеристикам/выбросам типов I, II и VII, не производятся.</w:t>
      </w:r>
    </w:p>
    <w:p w14:paraId="0225A779" w14:textId="77777777" w:rsidR="00C51B25" w:rsidRPr="005B04BF" w:rsidRDefault="00C51B25" w:rsidP="003B5624">
      <w:pPr>
        <w:pStyle w:val="H23G"/>
        <w:rPr>
          <w:rFonts w:eastAsia="MS Mincho"/>
          <w:bCs/>
        </w:rPr>
      </w:pPr>
      <w:r w:rsidRPr="005B04BF">
        <w:rPr>
          <w:rFonts w:eastAsia="MS Mincho"/>
        </w:rPr>
        <w:tab/>
        <w:t>7.</w:t>
      </w:r>
      <w:r w:rsidRPr="005B04BF">
        <w:rPr>
          <w:rFonts w:eastAsia="MS Mincho"/>
        </w:rPr>
        <w:tab/>
        <w:t>ВЦИМ для подкласса 0-2</w:t>
      </w:r>
    </w:p>
    <w:p w14:paraId="79968EBE" w14:textId="77777777" w:rsidR="00C51B25" w:rsidRPr="005B04BF" w:rsidRDefault="00C51B25" w:rsidP="003B5624">
      <w:pPr>
        <w:pStyle w:val="SingleTxtG"/>
        <w:rPr>
          <w:color w:val="000000" w:themeColor="text1"/>
        </w:rPr>
      </w:pPr>
      <w:r w:rsidRPr="005B04BF">
        <w:t>49.</w:t>
      </w:r>
      <w:r w:rsidRPr="005B04BF">
        <w:tab/>
        <w:t xml:space="preserve">НРГ по ТЭТХ уточнила, что </w:t>
      </w:r>
      <w:r>
        <w:t>в отношении</w:t>
      </w:r>
      <w:r w:rsidRPr="005B04BF">
        <w:t xml:space="preserve"> подкласс</w:t>
      </w:r>
      <w:r>
        <w:t>а</w:t>
      </w:r>
      <w:r w:rsidRPr="005B04BF">
        <w:t xml:space="preserve"> 0-2 </w:t>
      </w:r>
      <w:r>
        <w:t>применяются</w:t>
      </w:r>
      <w:r w:rsidRPr="005B04BF">
        <w:t xml:space="preserve"> следующие части ВЦИМ:</w:t>
      </w:r>
    </w:p>
    <w:tbl>
      <w:tblPr>
        <w:tblW w:w="7370" w:type="dxa"/>
        <w:tblInd w:w="1134" w:type="dxa"/>
        <w:tblBorders>
          <w:top w:val="single" w:sz="4" w:space="0" w:color="000000"/>
          <w:bottom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9"/>
        <w:gridCol w:w="4281"/>
      </w:tblGrid>
      <w:tr w:rsidR="00C51B25" w:rsidRPr="005B04BF" w14:paraId="5353C4CB" w14:textId="77777777" w:rsidTr="00D83845">
        <w:tc>
          <w:tcPr>
            <w:tcW w:w="2852" w:type="dxa"/>
            <w:tcBorders>
              <w:bottom w:val="nil"/>
            </w:tcBorders>
            <w:shd w:val="clear" w:color="auto" w:fill="auto"/>
          </w:tcPr>
          <w:p w14:paraId="1FEEFB4D" w14:textId="77777777" w:rsidR="00C51B25" w:rsidRPr="005B04BF" w:rsidRDefault="00C51B25" w:rsidP="00B11AEA">
            <w:pPr>
              <w:spacing w:before="40" w:after="120" w:line="220" w:lineRule="exact"/>
              <w:ind w:right="113"/>
              <w:rPr>
                <w:rFonts w:eastAsia="Meiryo UI"/>
                <w:color w:val="000000" w:themeColor="text1"/>
                <w:lang w:eastAsia="en-GB"/>
              </w:rPr>
            </w:pPr>
            <w:bookmarkStart w:id="2" w:name="_Hlk89160096"/>
            <w:r w:rsidRPr="005B04BF">
              <w:rPr>
                <w:rFonts w:eastAsia="Meiryo UI"/>
                <w:color w:val="000000" w:themeColor="text1"/>
                <w:lang w:eastAsia="en-GB"/>
              </w:rPr>
              <w:t>Подкласс 0-1</w:t>
            </w:r>
          </w:p>
        </w:tc>
        <w:tc>
          <w:tcPr>
            <w:tcW w:w="3952" w:type="dxa"/>
            <w:tcBorders>
              <w:bottom w:val="nil"/>
            </w:tcBorders>
            <w:shd w:val="clear" w:color="auto" w:fill="auto"/>
          </w:tcPr>
          <w:p w14:paraId="2E2B6F26" w14:textId="4D882ACA" w:rsidR="00C51B25" w:rsidRPr="005B04BF" w:rsidRDefault="00C51B25" w:rsidP="00B11AEA">
            <w:pPr>
              <w:spacing w:before="40" w:after="120" w:line="220" w:lineRule="exact"/>
              <w:ind w:right="113"/>
              <w:rPr>
                <w:rFonts w:eastAsia="Meiryo UI"/>
                <w:color w:val="000000" w:themeColor="text1"/>
                <w:lang w:eastAsia="en-GB"/>
              </w:rPr>
            </w:pPr>
            <w:r w:rsidRPr="005B04BF">
              <w:rPr>
                <w:rFonts w:eastAsia="Meiryo UI"/>
                <w:color w:val="000000" w:themeColor="text1"/>
                <w:lang w:eastAsia="en-GB"/>
              </w:rPr>
              <w:t xml:space="preserve">часть 1, ПСУ25, с запуском холодного двигателя, за которой следует часть 1, ПСУ25, </w:t>
            </w:r>
            <w:r w:rsidR="000175EB">
              <w:rPr>
                <w:rFonts w:eastAsia="Meiryo UI"/>
                <w:color w:val="000000" w:themeColor="text1"/>
                <w:lang w:eastAsia="en-GB"/>
              </w:rPr>
              <w:br/>
            </w:r>
            <w:r w:rsidRPr="005B04BF">
              <w:rPr>
                <w:rFonts w:eastAsia="Meiryo UI"/>
                <w:color w:val="000000" w:themeColor="text1"/>
                <w:lang w:eastAsia="en-GB"/>
              </w:rPr>
              <w:t>с запуском прогретого двигателя</w:t>
            </w:r>
          </w:p>
        </w:tc>
      </w:tr>
      <w:tr w:rsidR="00C51B25" w:rsidRPr="005B04BF" w14:paraId="16BF381B" w14:textId="77777777" w:rsidTr="00D83845">
        <w:trPr>
          <w:trHeight w:val="353"/>
        </w:trPr>
        <w:tc>
          <w:tcPr>
            <w:tcW w:w="2852" w:type="dxa"/>
            <w:tcBorders>
              <w:top w:val="nil"/>
              <w:bottom w:val="nil"/>
            </w:tcBorders>
            <w:shd w:val="clear" w:color="auto" w:fill="auto"/>
          </w:tcPr>
          <w:p w14:paraId="4FB17E3B" w14:textId="77777777" w:rsidR="00C51B25" w:rsidRPr="005B04BF" w:rsidRDefault="00C51B25" w:rsidP="00B11AEA">
            <w:pPr>
              <w:spacing w:before="40" w:after="120" w:line="220" w:lineRule="exact"/>
              <w:ind w:right="113"/>
              <w:rPr>
                <w:rFonts w:eastAsia="Meiryo UI"/>
                <w:color w:val="000000" w:themeColor="text1"/>
                <w:lang w:eastAsia="en-GB"/>
              </w:rPr>
            </w:pPr>
            <w:r w:rsidRPr="005B04BF">
              <w:rPr>
                <w:rFonts w:eastAsia="Meiryo UI"/>
                <w:color w:val="000000" w:themeColor="text1"/>
                <w:lang w:eastAsia="en-GB"/>
              </w:rPr>
              <w:t>Подкласс 0-2</w:t>
            </w:r>
          </w:p>
        </w:tc>
        <w:tc>
          <w:tcPr>
            <w:tcW w:w="3952" w:type="dxa"/>
            <w:tcBorders>
              <w:top w:val="nil"/>
              <w:bottom w:val="nil"/>
            </w:tcBorders>
            <w:shd w:val="clear" w:color="auto" w:fill="auto"/>
          </w:tcPr>
          <w:p w14:paraId="67447925" w14:textId="1C89C1CA" w:rsidR="00C51B25" w:rsidRPr="005B04BF" w:rsidRDefault="00C51B25" w:rsidP="00B11AEA">
            <w:pPr>
              <w:spacing w:before="40" w:after="120" w:line="220" w:lineRule="exact"/>
              <w:ind w:right="113"/>
              <w:rPr>
                <w:rFonts w:eastAsia="Meiryo UI"/>
                <w:color w:val="000000" w:themeColor="text1"/>
                <w:lang w:eastAsia="en-GB"/>
              </w:rPr>
            </w:pPr>
            <w:r w:rsidRPr="005B04BF">
              <w:rPr>
                <w:rFonts w:eastAsia="Meiryo UI"/>
                <w:color w:val="000000" w:themeColor="text1"/>
                <w:lang w:eastAsia="en-GB"/>
              </w:rPr>
              <w:t xml:space="preserve">часть 1, движение транспортного средства на пониженной скорости с запуском холодного двигателя, за которой следует часть 1, движение транспортного средства на пониженной скорости с запуском прогретого двигателя, </w:t>
            </w:r>
            <w:r w:rsidR="000175EB">
              <w:rPr>
                <w:rFonts w:eastAsia="Meiryo UI"/>
                <w:color w:val="000000" w:themeColor="text1"/>
                <w:lang w:eastAsia="en-GB"/>
              </w:rPr>
              <w:br/>
            </w:r>
            <w:r w:rsidRPr="005B04BF">
              <w:rPr>
                <w:rFonts w:eastAsia="Meiryo UI"/>
                <w:color w:val="000000" w:themeColor="text1"/>
                <w:lang w:eastAsia="en-GB"/>
              </w:rPr>
              <w:t>если максимальная расчетная скорость составляет 50 км/ч</w:t>
            </w:r>
          </w:p>
          <w:p w14:paraId="48E866DE" w14:textId="150F5824" w:rsidR="00C51B25" w:rsidRPr="005B04BF" w:rsidRDefault="00C51B25" w:rsidP="00B11AEA">
            <w:pPr>
              <w:spacing w:before="40" w:after="120" w:line="220" w:lineRule="exact"/>
              <w:ind w:right="113"/>
              <w:rPr>
                <w:rFonts w:eastAsia="Meiryo UI"/>
                <w:color w:val="000000" w:themeColor="text1"/>
                <w:lang w:eastAsia="en-GB"/>
              </w:rPr>
            </w:pPr>
            <w:r w:rsidRPr="005B04BF">
              <w:rPr>
                <w:rFonts w:eastAsia="Meiryo UI"/>
                <w:color w:val="000000" w:themeColor="text1"/>
                <w:lang w:eastAsia="en-GB"/>
              </w:rPr>
              <w:t>часть 1, ПСУ45, с запуском холодного двигателя, за которой следует часть</w:t>
            </w:r>
            <w:r w:rsidR="000175EB">
              <w:rPr>
                <w:rFonts w:eastAsia="Meiryo UI"/>
                <w:color w:val="000000" w:themeColor="text1"/>
                <w:lang w:eastAsia="en-GB"/>
              </w:rPr>
              <w:t xml:space="preserve"> </w:t>
            </w:r>
            <w:r w:rsidRPr="005B04BF">
              <w:rPr>
                <w:rFonts w:eastAsia="Meiryo UI"/>
                <w:color w:val="000000" w:themeColor="text1"/>
                <w:lang w:eastAsia="en-GB"/>
              </w:rPr>
              <w:t xml:space="preserve">1, ПСУ45, </w:t>
            </w:r>
            <w:r w:rsidR="000175EB">
              <w:rPr>
                <w:rFonts w:eastAsia="Meiryo UI"/>
                <w:color w:val="000000" w:themeColor="text1"/>
                <w:lang w:eastAsia="en-GB"/>
              </w:rPr>
              <w:br/>
            </w:r>
            <w:r w:rsidRPr="005B04BF">
              <w:rPr>
                <w:rFonts w:eastAsia="Meiryo UI"/>
                <w:color w:val="000000" w:themeColor="text1"/>
                <w:lang w:eastAsia="en-GB"/>
              </w:rPr>
              <w:t xml:space="preserve">с запуском прогретого двигателя, если максимальная расчетная скорость составляет </w:t>
            </w:r>
            <w:r w:rsidR="008544DB">
              <w:rPr>
                <w:rFonts w:eastAsia="Meiryo UI"/>
                <w:color w:val="000000" w:themeColor="text1"/>
                <w:lang w:eastAsia="en-GB"/>
              </w:rPr>
              <w:br/>
            </w:r>
            <w:r w:rsidRPr="005B04BF">
              <w:rPr>
                <w:rFonts w:eastAsia="Meiryo UI"/>
                <w:color w:val="000000" w:themeColor="text1"/>
                <w:lang w:eastAsia="en-GB"/>
              </w:rPr>
              <w:t>45 км/ч</w:t>
            </w:r>
          </w:p>
        </w:tc>
      </w:tr>
      <w:tr w:rsidR="00C51B25" w:rsidRPr="005B04BF" w14:paraId="28E65179" w14:textId="77777777" w:rsidTr="00D83845">
        <w:tc>
          <w:tcPr>
            <w:tcW w:w="2852" w:type="dxa"/>
            <w:tcBorders>
              <w:top w:val="nil"/>
            </w:tcBorders>
            <w:shd w:val="clear" w:color="auto" w:fill="auto"/>
          </w:tcPr>
          <w:p w14:paraId="40D81509" w14:textId="77777777" w:rsidR="00C51B25" w:rsidRPr="005B04BF" w:rsidRDefault="00C51B25" w:rsidP="00B11AEA">
            <w:pPr>
              <w:spacing w:before="40" w:after="120" w:line="220" w:lineRule="exact"/>
              <w:ind w:right="113"/>
              <w:rPr>
                <w:rFonts w:eastAsia="Meiryo UI"/>
                <w:color w:val="000000" w:themeColor="text1"/>
                <w:lang w:eastAsia="en-GB"/>
              </w:rPr>
            </w:pPr>
            <w:r w:rsidRPr="005B04BF">
              <w:rPr>
                <w:rFonts w:eastAsia="Meiryo UI"/>
                <w:color w:val="000000" w:themeColor="text1"/>
                <w:lang w:eastAsia="en-GB"/>
              </w:rPr>
              <w:t>Класс 1</w:t>
            </w:r>
          </w:p>
        </w:tc>
        <w:tc>
          <w:tcPr>
            <w:tcW w:w="3952" w:type="dxa"/>
            <w:tcBorders>
              <w:top w:val="nil"/>
            </w:tcBorders>
            <w:shd w:val="clear" w:color="auto" w:fill="auto"/>
          </w:tcPr>
          <w:p w14:paraId="3CABE112" w14:textId="77777777" w:rsidR="00C51B25" w:rsidRPr="005B04BF" w:rsidRDefault="00C51B25" w:rsidP="00B11AEA">
            <w:pPr>
              <w:spacing w:before="40" w:after="120" w:line="220" w:lineRule="exact"/>
              <w:ind w:right="113"/>
              <w:rPr>
                <w:rFonts w:eastAsia="Meiryo UI"/>
                <w:color w:val="000000" w:themeColor="text1"/>
                <w:lang w:eastAsia="en-GB"/>
              </w:rPr>
            </w:pPr>
            <w:r w:rsidRPr="005B04BF">
              <w:rPr>
                <w:rFonts w:eastAsia="Meiryo UI"/>
                <w:color w:val="000000" w:themeColor="text1"/>
                <w:lang w:eastAsia="en-GB"/>
              </w:rPr>
              <w:t>часть 1, движение транспортного средства на пониженной скорости с запуском холодного двигателя, за которой следует часть 1, движение транспортного средства на пониженной скорости с запуском прогретого двигателя</w:t>
            </w:r>
          </w:p>
        </w:tc>
      </w:tr>
    </w:tbl>
    <w:bookmarkEnd w:id="2"/>
    <w:p w14:paraId="26D051F2" w14:textId="77777777" w:rsidR="00C51B25" w:rsidRPr="005B04BF" w:rsidRDefault="00C51B25" w:rsidP="003B5624">
      <w:pPr>
        <w:pStyle w:val="SingleTxtG"/>
        <w:spacing w:before="120"/>
        <w:rPr>
          <w:color w:val="000000" w:themeColor="text1"/>
        </w:rPr>
      </w:pPr>
      <w:r w:rsidRPr="005B04BF">
        <w:t>50.</w:t>
      </w:r>
      <w:r w:rsidRPr="005B04BF">
        <w:tab/>
        <w:t>Другими словами, НРГ по ТЭТХ уточнила, что в отношении транспортных средств подкласса 0-2 с максимальной расчетной скоростью 50 км/ч будет действовать та же схема ВЦИМ, что и в отношении класса 1. Этот вывод в явной форме был добавлен к спецификациям, уже включенным в поправку 4.</w:t>
      </w:r>
      <w:bookmarkStart w:id="3" w:name="_Hlk89160072"/>
      <w:bookmarkEnd w:id="3"/>
    </w:p>
    <w:p w14:paraId="20E4733A" w14:textId="77777777" w:rsidR="00C51B25" w:rsidRPr="005B04BF" w:rsidRDefault="00C51B25" w:rsidP="003B5624">
      <w:pPr>
        <w:pStyle w:val="SingleTxtG"/>
        <w:rPr>
          <w:color w:val="000000" w:themeColor="text1"/>
        </w:rPr>
      </w:pPr>
      <w:r w:rsidRPr="005B04BF">
        <w:t>51.</w:t>
      </w:r>
      <w:r w:rsidRPr="005B04BF">
        <w:tab/>
      </w:r>
      <w:r>
        <w:t>Имела место продолжительная д</w:t>
      </w:r>
      <w:r w:rsidRPr="005B04BF">
        <w:t>искуссия, этапы которой приводятся ниже.</w:t>
      </w:r>
    </w:p>
    <w:p w14:paraId="77254864" w14:textId="2884C404" w:rsidR="00C51B25" w:rsidRPr="005B04BF" w:rsidRDefault="000175EB" w:rsidP="003B5624">
      <w:pPr>
        <w:pStyle w:val="SingleTxtG"/>
        <w:rPr>
          <w:color w:val="000000" w:themeColor="text1"/>
        </w:rPr>
      </w:pPr>
      <w:r>
        <w:tab/>
      </w:r>
      <w:r w:rsidR="00C51B25" w:rsidRPr="005B04BF">
        <w:t>Как и в поправке 4, определение подкласса 0-2 было сформулировано следующим образом: «Рабочий объем двигателя ≤ 50 см</w:t>
      </w:r>
      <w:r w:rsidR="00C51B25" w:rsidRPr="00480404">
        <w:rPr>
          <w:vertAlign w:val="superscript"/>
        </w:rPr>
        <w:t>3</w:t>
      </w:r>
      <w:r w:rsidR="00C51B25" w:rsidRPr="005B04BF">
        <w:t xml:space="preserve"> и 25 км/ч &lt; v</w:t>
      </w:r>
      <w:r w:rsidR="00C51B25" w:rsidRPr="0078567B">
        <w:rPr>
          <w:vertAlign w:val="subscript"/>
        </w:rPr>
        <w:t>max</w:t>
      </w:r>
      <w:r w:rsidR="00C51B25" w:rsidRPr="005B04BF">
        <w:t xml:space="preserve"> ≤ 50 км/ч». </w:t>
      </w:r>
      <w:r>
        <w:br/>
      </w:r>
      <w:r w:rsidR="00C51B25" w:rsidRPr="005B04BF">
        <w:t>В ГТП № 2 ООН, нормативных положениях</w:t>
      </w:r>
      <w:r w:rsidR="00C51B25">
        <w:t>, применяемых в</w:t>
      </w:r>
      <w:r w:rsidR="00C51B25" w:rsidRPr="005B04BF">
        <w:t xml:space="preserve"> Кита</w:t>
      </w:r>
      <w:r w:rsidR="00C51B25">
        <w:t>е,</w:t>
      </w:r>
      <w:r w:rsidR="00C51B25" w:rsidRPr="005B04BF">
        <w:t xml:space="preserve"> и стандартах ИСО содержится такое же определение этого класса. В марте 2021 года г-жа Ванг</w:t>
      </w:r>
      <w:r w:rsidR="00C51B25">
        <w:t xml:space="preserve"> (</w:t>
      </w:r>
      <w:r w:rsidR="00C51B25" w:rsidRPr="005B04BF">
        <w:t>Китай</w:t>
      </w:r>
      <w:r w:rsidR="00C51B25">
        <w:t>)</w:t>
      </w:r>
      <w:r w:rsidR="00C51B25" w:rsidRPr="005B04BF">
        <w:t xml:space="preserve"> представила документ EPPR-43-03-r1, содержащий следующее предложение:</w:t>
      </w:r>
    </w:p>
    <w:p w14:paraId="6C5719BD" w14:textId="70C86136" w:rsidR="00C51B25" w:rsidRPr="00984B7A" w:rsidRDefault="003B5624" w:rsidP="00984B7A">
      <w:pPr>
        <w:pStyle w:val="SingleTxtG"/>
      </w:pPr>
      <w:r>
        <w:tab/>
      </w:r>
      <w:r w:rsidR="00C51B25" w:rsidRPr="00984B7A">
        <w:t>a)</w:t>
      </w:r>
      <w:r w:rsidR="00C51B25" w:rsidRPr="00984B7A">
        <w:tab/>
        <w:t>уточнить части ВЦИМ, применимые в отношении подкласса 0-2;</w:t>
      </w:r>
    </w:p>
    <w:p w14:paraId="648359C6" w14:textId="52465066" w:rsidR="00C51B25" w:rsidRPr="00984B7A" w:rsidRDefault="003B5624" w:rsidP="00984B7A">
      <w:pPr>
        <w:pStyle w:val="SingleTxtG"/>
      </w:pPr>
      <w:r w:rsidRPr="00984B7A">
        <w:tab/>
      </w:r>
      <w:r w:rsidR="00C51B25" w:rsidRPr="00984B7A">
        <w:t>b)</w:t>
      </w:r>
      <w:r w:rsidR="00C51B25" w:rsidRPr="00984B7A">
        <w:tab/>
        <w:t>соответствующим образом изменить примечания к таблицам, касающимся циклов.</w:t>
      </w:r>
    </w:p>
    <w:p w14:paraId="1E17F359" w14:textId="086082E1" w:rsidR="00C51B25" w:rsidRPr="003B5624" w:rsidRDefault="00C51B25" w:rsidP="003B5624">
      <w:pPr>
        <w:pStyle w:val="SingleTxtG"/>
      </w:pPr>
      <w:r w:rsidRPr="003B5624">
        <w:t>52.</w:t>
      </w:r>
      <w:r w:rsidRPr="003B5624">
        <w:tab/>
        <w:t>Проблема заключается в том, что в ГТП № 2 ООН максимальная расчетная скорость для подкласса 0-2 определена на уровне 50 км/ч. Однако в таблице A1/1 указана только максимальная испытательная скорость 45 км/ч, причем данный случай относится к транспортным средствам, максимальная расчетная скорость которых не превышает 45 км/ч. Если в эту ситуацию не внести ясность, то она может привести к путанице.</w:t>
      </w:r>
    </w:p>
    <w:p w14:paraId="17DF5ED2" w14:textId="77777777" w:rsidR="00C51B25" w:rsidRPr="005B04BF" w:rsidRDefault="00C51B25" w:rsidP="003B5624">
      <w:pPr>
        <w:pStyle w:val="SingleTxtG"/>
        <w:rPr>
          <w:color w:val="000000" w:themeColor="text1"/>
        </w:rPr>
      </w:pPr>
      <w:r w:rsidRPr="003B5624">
        <w:t>53.</w:t>
      </w:r>
      <w:r w:rsidRPr="003B5624">
        <w:tab/>
        <w:t>Во избежание неправильного толкования Китай предложил разделить описание исп</w:t>
      </w:r>
      <w:r w:rsidRPr="005B04BF">
        <w:t>ытания для</w:t>
      </w:r>
      <w:r>
        <w:t xml:space="preserve"> подкласса</w:t>
      </w:r>
      <w:r w:rsidRPr="005B04BF">
        <w:t xml:space="preserve"> 0-2 на два случая:</w:t>
      </w:r>
    </w:p>
    <w:p w14:paraId="6F456EAF" w14:textId="370337FE" w:rsidR="00C51B25" w:rsidRPr="005B04BF" w:rsidRDefault="00C51B25" w:rsidP="003B5624">
      <w:pPr>
        <w:pStyle w:val="SingleTxtG"/>
        <w:rPr>
          <w:color w:val="000000" w:themeColor="text1"/>
        </w:rPr>
      </w:pPr>
      <w:r w:rsidRPr="005B04BF">
        <w:t>54.</w:t>
      </w:r>
      <w:r w:rsidRPr="005B04BF">
        <w:tab/>
      </w:r>
      <w:r w:rsidRPr="00BB0750">
        <w:rPr>
          <w:u w:val="single"/>
        </w:rPr>
        <w:t>Первый</w:t>
      </w:r>
      <w:r w:rsidRPr="005B04BF">
        <w:t xml:space="preserve"> случай относится к </w:t>
      </w:r>
      <w:r>
        <w:t>«</w:t>
      </w:r>
      <w:r w:rsidRPr="005B04BF">
        <w:t>обычным</w:t>
      </w:r>
      <w:r>
        <w:t>»</w:t>
      </w:r>
      <w:r w:rsidRPr="005B04BF">
        <w:t xml:space="preserve"> транспортным средствам </w:t>
      </w:r>
      <w:r w:rsidR="001052DC">
        <w:br/>
      </w:r>
      <w:r w:rsidRPr="005B04BF">
        <w:t xml:space="preserve">подкласса 0-2, максимальная расчетная скорость которых составляет </w:t>
      </w:r>
      <w:r w:rsidRPr="00BB0750">
        <w:rPr>
          <w:u w:val="single"/>
        </w:rPr>
        <w:t>50 км/ч</w:t>
      </w:r>
      <w:r w:rsidRPr="005B04BF">
        <w:t xml:space="preserve">. Китай предложил использовать в этом случае тот же цикл испытаний, что и для категории 1. </w:t>
      </w:r>
      <w:r w:rsidR="000175EB">
        <w:br/>
      </w:r>
      <w:r w:rsidRPr="005B04BF">
        <w:t xml:space="preserve">Данный случай не был отражен в прежних таблицах A1/1 и A1/2, а позднее </w:t>
      </w:r>
      <w:r>
        <w:t>—</w:t>
      </w:r>
      <w:r w:rsidRPr="005B04BF">
        <w:t xml:space="preserve"> </w:t>
      </w:r>
      <w:r w:rsidR="000175EB">
        <w:br/>
      </w:r>
      <w:r w:rsidRPr="005B04BF">
        <w:t>на рис</w:t>
      </w:r>
      <w:r w:rsidR="000175EB">
        <w:t>.</w:t>
      </w:r>
      <w:r w:rsidRPr="005B04BF">
        <w:t xml:space="preserve"> A4.App12/5 и A4.App12/6 соответственно.</w:t>
      </w:r>
    </w:p>
    <w:p w14:paraId="55B42BF4" w14:textId="24706697" w:rsidR="00C51B25" w:rsidRPr="005B04BF" w:rsidRDefault="00C51B25" w:rsidP="003B5624">
      <w:pPr>
        <w:pStyle w:val="SingleTxtG"/>
        <w:rPr>
          <w:color w:val="000000" w:themeColor="text1"/>
        </w:rPr>
      </w:pPr>
      <w:r w:rsidRPr="005B04BF">
        <w:t>55.</w:t>
      </w:r>
      <w:r w:rsidRPr="005B04BF">
        <w:tab/>
      </w:r>
      <w:r w:rsidRPr="00325B50">
        <w:rPr>
          <w:u w:val="single"/>
        </w:rPr>
        <w:t>Второй</w:t>
      </w:r>
      <w:r w:rsidRPr="005B04BF">
        <w:t xml:space="preserve"> случай касается транспортных средств, максимальная расчетная скорость которых составляет </w:t>
      </w:r>
      <w:r w:rsidRPr="00325B50">
        <w:rPr>
          <w:u w:val="single"/>
        </w:rPr>
        <w:t>45 км/ч</w:t>
      </w:r>
      <w:r w:rsidRPr="005B04BF">
        <w:t>. Китай предложил в этом случае оставить испытание без изменений</w:t>
      </w:r>
      <w:r>
        <w:t>,</w:t>
      </w:r>
      <w:r w:rsidRPr="005B04BF">
        <w:t xml:space="preserve"> т.</w:t>
      </w:r>
      <w:r w:rsidR="001052DC">
        <w:rPr>
          <w:lang w:val="fr-CH"/>
        </w:rPr>
        <w:t> </w:t>
      </w:r>
      <w:r w:rsidRPr="005B04BF">
        <w:t xml:space="preserve">е. значение испытательной скорости будет усечено до </w:t>
      </w:r>
      <w:r w:rsidR="000175EB">
        <w:br/>
      </w:r>
      <w:r w:rsidRPr="005B04BF">
        <w:t>45 км/ч. Этот случай представлен в таблице A1/1.</w:t>
      </w:r>
    </w:p>
    <w:p w14:paraId="7C071D8F" w14:textId="494E4D95" w:rsidR="00C51B25" w:rsidRPr="005B04BF" w:rsidRDefault="000175EB" w:rsidP="003B5624">
      <w:pPr>
        <w:pStyle w:val="SingleTxtG"/>
        <w:rPr>
          <w:color w:val="000000" w:themeColor="text1"/>
        </w:rPr>
      </w:pPr>
      <w:r>
        <w:tab/>
      </w:r>
      <w:r w:rsidR="00C51B25" w:rsidRPr="005B04BF">
        <w:t>При утверждении вышеуказанного предложения было также решено внести соответствующие изменения в сноску в таблице A1/1:</w:t>
      </w:r>
    </w:p>
    <w:p w14:paraId="3805E2B2" w14:textId="77777777" w:rsidR="00C51B25" w:rsidRPr="005B04BF" w:rsidRDefault="00C51B25" w:rsidP="003B5624">
      <w:pPr>
        <w:pStyle w:val="SingleTxtG"/>
        <w:rPr>
          <w:color w:val="000000" w:themeColor="text1"/>
        </w:rPr>
      </w:pPr>
      <w:r w:rsidRPr="005B04BF">
        <w:t>56.</w:t>
      </w:r>
      <w:r w:rsidRPr="005B04BF">
        <w:tab/>
        <w:t>Вторая часть сноски, в которой говорится о скорости в 50 км/ч, была удалена, поскольку она не соответств</w:t>
      </w:r>
      <w:r>
        <w:t>ует</w:t>
      </w:r>
      <w:r w:rsidRPr="005B04BF">
        <w:t xml:space="preserve"> действительности.</w:t>
      </w:r>
    </w:p>
    <w:p w14:paraId="54D6A84B" w14:textId="5C032A1D" w:rsidR="00C51B25" w:rsidRPr="005B04BF" w:rsidRDefault="000175EB" w:rsidP="003B5624">
      <w:pPr>
        <w:pStyle w:val="SingleTxtG"/>
        <w:rPr>
          <w:color w:val="000000" w:themeColor="text1"/>
        </w:rPr>
      </w:pPr>
      <w:r>
        <w:tab/>
      </w:r>
      <w:r w:rsidR="00C51B25" w:rsidRPr="005B04BF">
        <w:t xml:space="preserve">При этом первая часть сноски была улучшена, с тем чтобы </w:t>
      </w:r>
      <w:r w:rsidR="00C51B25">
        <w:t xml:space="preserve">в ней </w:t>
      </w:r>
      <w:r w:rsidR="00C51B25" w:rsidRPr="005B04BF">
        <w:t>содержал</w:t>
      </w:r>
      <w:r w:rsidR="00C51B25">
        <w:t>ось</w:t>
      </w:r>
      <w:r w:rsidR="00C51B25" w:rsidRPr="005B04BF">
        <w:t xml:space="preserve"> более </w:t>
      </w:r>
      <w:r w:rsidR="00C51B25">
        <w:t>точное</w:t>
      </w:r>
      <w:r w:rsidR="00C51B25" w:rsidRPr="005B04BF">
        <w:t xml:space="preserve"> описание синей и красн</w:t>
      </w:r>
      <w:r w:rsidR="00C51B25">
        <w:t>ой</w:t>
      </w:r>
      <w:r w:rsidR="00C51B25" w:rsidRPr="005B04BF">
        <w:t xml:space="preserve"> линии применительно к ПСУ45.</w:t>
      </w:r>
    </w:p>
    <w:p w14:paraId="4A033916" w14:textId="77777777" w:rsidR="00C51B25" w:rsidRPr="005B04BF" w:rsidRDefault="00C51B25" w:rsidP="003B5624">
      <w:pPr>
        <w:pStyle w:val="SingleTxtG"/>
        <w:rPr>
          <w:color w:val="000000" w:themeColor="text1"/>
        </w:rPr>
      </w:pPr>
      <w:r w:rsidRPr="005B04BF">
        <w:t>57.</w:t>
      </w:r>
      <w:r w:rsidRPr="005B04BF">
        <w:tab/>
        <w:t xml:space="preserve">На своем сорок третьем заседании НРГ по ТЭТХ также подтвердила, как действовать в случае, если способность транспортного средства к ускорению недостаточна для осуществления фаз ускорения или если максимальная расчетная скорость транспортного средства ниже значения, предписанного для фазы движения с постоянной скоростью. В </w:t>
      </w:r>
      <w:r>
        <w:t>этой связи</w:t>
      </w:r>
      <w:r w:rsidRPr="005B04BF">
        <w:t xml:space="preserve"> было подтверждено, что в основе приложения 1 поправки 4 к ГТП № 2 ООН лежит процедура, изложенная в приложении II (Е</w:t>
      </w:r>
      <w:r>
        <w:t>вро</w:t>
      </w:r>
      <w:r w:rsidRPr="005B04BF">
        <w:t>-5) к Регламенту (ЕС) № 134/2014.</w:t>
      </w:r>
    </w:p>
    <w:p w14:paraId="78B1D3C9" w14:textId="77777777" w:rsidR="00C51B25" w:rsidRPr="005B04BF" w:rsidRDefault="00C51B25" w:rsidP="003B5624">
      <w:pPr>
        <w:pStyle w:val="SingleTxtG"/>
        <w:rPr>
          <w:color w:val="000000" w:themeColor="text1"/>
        </w:rPr>
      </w:pPr>
      <w:r w:rsidRPr="005B04BF">
        <w:t>58.</w:t>
      </w:r>
      <w:r w:rsidRPr="005B04BF">
        <w:tab/>
        <w:t>На сорок четвертом заседании НРГ по ТЭТХ (апрель 2021 года) Председатель попросил оценить также другое предложение со своей стороны:</w:t>
      </w:r>
    </w:p>
    <w:p w14:paraId="5916BB35" w14:textId="00738457" w:rsidR="00C51B25" w:rsidRPr="005B04BF" w:rsidRDefault="000175EB" w:rsidP="003B5624">
      <w:pPr>
        <w:pStyle w:val="SingleTxtG"/>
        <w:rPr>
          <w:color w:val="000000" w:themeColor="text1"/>
        </w:rPr>
      </w:pPr>
      <w:r>
        <w:tab/>
      </w:r>
      <w:r w:rsidR="00C51B25" w:rsidRPr="005B04BF">
        <w:t>В случае транспортного средства</w:t>
      </w:r>
      <w:r w:rsidR="00C51B25">
        <w:t>,</w:t>
      </w:r>
      <w:r w:rsidR="00C51B25" w:rsidRPr="005B04BF">
        <w:t xml:space="preserve"> максимальн</w:t>
      </w:r>
      <w:r w:rsidR="00C51B25">
        <w:t>ая</w:t>
      </w:r>
      <w:r w:rsidR="00C51B25" w:rsidRPr="005B04BF">
        <w:t xml:space="preserve"> расчетн</w:t>
      </w:r>
      <w:r w:rsidR="00C51B25">
        <w:t>ая</w:t>
      </w:r>
      <w:r w:rsidR="00C51B25" w:rsidRPr="005B04BF">
        <w:t xml:space="preserve"> скорость</w:t>
      </w:r>
      <w:r w:rsidR="00C51B25">
        <w:t xml:space="preserve"> которого составляет</w:t>
      </w:r>
      <w:r w:rsidR="00C51B25" w:rsidRPr="005B04BF">
        <w:t xml:space="preserve"> 50 км/ч, максимальн</w:t>
      </w:r>
      <w:r w:rsidR="00C51B25">
        <w:t>ая</w:t>
      </w:r>
      <w:r w:rsidR="00C51B25" w:rsidRPr="005B04BF">
        <w:t xml:space="preserve"> скорость</w:t>
      </w:r>
      <w:r w:rsidR="00C51B25">
        <w:t xml:space="preserve"> его движения</w:t>
      </w:r>
      <w:r w:rsidR="00C51B25" w:rsidRPr="005B04BF">
        <w:t xml:space="preserve"> в рамках ВЦИМ должн</w:t>
      </w:r>
      <w:r w:rsidR="00C51B25">
        <w:t>а</w:t>
      </w:r>
      <w:r w:rsidR="00C51B25" w:rsidRPr="005B04BF">
        <w:t xml:space="preserve"> </w:t>
      </w:r>
      <w:r w:rsidR="00C51B25">
        <w:t xml:space="preserve">составлять </w:t>
      </w:r>
      <w:r w:rsidR="00C51B25" w:rsidRPr="005B04BF">
        <w:t>45 км/ч. АООС поддержало Председателя и предложило изложить его намерения, используя другую формулировку (см. EPPR-44-07).</w:t>
      </w:r>
    </w:p>
    <w:p w14:paraId="5818BD63" w14:textId="77777777" w:rsidR="00C51B25" w:rsidRPr="005B04BF" w:rsidRDefault="00C51B25" w:rsidP="003B5624">
      <w:pPr>
        <w:pStyle w:val="SingleTxtG"/>
        <w:rPr>
          <w:color w:val="000000" w:themeColor="text1"/>
        </w:rPr>
      </w:pPr>
      <w:r w:rsidRPr="005B04BF">
        <w:t>59.</w:t>
      </w:r>
      <w:r w:rsidRPr="005B04BF">
        <w:tab/>
        <w:t xml:space="preserve">НРГ по ТЭТХ было предложено оценить вышеуказанные варианты и </w:t>
      </w:r>
      <w:r>
        <w:t xml:space="preserve">документ </w:t>
      </w:r>
      <w:r w:rsidRPr="005B04BF">
        <w:t>EPPR-44-07, чтобы обсудить их в течение следующего дня.</w:t>
      </w:r>
    </w:p>
    <w:p w14:paraId="482676B3" w14:textId="6AA89D00" w:rsidR="00C51B25" w:rsidRPr="005B04BF" w:rsidRDefault="000175EB" w:rsidP="003B5624">
      <w:pPr>
        <w:pStyle w:val="SingleTxtG"/>
        <w:rPr>
          <w:color w:val="000000" w:themeColor="text1"/>
        </w:rPr>
      </w:pPr>
      <w:r>
        <w:tab/>
      </w:r>
      <w:r w:rsidR="00C51B25" w:rsidRPr="005B04BF">
        <w:t>Секретариат НРГ по ТЭТХ напомнил о различ</w:t>
      </w:r>
      <w:r w:rsidR="00C51B25">
        <w:t>ных</w:t>
      </w:r>
      <w:r w:rsidR="00C51B25" w:rsidRPr="005B04BF">
        <w:t xml:space="preserve"> позициях, представленных в предыдущий день, и предложил НРГ по ТЭТХ уточнить не только </w:t>
      </w:r>
      <w:r w:rsidR="00C51B25">
        <w:t xml:space="preserve">текст </w:t>
      </w:r>
      <w:r w:rsidR="00C51B25" w:rsidRPr="005B04BF">
        <w:t>примечани</w:t>
      </w:r>
      <w:r w:rsidR="00C51B25">
        <w:t>я</w:t>
      </w:r>
      <w:r w:rsidR="00C51B25" w:rsidRPr="005B04BF">
        <w:t>, но и толкование цикла испытаний</w:t>
      </w:r>
      <w:r w:rsidR="00C51B25">
        <w:t xml:space="preserve"> для подкласса</w:t>
      </w:r>
      <w:r w:rsidR="00C51B25" w:rsidRPr="005B04BF">
        <w:t xml:space="preserve"> 0-2.</w:t>
      </w:r>
    </w:p>
    <w:p w14:paraId="06A494E9" w14:textId="77777777" w:rsidR="00C51B25" w:rsidRPr="005B04BF" w:rsidRDefault="00C51B25" w:rsidP="003B5624">
      <w:pPr>
        <w:pStyle w:val="SingleTxtG"/>
        <w:rPr>
          <w:color w:val="000000" w:themeColor="text1"/>
        </w:rPr>
      </w:pPr>
      <w:r w:rsidRPr="005B04BF">
        <w:t>60.</w:t>
      </w:r>
      <w:r w:rsidRPr="005B04BF">
        <w:tab/>
        <w:t xml:space="preserve">Председатель </w:t>
      </w:r>
      <w:r>
        <w:t>продемонстрировал</w:t>
      </w:r>
      <w:r w:rsidRPr="005B04BF">
        <w:t>, что в рамках схем для</w:t>
      </w:r>
      <w:r>
        <w:t xml:space="preserve"> подкласса</w:t>
      </w:r>
      <w:r w:rsidRPr="005B04BF">
        <w:t xml:space="preserve"> 0-2 была установлена максимальная скорость испытания 45 км/ч. Он предложил увеличить максимальную скорость испытания с 45 до 50 км/ч, </w:t>
      </w:r>
      <w:r>
        <w:t>отобразив увеличение значений</w:t>
      </w:r>
      <w:r w:rsidRPr="005B04BF">
        <w:t xml:space="preserve"> испытательной скорости, указанн</w:t>
      </w:r>
      <w:r>
        <w:t>ые</w:t>
      </w:r>
      <w:r w:rsidRPr="005B04BF">
        <w:t xml:space="preserve"> в таблице A4.App12/30, следующим образом:</w:t>
      </w:r>
    </w:p>
    <w:p w14:paraId="72F166FD" w14:textId="6DE96474" w:rsidR="00C51B25" w:rsidRPr="000175EB" w:rsidRDefault="00C51B25" w:rsidP="000175EB">
      <w:pPr>
        <w:pStyle w:val="SingleTxtG"/>
        <w:tabs>
          <w:tab w:val="clear" w:pos="2268"/>
          <w:tab w:val="clear" w:pos="2835"/>
          <w:tab w:val="left" w:pos="2552"/>
        </w:tabs>
      </w:pPr>
      <w:r w:rsidRPr="005B04BF">
        <w:tab/>
        <w:t xml:space="preserve">199 с </w:t>
      </w:r>
      <w:r w:rsidRPr="005B04BF">
        <w:tab/>
        <w:t>43,3 км/ч</w:t>
      </w:r>
    </w:p>
    <w:p w14:paraId="3208E887" w14:textId="00FF2086" w:rsidR="00C51B25" w:rsidRPr="000175EB" w:rsidRDefault="00C51B25" w:rsidP="000175EB">
      <w:pPr>
        <w:pStyle w:val="SingleTxtG"/>
        <w:tabs>
          <w:tab w:val="clear" w:pos="2268"/>
          <w:tab w:val="clear" w:pos="2835"/>
          <w:tab w:val="left" w:pos="2552"/>
        </w:tabs>
      </w:pPr>
      <w:r w:rsidRPr="005B04BF">
        <w:tab/>
        <w:t xml:space="preserve">200 с </w:t>
      </w:r>
      <w:r w:rsidRPr="005B04BF">
        <w:tab/>
        <w:t>45 км/ч</w:t>
      </w:r>
    </w:p>
    <w:p w14:paraId="1ACD5D2F" w14:textId="568F6DA0" w:rsidR="00C51B25" w:rsidRPr="000175EB" w:rsidRDefault="00C51B25" w:rsidP="000175EB">
      <w:pPr>
        <w:pStyle w:val="SingleTxtG"/>
        <w:tabs>
          <w:tab w:val="clear" w:pos="2268"/>
          <w:tab w:val="clear" w:pos="2835"/>
          <w:tab w:val="left" w:pos="2552"/>
        </w:tabs>
      </w:pPr>
      <w:r w:rsidRPr="005B04BF">
        <w:tab/>
        <w:t xml:space="preserve">201 с </w:t>
      </w:r>
      <w:r w:rsidRPr="005B04BF">
        <w:tab/>
        <w:t>50 км/ч</w:t>
      </w:r>
    </w:p>
    <w:p w14:paraId="537C9B41" w14:textId="282A2930" w:rsidR="00C51B25" w:rsidRPr="005B04BF" w:rsidRDefault="00C51B25" w:rsidP="003B5624">
      <w:pPr>
        <w:pStyle w:val="SingleTxtG"/>
        <w:rPr>
          <w:color w:val="000000" w:themeColor="text1"/>
        </w:rPr>
      </w:pPr>
      <w:r w:rsidRPr="005B04BF">
        <w:t>61.</w:t>
      </w:r>
      <w:r w:rsidRPr="005B04BF">
        <w:tab/>
        <w:t xml:space="preserve">Вместе с тем Председатель задался вопросом, </w:t>
      </w:r>
      <w:r>
        <w:t>насколько</w:t>
      </w:r>
      <w:r w:rsidRPr="005B04BF">
        <w:t xml:space="preserve"> возможн</w:t>
      </w:r>
      <w:r>
        <w:t>о с технической точки зрения</w:t>
      </w:r>
      <w:r w:rsidRPr="005B04BF">
        <w:t xml:space="preserve"> значение ускорения 1,86 м/с</w:t>
      </w:r>
      <w:r w:rsidRPr="00426AE0">
        <w:rPr>
          <w:vertAlign w:val="superscript"/>
        </w:rPr>
        <w:t>2</w:t>
      </w:r>
      <w:r w:rsidRPr="005B04BF">
        <w:t xml:space="preserve"> (почти 2 м/с</w:t>
      </w:r>
      <w:r w:rsidRPr="00426AE0">
        <w:rPr>
          <w:vertAlign w:val="superscript"/>
        </w:rPr>
        <w:t>2</w:t>
      </w:r>
      <w:r w:rsidRPr="005B04BF">
        <w:t xml:space="preserve">) для </w:t>
      </w:r>
      <w:r>
        <w:t>таких</w:t>
      </w:r>
      <w:r w:rsidRPr="005B04BF">
        <w:t xml:space="preserve"> типов транспортных средств при увеличении скорости движения с 45 до 50 км/ч за 1 с, поскольку в этом случае оно должно быть почти в четыре раза выше, чем ускорение 0,47 м/с</w:t>
      </w:r>
      <w:r w:rsidRPr="00426AE0">
        <w:rPr>
          <w:vertAlign w:val="superscript"/>
        </w:rPr>
        <w:t>2</w:t>
      </w:r>
      <w:r w:rsidRPr="005B04BF">
        <w:t xml:space="preserve"> при увеличении скорости движения с 43,3 до 45 км/ч.</w:t>
      </w:r>
    </w:p>
    <w:p w14:paraId="6E5CFBE1" w14:textId="77777777" w:rsidR="00C51B25" w:rsidRPr="005B04BF" w:rsidRDefault="00C51B25" w:rsidP="003B5624">
      <w:pPr>
        <w:pStyle w:val="SingleTxtG"/>
        <w:rPr>
          <w:color w:val="000000" w:themeColor="text1"/>
        </w:rPr>
      </w:pPr>
      <w:r w:rsidRPr="005B04BF">
        <w:t>62.</w:t>
      </w:r>
      <w:r w:rsidRPr="005B04BF">
        <w:tab/>
      </w:r>
      <w:r>
        <w:t>Ассоциация «МЕКА»</w:t>
      </w:r>
      <w:r w:rsidRPr="005B04BF">
        <w:t xml:space="preserve"> предложила сделать увеличение скорости более постепенным </w:t>
      </w:r>
      <w:r>
        <w:t>посредством</w:t>
      </w:r>
      <w:r w:rsidRPr="005B04BF">
        <w:t xml:space="preserve"> использовани</w:t>
      </w:r>
      <w:r>
        <w:t>я</w:t>
      </w:r>
      <w:r w:rsidRPr="005B04BF">
        <w:t xml:space="preserve"> следующих значений:</w:t>
      </w:r>
    </w:p>
    <w:p w14:paraId="0037DCD4" w14:textId="1E16E0FF" w:rsidR="00C51B25" w:rsidRPr="000175EB" w:rsidRDefault="00C51B25" w:rsidP="000175EB">
      <w:pPr>
        <w:pStyle w:val="SingleTxtG"/>
        <w:tabs>
          <w:tab w:val="clear" w:pos="2268"/>
          <w:tab w:val="clear" w:pos="2835"/>
          <w:tab w:val="left" w:pos="2552"/>
        </w:tabs>
      </w:pPr>
      <w:r w:rsidRPr="005B04BF">
        <w:tab/>
        <w:t>199 с</w:t>
      </w:r>
      <w:r w:rsidRPr="005B04BF">
        <w:tab/>
        <w:t>43,3 км/ч</w:t>
      </w:r>
    </w:p>
    <w:p w14:paraId="7A1F6EAE" w14:textId="2FBE9F68" w:rsidR="00C51B25" w:rsidRPr="000175EB" w:rsidRDefault="00C51B25" w:rsidP="000175EB">
      <w:pPr>
        <w:pStyle w:val="SingleTxtG"/>
        <w:tabs>
          <w:tab w:val="clear" w:pos="2268"/>
          <w:tab w:val="clear" w:pos="2835"/>
          <w:tab w:val="left" w:pos="2552"/>
        </w:tabs>
      </w:pPr>
      <w:r w:rsidRPr="005B04BF">
        <w:tab/>
        <w:t>200 с</w:t>
      </w:r>
      <w:r w:rsidRPr="005B04BF">
        <w:tab/>
        <w:t>45 км/ч</w:t>
      </w:r>
    </w:p>
    <w:p w14:paraId="22E5F5DC" w14:textId="024C3A1D" w:rsidR="00C51B25" w:rsidRPr="000175EB" w:rsidRDefault="00C51B25" w:rsidP="000175EB">
      <w:pPr>
        <w:pStyle w:val="SingleTxtG"/>
        <w:tabs>
          <w:tab w:val="clear" w:pos="2268"/>
          <w:tab w:val="clear" w:pos="2835"/>
          <w:tab w:val="left" w:pos="2552"/>
        </w:tabs>
      </w:pPr>
      <w:r w:rsidRPr="005B04BF">
        <w:tab/>
        <w:t>201 с</w:t>
      </w:r>
      <w:r w:rsidRPr="005B04BF">
        <w:tab/>
        <w:t>46 км/ч</w:t>
      </w:r>
    </w:p>
    <w:p w14:paraId="6B15C951" w14:textId="55360DCB" w:rsidR="00C51B25" w:rsidRPr="000175EB" w:rsidRDefault="00C51B25" w:rsidP="000175EB">
      <w:pPr>
        <w:pStyle w:val="SingleTxtG"/>
        <w:tabs>
          <w:tab w:val="clear" w:pos="2268"/>
          <w:tab w:val="clear" w:pos="2835"/>
          <w:tab w:val="left" w:pos="2552"/>
        </w:tabs>
      </w:pPr>
      <w:r w:rsidRPr="005B04BF">
        <w:tab/>
        <w:t>202 с</w:t>
      </w:r>
      <w:r w:rsidRPr="005B04BF">
        <w:tab/>
        <w:t>47 км/ч</w:t>
      </w:r>
    </w:p>
    <w:p w14:paraId="3DD924CF" w14:textId="6B27CF60" w:rsidR="00C51B25" w:rsidRPr="000175EB" w:rsidRDefault="00C51B25" w:rsidP="000175EB">
      <w:pPr>
        <w:pStyle w:val="SingleTxtG"/>
        <w:tabs>
          <w:tab w:val="clear" w:pos="2268"/>
          <w:tab w:val="clear" w:pos="2835"/>
          <w:tab w:val="left" w:pos="2552"/>
        </w:tabs>
      </w:pPr>
      <w:r w:rsidRPr="005B04BF">
        <w:tab/>
        <w:t>203 с</w:t>
      </w:r>
      <w:r w:rsidRPr="005B04BF">
        <w:tab/>
        <w:t>48 км/ч</w:t>
      </w:r>
    </w:p>
    <w:p w14:paraId="4E65E0C1" w14:textId="7690AB39" w:rsidR="00C51B25" w:rsidRPr="000175EB" w:rsidRDefault="00C51B25" w:rsidP="000175EB">
      <w:pPr>
        <w:pStyle w:val="SingleTxtG"/>
        <w:tabs>
          <w:tab w:val="clear" w:pos="2268"/>
          <w:tab w:val="clear" w:pos="2835"/>
          <w:tab w:val="left" w:pos="2552"/>
        </w:tabs>
      </w:pPr>
      <w:r w:rsidRPr="005B04BF">
        <w:tab/>
        <w:t>204 с</w:t>
      </w:r>
      <w:r w:rsidRPr="005B04BF">
        <w:tab/>
        <w:t>49 км/ч</w:t>
      </w:r>
    </w:p>
    <w:p w14:paraId="356C37DC" w14:textId="1B54CF6F" w:rsidR="00C51B25" w:rsidRPr="000175EB" w:rsidRDefault="00C51B25" w:rsidP="000175EB">
      <w:pPr>
        <w:pStyle w:val="SingleTxtG"/>
        <w:tabs>
          <w:tab w:val="clear" w:pos="2268"/>
          <w:tab w:val="clear" w:pos="2835"/>
          <w:tab w:val="left" w:pos="2552"/>
        </w:tabs>
      </w:pPr>
      <w:r w:rsidRPr="005B04BF">
        <w:tab/>
        <w:t>205 с</w:t>
      </w:r>
      <w:r w:rsidRPr="005B04BF">
        <w:tab/>
        <w:t>50 км/ч</w:t>
      </w:r>
    </w:p>
    <w:p w14:paraId="13A7D468" w14:textId="77777777" w:rsidR="00C51B25" w:rsidRPr="005B04BF" w:rsidRDefault="00C51B25" w:rsidP="003B5624">
      <w:pPr>
        <w:pStyle w:val="SingleTxtG"/>
        <w:rPr>
          <w:color w:val="000000" w:themeColor="text1"/>
        </w:rPr>
      </w:pPr>
      <w:r w:rsidRPr="005B04BF">
        <w:t>63.</w:t>
      </w:r>
      <w:r w:rsidRPr="005B04BF">
        <w:tab/>
        <w:t>ОВАКН просила уточнить, повлечет ли за собой изменение циклов ВЦИМ аналогичное изменение и в европейском цикле, что будет неизбежно связано с</w:t>
      </w:r>
      <w:r>
        <w:t xml:space="preserve"> проведением</w:t>
      </w:r>
      <w:r w:rsidRPr="005B04BF">
        <w:t xml:space="preserve"> значительной работ</w:t>
      </w:r>
      <w:r>
        <w:t>ы</w:t>
      </w:r>
      <w:r w:rsidRPr="005B04BF">
        <w:t>.</w:t>
      </w:r>
    </w:p>
    <w:p w14:paraId="288C5952" w14:textId="77777777" w:rsidR="00C51B25" w:rsidRPr="005B04BF" w:rsidRDefault="00C51B25" w:rsidP="003B5624">
      <w:pPr>
        <w:pStyle w:val="SingleTxtG"/>
        <w:rPr>
          <w:color w:val="000000" w:themeColor="text1"/>
        </w:rPr>
      </w:pPr>
      <w:r w:rsidRPr="005B04BF">
        <w:t>64.</w:t>
      </w:r>
      <w:r w:rsidRPr="005B04BF">
        <w:tab/>
        <w:t>Чтобы избежать необходимости в изменении европейских циклов, Председатель предложил оставить схему неизменной для транспортных средств с максимальной расчетной скоростью 45 км/ч (как в ЕС), но изменить схему для транспортных средств с максимальной расчетной скоростью 50 км/ч (в основном за пределами ЕС). При этом он считает, что</w:t>
      </w:r>
      <w:r w:rsidRPr="009F133C">
        <w:t xml:space="preserve"> </w:t>
      </w:r>
      <w:r w:rsidRPr="005B04BF">
        <w:t>оставить схему без изменений, безусловно, проще.</w:t>
      </w:r>
    </w:p>
    <w:p w14:paraId="2B4B79D4" w14:textId="32B0292E" w:rsidR="00C51B25" w:rsidRPr="005B04BF" w:rsidRDefault="00C51B25" w:rsidP="003B5624">
      <w:pPr>
        <w:pStyle w:val="SingleTxtG"/>
        <w:rPr>
          <w:color w:val="000000" w:themeColor="text1"/>
        </w:rPr>
      </w:pPr>
      <w:r w:rsidRPr="005B04BF">
        <w:t>65.</w:t>
      </w:r>
      <w:r w:rsidRPr="005B04BF">
        <w:tab/>
        <w:t>Далее Председатель объяснил свою идею об увеличении плато с 45 до 50 км/ч (см. рис</w:t>
      </w:r>
      <w:r w:rsidR="000175EB">
        <w:t>.</w:t>
      </w:r>
      <w:r w:rsidRPr="005B04BF">
        <w:t xml:space="preserve"> A4.App12/5).</w:t>
      </w:r>
    </w:p>
    <w:p w14:paraId="098D8818" w14:textId="77777777" w:rsidR="00C51B25" w:rsidRPr="005B04BF" w:rsidRDefault="00C51B25" w:rsidP="003B5624">
      <w:pPr>
        <w:pStyle w:val="SingleTxtG"/>
        <w:rPr>
          <w:color w:val="000000" w:themeColor="text1"/>
        </w:rPr>
      </w:pPr>
      <w:r w:rsidRPr="005B04BF">
        <w:t>66.</w:t>
      </w:r>
      <w:r w:rsidRPr="005B04BF">
        <w:tab/>
        <w:t>Китай повторно представил свое прежнее предложение</w:t>
      </w:r>
      <w:r>
        <w:t>, содержащееся в документе</w:t>
      </w:r>
      <w:r w:rsidRPr="005B04BF">
        <w:t xml:space="preserve"> EPPR-43-03-rev1, изложив следующие просьбы:</w:t>
      </w:r>
    </w:p>
    <w:p w14:paraId="15AABE8A" w14:textId="5E44ED51" w:rsidR="00C51B25" w:rsidRPr="00984B7A" w:rsidRDefault="003B5624" w:rsidP="00984B7A">
      <w:pPr>
        <w:pStyle w:val="SingleTxtG"/>
      </w:pPr>
      <w:r>
        <w:tab/>
      </w:r>
      <w:r w:rsidR="00C51B25" w:rsidRPr="00984B7A">
        <w:t>a)</w:t>
      </w:r>
      <w:r w:rsidR="00C51B25" w:rsidRPr="00984B7A">
        <w:tab/>
      </w:r>
      <w:r w:rsidR="00C00C36" w:rsidRPr="00984B7A">
        <w:t>и</w:t>
      </w:r>
      <w:r w:rsidR="00C51B25" w:rsidRPr="00984B7A">
        <w:t>зменить описание ВЦИМ для подкласса 0-2, а именно разделить описание испытания для подкласса 0-2 на два случая:</w:t>
      </w:r>
    </w:p>
    <w:p w14:paraId="525C61FD" w14:textId="4C3447D1" w:rsidR="00C51B25" w:rsidRPr="005B04BF" w:rsidRDefault="00C00C36" w:rsidP="00984B7A">
      <w:pPr>
        <w:pStyle w:val="SingleTxtG"/>
        <w:ind w:left="1701"/>
        <w:rPr>
          <w:color w:val="000000" w:themeColor="text1"/>
        </w:rPr>
      </w:pPr>
      <w:r w:rsidRPr="005B04BF">
        <w:t>п</w:t>
      </w:r>
      <w:r w:rsidR="00C51B25" w:rsidRPr="005B04BF">
        <w:t xml:space="preserve">ервый случай относится к </w:t>
      </w:r>
      <w:r w:rsidR="00C51B25">
        <w:t>«</w:t>
      </w:r>
      <w:r w:rsidR="00C51B25" w:rsidRPr="005B04BF">
        <w:t>обычным</w:t>
      </w:r>
      <w:r w:rsidR="00C51B25">
        <w:t>»</w:t>
      </w:r>
      <w:r w:rsidR="00C51B25" w:rsidRPr="005B04BF">
        <w:t xml:space="preserve"> транспортным средствам </w:t>
      </w:r>
      <w:r w:rsidR="00984B7A">
        <w:br/>
      </w:r>
      <w:r w:rsidR="00C51B25" w:rsidRPr="005B04BF">
        <w:t xml:space="preserve">подкласса 0-2, максимальная расчетная скорость которых составляет </w:t>
      </w:r>
      <w:r>
        <w:br/>
      </w:r>
      <w:r w:rsidR="00C51B25" w:rsidRPr="005B04BF">
        <w:t>50 км/ч. Китай предложил использовать в этом случае тот же цикл испытаний, что и для категории 1</w:t>
      </w:r>
      <w:r>
        <w:t>;</w:t>
      </w:r>
    </w:p>
    <w:p w14:paraId="3D28070B" w14:textId="43A58344" w:rsidR="00C51B25" w:rsidRPr="005B04BF" w:rsidRDefault="00C00C36" w:rsidP="00984B7A">
      <w:pPr>
        <w:pStyle w:val="SingleTxtG"/>
        <w:ind w:left="1701"/>
        <w:rPr>
          <w:color w:val="000000" w:themeColor="text1"/>
        </w:rPr>
      </w:pPr>
      <w:r w:rsidRPr="005B04BF">
        <w:t>в</w:t>
      </w:r>
      <w:r w:rsidR="00C51B25" w:rsidRPr="005B04BF">
        <w:t>торой случай касается транспортных средств, относящихся к европейскому подклассу 0-2, максимальная расчетная скорость которых составляет 45 км/ч. Китай предложил в этом случае оставить испытание без изменений</w:t>
      </w:r>
      <w:r w:rsidR="00C51B25">
        <w:t>,</w:t>
      </w:r>
      <w:r w:rsidR="00C51B25" w:rsidRPr="005B04BF">
        <w:t xml:space="preserve"> т.</w:t>
      </w:r>
      <w:r w:rsidR="00C51B25">
        <w:t xml:space="preserve"> </w:t>
      </w:r>
      <w:r w:rsidR="00C51B25" w:rsidRPr="005B04BF">
        <w:t>е. значение испытательной скорости будет усечено до 45 км/ч. Этот случай представлен в таблице A1/1</w:t>
      </w:r>
      <w:r>
        <w:t>;</w:t>
      </w:r>
    </w:p>
    <w:p w14:paraId="43A30C8F" w14:textId="67683D08" w:rsidR="00C51B25" w:rsidRPr="005B04BF" w:rsidRDefault="00D83845" w:rsidP="003B5624">
      <w:pPr>
        <w:pStyle w:val="SingleTxtG"/>
        <w:rPr>
          <w:color w:val="000000" w:themeColor="text1"/>
        </w:rPr>
      </w:pPr>
      <w:r>
        <w:tab/>
      </w:r>
      <w:r w:rsidR="00C51B25" w:rsidRPr="005B04BF">
        <w:t>b)</w:t>
      </w:r>
      <w:r w:rsidR="00C51B25" w:rsidRPr="005B04BF">
        <w:tab/>
      </w:r>
      <w:r w:rsidR="00C00C36" w:rsidRPr="005B04BF">
        <w:t>у</w:t>
      </w:r>
      <w:r w:rsidR="00C51B25" w:rsidRPr="005B04BF">
        <w:t>точнить примечание.</w:t>
      </w:r>
    </w:p>
    <w:p w14:paraId="6125A270" w14:textId="77777777" w:rsidR="00C51B25" w:rsidRPr="005B04BF" w:rsidRDefault="00C51B25" w:rsidP="003B5624">
      <w:pPr>
        <w:pStyle w:val="SingleTxtG"/>
        <w:rPr>
          <w:color w:val="000000" w:themeColor="text1"/>
        </w:rPr>
      </w:pPr>
      <w:r w:rsidRPr="005B04BF">
        <w:t>67.</w:t>
      </w:r>
      <w:r w:rsidRPr="005B04BF">
        <w:tab/>
        <w:t>Председатель выразил некоторые опасения</w:t>
      </w:r>
      <w:r>
        <w:t xml:space="preserve"> относительно того</w:t>
      </w:r>
      <w:r w:rsidRPr="005B04BF">
        <w:t>, что изменение схемы повлечет за собой значительные изменения в тексте ГТП ООН</w:t>
      </w:r>
      <w:r>
        <w:t>;</w:t>
      </w:r>
      <w:r w:rsidRPr="005B04BF">
        <w:t xml:space="preserve"> </w:t>
      </w:r>
      <w:r>
        <w:t>однако</w:t>
      </w:r>
      <w:r w:rsidRPr="005B04BF">
        <w:t xml:space="preserve"> после некоторого обсуждения эти опасения были сняты. </w:t>
      </w:r>
    </w:p>
    <w:p w14:paraId="7BD59061" w14:textId="77777777" w:rsidR="00C51B25" w:rsidRPr="005B04BF" w:rsidRDefault="00C51B25" w:rsidP="003B5624">
      <w:pPr>
        <w:pStyle w:val="SingleTxtG"/>
        <w:rPr>
          <w:color w:val="000000" w:themeColor="text1"/>
        </w:rPr>
      </w:pPr>
      <w:r w:rsidRPr="005B04BF">
        <w:t>68.</w:t>
      </w:r>
      <w:r w:rsidRPr="005B04BF">
        <w:tab/>
        <w:t>После продолжительного обмена мнениями между председателем и Китаем, НРГ по ТЭТХ пришла к следующему соглашению.</w:t>
      </w:r>
    </w:p>
    <w:p w14:paraId="4B10D671" w14:textId="77777777" w:rsidR="00C51B25" w:rsidRPr="005B04BF" w:rsidRDefault="00C51B25" w:rsidP="003B5624">
      <w:pPr>
        <w:pStyle w:val="SingleTxtG"/>
        <w:rPr>
          <w:color w:val="000000" w:themeColor="text1"/>
        </w:rPr>
      </w:pPr>
      <w:r w:rsidRPr="005B04BF">
        <w:t>69.</w:t>
      </w:r>
      <w:r w:rsidRPr="005B04BF">
        <w:tab/>
        <w:t xml:space="preserve">Предложение Китая, изложенное в </w:t>
      </w:r>
      <w:r>
        <w:t xml:space="preserve">документе </w:t>
      </w:r>
      <w:r w:rsidRPr="005B04BF">
        <w:t>EPPR-43-03-rev.1, было согласовано с включением одного предложения для разъяснения, как это показано в таблице A1/1.</w:t>
      </w:r>
    </w:p>
    <w:p w14:paraId="5FFF9AF8" w14:textId="4FF53A30" w:rsidR="00C51B25" w:rsidRPr="005B04BF" w:rsidRDefault="00C51B25" w:rsidP="003B5624">
      <w:pPr>
        <w:pStyle w:val="SingleTxtG"/>
        <w:rPr>
          <w:color w:val="000000" w:themeColor="text1"/>
        </w:rPr>
      </w:pPr>
      <w:r w:rsidRPr="005B04BF">
        <w:t>70.</w:t>
      </w:r>
      <w:r w:rsidRPr="005B04BF">
        <w:tab/>
        <w:t>Было решено исключить последнюю часть примечания на рис</w:t>
      </w:r>
      <w:r w:rsidR="00C00C36">
        <w:t>.</w:t>
      </w:r>
      <w:r w:rsidRPr="005B04BF">
        <w:t xml:space="preserve"> A4.App12/5 и /6.</w:t>
      </w:r>
    </w:p>
    <w:p w14:paraId="6BE907D7" w14:textId="4CC44B2F" w:rsidR="00C51B25" w:rsidRPr="005B04BF" w:rsidRDefault="003B5624" w:rsidP="003B5624">
      <w:pPr>
        <w:pStyle w:val="H1G"/>
      </w:pPr>
      <w:r>
        <w:tab/>
      </w:r>
      <w:r w:rsidR="00C51B25" w:rsidRPr="005B04BF">
        <w:t>D.</w:t>
      </w:r>
      <w:r w:rsidR="00C51B25" w:rsidRPr="005B04BF">
        <w:tab/>
        <w:t>Стандарты</w:t>
      </w:r>
    </w:p>
    <w:p w14:paraId="65DEA496" w14:textId="77777777" w:rsidR="00C51B25" w:rsidRPr="005B04BF" w:rsidRDefault="00C51B25" w:rsidP="00C51B25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rFonts w:eastAsia="MS Mincho"/>
          <w:b/>
          <w:bCs/>
          <w:szCs w:val="20"/>
        </w:rPr>
      </w:pPr>
      <w:r w:rsidRPr="005B04BF">
        <w:rPr>
          <w:rFonts w:eastAsia="MS Mincho"/>
          <w:b/>
          <w:szCs w:val="20"/>
        </w:rPr>
        <w:tab/>
        <w:t>1.</w:t>
      </w:r>
      <w:r w:rsidRPr="005B04BF">
        <w:rPr>
          <w:rFonts w:eastAsia="MS Mincho"/>
          <w:b/>
          <w:szCs w:val="20"/>
        </w:rPr>
        <w:tab/>
        <w:t>Стандарты, применяемые в Китае</w:t>
      </w:r>
    </w:p>
    <w:p w14:paraId="295CF479" w14:textId="77777777" w:rsidR="00C51B25" w:rsidRPr="005B04BF" w:rsidRDefault="00C51B25" w:rsidP="003B5624">
      <w:pPr>
        <w:pStyle w:val="SingleTxtG"/>
        <w:rPr>
          <w:rStyle w:val="af1"/>
          <w:color w:val="000000" w:themeColor="text1"/>
        </w:rPr>
      </w:pPr>
      <w:r w:rsidRPr="005B04BF">
        <w:t>71.</w:t>
      </w:r>
      <w:r w:rsidRPr="005B04BF">
        <w:tab/>
        <w:t>На сороковом заседании НРГ по ТЭТХ (декабрь 2020 года) Китай попросил отразить свои национальные стандарты в списке нормативных положений, учитываемых при разработке ГТП ООН, в частности ГТП № 2 ООН, без необходимости возобновления каких-либо технических обсуждений</w:t>
      </w:r>
      <w:r>
        <w:t xml:space="preserve"> (с</w:t>
      </w:r>
      <w:r w:rsidRPr="005B04BF">
        <w:t>м. EPPR-40-05</w:t>
      </w:r>
      <w:r>
        <w:t>)</w:t>
      </w:r>
      <w:r w:rsidRPr="005B04BF">
        <w:t>.</w:t>
      </w:r>
    </w:p>
    <w:p w14:paraId="79833FFB" w14:textId="46B0576D" w:rsidR="00E12C5F" w:rsidRDefault="00C51B25" w:rsidP="003B5624">
      <w:pPr>
        <w:pStyle w:val="SingleTxtG"/>
      </w:pPr>
      <w:r w:rsidRPr="005B04BF">
        <w:t>72.</w:t>
      </w:r>
      <w:r w:rsidRPr="005B04BF">
        <w:tab/>
        <w:t xml:space="preserve">С учетом разъяснения Председателя НРГ по ТЭТХ и по согласованию с НРГ по ТЭТХ применяемые в Китае стандарты были включены в </w:t>
      </w:r>
      <w:r>
        <w:t>ч</w:t>
      </w:r>
      <w:r w:rsidRPr="005B04BF">
        <w:t>асть I (</w:t>
      </w:r>
      <w:r>
        <w:t>«</w:t>
      </w:r>
      <w:r w:rsidRPr="005B04BF">
        <w:t>Обоснование</w:t>
      </w:r>
      <w:r>
        <w:t>»</w:t>
      </w:r>
      <w:r w:rsidRPr="005B04BF">
        <w:t xml:space="preserve">) </w:t>
      </w:r>
      <w:r>
        <w:t>этих</w:t>
      </w:r>
      <w:r w:rsidRPr="005B04BF">
        <w:t xml:space="preserve"> ГТП и в пункт C.1 настоящего технического доклада.</w:t>
      </w:r>
    </w:p>
    <w:p w14:paraId="7616CFAE" w14:textId="642A40F1" w:rsidR="00C51B25" w:rsidRPr="00C51B25" w:rsidRDefault="00C51B25" w:rsidP="00C51B2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51B25" w:rsidRPr="00C51B25" w:rsidSect="00C51B2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6F169" w14:textId="77777777" w:rsidR="004A3B1C" w:rsidRPr="00A312BC" w:rsidRDefault="004A3B1C" w:rsidP="00A312BC"/>
  </w:endnote>
  <w:endnote w:type="continuationSeparator" w:id="0">
    <w:p w14:paraId="7C918EE2" w14:textId="77777777" w:rsidR="004A3B1C" w:rsidRPr="00A312BC" w:rsidRDefault="004A3B1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7F790" w14:textId="4D5DC229" w:rsidR="00C51B25" w:rsidRPr="00C51B25" w:rsidRDefault="00C51B25">
    <w:pPr>
      <w:pStyle w:val="a8"/>
    </w:pPr>
    <w:r w:rsidRPr="00C51B25">
      <w:rPr>
        <w:b/>
        <w:sz w:val="18"/>
      </w:rPr>
      <w:fldChar w:fldCharType="begin"/>
    </w:r>
    <w:r w:rsidRPr="00C51B25">
      <w:rPr>
        <w:b/>
        <w:sz w:val="18"/>
      </w:rPr>
      <w:instrText xml:space="preserve"> PAGE  \* MERGEFORMAT </w:instrText>
    </w:r>
    <w:r w:rsidRPr="00C51B25">
      <w:rPr>
        <w:b/>
        <w:sz w:val="18"/>
      </w:rPr>
      <w:fldChar w:fldCharType="separate"/>
    </w:r>
    <w:r w:rsidRPr="00C51B25">
      <w:rPr>
        <w:b/>
        <w:noProof/>
        <w:sz w:val="18"/>
      </w:rPr>
      <w:t>2</w:t>
    </w:r>
    <w:r w:rsidRPr="00C51B25">
      <w:rPr>
        <w:b/>
        <w:sz w:val="18"/>
      </w:rPr>
      <w:fldChar w:fldCharType="end"/>
    </w:r>
    <w:r>
      <w:rPr>
        <w:b/>
        <w:sz w:val="18"/>
      </w:rPr>
      <w:tab/>
    </w:r>
    <w:r>
      <w:t>GE.22-05212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20F6" w14:textId="0F5EB127" w:rsidR="00C51B25" w:rsidRPr="00C51B25" w:rsidRDefault="00C51B25" w:rsidP="00C51B25">
    <w:pPr>
      <w:pStyle w:val="a8"/>
      <w:tabs>
        <w:tab w:val="clear" w:pos="9639"/>
        <w:tab w:val="right" w:pos="9638"/>
      </w:tabs>
      <w:rPr>
        <w:b/>
        <w:sz w:val="18"/>
      </w:rPr>
    </w:pPr>
    <w:r>
      <w:t>GE.22-05212</w:t>
    </w:r>
    <w:r>
      <w:tab/>
    </w:r>
    <w:r w:rsidRPr="00C51B25">
      <w:rPr>
        <w:b/>
        <w:sz w:val="18"/>
      </w:rPr>
      <w:fldChar w:fldCharType="begin"/>
    </w:r>
    <w:r w:rsidRPr="00C51B25">
      <w:rPr>
        <w:b/>
        <w:sz w:val="18"/>
      </w:rPr>
      <w:instrText xml:space="preserve"> PAGE  \* MERGEFORMAT </w:instrText>
    </w:r>
    <w:r w:rsidRPr="00C51B25">
      <w:rPr>
        <w:b/>
        <w:sz w:val="18"/>
      </w:rPr>
      <w:fldChar w:fldCharType="separate"/>
    </w:r>
    <w:r w:rsidRPr="00C51B25">
      <w:rPr>
        <w:b/>
        <w:noProof/>
        <w:sz w:val="18"/>
      </w:rPr>
      <w:t>3</w:t>
    </w:r>
    <w:r w:rsidRPr="00C51B2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51D4A" w14:textId="07C1413D" w:rsidR="00042B72" w:rsidRPr="00C51B25" w:rsidRDefault="00C51B25" w:rsidP="00C51B2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D1D9390" wp14:editId="534D838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22-05212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BBD1D38" wp14:editId="5A9943C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190422  </w:t>
    </w:r>
    <w:r w:rsidR="00325F26">
      <w:rPr>
        <w:lang w:val="en-US"/>
      </w:rPr>
      <w:t>20</w:t>
    </w:r>
    <w:r>
      <w:rPr>
        <w:lang w:val="en-US"/>
      </w:rPr>
      <w:t>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B0C51" w14:textId="77777777" w:rsidR="004A3B1C" w:rsidRPr="001075E9" w:rsidRDefault="004A3B1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4989CCF" w14:textId="77777777" w:rsidR="004A3B1C" w:rsidRDefault="004A3B1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941B1C6" w14:textId="74B2AFD3" w:rsidR="00C51B25" w:rsidRDefault="00C51B25" w:rsidP="00C51B25">
      <w:pPr>
        <w:pStyle w:val="ad"/>
      </w:pPr>
      <w:r>
        <w:tab/>
      </w:r>
      <w:r w:rsidRPr="00C51B25">
        <w:rPr>
          <w:sz w:val="20"/>
          <w:szCs w:val="22"/>
        </w:rPr>
        <w:t>*</w:t>
      </w:r>
      <w:r w:rsidRPr="00C51B25">
        <w:rPr>
          <w:sz w:val="20"/>
          <w:szCs w:val="22"/>
        </w:rPr>
        <w:tab/>
      </w:r>
      <w:r>
        <w:t xml:space="preserve"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 </w:t>
      </w:r>
      <w:r>
        <w:br/>
        <w:t>п. 20.76),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94631" w14:textId="2C1780AE" w:rsidR="00C51B25" w:rsidRPr="00C51B25" w:rsidRDefault="00956430">
    <w:pPr>
      <w:pStyle w:val="a5"/>
    </w:pPr>
    <w:fldSimple w:instr=" TITLE  \* MERGEFORMAT ">
      <w:r w:rsidR="002374D3">
        <w:t>ECE/TRANS/WP.29/2022/109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9B9D1" w14:textId="327D7523" w:rsidR="00C51B25" w:rsidRPr="00C51B25" w:rsidRDefault="00956430" w:rsidP="00C51B25">
    <w:pPr>
      <w:pStyle w:val="a5"/>
      <w:jc w:val="right"/>
    </w:pPr>
    <w:fldSimple w:instr=" TITLE  \* MERGEFORMAT ">
      <w:r w:rsidR="002374D3">
        <w:t>ECE/TRANS/WP.29/2022/109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B393E"/>
    <w:multiLevelType w:val="hybridMultilevel"/>
    <w:tmpl w:val="CCE401F2"/>
    <w:lvl w:ilvl="0" w:tplc="BB7E697C">
      <w:start w:val="1"/>
      <w:numFmt w:val="bullet"/>
      <w:pStyle w:val="bulletpoin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DFAE98C4">
      <w:start w:val="1"/>
      <w:numFmt w:val="bullet"/>
      <w:pStyle w:val="bulletIIpoin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494C767A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B1C"/>
    <w:rsid w:val="000175EB"/>
    <w:rsid w:val="00033EE1"/>
    <w:rsid w:val="00042B72"/>
    <w:rsid w:val="000558BD"/>
    <w:rsid w:val="000B57E7"/>
    <w:rsid w:val="000B6373"/>
    <w:rsid w:val="000E449E"/>
    <w:rsid w:val="000E4E5B"/>
    <w:rsid w:val="000F09DF"/>
    <w:rsid w:val="000F61B2"/>
    <w:rsid w:val="001052DC"/>
    <w:rsid w:val="001075E9"/>
    <w:rsid w:val="0014152F"/>
    <w:rsid w:val="00180183"/>
    <w:rsid w:val="0018024D"/>
    <w:rsid w:val="0018649F"/>
    <w:rsid w:val="00196389"/>
    <w:rsid w:val="001B3EF6"/>
    <w:rsid w:val="001C7A89"/>
    <w:rsid w:val="002374D3"/>
    <w:rsid w:val="00255343"/>
    <w:rsid w:val="0027151D"/>
    <w:rsid w:val="00284B9C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5F26"/>
    <w:rsid w:val="00331A7E"/>
    <w:rsid w:val="003402C2"/>
    <w:rsid w:val="00381C24"/>
    <w:rsid w:val="00387CD4"/>
    <w:rsid w:val="003958D0"/>
    <w:rsid w:val="003A0D43"/>
    <w:rsid w:val="003A48CE"/>
    <w:rsid w:val="003B00E5"/>
    <w:rsid w:val="003B5624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A3B1C"/>
    <w:rsid w:val="004D3F93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497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544DB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6430"/>
    <w:rsid w:val="009608F3"/>
    <w:rsid w:val="00973592"/>
    <w:rsid w:val="00984B7A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2CDC"/>
    <w:rsid w:val="00BD33EE"/>
    <w:rsid w:val="00BE1CC7"/>
    <w:rsid w:val="00C00C36"/>
    <w:rsid w:val="00C106D6"/>
    <w:rsid w:val="00C119AE"/>
    <w:rsid w:val="00C1487C"/>
    <w:rsid w:val="00C2249B"/>
    <w:rsid w:val="00C51B25"/>
    <w:rsid w:val="00C60F0C"/>
    <w:rsid w:val="00C71E84"/>
    <w:rsid w:val="00C805C9"/>
    <w:rsid w:val="00C92939"/>
    <w:rsid w:val="00C97A77"/>
    <w:rsid w:val="00CA1679"/>
    <w:rsid w:val="00CB04B4"/>
    <w:rsid w:val="00CB151C"/>
    <w:rsid w:val="00CE5A1A"/>
    <w:rsid w:val="00CF55F6"/>
    <w:rsid w:val="00D33D63"/>
    <w:rsid w:val="00D5253A"/>
    <w:rsid w:val="00D83845"/>
    <w:rsid w:val="00D873A8"/>
    <w:rsid w:val="00D90028"/>
    <w:rsid w:val="00D90138"/>
    <w:rsid w:val="00D9145B"/>
    <w:rsid w:val="00D95969"/>
    <w:rsid w:val="00DD78D1"/>
    <w:rsid w:val="00DE32CD"/>
    <w:rsid w:val="00DF5767"/>
    <w:rsid w:val="00DF71B9"/>
    <w:rsid w:val="00E12C5F"/>
    <w:rsid w:val="00E73F76"/>
    <w:rsid w:val="00EA2C9F"/>
    <w:rsid w:val="00EA420E"/>
    <w:rsid w:val="00EB75E1"/>
    <w:rsid w:val="00ED0BDA"/>
    <w:rsid w:val="00EE142A"/>
    <w:rsid w:val="00EE4D4B"/>
    <w:rsid w:val="00EF1360"/>
    <w:rsid w:val="00EF3220"/>
    <w:rsid w:val="00F01CDB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961BBA2"/>
  <w15:docId w15:val="{5A22E2E0-C39D-4A88-8CEE-ED3A886D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20">
    <w:name w:val="Заголовок 2 Знак"/>
    <w:link w:val="2"/>
    <w:uiPriority w:val="9"/>
    <w:rsid w:val="00C51B25"/>
    <w:rPr>
      <w:rFonts w:eastAsiaTheme="minorHAnsi" w:cs="Arial"/>
      <w:bCs/>
      <w:iCs/>
      <w:szCs w:val="28"/>
      <w:lang w:val="ru-RU" w:eastAsia="en-US"/>
    </w:rPr>
  </w:style>
  <w:style w:type="paragraph" w:customStyle="1" w:styleId="bulletpoint">
    <w:name w:val="bullet point"/>
    <w:basedOn w:val="a"/>
    <w:qFormat/>
    <w:rsid w:val="00C51B25"/>
    <w:pPr>
      <w:numPr>
        <w:numId w:val="22"/>
      </w:numPr>
      <w:suppressAutoHyphens w:val="0"/>
      <w:spacing w:line="240" w:lineRule="auto"/>
      <w:ind w:left="284" w:hanging="284"/>
    </w:pPr>
    <w:rPr>
      <w:rFonts w:eastAsia="MS Mincho" w:cs="Times New Roman"/>
      <w:sz w:val="22"/>
      <w:lang w:eastAsia="ja-JP"/>
    </w:rPr>
  </w:style>
  <w:style w:type="paragraph" w:customStyle="1" w:styleId="bulletIIpoint">
    <w:name w:val="bullet II point"/>
    <w:basedOn w:val="a"/>
    <w:qFormat/>
    <w:rsid w:val="00C51B25"/>
    <w:pPr>
      <w:numPr>
        <w:ilvl w:val="1"/>
        <w:numId w:val="22"/>
      </w:numPr>
      <w:suppressAutoHyphens w:val="0"/>
      <w:spacing w:line="240" w:lineRule="auto"/>
    </w:pPr>
    <w:rPr>
      <w:rFonts w:eastAsia="MS Mincho" w:cs="Times New Roman"/>
      <w:color w:val="000000"/>
      <w:szCs w:val="20"/>
      <w:lang w:eastAsia="ja-JP"/>
    </w:rPr>
  </w:style>
  <w:style w:type="paragraph" w:styleId="af3">
    <w:name w:val="No Spacing"/>
    <w:basedOn w:val="bulletIIpoint"/>
    <w:uiPriority w:val="1"/>
    <w:qFormat/>
    <w:rsid w:val="00C51B25"/>
    <w:pPr>
      <w:spacing w:before="120" w:after="120"/>
    </w:pPr>
  </w:style>
  <w:style w:type="paragraph" w:styleId="af4">
    <w:name w:val="List Paragraph"/>
    <w:basedOn w:val="a"/>
    <w:uiPriority w:val="34"/>
    <w:qFormat/>
    <w:rsid w:val="00C51B25"/>
    <w:pPr>
      <w:suppressAutoHyphens w:val="0"/>
      <w:spacing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styleId="af5">
    <w:name w:val="Normal (Web)"/>
    <w:basedOn w:val="a"/>
    <w:link w:val="af6"/>
    <w:uiPriority w:val="99"/>
    <w:unhideWhenUsed/>
    <w:rsid w:val="00C51B25"/>
    <w:pPr>
      <w:suppressAutoHyphens w:val="0"/>
      <w:spacing w:line="240" w:lineRule="auto"/>
    </w:pPr>
    <w:rPr>
      <w:rFonts w:eastAsia="Yu Mincho" w:cs="Times New Roman"/>
      <w:bCs/>
      <w:sz w:val="24"/>
      <w:szCs w:val="24"/>
    </w:rPr>
  </w:style>
  <w:style w:type="character" w:customStyle="1" w:styleId="HChGChar">
    <w:name w:val="_ H _Ch_G Char"/>
    <w:link w:val="HChG"/>
    <w:rsid w:val="00C51B25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C51B25"/>
    <w:rPr>
      <w:lang w:val="ru-RU" w:eastAsia="en-US"/>
    </w:rPr>
  </w:style>
  <w:style w:type="character" w:customStyle="1" w:styleId="af6">
    <w:name w:val="Обычный (Интернет) Знак"/>
    <w:link w:val="af5"/>
    <w:uiPriority w:val="99"/>
    <w:rsid w:val="00C51B25"/>
    <w:rPr>
      <w:rFonts w:eastAsia="Yu Mincho"/>
      <w:bCs/>
      <w:sz w:val="24"/>
      <w:szCs w:val="24"/>
      <w:lang w:val="ru-RU" w:eastAsia="en-US"/>
    </w:rPr>
  </w:style>
  <w:style w:type="paragraph" w:customStyle="1" w:styleId="HChGR">
    <w:name w:val="_ H _Ch_GR"/>
    <w:basedOn w:val="a"/>
    <w:next w:val="a"/>
    <w:qFormat/>
    <w:rsid w:val="00C51B2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F180F0F7-F65D-4C44-8AE3-72FF37917FE0}"/>
</file>

<file path=customXml/itemProps2.xml><?xml version="1.0" encoding="utf-8"?>
<ds:datastoreItem xmlns:ds="http://schemas.openxmlformats.org/officeDocument/2006/customXml" ds:itemID="{F0614E07-4594-4CD0-8068-1CDED10A83E6}"/>
</file>

<file path=customXml/itemProps3.xml><?xml version="1.0" encoding="utf-8"?>
<ds:datastoreItem xmlns:ds="http://schemas.openxmlformats.org/officeDocument/2006/customXml" ds:itemID="{845A7BAC-D236-48E2-B88F-4C9F6D2C658F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17</Pages>
  <Words>5555</Words>
  <Characters>34946</Characters>
  <Application>Microsoft Office Word</Application>
  <DocSecurity>0</DocSecurity>
  <Lines>647</Lines>
  <Paragraphs>174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ECE/TRANS/WP.29/2022/109</vt:lpstr>
      <vt:lpstr>A/</vt:lpstr>
      <vt:lpstr>A/</vt:lpstr>
    </vt:vector>
  </TitlesOfParts>
  <Company>DCM</Company>
  <LinksUpToDate>false</LinksUpToDate>
  <CharactersWithSpaces>40327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ECE/TRANS/WP.29/2022/109</dc:title>
  <dc:subject/>
  <dc:creator>Elena IZOTOVA</dc:creator>
  <cp:keywords/>
  <cp:lastModifiedBy>Ioulia Goussarova</cp:lastModifiedBy>
  <cp:revision>3</cp:revision>
  <cp:lastPrinted>2022-04-20T11:04:00Z</cp:lastPrinted>
  <dcterms:created xsi:type="dcterms:W3CDTF">2022-04-20T11:03:00Z</dcterms:created>
  <dcterms:modified xsi:type="dcterms:W3CDTF">2022-04-20T11:04:00Z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