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77E7F6" w14:textId="77777777" w:rsidTr="00C97039">
        <w:trPr>
          <w:trHeight w:hRule="exact" w:val="851"/>
        </w:trPr>
        <w:tc>
          <w:tcPr>
            <w:tcW w:w="1276" w:type="dxa"/>
            <w:tcBorders>
              <w:bottom w:val="single" w:sz="4" w:space="0" w:color="auto"/>
            </w:tcBorders>
          </w:tcPr>
          <w:p w14:paraId="2EF317E4" w14:textId="77777777" w:rsidR="00F35BAF" w:rsidRPr="00DB58B5" w:rsidRDefault="00F35BAF" w:rsidP="00F8579C"/>
        </w:tc>
        <w:tc>
          <w:tcPr>
            <w:tcW w:w="2268" w:type="dxa"/>
            <w:tcBorders>
              <w:bottom w:val="single" w:sz="4" w:space="0" w:color="auto"/>
            </w:tcBorders>
            <w:vAlign w:val="bottom"/>
          </w:tcPr>
          <w:p w14:paraId="3EE861D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3FE510A" w14:textId="281575C5" w:rsidR="00F35BAF" w:rsidRPr="00DB58B5" w:rsidRDefault="00F8579C" w:rsidP="00F8579C">
            <w:pPr>
              <w:jc w:val="right"/>
            </w:pPr>
            <w:r w:rsidRPr="00F8579C">
              <w:rPr>
                <w:sz w:val="40"/>
              </w:rPr>
              <w:t>ECE</w:t>
            </w:r>
            <w:r>
              <w:t>/TRANS/WP.29/2022/109</w:t>
            </w:r>
          </w:p>
        </w:tc>
      </w:tr>
      <w:tr w:rsidR="00F35BAF" w:rsidRPr="00DB58B5" w14:paraId="7C4F1EB8" w14:textId="77777777" w:rsidTr="00C97039">
        <w:trPr>
          <w:trHeight w:hRule="exact" w:val="2835"/>
        </w:trPr>
        <w:tc>
          <w:tcPr>
            <w:tcW w:w="1276" w:type="dxa"/>
            <w:tcBorders>
              <w:top w:val="single" w:sz="4" w:space="0" w:color="auto"/>
              <w:bottom w:val="single" w:sz="12" w:space="0" w:color="auto"/>
            </w:tcBorders>
          </w:tcPr>
          <w:p w14:paraId="590AC7F8" w14:textId="77777777" w:rsidR="00F35BAF" w:rsidRPr="00DB58B5" w:rsidRDefault="00F35BAF" w:rsidP="00C97039">
            <w:pPr>
              <w:spacing w:before="120"/>
              <w:jc w:val="center"/>
            </w:pPr>
            <w:r>
              <w:rPr>
                <w:noProof/>
                <w:lang w:eastAsia="fr-CH"/>
              </w:rPr>
              <w:drawing>
                <wp:inline distT="0" distB="0" distL="0" distR="0" wp14:anchorId="494F1F28" wp14:editId="7B6B0F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A65BD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4A6DD8E" w14:textId="77777777" w:rsidR="00F35BAF" w:rsidRDefault="00F8579C" w:rsidP="00C97039">
            <w:pPr>
              <w:spacing w:before="240"/>
            </w:pPr>
            <w:r>
              <w:t>Distr. générale</w:t>
            </w:r>
          </w:p>
          <w:p w14:paraId="2CC341BF" w14:textId="77777777" w:rsidR="00F8579C" w:rsidRDefault="00F8579C" w:rsidP="00F8579C">
            <w:pPr>
              <w:spacing w:line="240" w:lineRule="exact"/>
            </w:pPr>
            <w:r>
              <w:t>8 avril 2022</w:t>
            </w:r>
          </w:p>
          <w:p w14:paraId="7410E1A1" w14:textId="77777777" w:rsidR="00F8579C" w:rsidRDefault="00F8579C" w:rsidP="00F8579C">
            <w:pPr>
              <w:spacing w:line="240" w:lineRule="exact"/>
            </w:pPr>
            <w:r>
              <w:t>Français</w:t>
            </w:r>
          </w:p>
          <w:p w14:paraId="421D6241" w14:textId="70D8A003" w:rsidR="00F8579C" w:rsidRPr="00DB58B5" w:rsidRDefault="00F8579C" w:rsidP="00F8579C">
            <w:pPr>
              <w:spacing w:line="240" w:lineRule="exact"/>
            </w:pPr>
            <w:r>
              <w:t>Original : anglais</w:t>
            </w:r>
          </w:p>
        </w:tc>
      </w:tr>
    </w:tbl>
    <w:p w14:paraId="025A6126" w14:textId="6BD2AAA1" w:rsidR="007F20FA" w:rsidRPr="000312C0" w:rsidRDefault="007F20FA" w:rsidP="007F20FA">
      <w:pPr>
        <w:spacing w:before="120"/>
        <w:rPr>
          <w:b/>
          <w:sz w:val="28"/>
          <w:szCs w:val="28"/>
        </w:rPr>
      </w:pPr>
      <w:r w:rsidRPr="000312C0">
        <w:rPr>
          <w:b/>
          <w:sz w:val="28"/>
          <w:szCs w:val="28"/>
        </w:rPr>
        <w:t>Commission économique pour l</w:t>
      </w:r>
      <w:r w:rsidR="007D3902">
        <w:rPr>
          <w:b/>
          <w:sz w:val="28"/>
          <w:szCs w:val="28"/>
        </w:rPr>
        <w:t>’</w:t>
      </w:r>
      <w:r w:rsidRPr="000312C0">
        <w:rPr>
          <w:b/>
          <w:sz w:val="28"/>
          <w:szCs w:val="28"/>
        </w:rPr>
        <w:t>Europe</w:t>
      </w:r>
    </w:p>
    <w:p w14:paraId="604D9C49" w14:textId="77777777" w:rsidR="007F20FA" w:rsidRDefault="007F20FA" w:rsidP="007F20FA">
      <w:pPr>
        <w:spacing w:before="120"/>
        <w:rPr>
          <w:sz w:val="28"/>
          <w:szCs w:val="28"/>
        </w:rPr>
      </w:pPr>
      <w:r w:rsidRPr="00685843">
        <w:rPr>
          <w:sz w:val="28"/>
          <w:szCs w:val="28"/>
        </w:rPr>
        <w:t>Comité des transports intérieurs</w:t>
      </w:r>
    </w:p>
    <w:p w14:paraId="6164445A" w14:textId="7B3FEC3E" w:rsidR="00F8579C" w:rsidRDefault="00F8579C" w:rsidP="00AF0CB5">
      <w:pPr>
        <w:spacing w:before="120"/>
        <w:rPr>
          <w:b/>
          <w:sz w:val="24"/>
          <w:szCs w:val="24"/>
        </w:rPr>
      </w:pPr>
      <w:r w:rsidRPr="00685843">
        <w:rPr>
          <w:b/>
          <w:sz w:val="24"/>
          <w:szCs w:val="24"/>
        </w:rPr>
        <w:t>Forum mondial de l</w:t>
      </w:r>
      <w:r w:rsidR="007D3902">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BF1C347" w14:textId="77777777" w:rsidR="00F8579C" w:rsidRPr="00593039" w:rsidRDefault="00F8579C" w:rsidP="00F8579C">
      <w:pPr>
        <w:tabs>
          <w:tab w:val="center" w:pos="4819"/>
        </w:tabs>
        <w:spacing w:before="120"/>
        <w:ind w:right="827"/>
        <w:rPr>
          <w:rFonts w:eastAsia="MS Mincho"/>
          <w:b/>
          <w:bCs/>
          <w:lang w:val="fr-FR"/>
        </w:rPr>
      </w:pPr>
      <w:r w:rsidRPr="00593039">
        <w:rPr>
          <w:b/>
          <w:lang w:val="fr-FR"/>
        </w:rPr>
        <w:t>187</w:t>
      </w:r>
      <w:r w:rsidRPr="00593039">
        <w:rPr>
          <w:b/>
          <w:vertAlign w:val="superscript"/>
          <w:lang w:val="fr-FR"/>
        </w:rPr>
        <w:t>e</w:t>
      </w:r>
      <w:r w:rsidRPr="00593039">
        <w:rPr>
          <w:b/>
          <w:lang w:val="fr-FR"/>
        </w:rPr>
        <w:t xml:space="preserve"> session</w:t>
      </w:r>
    </w:p>
    <w:p w14:paraId="44DD5B60" w14:textId="77777777" w:rsidR="00F8579C" w:rsidRPr="00593039" w:rsidRDefault="00F8579C" w:rsidP="00F8579C">
      <w:pPr>
        <w:ind w:right="1134"/>
        <w:rPr>
          <w:rFonts w:eastAsia="MS Mincho"/>
          <w:bCs/>
          <w:lang w:val="fr-FR"/>
        </w:rPr>
      </w:pPr>
      <w:r w:rsidRPr="00593039">
        <w:rPr>
          <w:lang w:val="fr-FR"/>
        </w:rPr>
        <w:t>Genève, 21-24 juin 2022</w:t>
      </w:r>
    </w:p>
    <w:p w14:paraId="7B0750E1" w14:textId="48D85FB4" w:rsidR="00F8579C" w:rsidRPr="00593039" w:rsidRDefault="00F8579C" w:rsidP="00F8579C">
      <w:pPr>
        <w:ind w:right="1134"/>
        <w:rPr>
          <w:rFonts w:eastAsia="MS Mincho"/>
          <w:bCs/>
          <w:lang w:val="fr-FR"/>
        </w:rPr>
      </w:pPr>
      <w:r w:rsidRPr="00593039">
        <w:rPr>
          <w:lang w:val="fr-FR"/>
        </w:rPr>
        <w:t>Point 14.2.1 de l</w:t>
      </w:r>
      <w:r w:rsidR="007D3902">
        <w:rPr>
          <w:lang w:val="fr-FR"/>
        </w:rPr>
        <w:t>’</w:t>
      </w:r>
      <w:r w:rsidRPr="00593039">
        <w:rPr>
          <w:lang w:val="fr-FR"/>
        </w:rPr>
        <w:t>ordre du jour provisoire</w:t>
      </w:r>
    </w:p>
    <w:p w14:paraId="62B6D43A" w14:textId="5E2465F3" w:rsidR="00F8579C" w:rsidRPr="00593039" w:rsidRDefault="00F8579C" w:rsidP="00F8579C">
      <w:pPr>
        <w:ind w:right="1134"/>
        <w:rPr>
          <w:rFonts w:eastAsia="MS Mincho"/>
          <w:b/>
          <w:bCs/>
          <w:lang w:val="fr-FR"/>
        </w:rPr>
      </w:pPr>
      <w:r w:rsidRPr="00593039">
        <w:rPr>
          <w:b/>
          <w:lang w:val="fr-FR"/>
        </w:rPr>
        <w:t>Examen et mise aux voix par l</w:t>
      </w:r>
      <w:r w:rsidR="007D3902">
        <w:rPr>
          <w:b/>
          <w:lang w:val="fr-FR"/>
        </w:rPr>
        <w:t>’</w:t>
      </w:r>
      <w:r w:rsidRPr="00593039">
        <w:rPr>
          <w:b/>
          <w:lang w:val="fr-FR"/>
        </w:rPr>
        <w:t xml:space="preserve">AC.3 des projets de RTM ONU </w:t>
      </w:r>
      <w:r>
        <w:rPr>
          <w:b/>
          <w:lang w:val="fr-FR"/>
        </w:rPr>
        <w:br/>
      </w:r>
      <w:r w:rsidRPr="00593039">
        <w:rPr>
          <w:b/>
          <w:lang w:val="fr-FR"/>
        </w:rPr>
        <w:t>ou des projets d</w:t>
      </w:r>
      <w:r w:rsidR="007D3902">
        <w:rPr>
          <w:b/>
          <w:lang w:val="fr-FR"/>
        </w:rPr>
        <w:t>’</w:t>
      </w:r>
      <w:r w:rsidRPr="00593039">
        <w:rPr>
          <w:b/>
          <w:lang w:val="fr-FR"/>
        </w:rPr>
        <w:t xml:space="preserve">amendements à des RTM ONU existants, </w:t>
      </w:r>
      <w:r>
        <w:rPr>
          <w:b/>
          <w:lang w:val="fr-FR"/>
        </w:rPr>
        <w:br/>
      </w:r>
      <w:r w:rsidRPr="00593039">
        <w:rPr>
          <w:b/>
          <w:lang w:val="fr-FR"/>
        </w:rPr>
        <w:t>s</w:t>
      </w:r>
      <w:r w:rsidR="007D3902">
        <w:rPr>
          <w:b/>
          <w:lang w:val="fr-FR"/>
        </w:rPr>
        <w:t>’</w:t>
      </w:r>
      <w:r w:rsidRPr="00593039">
        <w:rPr>
          <w:b/>
          <w:lang w:val="fr-FR"/>
        </w:rPr>
        <w:t>il y a lieu : Proposition d</w:t>
      </w:r>
      <w:r w:rsidR="007D3902">
        <w:rPr>
          <w:b/>
          <w:lang w:val="fr-FR"/>
        </w:rPr>
        <w:t>’</w:t>
      </w:r>
      <w:r w:rsidRPr="00593039">
        <w:rPr>
          <w:b/>
          <w:lang w:val="fr-FR"/>
        </w:rPr>
        <w:t>amendements à un RTM ONU</w:t>
      </w:r>
    </w:p>
    <w:p w14:paraId="1AF8A517" w14:textId="0CA2F4CE" w:rsidR="00F8579C" w:rsidRPr="00593039" w:rsidRDefault="00F8579C" w:rsidP="00F8579C">
      <w:pPr>
        <w:pStyle w:val="HChG"/>
        <w:rPr>
          <w:color w:val="000000" w:themeColor="text1"/>
          <w:lang w:val="fr-FR"/>
        </w:rPr>
      </w:pPr>
      <w:r w:rsidRPr="00593039">
        <w:rPr>
          <w:lang w:val="fr-FR"/>
        </w:rPr>
        <w:tab/>
      </w:r>
      <w:r w:rsidRPr="00593039">
        <w:rPr>
          <w:lang w:val="fr-FR"/>
        </w:rPr>
        <w:tab/>
        <w:t>Proposition de rapport technique sur l</w:t>
      </w:r>
      <w:r w:rsidR="007D3902">
        <w:rPr>
          <w:lang w:val="fr-FR"/>
        </w:rPr>
        <w:t>’</w:t>
      </w:r>
      <w:r w:rsidRPr="00593039">
        <w:rPr>
          <w:lang w:val="fr-FR"/>
        </w:rPr>
        <w:t>élaboration</w:t>
      </w:r>
      <w:r>
        <w:rPr>
          <w:lang w:val="fr-FR"/>
        </w:rPr>
        <w:t xml:space="preserve"> </w:t>
      </w:r>
      <w:r w:rsidRPr="00593039">
        <w:rPr>
          <w:lang w:val="fr-FR"/>
        </w:rPr>
        <w:t xml:space="preserve">de </w:t>
      </w:r>
      <w:r w:rsidRPr="00F8579C">
        <w:t>l</w:t>
      </w:r>
      <w:r w:rsidR="007D3902">
        <w:t>’</w:t>
      </w:r>
      <w:r w:rsidRPr="00F8579C">
        <w:t>amendement</w:t>
      </w:r>
      <w:r w:rsidRPr="00593039">
        <w:rPr>
          <w:lang w:val="fr-FR"/>
        </w:rPr>
        <w:t xml:space="preserve"> 5 au RTM ONU </w:t>
      </w:r>
      <w:r w:rsidRPr="00F8579C">
        <w:rPr>
          <w:rFonts w:eastAsia="MS Mincho"/>
          <w:szCs w:val="22"/>
          <w:lang w:val="fr-FR"/>
        </w:rPr>
        <w:t>n</w:t>
      </w:r>
      <w:r w:rsidRPr="00F8579C">
        <w:rPr>
          <w:rFonts w:eastAsia="MS Mincho"/>
          <w:szCs w:val="22"/>
          <w:vertAlign w:val="superscript"/>
          <w:lang w:val="fr-FR"/>
        </w:rPr>
        <w:t>o</w:t>
      </w:r>
      <w:r>
        <w:rPr>
          <w:lang w:val="fr-FR"/>
        </w:rPr>
        <w:t> </w:t>
      </w:r>
      <w:r w:rsidRPr="00593039">
        <w:rPr>
          <w:lang w:val="fr-FR"/>
        </w:rPr>
        <w:t xml:space="preserve">2 (méthode de mesure applicable aux véhicules à deux ou trois roues équipés </w:t>
      </w:r>
      <w:r>
        <w:rPr>
          <w:lang w:val="fr-FR"/>
        </w:rPr>
        <w:br/>
      </w:r>
      <w:r w:rsidRPr="00593039">
        <w:rPr>
          <w:lang w:val="fr-FR"/>
        </w:rPr>
        <w:t>d</w:t>
      </w:r>
      <w:r w:rsidR="007D3902">
        <w:rPr>
          <w:lang w:val="fr-FR"/>
        </w:rPr>
        <w:t>’</w:t>
      </w:r>
      <w:r w:rsidRPr="00593039">
        <w:rPr>
          <w:lang w:val="fr-FR"/>
        </w:rPr>
        <w:t>un moteur à allumage commandé ou d</w:t>
      </w:r>
      <w:r w:rsidR="007D3902">
        <w:rPr>
          <w:lang w:val="fr-FR"/>
        </w:rPr>
        <w:t>’</w:t>
      </w:r>
      <w:r w:rsidRPr="00593039">
        <w:rPr>
          <w:lang w:val="fr-FR"/>
        </w:rPr>
        <w:t xml:space="preserve">un moteur </w:t>
      </w:r>
      <w:r>
        <w:rPr>
          <w:lang w:val="fr-FR"/>
        </w:rPr>
        <w:br/>
      </w:r>
      <w:r w:rsidRPr="00593039">
        <w:rPr>
          <w:lang w:val="fr-FR"/>
        </w:rPr>
        <w:t xml:space="preserve">à allumage par compression en ce qui concerne </w:t>
      </w:r>
      <w:r>
        <w:rPr>
          <w:lang w:val="fr-FR"/>
        </w:rPr>
        <w:br/>
      </w:r>
      <w:r w:rsidRPr="00593039">
        <w:rPr>
          <w:lang w:val="fr-FR"/>
        </w:rPr>
        <w:t>les émissions de gaz polluants, les émissions de CO</w:t>
      </w:r>
      <w:r w:rsidRPr="00300E08">
        <w:rPr>
          <w:vertAlign w:val="subscript"/>
          <w:lang w:val="fr-FR"/>
        </w:rPr>
        <w:t>2</w:t>
      </w:r>
      <w:r w:rsidRPr="00593039">
        <w:rPr>
          <w:lang w:val="fr-FR"/>
        </w:rPr>
        <w:t xml:space="preserve"> </w:t>
      </w:r>
      <w:r>
        <w:rPr>
          <w:lang w:val="fr-FR"/>
        </w:rPr>
        <w:br/>
      </w:r>
      <w:r w:rsidRPr="00593039">
        <w:rPr>
          <w:lang w:val="fr-FR"/>
        </w:rPr>
        <w:t>et la consommation de carburant)</w:t>
      </w:r>
    </w:p>
    <w:p w14:paraId="1694910D" w14:textId="3B2984A5" w:rsidR="00F9573C" w:rsidRDefault="00F8579C" w:rsidP="00F8579C">
      <w:pPr>
        <w:pStyle w:val="H1G"/>
        <w:rPr>
          <w:rFonts w:eastAsia="MS Mincho"/>
          <w:b w:val="0"/>
          <w:bCs/>
          <w:sz w:val="20"/>
          <w:lang w:val="fr-FR" w:eastAsia="fr-FR"/>
        </w:rPr>
      </w:pPr>
      <w:r w:rsidRPr="00593039">
        <w:rPr>
          <w:lang w:val="fr-FR"/>
        </w:rPr>
        <w:tab/>
      </w:r>
      <w:r w:rsidRPr="00593039">
        <w:rPr>
          <w:lang w:val="fr-FR"/>
        </w:rPr>
        <w:tab/>
        <w:t>Communication du Groupe de travail de la pollution</w:t>
      </w:r>
      <w:r>
        <w:rPr>
          <w:lang w:val="fr-FR"/>
        </w:rPr>
        <w:t xml:space="preserve"> </w:t>
      </w:r>
      <w:r w:rsidRPr="00593039">
        <w:rPr>
          <w:lang w:val="fr-FR"/>
        </w:rPr>
        <w:t>et de l</w:t>
      </w:r>
      <w:r w:rsidR="007D3902">
        <w:rPr>
          <w:lang w:val="fr-FR"/>
        </w:rPr>
        <w:t>’</w:t>
      </w:r>
      <w:r w:rsidRPr="00593039">
        <w:rPr>
          <w:lang w:val="fr-FR"/>
        </w:rPr>
        <w:t>énergie</w:t>
      </w:r>
      <w:r w:rsidRPr="00F8579C">
        <w:rPr>
          <w:rFonts w:eastAsia="MS Mincho"/>
          <w:b w:val="0"/>
          <w:bCs/>
          <w:sz w:val="20"/>
          <w:lang w:val="fr-FR" w:eastAsia="fr-FR"/>
        </w:rPr>
        <w:footnoteReference w:customMarkFollows="1" w:id="2"/>
        <w:t>*</w:t>
      </w:r>
    </w:p>
    <w:p w14:paraId="36AD6C8D" w14:textId="56C04992" w:rsidR="00C64995" w:rsidRDefault="00C64995" w:rsidP="00C64995">
      <w:pPr>
        <w:pStyle w:val="SingleTxtG"/>
        <w:ind w:firstLine="567"/>
        <w:rPr>
          <w:bCs/>
          <w:lang w:val="fr-FR" w:eastAsia="fr-FR"/>
        </w:rPr>
      </w:pPr>
      <w:r w:rsidRPr="00C64995">
        <w:rPr>
          <w:bCs/>
          <w:lang w:val="fr-FR" w:eastAsia="fr-FR"/>
        </w:rPr>
        <w:t>Le texte ci-après, qui a été examiné par le Groupe de travail de la pollution et de l</w:t>
      </w:r>
      <w:r w:rsidR="007D3902">
        <w:rPr>
          <w:bCs/>
          <w:lang w:val="fr-FR" w:eastAsia="fr-FR"/>
        </w:rPr>
        <w:t>’</w:t>
      </w:r>
      <w:r w:rsidRPr="00C64995">
        <w:rPr>
          <w:bCs/>
          <w:lang w:val="fr-FR" w:eastAsia="fr-FR"/>
        </w:rPr>
        <w:t>énergie (GRPE) à sa quatre-vingt-cinquième session (ECE/TRANS/WP.29/GRPE/85, par.</w:t>
      </w:r>
      <w:r>
        <w:rPr>
          <w:bCs/>
          <w:lang w:val="fr-FR" w:eastAsia="fr-FR"/>
        </w:rPr>
        <w:t> </w:t>
      </w:r>
      <w:r w:rsidRPr="00C64995">
        <w:rPr>
          <w:bCs/>
          <w:lang w:val="fr-FR" w:eastAsia="fr-FR"/>
        </w:rPr>
        <w:t>50) est le rapport technique accompagnant la proposition d</w:t>
      </w:r>
      <w:r w:rsidR="007D3902">
        <w:rPr>
          <w:bCs/>
          <w:lang w:val="fr-FR" w:eastAsia="fr-FR"/>
        </w:rPr>
        <w:t>’</w:t>
      </w:r>
      <w:r w:rsidRPr="00C64995">
        <w:rPr>
          <w:bCs/>
          <w:lang w:val="fr-FR" w:eastAsia="fr-FR"/>
        </w:rPr>
        <w:t>amendement 5 au RTM</w:t>
      </w:r>
      <w:r w:rsidR="00896C6F">
        <w:rPr>
          <w:bCs/>
          <w:lang w:val="fr-FR" w:eastAsia="fr-FR"/>
        </w:rPr>
        <w:t> </w:t>
      </w:r>
      <w:r w:rsidRPr="00C64995">
        <w:rPr>
          <w:bCs/>
          <w:lang w:val="fr-FR" w:eastAsia="fr-FR"/>
        </w:rPr>
        <w:t>ONU</w:t>
      </w:r>
      <w:r w:rsidR="00896C6F">
        <w:rPr>
          <w:bCs/>
          <w:lang w:val="fr-FR" w:eastAsia="fr-FR"/>
        </w:rPr>
        <w:t> </w:t>
      </w:r>
      <w:r w:rsidRPr="00C64995">
        <w:rPr>
          <w:rFonts w:eastAsia="MS Mincho"/>
          <w:bCs/>
          <w:szCs w:val="22"/>
          <w:lang w:val="fr-FR" w:eastAsia="fr-FR"/>
        </w:rPr>
        <w:t>n</w:t>
      </w:r>
      <w:r w:rsidRPr="00C64995">
        <w:rPr>
          <w:rFonts w:eastAsia="MS Mincho"/>
          <w:bCs/>
          <w:szCs w:val="22"/>
          <w:vertAlign w:val="superscript"/>
          <w:lang w:val="fr-FR" w:eastAsia="fr-FR"/>
        </w:rPr>
        <w:t>o</w:t>
      </w:r>
      <w:r>
        <w:rPr>
          <w:bCs/>
          <w:lang w:val="fr-FR" w:eastAsia="fr-FR"/>
        </w:rPr>
        <w:t> </w:t>
      </w:r>
      <w:r w:rsidRPr="00C64995">
        <w:rPr>
          <w:bCs/>
          <w:lang w:val="fr-FR" w:eastAsia="fr-FR"/>
        </w:rPr>
        <w:t>2 (ECE/TRANS/WP.29/2022/108). Il est soumis au Forum mondial de l</w:t>
      </w:r>
      <w:r w:rsidR="007D3902">
        <w:rPr>
          <w:bCs/>
          <w:lang w:val="fr-FR" w:eastAsia="fr-FR"/>
        </w:rPr>
        <w:t>’</w:t>
      </w:r>
      <w:r w:rsidRPr="00C64995">
        <w:rPr>
          <w:bCs/>
          <w:lang w:val="fr-FR" w:eastAsia="fr-FR"/>
        </w:rPr>
        <w:t>harmonisation des Règlements concernant les véhicules (WP.29) et au Comité exécutif de l</w:t>
      </w:r>
      <w:r w:rsidR="007D3902">
        <w:rPr>
          <w:bCs/>
          <w:lang w:val="fr-FR" w:eastAsia="fr-FR"/>
        </w:rPr>
        <w:t>’</w:t>
      </w:r>
      <w:r w:rsidRPr="00C64995">
        <w:rPr>
          <w:bCs/>
          <w:lang w:val="fr-FR" w:eastAsia="fr-FR"/>
        </w:rPr>
        <w:t>Accord de 1998 (AC.3) pour examen à leurs sessions de juin 2022.</w:t>
      </w:r>
    </w:p>
    <w:p w14:paraId="4CB04862" w14:textId="77777777" w:rsidR="00C64995" w:rsidRDefault="00C64995">
      <w:pPr>
        <w:suppressAutoHyphens w:val="0"/>
        <w:kinsoku/>
        <w:overflowPunct/>
        <w:autoSpaceDE/>
        <w:autoSpaceDN/>
        <w:adjustRightInd/>
        <w:snapToGrid/>
        <w:spacing w:after="200" w:line="276" w:lineRule="auto"/>
        <w:rPr>
          <w:bCs/>
          <w:lang w:val="fr-FR" w:eastAsia="fr-FR"/>
        </w:rPr>
      </w:pPr>
      <w:r>
        <w:rPr>
          <w:bCs/>
          <w:lang w:val="fr-FR" w:eastAsia="fr-FR"/>
        </w:rPr>
        <w:br w:type="page"/>
      </w:r>
    </w:p>
    <w:p w14:paraId="0D7E2AE6" w14:textId="400BB543" w:rsidR="00C64995" w:rsidRPr="00C64995" w:rsidRDefault="00C64995" w:rsidP="00C64995">
      <w:pPr>
        <w:pStyle w:val="HChG"/>
        <w:rPr>
          <w:lang w:val="fr-FR" w:eastAsia="fr-FR"/>
        </w:rPr>
      </w:pPr>
      <w:r w:rsidRPr="00C64995">
        <w:rPr>
          <w:lang w:val="fr-FR" w:eastAsia="fr-FR"/>
        </w:rPr>
        <w:lastRenderedPageBreak/>
        <w:tab/>
      </w:r>
      <w:r w:rsidRPr="00C64995">
        <w:rPr>
          <w:lang w:val="fr-FR" w:eastAsia="fr-FR"/>
        </w:rPr>
        <w:tab/>
        <w:t>Rapport technique sur l</w:t>
      </w:r>
      <w:r w:rsidR="007D3902">
        <w:rPr>
          <w:lang w:val="fr-FR" w:eastAsia="fr-FR"/>
        </w:rPr>
        <w:t>’</w:t>
      </w:r>
      <w:r w:rsidRPr="00C64995">
        <w:rPr>
          <w:lang w:val="fr-FR" w:eastAsia="fr-FR"/>
        </w:rPr>
        <w:t>élaboration de l</w:t>
      </w:r>
      <w:r w:rsidR="007D3902">
        <w:rPr>
          <w:lang w:val="fr-FR" w:eastAsia="fr-FR"/>
        </w:rPr>
        <w:t>’</w:t>
      </w:r>
      <w:r w:rsidRPr="00C64995">
        <w:rPr>
          <w:lang w:val="fr-FR" w:eastAsia="fr-FR"/>
        </w:rPr>
        <w:t xml:space="preserve">amendement 5 </w:t>
      </w:r>
      <w:r>
        <w:rPr>
          <w:lang w:val="fr-FR" w:eastAsia="fr-FR"/>
        </w:rPr>
        <w:br/>
      </w:r>
      <w:r w:rsidRPr="00C64995">
        <w:rPr>
          <w:lang w:val="fr-FR" w:eastAsia="fr-FR"/>
        </w:rPr>
        <w:t xml:space="preserve">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lang w:val="fr-FR" w:eastAsia="fr-FR"/>
        </w:rPr>
        <w:t xml:space="preserve">2 (méthode de mesure applicable </w:t>
      </w:r>
      <w:r>
        <w:rPr>
          <w:lang w:val="fr-FR" w:eastAsia="fr-FR"/>
        </w:rPr>
        <w:br/>
      </w:r>
      <w:r w:rsidRPr="00C64995">
        <w:rPr>
          <w:lang w:val="fr-FR" w:eastAsia="fr-FR"/>
        </w:rPr>
        <w:t>aux véhicules à deux ou trois roues équipés d</w:t>
      </w:r>
      <w:r w:rsidR="007D3902">
        <w:rPr>
          <w:lang w:val="fr-FR" w:eastAsia="fr-FR"/>
        </w:rPr>
        <w:t>’</w:t>
      </w:r>
      <w:r w:rsidRPr="00C64995">
        <w:rPr>
          <w:lang w:val="fr-FR" w:eastAsia="fr-FR"/>
        </w:rPr>
        <w:t xml:space="preserve">un moteur </w:t>
      </w:r>
      <w:r>
        <w:rPr>
          <w:lang w:val="fr-FR" w:eastAsia="fr-FR"/>
        </w:rPr>
        <w:br/>
      </w:r>
      <w:r w:rsidRPr="00C64995">
        <w:rPr>
          <w:lang w:val="fr-FR" w:eastAsia="fr-FR"/>
        </w:rPr>
        <w:t>à allumage commandé ou d</w:t>
      </w:r>
      <w:r w:rsidR="007D3902">
        <w:rPr>
          <w:lang w:val="fr-FR" w:eastAsia="fr-FR"/>
        </w:rPr>
        <w:t>’</w:t>
      </w:r>
      <w:r w:rsidRPr="00C64995">
        <w:rPr>
          <w:lang w:val="fr-FR" w:eastAsia="fr-FR"/>
        </w:rPr>
        <w:t xml:space="preserve">un moteur à allumage </w:t>
      </w:r>
      <w:r>
        <w:rPr>
          <w:lang w:val="fr-FR" w:eastAsia="fr-FR"/>
        </w:rPr>
        <w:br/>
      </w:r>
      <w:r w:rsidRPr="00C64995">
        <w:rPr>
          <w:lang w:val="fr-FR" w:eastAsia="fr-FR"/>
        </w:rPr>
        <w:t xml:space="preserve">par compression en ce qui concerne les émissions </w:t>
      </w:r>
      <w:r>
        <w:rPr>
          <w:lang w:val="fr-FR" w:eastAsia="fr-FR"/>
        </w:rPr>
        <w:br/>
      </w:r>
      <w:r w:rsidRPr="00C64995">
        <w:rPr>
          <w:lang w:val="fr-FR" w:eastAsia="fr-FR"/>
        </w:rPr>
        <w:t>de gaz polluants, les émissions de CO</w:t>
      </w:r>
      <w:r w:rsidRPr="00C64995">
        <w:rPr>
          <w:vertAlign w:val="subscript"/>
          <w:lang w:val="fr-FR" w:eastAsia="fr-FR"/>
        </w:rPr>
        <w:t xml:space="preserve">2 </w:t>
      </w:r>
      <w:r>
        <w:rPr>
          <w:vertAlign w:val="subscript"/>
          <w:lang w:val="fr-FR" w:eastAsia="fr-FR"/>
        </w:rPr>
        <w:br/>
      </w:r>
      <w:r w:rsidRPr="00C64995">
        <w:rPr>
          <w:lang w:val="fr-FR" w:eastAsia="fr-FR"/>
        </w:rPr>
        <w:t>et la consommation de carburant)</w:t>
      </w:r>
    </w:p>
    <w:p w14:paraId="3C4077AC" w14:textId="77777777" w:rsidR="00C64995" w:rsidRPr="00C64995" w:rsidRDefault="00C64995" w:rsidP="00C64995">
      <w:pPr>
        <w:pStyle w:val="HChG"/>
        <w:rPr>
          <w:lang w:val="fr-FR" w:eastAsia="fr-FR"/>
        </w:rPr>
      </w:pPr>
      <w:r w:rsidRPr="00C64995">
        <w:rPr>
          <w:lang w:val="fr-FR" w:eastAsia="fr-FR"/>
        </w:rPr>
        <w:tab/>
        <w:t>I.</w:t>
      </w:r>
      <w:r w:rsidRPr="00C64995">
        <w:rPr>
          <w:lang w:val="fr-FR" w:eastAsia="fr-FR"/>
        </w:rPr>
        <w:tab/>
        <w:t>Mandat</w:t>
      </w:r>
    </w:p>
    <w:p w14:paraId="103BCB38" w14:textId="2315ACD0" w:rsidR="00C64995" w:rsidRPr="00C64995" w:rsidRDefault="00C64995" w:rsidP="00C64995">
      <w:pPr>
        <w:pStyle w:val="SingleTxtG"/>
        <w:rPr>
          <w:lang w:val="fr-FR" w:eastAsia="fr-FR"/>
        </w:rPr>
      </w:pPr>
      <w:r w:rsidRPr="00C64995">
        <w:rPr>
          <w:lang w:val="fr-FR" w:eastAsia="fr-FR"/>
        </w:rPr>
        <w:t>1.</w:t>
      </w:r>
      <w:r w:rsidRPr="00C64995">
        <w:rPr>
          <w:lang w:val="fr-FR" w:eastAsia="fr-FR"/>
        </w:rPr>
        <w:tab/>
        <w:t>L</w:t>
      </w:r>
      <w:r w:rsidR="007D3902">
        <w:rPr>
          <w:lang w:val="fr-FR" w:eastAsia="fr-FR"/>
        </w:rPr>
        <w:t>’</w:t>
      </w:r>
      <w:r w:rsidRPr="00C64995">
        <w:rPr>
          <w:lang w:val="fr-FR" w:eastAsia="fr-FR"/>
        </w:rPr>
        <w:t xml:space="preserve">amendement 5 au Règlement technique mondial (RTM)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lang w:val="fr-FR" w:eastAsia="fr-FR"/>
        </w:rPr>
        <w:t>2 a été élaboré par le groupe de travail informel des prescriptions d</w:t>
      </w:r>
      <w:r w:rsidR="007D3902">
        <w:rPr>
          <w:lang w:val="fr-FR" w:eastAsia="fr-FR"/>
        </w:rPr>
        <w:t>’</w:t>
      </w:r>
      <w:r w:rsidRPr="00C64995">
        <w:rPr>
          <w:lang w:val="fr-FR" w:eastAsia="fr-FR"/>
        </w:rPr>
        <w:t>efficacité en matière d</w:t>
      </w:r>
      <w:r w:rsidR="007D3902">
        <w:rPr>
          <w:lang w:val="fr-FR" w:eastAsia="fr-FR"/>
        </w:rPr>
        <w:t>’</w:t>
      </w:r>
      <w:r w:rsidRPr="00C64995">
        <w:rPr>
          <w:lang w:val="fr-FR" w:eastAsia="fr-FR"/>
        </w:rPr>
        <w:t>environnement et de propulsion applicables aux véhicules de la catégorie L (groupe de travail informel L</w:t>
      </w:r>
      <w:r w:rsidRPr="00C64995">
        <w:rPr>
          <w:lang w:val="fr-FR" w:eastAsia="fr-FR"/>
        </w:rPr>
        <w:noBreakHyphen/>
        <w:t>EPPR). Le Comité exécutif de l</w:t>
      </w:r>
      <w:r w:rsidR="007D3902">
        <w:rPr>
          <w:lang w:val="fr-FR" w:eastAsia="fr-FR"/>
        </w:rPr>
        <w:t>’</w:t>
      </w:r>
      <w:r w:rsidRPr="00C64995">
        <w:rPr>
          <w:lang w:val="fr-FR" w:eastAsia="fr-FR"/>
        </w:rPr>
        <w:t>Accord de 1998 (AC.3) a autorisé l</w:t>
      </w:r>
      <w:r w:rsidR="007D3902">
        <w:rPr>
          <w:lang w:val="fr-FR" w:eastAsia="fr-FR"/>
        </w:rPr>
        <w:t>’</w:t>
      </w:r>
      <w:r w:rsidRPr="00C64995">
        <w:rPr>
          <w:lang w:val="fr-FR" w:eastAsia="fr-FR"/>
        </w:rPr>
        <w:t>élaboration d</w:t>
      </w:r>
      <w:r w:rsidR="007D3902">
        <w:rPr>
          <w:lang w:val="fr-FR" w:eastAsia="fr-FR"/>
        </w:rPr>
        <w:t>’</w:t>
      </w:r>
      <w:r w:rsidRPr="00C64995">
        <w:rPr>
          <w:lang w:val="fr-FR" w:eastAsia="fr-FR"/>
        </w:rPr>
        <w:t xml:space="preserve">amendements 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lang w:val="fr-FR" w:eastAsia="fr-FR"/>
        </w:rPr>
        <w:t>2 à sa quarante-cinquième session (12 novembre 2015) (ECE/TRANS/WP.29/</w:t>
      </w:r>
      <w:r>
        <w:rPr>
          <w:lang w:val="fr-FR" w:eastAsia="fr-FR"/>
        </w:rPr>
        <w:t xml:space="preserve"> </w:t>
      </w:r>
      <w:r w:rsidRPr="00C64995">
        <w:rPr>
          <w:lang w:val="fr-FR" w:eastAsia="fr-FR"/>
        </w:rPr>
        <w:t>AC.3/36/Rev.1).</w:t>
      </w:r>
    </w:p>
    <w:p w14:paraId="60EFCCA1" w14:textId="77777777" w:rsidR="00C64995" w:rsidRPr="00C64995" w:rsidRDefault="00C64995" w:rsidP="00C64995">
      <w:pPr>
        <w:pStyle w:val="HChG"/>
        <w:rPr>
          <w:lang w:val="fr-FR" w:eastAsia="fr-FR"/>
        </w:rPr>
      </w:pPr>
      <w:r w:rsidRPr="00C64995">
        <w:rPr>
          <w:lang w:val="fr-FR" w:eastAsia="fr-FR"/>
        </w:rPr>
        <w:tab/>
        <w:t>II.</w:t>
      </w:r>
      <w:r w:rsidRPr="00C64995">
        <w:rPr>
          <w:lang w:val="fr-FR" w:eastAsia="fr-FR"/>
        </w:rPr>
        <w:tab/>
        <w:t>Objectifs</w:t>
      </w:r>
    </w:p>
    <w:p w14:paraId="6A8A198C" w14:textId="40288756" w:rsidR="00C64995" w:rsidRPr="00C64995" w:rsidRDefault="00C64995" w:rsidP="00C64995">
      <w:pPr>
        <w:pStyle w:val="SingleTxtG"/>
        <w:rPr>
          <w:lang w:val="fr-FR" w:eastAsia="fr-FR"/>
        </w:rPr>
      </w:pPr>
      <w:r w:rsidRPr="00C64995">
        <w:rPr>
          <w:lang w:val="fr-FR" w:eastAsia="fr-FR"/>
        </w:rPr>
        <w:t>2.</w:t>
      </w:r>
      <w:r w:rsidRPr="00C64995">
        <w:rPr>
          <w:lang w:val="fr-FR" w:eastAsia="fr-FR"/>
        </w:rPr>
        <w:tab/>
        <w:t>L</w:t>
      </w:r>
      <w:r w:rsidR="007D3902">
        <w:rPr>
          <w:lang w:val="fr-FR" w:eastAsia="fr-FR"/>
        </w:rPr>
        <w:t>’</w:t>
      </w:r>
      <w:r w:rsidRPr="00C64995">
        <w:rPr>
          <w:lang w:val="fr-FR" w:eastAsia="fr-FR"/>
        </w:rPr>
        <w:t>objet principal de l</w:t>
      </w:r>
      <w:r w:rsidR="007D3902">
        <w:rPr>
          <w:lang w:val="fr-FR" w:eastAsia="fr-FR"/>
        </w:rPr>
        <w:t>’</w:t>
      </w:r>
      <w:r w:rsidRPr="00C64995">
        <w:rPr>
          <w:lang w:val="fr-FR" w:eastAsia="fr-FR"/>
        </w:rPr>
        <w:t>autorisation susmentionnée est de permettre l</w:t>
      </w:r>
      <w:r w:rsidR="007D3902">
        <w:rPr>
          <w:lang w:val="fr-FR" w:eastAsia="fr-FR"/>
        </w:rPr>
        <w:t>’</w:t>
      </w:r>
      <w:r w:rsidRPr="00C64995">
        <w:rPr>
          <w:lang w:val="fr-FR" w:eastAsia="fr-FR"/>
        </w:rPr>
        <w:t>élaboration de prescriptions ou de procédures</w:t>
      </w:r>
      <w:r w:rsidRPr="00C64995">
        <w:rPr>
          <w:b/>
          <w:bCs/>
          <w:lang w:val="fr-FR" w:eastAsia="fr-FR"/>
        </w:rPr>
        <w:t xml:space="preserve"> </w:t>
      </w:r>
      <w:r w:rsidRPr="00C64995">
        <w:rPr>
          <w:lang w:val="fr-FR" w:eastAsia="fr-FR"/>
        </w:rPr>
        <w:t>d</w:t>
      </w:r>
      <w:r w:rsidR="007D3902">
        <w:rPr>
          <w:lang w:val="fr-FR" w:eastAsia="fr-FR"/>
        </w:rPr>
        <w:t>’</w:t>
      </w:r>
      <w:r w:rsidRPr="00C64995">
        <w:rPr>
          <w:lang w:val="fr-FR" w:eastAsia="fr-FR"/>
        </w:rPr>
        <w:t>essai dans le cadre de l</w:t>
      </w:r>
      <w:r w:rsidR="007D3902">
        <w:rPr>
          <w:lang w:val="fr-FR" w:eastAsia="fr-FR"/>
        </w:rPr>
        <w:t>’</w:t>
      </w:r>
      <w:r w:rsidRPr="00C64995">
        <w:rPr>
          <w:lang w:val="fr-FR" w:eastAsia="fr-FR"/>
        </w:rPr>
        <w:t>Accord de 1998 et la création de synergies avec les Règlements ONU qui relèvent de l</w:t>
      </w:r>
      <w:r w:rsidR="007D3902">
        <w:rPr>
          <w:lang w:val="fr-FR" w:eastAsia="fr-FR"/>
        </w:rPr>
        <w:t>’</w:t>
      </w:r>
      <w:r w:rsidRPr="00C64995">
        <w:rPr>
          <w:lang w:val="fr-FR" w:eastAsia="fr-FR"/>
        </w:rPr>
        <w:t>Accord de 1958 et, dans la mesure du possible, de prescriptions communes sous la forme d</w:t>
      </w:r>
      <w:r w:rsidR="007D3902">
        <w:rPr>
          <w:lang w:val="fr-FR" w:eastAsia="fr-FR"/>
        </w:rPr>
        <w:t>’</w:t>
      </w:r>
      <w:r w:rsidRPr="00C64995">
        <w:rPr>
          <w:lang w:val="fr-FR" w:eastAsia="fr-FR"/>
        </w:rPr>
        <w:t>un ou de plusieurs Règlements ONU et d</w:t>
      </w:r>
      <w:r w:rsidR="007D3902">
        <w:rPr>
          <w:lang w:val="fr-FR" w:eastAsia="fr-FR"/>
        </w:rPr>
        <w:t>’</w:t>
      </w:r>
      <w:r w:rsidRPr="00C64995">
        <w:rPr>
          <w:lang w:val="fr-FR" w:eastAsia="fr-FR"/>
        </w:rPr>
        <w:t>un ou de plusieurs RTM et des amendements ou compléments qui s</w:t>
      </w:r>
      <w:r w:rsidR="007D3902">
        <w:rPr>
          <w:lang w:val="fr-FR" w:eastAsia="fr-FR"/>
        </w:rPr>
        <w:t>’</w:t>
      </w:r>
      <w:r w:rsidRPr="00C64995">
        <w:rPr>
          <w:lang w:val="fr-FR" w:eastAsia="fr-FR"/>
        </w:rPr>
        <w:t>y rapportent.</w:t>
      </w:r>
    </w:p>
    <w:p w14:paraId="4F0300A0" w14:textId="29D3443A" w:rsidR="00C64995" w:rsidRPr="00C64995" w:rsidRDefault="00C64995" w:rsidP="00C64995">
      <w:pPr>
        <w:pStyle w:val="SingleTxtG"/>
        <w:rPr>
          <w:lang w:val="fr-FR" w:eastAsia="fr-FR"/>
        </w:rPr>
      </w:pPr>
      <w:r w:rsidRPr="00C64995">
        <w:rPr>
          <w:lang w:val="fr-FR" w:eastAsia="fr-FR"/>
        </w:rPr>
        <w:t>3.</w:t>
      </w:r>
      <w:r w:rsidRPr="00C64995">
        <w:rPr>
          <w:lang w:val="fr-FR" w:eastAsia="fr-FR"/>
        </w:rPr>
        <w:tab/>
        <w:t>Au départ, il s</w:t>
      </w:r>
      <w:r w:rsidR="007D3902">
        <w:rPr>
          <w:lang w:val="fr-FR" w:eastAsia="fr-FR"/>
        </w:rPr>
        <w:t>’</w:t>
      </w:r>
      <w:r w:rsidRPr="00C64995">
        <w:rPr>
          <w:lang w:val="fr-FR" w:eastAsia="fr-FR"/>
        </w:rPr>
        <w:t>agissait d</w:t>
      </w:r>
      <w:r w:rsidR="007D3902">
        <w:rPr>
          <w:lang w:val="fr-FR" w:eastAsia="fr-FR"/>
        </w:rPr>
        <w:t>’</w:t>
      </w:r>
      <w:r w:rsidRPr="00C64995">
        <w:rPr>
          <w:lang w:val="fr-FR" w:eastAsia="fr-FR"/>
        </w:rPr>
        <w:t>harmoniser les procédures d</w:t>
      </w:r>
      <w:r w:rsidR="007D3902">
        <w:rPr>
          <w:lang w:val="fr-FR" w:eastAsia="fr-FR"/>
        </w:rPr>
        <w:t>’</w:t>
      </w:r>
      <w:r w:rsidRPr="00C64995">
        <w:rPr>
          <w:lang w:val="fr-FR" w:eastAsia="fr-FR"/>
        </w:rPr>
        <w:t>essai applicables aux véhicules à deux roues équipés de moteurs à combustion classiques, mais au cours des phases ultérieures des travaux, l</w:t>
      </w:r>
      <w:r w:rsidR="007D3902">
        <w:rPr>
          <w:lang w:val="fr-FR" w:eastAsia="fr-FR"/>
        </w:rPr>
        <w:t>’</w:t>
      </w:r>
      <w:r w:rsidRPr="00C64995">
        <w:rPr>
          <w:lang w:val="fr-FR" w:eastAsia="fr-FR"/>
        </w:rPr>
        <w:t>objectif s</w:t>
      </w:r>
      <w:r w:rsidR="007D3902">
        <w:rPr>
          <w:lang w:val="fr-FR" w:eastAsia="fr-FR"/>
        </w:rPr>
        <w:t>’</w:t>
      </w:r>
      <w:r w:rsidRPr="00C64995">
        <w:rPr>
          <w:lang w:val="fr-FR" w:eastAsia="fr-FR"/>
        </w:rPr>
        <w:t>est étendu aux véhicules à trois roues ainsi que d</w:t>
      </w:r>
      <w:r w:rsidR="007D3902">
        <w:rPr>
          <w:lang w:val="fr-FR" w:eastAsia="fr-FR"/>
        </w:rPr>
        <w:t>’</w:t>
      </w:r>
      <w:r w:rsidRPr="00C64995">
        <w:rPr>
          <w:lang w:val="fr-FR" w:eastAsia="fr-FR"/>
        </w:rPr>
        <w:t>autres types de propulsion.</w:t>
      </w:r>
    </w:p>
    <w:p w14:paraId="413BE220" w14:textId="77777777" w:rsidR="00C64995" w:rsidRPr="00C64995" w:rsidRDefault="00C64995" w:rsidP="00C64995">
      <w:pPr>
        <w:pStyle w:val="SingleTxtG"/>
        <w:rPr>
          <w:lang w:val="fr-FR" w:eastAsia="fr-FR"/>
        </w:rPr>
      </w:pPr>
      <w:r w:rsidRPr="00C64995">
        <w:rPr>
          <w:lang w:val="fr-FR" w:eastAsia="fr-FR"/>
        </w:rPr>
        <w:t>4.</w:t>
      </w:r>
      <w:r w:rsidRPr="00C64995">
        <w:rPr>
          <w:lang w:val="fr-FR" w:eastAsia="fr-FR"/>
        </w:rPr>
        <w:tab/>
        <w:t>Les véhicules légers à quatre roues sont exclus des débats sur les RTM ONU comportant des dispositions relatives aux émissions.</w:t>
      </w:r>
    </w:p>
    <w:p w14:paraId="315EC3F6" w14:textId="77777777" w:rsidR="00C64995" w:rsidRPr="00C64995" w:rsidRDefault="00C64995" w:rsidP="00C64995">
      <w:pPr>
        <w:pStyle w:val="HChG"/>
        <w:rPr>
          <w:lang w:val="fr-FR" w:eastAsia="fr-FR"/>
        </w:rPr>
      </w:pPr>
      <w:r w:rsidRPr="00C64995">
        <w:rPr>
          <w:lang w:val="fr-FR" w:eastAsia="fr-FR"/>
        </w:rPr>
        <w:tab/>
        <w:t>III.</w:t>
      </w:r>
      <w:r w:rsidRPr="00C64995">
        <w:rPr>
          <w:lang w:val="fr-FR" w:eastAsia="fr-FR"/>
        </w:rPr>
        <w:tab/>
        <w:t>Argumentation et justification techniques</w:t>
      </w:r>
    </w:p>
    <w:p w14:paraId="1B908225" w14:textId="77777777" w:rsidR="00C64995" w:rsidRPr="00C64995" w:rsidRDefault="00C64995" w:rsidP="00C64995">
      <w:pPr>
        <w:pStyle w:val="H1G"/>
        <w:rPr>
          <w:lang w:val="fr-FR" w:eastAsia="fr-FR"/>
        </w:rPr>
      </w:pPr>
      <w:r w:rsidRPr="00C64995">
        <w:rPr>
          <w:lang w:val="fr-FR" w:eastAsia="fr-FR"/>
        </w:rPr>
        <w:tab/>
        <w:t>A.</w:t>
      </w:r>
      <w:r w:rsidRPr="00C64995">
        <w:rPr>
          <w:lang w:val="fr-FR" w:eastAsia="fr-FR"/>
        </w:rPr>
        <w:tab/>
        <w:t>Introduction</w:t>
      </w:r>
    </w:p>
    <w:p w14:paraId="11DD8DC0" w14:textId="2B62B989" w:rsidR="00C64995" w:rsidRPr="00C64995" w:rsidRDefault="00C64995" w:rsidP="00C64995">
      <w:pPr>
        <w:pStyle w:val="SingleTxtG"/>
        <w:rPr>
          <w:bCs/>
          <w:lang w:val="fr-FR" w:eastAsia="fr-FR"/>
        </w:rPr>
      </w:pPr>
      <w:r w:rsidRPr="00C64995">
        <w:rPr>
          <w:bCs/>
          <w:lang w:val="fr-FR" w:eastAsia="fr-FR"/>
        </w:rPr>
        <w:t>5.</w:t>
      </w:r>
      <w:r w:rsidRPr="00C64995">
        <w:rPr>
          <w:bCs/>
          <w:lang w:val="fr-FR" w:eastAsia="fr-FR"/>
        </w:rPr>
        <w:tab/>
        <w:t>Les entreprises du secteur des véhicules à deux ou trois roues, qui est d</w:t>
      </w:r>
      <w:r w:rsidR="007D3902">
        <w:rPr>
          <w:bCs/>
          <w:lang w:val="fr-FR" w:eastAsia="fr-FR"/>
        </w:rPr>
        <w:t>’</w:t>
      </w:r>
      <w:r w:rsidRPr="00C64995">
        <w:rPr>
          <w:bCs/>
          <w:lang w:val="fr-FR" w:eastAsia="fr-FR"/>
        </w:rPr>
        <w:t>envergure mondiale, vendent leurs produits dans un grand nombre de pays. Les Parties contractantes à l</w:t>
      </w:r>
      <w:r w:rsidR="007D3902">
        <w:rPr>
          <w:bCs/>
          <w:lang w:val="fr-FR" w:eastAsia="fr-FR"/>
        </w:rPr>
        <w:t>’</w:t>
      </w:r>
      <w:r w:rsidRPr="00C64995">
        <w:rPr>
          <w:bCs/>
          <w:lang w:val="fr-FR" w:eastAsia="fr-FR"/>
        </w:rPr>
        <w:t>Accord de 1998 ont unanimement estimé qu</w:t>
      </w:r>
      <w:r w:rsidR="007D3902">
        <w:rPr>
          <w:bCs/>
          <w:lang w:val="fr-FR" w:eastAsia="fr-FR"/>
        </w:rPr>
        <w:t>’</w:t>
      </w:r>
      <w:r w:rsidRPr="00C64995">
        <w:rPr>
          <w:bCs/>
          <w:lang w:val="fr-FR" w:eastAsia="fr-FR"/>
        </w:rPr>
        <w:t>il fallait s</w:t>
      </w:r>
      <w:r w:rsidR="007D3902">
        <w:rPr>
          <w:bCs/>
          <w:lang w:val="fr-FR" w:eastAsia="fr-FR"/>
        </w:rPr>
        <w:t>’</w:t>
      </w:r>
      <w:r w:rsidRPr="00C64995">
        <w:rPr>
          <w:bCs/>
          <w:lang w:val="fr-FR" w:eastAsia="fr-FR"/>
        </w:rPr>
        <w:t>efforcer de réduire les émissions des deux-roues pour contribuer à améliorer la qualité de l</w:t>
      </w:r>
      <w:r w:rsidR="007D3902">
        <w:rPr>
          <w:bCs/>
          <w:lang w:val="fr-FR" w:eastAsia="fr-FR"/>
        </w:rPr>
        <w:t>’</w:t>
      </w:r>
      <w:r w:rsidRPr="00C64995">
        <w:rPr>
          <w:bCs/>
          <w:lang w:val="fr-FR" w:eastAsia="fr-FR"/>
        </w:rPr>
        <w:t>air au plan international.</w:t>
      </w:r>
    </w:p>
    <w:p w14:paraId="7B93BD16" w14:textId="45437ABB" w:rsidR="00C64995" w:rsidRPr="00C64995" w:rsidRDefault="00C64995" w:rsidP="00C64995">
      <w:pPr>
        <w:pStyle w:val="SingleTxtG"/>
        <w:rPr>
          <w:bCs/>
          <w:lang w:val="fr-FR" w:eastAsia="fr-FR"/>
        </w:rPr>
      </w:pPr>
      <w:r w:rsidRPr="00C64995">
        <w:rPr>
          <w:bCs/>
          <w:lang w:val="fr-FR" w:eastAsia="fr-FR"/>
        </w:rPr>
        <w:t>6.</w:t>
      </w:r>
      <w:r w:rsidRPr="00C64995">
        <w:rPr>
          <w:bCs/>
          <w:lang w:val="fr-FR" w:eastAsia="fr-FR"/>
        </w:rPr>
        <w:tab/>
        <w:t xml:space="preserve">Le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porte sur trois grands types d</w:t>
      </w:r>
      <w:r w:rsidR="007D3902">
        <w:rPr>
          <w:bCs/>
          <w:lang w:val="fr-FR" w:eastAsia="fr-FR"/>
        </w:rPr>
        <w:t>’</w:t>
      </w:r>
      <w:r w:rsidRPr="00C64995">
        <w:rPr>
          <w:bCs/>
          <w:lang w:val="fr-FR" w:eastAsia="fr-FR"/>
        </w:rPr>
        <w:t>essais visant à vérifier et à valider la performance environnementale d</w:t>
      </w:r>
      <w:r w:rsidR="007D3902">
        <w:rPr>
          <w:bCs/>
          <w:lang w:val="fr-FR" w:eastAsia="fr-FR"/>
        </w:rPr>
        <w:t>’</w:t>
      </w:r>
      <w:r w:rsidRPr="00C64995">
        <w:rPr>
          <w:bCs/>
          <w:lang w:val="fr-FR" w:eastAsia="fr-FR"/>
        </w:rPr>
        <w:t>un large éventail de types de véhicules à deux ou trois roues.</w:t>
      </w:r>
    </w:p>
    <w:p w14:paraId="6DC9F9FD" w14:textId="04110BCA" w:rsidR="00C64995" w:rsidRPr="00C64995" w:rsidRDefault="00C64995" w:rsidP="00C64995">
      <w:pPr>
        <w:pStyle w:val="SingleTxtG"/>
        <w:rPr>
          <w:bCs/>
          <w:lang w:val="fr-FR" w:eastAsia="fr-FR"/>
        </w:rPr>
      </w:pPr>
      <w:bookmarkStart w:id="0" w:name="_Hlk102743069"/>
      <w:r w:rsidRPr="00C64995">
        <w:rPr>
          <w:bCs/>
          <w:lang w:val="fr-FR" w:eastAsia="fr-FR"/>
        </w:rPr>
        <w:t>7.</w:t>
      </w:r>
      <w:r w:rsidRPr="00C64995">
        <w:rPr>
          <w:bCs/>
          <w:lang w:val="fr-FR" w:eastAsia="fr-FR"/>
        </w:rPr>
        <w:tab/>
        <w:t xml:space="preserve">Ce </w:t>
      </w:r>
      <w:r w:rsidRPr="00963C74">
        <w:rPr>
          <w:bCs/>
          <w:lang w:val="fr-FR" w:eastAsia="fr-FR"/>
        </w:rPr>
        <w:t>Règlement</w:t>
      </w:r>
      <w:r w:rsidR="00E860AC">
        <w:rPr>
          <w:bCs/>
          <w:lang w:val="fr-FR" w:eastAsia="fr-FR"/>
        </w:rPr>
        <w:t xml:space="preserve"> </w:t>
      </w:r>
      <w:bookmarkEnd w:id="0"/>
      <w:r w:rsidRPr="00C64995">
        <w:rPr>
          <w:bCs/>
          <w:lang w:val="fr-FR" w:eastAsia="fr-FR"/>
        </w:rPr>
        <w:t>a pour objet de susciter une harmonisation plus poussée de la réglementation portant sur l</w:t>
      </w:r>
      <w:r w:rsidR="007D3902">
        <w:rPr>
          <w:bCs/>
          <w:lang w:val="fr-FR" w:eastAsia="fr-FR"/>
        </w:rPr>
        <w:t>’</w:t>
      </w:r>
      <w:r w:rsidRPr="00C64995">
        <w:rPr>
          <w:bCs/>
          <w:lang w:val="fr-FR" w:eastAsia="fr-FR"/>
        </w:rPr>
        <w:t>homologation et la certification des véhicules à deux ou trois roues à l</w:t>
      </w:r>
      <w:r w:rsidR="007D3902">
        <w:rPr>
          <w:bCs/>
          <w:lang w:val="fr-FR" w:eastAsia="fr-FR"/>
        </w:rPr>
        <w:t>’</w:t>
      </w:r>
      <w:r w:rsidRPr="00C64995">
        <w:rPr>
          <w:bCs/>
          <w:lang w:val="fr-FR" w:eastAsia="fr-FR"/>
        </w:rPr>
        <w:t>échelle mondiale, de façon à améliorer le rapport coût-efficacité des essais portant sur la performance environnementale, à lever les obstacles au commerce, à simplifier les règles à l</w:t>
      </w:r>
      <w:r w:rsidR="007D3902">
        <w:rPr>
          <w:bCs/>
          <w:lang w:val="fr-FR" w:eastAsia="fr-FR"/>
        </w:rPr>
        <w:t>’</w:t>
      </w:r>
      <w:r w:rsidRPr="00C64995">
        <w:rPr>
          <w:bCs/>
          <w:lang w:val="fr-FR" w:eastAsia="fr-FR"/>
        </w:rPr>
        <w:t>échelle mondiale, à éliminer les risques d</w:t>
      </w:r>
      <w:r w:rsidR="007D3902">
        <w:rPr>
          <w:bCs/>
          <w:lang w:val="fr-FR" w:eastAsia="fr-FR"/>
        </w:rPr>
        <w:t>’</w:t>
      </w:r>
      <w:r w:rsidRPr="00C64995">
        <w:rPr>
          <w:bCs/>
          <w:lang w:val="fr-FR" w:eastAsia="fr-FR"/>
        </w:rPr>
        <w:t>incompatibilité ou de contradiction entre les prescriptions et à améliorer la qualité de l</w:t>
      </w:r>
      <w:r w:rsidR="007D3902">
        <w:rPr>
          <w:bCs/>
          <w:lang w:val="fr-FR" w:eastAsia="fr-FR"/>
        </w:rPr>
        <w:t>’</w:t>
      </w:r>
      <w:r w:rsidRPr="00C64995">
        <w:rPr>
          <w:bCs/>
          <w:lang w:val="fr-FR" w:eastAsia="fr-FR"/>
        </w:rPr>
        <w:t>air.</w:t>
      </w:r>
    </w:p>
    <w:p w14:paraId="788848A1" w14:textId="6C0B39DE" w:rsidR="00C64995" w:rsidRPr="00C64995" w:rsidRDefault="00C64995" w:rsidP="00C64995">
      <w:pPr>
        <w:pStyle w:val="SingleTxtG"/>
        <w:rPr>
          <w:bCs/>
          <w:lang w:val="fr-FR" w:eastAsia="fr-FR"/>
        </w:rPr>
      </w:pPr>
      <w:r w:rsidRPr="00C64995">
        <w:rPr>
          <w:bCs/>
          <w:lang w:val="fr-FR" w:eastAsia="fr-FR"/>
        </w:rPr>
        <w:t>8.</w:t>
      </w:r>
      <w:r w:rsidRPr="00C64995">
        <w:rPr>
          <w:bCs/>
          <w:lang w:val="fr-FR" w:eastAsia="fr-FR"/>
        </w:rPr>
        <w:tab/>
        <w:t>La première étape du processus remonte à 2004. Elle a consisté à établir une procédure d</w:t>
      </w:r>
      <w:r w:rsidR="007D3902">
        <w:rPr>
          <w:bCs/>
          <w:lang w:val="fr-FR" w:eastAsia="fr-FR"/>
        </w:rPr>
        <w:t>’</w:t>
      </w:r>
      <w:r w:rsidRPr="00C64995">
        <w:rPr>
          <w:bCs/>
          <w:lang w:val="fr-FR" w:eastAsia="fr-FR"/>
        </w:rPr>
        <w:t>homologation pour les émissions d</w:t>
      </w:r>
      <w:r w:rsidR="007D3902">
        <w:rPr>
          <w:bCs/>
          <w:lang w:val="fr-FR" w:eastAsia="fr-FR"/>
        </w:rPr>
        <w:t>’</w:t>
      </w:r>
      <w:r w:rsidRPr="00C64995">
        <w:rPr>
          <w:bCs/>
          <w:lang w:val="fr-FR" w:eastAsia="fr-FR"/>
        </w:rPr>
        <w:t>échappement des motocycles dans le cadre d</w:t>
      </w:r>
      <w:r w:rsidR="007D3902">
        <w:rPr>
          <w:bCs/>
          <w:lang w:val="fr-FR" w:eastAsia="fr-FR"/>
        </w:rPr>
        <w:t>’</w:t>
      </w:r>
      <w:r w:rsidRPr="00C64995">
        <w:rPr>
          <w:bCs/>
          <w:lang w:val="fr-FR" w:eastAsia="fr-FR"/>
        </w:rPr>
        <w:t>un RTM</w:t>
      </w:r>
      <w:r w:rsidR="00896C6F">
        <w:rPr>
          <w:bCs/>
          <w:lang w:val="fr-FR" w:eastAsia="fr-FR"/>
        </w:rPr>
        <w:t> </w:t>
      </w:r>
      <w:r w:rsidRPr="00C64995">
        <w:rPr>
          <w:bCs/>
          <w:lang w:val="fr-FR" w:eastAsia="fr-FR"/>
        </w:rPr>
        <w:t xml:space="preserve">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 xml:space="preserve">2 harmonisé. La révision 1 </w:t>
      </w:r>
      <w:r w:rsidRPr="00963C74">
        <w:rPr>
          <w:bCs/>
          <w:lang w:val="fr-FR" w:eastAsia="fr-FR"/>
        </w:rPr>
        <w:t>de ce RTM</w:t>
      </w:r>
      <w:r w:rsidR="00E860AC">
        <w:rPr>
          <w:bCs/>
          <w:lang w:val="fr-FR" w:eastAsia="fr-FR"/>
        </w:rPr>
        <w:t xml:space="preserve"> </w:t>
      </w:r>
      <w:r w:rsidRPr="00C64995">
        <w:rPr>
          <w:bCs/>
          <w:lang w:val="fr-FR" w:eastAsia="fr-FR"/>
        </w:rPr>
        <w:t>a étendu son champ d</w:t>
      </w:r>
      <w:r w:rsidR="007D3902">
        <w:rPr>
          <w:bCs/>
          <w:lang w:val="fr-FR" w:eastAsia="fr-FR"/>
        </w:rPr>
        <w:t>’</w:t>
      </w:r>
      <w:r w:rsidRPr="00C64995">
        <w:rPr>
          <w:bCs/>
          <w:lang w:val="fr-FR" w:eastAsia="fr-FR"/>
        </w:rPr>
        <w:t>application à tous les véhicules à deux roues, actualisé la méthode d</w:t>
      </w:r>
      <w:r w:rsidR="007D3902">
        <w:rPr>
          <w:bCs/>
          <w:lang w:val="fr-FR" w:eastAsia="fr-FR"/>
        </w:rPr>
        <w:t>’</w:t>
      </w:r>
      <w:r w:rsidRPr="00C64995">
        <w:rPr>
          <w:bCs/>
          <w:lang w:val="fr-FR" w:eastAsia="fr-FR"/>
        </w:rPr>
        <w:t>essai de façon à prendre en compte les progrès techniques et ajouté des prescriptions pour la mesure du rendement énergétique des différents types de groupes motopropulseurs équipant les deux-roues. Les procédures d</w:t>
      </w:r>
      <w:r w:rsidR="007D3902">
        <w:rPr>
          <w:bCs/>
          <w:lang w:val="fr-FR" w:eastAsia="fr-FR"/>
        </w:rPr>
        <w:t>’</w:t>
      </w:r>
      <w:r w:rsidRPr="00C64995">
        <w:rPr>
          <w:bCs/>
          <w:lang w:val="fr-FR" w:eastAsia="fr-FR"/>
        </w:rPr>
        <w:t>essai ont été mises au point de telle façon qu</w:t>
      </w:r>
      <w:r w:rsidR="007D3902">
        <w:rPr>
          <w:bCs/>
          <w:lang w:val="fr-FR" w:eastAsia="fr-FR"/>
        </w:rPr>
        <w:t>’</w:t>
      </w:r>
      <w:r w:rsidRPr="00C64995">
        <w:rPr>
          <w:bCs/>
          <w:lang w:val="fr-FR" w:eastAsia="fr-FR"/>
        </w:rPr>
        <w:t>elles :</w:t>
      </w:r>
    </w:p>
    <w:p w14:paraId="1F575415" w14:textId="14AEDE99" w:rsidR="00C64995" w:rsidRPr="00C64995" w:rsidRDefault="00C64995" w:rsidP="00C64995">
      <w:pPr>
        <w:pStyle w:val="SingleTxtG"/>
        <w:ind w:firstLine="567"/>
        <w:rPr>
          <w:bCs/>
          <w:lang w:val="fr-FR" w:eastAsia="fr-FR"/>
        </w:rPr>
      </w:pPr>
      <w:r w:rsidRPr="00C64995">
        <w:rPr>
          <w:bCs/>
          <w:lang w:val="fr-FR" w:eastAsia="fr-FR"/>
        </w:rPr>
        <w:t>a)</w:t>
      </w:r>
      <w:r w:rsidRPr="00C64995">
        <w:rPr>
          <w:bCs/>
          <w:lang w:val="fr-FR" w:eastAsia="fr-FR"/>
        </w:rPr>
        <w:tab/>
        <w:t>Soient représentatives des conditions d</w:t>
      </w:r>
      <w:r w:rsidR="007D3902">
        <w:rPr>
          <w:bCs/>
          <w:lang w:val="fr-FR" w:eastAsia="fr-FR"/>
        </w:rPr>
        <w:t>’</w:t>
      </w:r>
      <w:r w:rsidRPr="00C64995">
        <w:rPr>
          <w:bCs/>
          <w:lang w:val="fr-FR" w:eastAsia="fr-FR"/>
        </w:rPr>
        <w:t>utilisation des véhicules en circulation dans le monde ;</w:t>
      </w:r>
    </w:p>
    <w:p w14:paraId="74416C63" w14:textId="6F93AEB8" w:rsidR="00C64995" w:rsidRPr="00C64995" w:rsidRDefault="00C64995" w:rsidP="00C64995">
      <w:pPr>
        <w:pStyle w:val="SingleTxtG"/>
        <w:ind w:firstLine="567"/>
        <w:rPr>
          <w:bCs/>
          <w:lang w:val="fr-FR" w:eastAsia="fr-FR"/>
        </w:rPr>
      </w:pPr>
      <w:r w:rsidRPr="00C64995">
        <w:rPr>
          <w:bCs/>
          <w:lang w:val="fr-FR" w:eastAsia="fr-FR"/>
        </w:rPr>
        <w:t>b)</w:t>
      </w:r>
      <w:r w:rsidRPr="00C64995">
        <w:rPr>
          <w:bCs/>
          <w:lang w:val="fr-FR" w:eastAsia="fr-FR"/>
        </w:rPr>
        <w:tab/>
        <w:t>Fournissent un ensemble d</w:t>
      </w:r>
      <w:r w:rsidR="007D3902">
        <w:rPr>
          <w:bCs/>
          <w:lang w:val="fr-FR" w:eastAsia="fr-FR"/>
        </w:rPr>
        <w:t>’</w:t>
      </w:r>
      <w:r w:rsidRPr="00C64995">
        <w:rPr>
          <w:bCs/>
          <w:lang w:val="fr-FR" w:eastAsia="fr-FR"/>
        </w:rPr>
        <w:t>essais relatifs à l</w:t>
      </w:r>
      <w:r w:rsidR="007D3902">
        <w:rPr>
          <w:bCs/>
          <w:lang w:val="fr-FR" w:eastAsia="fr-FR"/>
        </w:rPr>
        <w:t>’</w:t>
      </w:r>
      <w:r w:rsidRPr="00C64995">
        <w:rPr>
          <w:bCs/>
          <w:lang w:val="fr-FR" w:eastAsia="fr-FR"/>
        </w:rPr>
        <w:t>environnement harmonisés à l</w:t>
      </w:r>
      <w:r w:rsidR="007D3902">
        <w:rPr>
          <w:bCs/>
          <w:lang w:val="fr-FR" w:eastAsia="fr-FR"/>
        </w:rPr>
        <w:t>’</w:t>
      </w:r>
      <w:r w:rsidRPr="00C64995">
        <w:rPr>
          <w:bCs/>
          <w:lang w:val="fr-FR" w:eastAsia="fr-FR"/>
        </w:rPr>
        <w:t>échelle internationale, afin de permettre des contrôles efficaces et pratiques des émissions en circulation pendant la durée de vie normale d</w:t>
      </w:r>
      <w:r w:rsidR="007D3902">
        <w:rPr>
          <w:bCs/>
          <w:lang w:val="fr-FR" w:eastAsia="fr-FR"/>
        </w:rPr>
        <w:t>’</w:t>
      </w:r>
      <w:r w:rsidRPr="00C64995">
        <w:rPr>
          <w:bCs/>
          <w:lang w:val="fr-FR" w:eastAsia="fr-FR"/>
        </w:rPr>
        <w:t>un véhicule ;</w:t>
      </w:r>
    </w:p>
    <w:p w14:paraId="0CE80C1A" w14:textId="1EF97480" w:rsidR="00C64995" w:rsidRPr="00C64995" w:rsidRDefault="00C64995" w:rsidP="00C64995">
      <w:pPr>
        <w:pStyle w:val="SingleTxtG"/>
        <w:ind w:firstLine="567"/>
        <w:rPr>
          <w:bCs/>
          <w:lang w:val="fr-FR" w:eastAsia="fr-FR"/>
        </w:rPr>
      </w:pPr>
      <w:r w:rsidRPr="00C64995">
        <w:rPr>
          <w:bCs/>
          <w:lang w:val="fr-FR" w:eastAsia="fr-FR"/>
        </w:rPr>
        <w:t>c)</w:t>
      </w:r>
      <w:r w:rsidRPr="00C64995">
        <w:rPr>
          <w:bCs/>
          <w:lang w:val="fr-FR" w:eastAsia="fr-FR"/>
        </w:rPr>
        <w:tab/>
        <w:t>Intègrent les toutes dernières techniques d</w:t>
      </w:r>
      <w:r w:rsidR="007D3902">
        <w:rPr>
          <w:bCs/>
          <w:lang w:val="fr-FR" w:eastAsia="fr-FR"/>
        </w:rPr>
        <w:t>’</w:t>
      </w:r>
      <w:r w:rsidRPr="00C64995">
        <w:rPr>
          <w:bCs/>
          <w:lang w:val="fr-FR" w:eastAsia="fr-FR"/>
        </w:rPr>
        <w:t>essai, d</w:t>
      </w:r>
      <w:r w:rsidR="007D3902">
        <w:rPr>
          <w:bCs/>
          <w:lang w:val="fr-FR" w:eastAsia="fr-FR"/>
        </w:rPr>
        <w:t>’</w:t>
      </w:r>
      <w:r w:rsidRPr="00C64995">
        <w:rPr>
          <w:bCs/>
          <w:lang w:val="fr-FR" w:eastAsia="fr-FR"/>
        </w:rPr>
        <w:t>échantillonnage et de mesure en ce qui concerne les essais de performance environnementale des deux-roues ;</w:t>
      </w:r>
    </w:p>
    <w:p w14:paraId="3D24F7EB" w14:textId="0648AC5B" w:rsidR="00C64995" w:rsidRPr="00C64995" w:rsidRDefault="00C64995" w:rsidP="00C64995">
      <w:pPr>
        <w:pStyle w:val="SingleTxtG"/>
        <w:ind w:firstLine="567"/>
        <w:rPr>
          <w:bCs/>
          <w:lang w:val="fr-FR" w:eastAsia="fr-FR"/>
        </w:rPr>
      </w:pPr>
      <w:r w:rsidRPr="00C64995">
        <w:rPr>
          <w:bCs/>
          <w:lang w:val="fr-FR" w:eastAsia="fr-FR"/>
        </w:rPr>
        <w:t>d)</w:t>
      </w:r>
      <w:r w:rsidRPr="00C64995">
        <w:rPr>
          <w:bCs/>
          <w:lang w:val="fr-FR" w:eastAsia="fr-FR"/>
        </w:rPr>
        <w:tab/>
        <w:t>Soient applicables aux technologies de réduction des émissions d</w:t>
      </w:r>
      <w:r w:rsidR="007D3902">
        <w:rPr>
          <w:bCs/>
          <w:lang w:val="fr-FR" w:eastAsia="fr-FR"/>
        </w:rPr>
        <w:t>’</w:t>
      </w:r>
      <w:r w:rsidRPr="00C64995">
        <w:rPr>
          <w:bCs/>
          <w:lang w:val="fr-FR" w:eastAsia="fr-FR"/>
        </w:rPr>
        <w:t>échappement actuelles ou dont l</w:t>
      </w:r>
      <w:r w:rsidR="007D3902">
        <w:rPr>
          <w:bCs/>
          <w:lang w:val="fr-FR" w:eastAsia="fr-FR"/>
        </w:rPr>
        <w:t>’</w:t>
      </w:r>
      <w:r w:rsidRPr="00C64995">
        <w:rPr>
          <w:bCs/>
          <w:lang w:val="fr-FR" w:eastAsia="fr-FR"/>
        </w:rPr>
        <w:t>on peut raisonnablement prévoir l</w:t>
      </w:r>
      <w:r w:rsidR="007D3902">
        <w:rPr>
          <w:bCs/>
          <w:lang w:val="fr-FR" w:eastAsia="fr-FR"/>
        </w:rPr>
        <w:t>’</w:t>
      </w:r>
      <w:r w:rsidRPr="00C64995">
        <w:rPr>
          <w:bCs/>
          <w:lang w:val="fr-FR" w:eastAsia="fr-FR"/>
        </w:rPr>
        <w:t>apparition ;</w:t>
      </w:r>
    </w:p>
    <w:p w14:paraId="4E47CE3C" w14:textId="2FBA824E" w:rsidR="00C64995" w:rsidRPr="00C64995" w:rsidRDefault="00C64995" w:rsidP="00C64995">
      <w:pPr>
        <w:pStyle w:val="SingleTxtG"/>
        <w:ind w:firstLine="567"/>
        <w:rPr>
          <w:bCs/>
          <w:lang w:val="fr-FR" w:eastAsia="fr-FR"/>
        </w:rPr>
      </w:pPr>
      <w:r w:rsidRPr="00C64995">
        <w:rPr>
          <w:bCs/>
          <w:lang w:val="fr-FR" w:eastAsia="fr-FR"/>
        </w:rPr>
        <w:t>e)</w:t>
      </w:r>
      <w:r w:rsidRPr="00C64995">
        <w:rPr>
          <w:bCs/>
          <w:lang w:val="fr-FR" w:eastAsia="fr-FR"/>
        </w:rPr>
        <w:tab/>
        <w:t>Soient applicables aux technologies de propulsion actuelles ou dont l</w:t>
      </w:r>
      <w:r w:rsidR="007D3902">
        <w:rPr>
          <w:bCs/>
          <w:lang w:val="fr-FR" w:eastAsia="fr-FR"/>
        </w:rPr>
        <w:t>’</w:t>
      </w:r>
      <w:r w:rsidRPr="00C64995">
        <w:rPr>
          <w:bCs/>
          <w:lang w:val="fr-FR" w:eastAsia="fr-FR"/>
        </w:rPr>
        <w:t>on peut raisonnablement prévoir l</w:t>
      </w:r>
      <w:r w:rsidR="007D3902">
        <w:rPr>
          <w:bCs/>
          <w:lang w:val="fr-FR" w:eastAsia="fr-FR"/>
        </w:rPr>
        <w:t>’</w:t>
      </w:r>
      <w:r w:rsidRPr="00C64995">
        <w:rPr>
          <w:bCs/>
          <w:lang w:val="fr-FR" w:eastAsia="fr-FR"/>
        </w:rPr>
        <w:t>apparition ;</w:t>
      </w:r>
    </w:p>
    <w:p w14:paraId="33BFA1CC" w14:textId="68BE7ADF" w:rsidR="00C64995" w:rsidRPr="00C64995" w:rsidRDefault="00C64995" w:rsidP="00C64995">
      <w:pPr>
        <w:pStyle w:val="SingleTxtG"/>
        <w:ind w:firstLine="567"/>
        <w:rPr>
          <w:bCs/>
          <w:lang w:val="fr-FR" w:eastAsia="fr-FR"/>
        </w:rPr>
      </w:pPr>
      <w:r w:rsidRPr="00C64995">
        <w:rPr>
          <w:bCs/>
          <w:lang w:val="fr-FR" w:eastAsia="fr-FR"/>
        </w:rPr>
        <w:t>f)</w:t>
      </w:r>
      <w:r w:rsidRPr="00C64995">
        <w:rPr>
          <w:bCs/>
          <w:lang w:val="fr-FR" w:eastAsia="fr-FR"/>
        </w:rPr>
        <w:tab/>
        <w:t>Permettent d</w:t>
      </w:r>
      <w:r w:rsidR="007D3902">
        <w:rPr>
          <w:bCs/>
          <w:lang w:val="fr-FR" w:eastAsia="fr-FR"/>
        </w:rPr>
        <w:t>’</w:t>
      </w:r>
      <w:r w:rsidRPr="00C64995">
        <w:rPr>
          <w:bCs/>
          <w:lang w:val="fr-FR" w:eastAsia="fr-FR"/>
        </w:rPr>
        <w:t>obtenir un classement fiable des niveaux des émissions d</w:t>
      </w:r>
      <w:r w:rsidR="007D3902">
        <w:rPr>
          <w:bCs/>
          <w:lang w:val="fr-FR" w:eastAsia="fr-FR"/>
        </w:rPr>
        <w:t>’</w:t>
      </w:r>
      <w:r w:rsidRPr="00C64995">
        <w:rPr>
          <w:bCs/>
          <w:lang w:val="fr-FR" w:eastAsia="fr-FR"/>
        </w:rPr>
        <w:t>échappement des différents types de moteurs ;</w:t>
      </w:r>
    </w:p>
    <w:p w14:paraId="59AEEC52" w14:textId="42A77653" w:rsidR="00C64995" w:rsidRPr="00C64995" w:rsidRDefault="00C64995" w:rsidP="00C64995">
      <w:pPr>
        <w:pStyle w:val="SingleTxtG"/>
        <w:ind w:firstLine="567"/>
        <w:rPr>
          <w:bCs/>
          <w:lang w:val="fr-FR" w:eastAsia="fr-FR"/>
        </w:rPr>
      </w:pPr>
      <w:r w:rsidRPr="00C64995">
        <w:rPr>
          <w:bCs/>
          <w:lang w:val="fr-FR" w:eastAsia="fr-FR"/>
        </w:rPr>
        <w:t>g)</w:t>
      </w:r>
      <w:r w:rsidRPr="00C64995">
        <w:rPr>
          <w:bCs/>
          <w:lang w:val="fr-FR" w:eastAsia="fr-FR"/>
        </w:rPr>
        <w:tab/>
        <w:t>Comprennent des dispositions permettant de prévenir le contournement du cycle d</w:t>
      </w:r>
      <w:r w:rsidR="007D3902">
        <w:rPr>
          <w:bCs/>
          <w:lang w:val="fr-FR" w:eastAsia="fr-FR"/>
        </w:rPr>
        <w:t>’</w:t>
      </w:r>
      <w:r w:rsidRPr="00C64995">
        <w:rPr>
          <w:bCs/>
          <w:lang w:val="fr-FR" w:eastAsia="fr-FR"/>
        </w:rPr>
        <w:t>essai.</w:t>
      </w:r>
    </w:p>
    <w:p w14:paraId="26ACDE22" w14:textId="1A29D49C" w:rsidR="00C64995" w:rsidRPr="00C64995" w:rsidRDefault="00C64995" w:rsidP="00C64995">
      <w:pPr>
        <w:pStyle w:val="SingleTxtG"/>
        <w:rPr>
          <w:bCs/>
          <w:lang w:val="fr-FR" w:eastAsia="fr-FR"/>
        </w:rPr>
      </w:pPr>
      <w:r w:rsidRPr="00C64995">
        <w:rPr>
          <w:bCs/>
          <w:lang w:val="fr-FR" w:eastAsia="fr-FR"/>
        </w:rPr>
        <w:t>9.</w:t>
      </w:r>
      <w:r w:rsidRPr="00C64995">
        <w:rPr>
          <w:bCs/>
          <w:lang w:val="fr-FR" w:eastAsia="fr-FR"/>
        </w:rPr>
        <w:tab/>
        <w:t>Dans l</w:t>
      </w:r>
      <w:r w:rsidR="007D3902">
        <w:rPr>
          <w:bCs/>
          <w:lang w:val="fr-FR" w:eastAsia="fr-FR"/>
        </w:rPr>
        <w:t>’</w:t>
      </w:r>
      <w:r w:rsidRPr="00C64995">
        <w:rPr>
          <w:bCs/>
          <w:lang w:val="fr-FR" w:eastAsia="fr-FR"/>
        </w:rPr>
        <w:t>amendement 5 au RTM ONU n</w:t>
      </w:r>
      <w:r w:rsidRPr="00C64995">
        <w:rPr>
          <w:bCs/>
          <w:vertAlign w:val="superscript"/>
          <w:lang w:val="fr-FR" w:eastAsia="fr-FR"/>
        </w:rPr>
        <w:t>o</w:t>
      </w:r>
      <w:r w:rsidRPr="00C64995">
        <w:rPr>
          <w:bCs/>
          <w:lang w:val="fr-FR" w:eastAsia="fr-FR"/>
        </w:rPr>
        <w:t> 2, trois types d</w:t>
      </w:r>
      <w:r w:rsidR="007D3902">
        <w:rPr>
          <w:bCs/>
          <w:lang w:val="fr-FR" w:eastAsia="fr-FR"/>
        </w:rPr>
        <w:t>’</w:t>
      </w:r>
      <w:r w:rsidRPr="00C64995">
        <w:rPr>
          <w:bCs/>
          <w:lang w:val="fr-FR" w:eastAsia="fr-FR"/>
        </w:rPr>
        <w:t>essai sont pris en considération pour les émissions d</w:t>
      </w:r>
      <w:r w:rsidR="007D3902">
        <w:rPr>
          <w:bCs/>
          <w:lang w:val="fr-FR" w:eastAsia="fr-FR"/>
        </w:rPr>
        <w:t>’</w:t>
      </w:r>
      <w:r w:rsidRPr="00C64995">
        <w:rPr>
          <w:bCs/>
          <w:lang w:val="fr-FR" w:eastAsia="fr-FR"/>
        </w:rPr>
        <w:t>échappement :</w:t>
      </w:r>
    </w:p>
    <w:p w14:paraId="50D277BF" w14:textId="6EB72AFA" w:rsidR="00C64995" w:rsidRPr="00C64995" w:rsidRDefault="00C64995" w:rsidP="00C64995">
      <w:pPr>
        <w:pStyle w:val="H23G"/>
        <w:rPr>
          <w:lang w:val="fr-FR" w:eastAsia="fr-FR"/>
        </w:rPr>
      </w:pPr>
      <w:r w:rsidRPr="00C64995">
        <w:rPr>
          <w:lang w:val="fr-FR" w:eastAsia="fr-FR"/>
        </w:rPr>
        <w:tab/>
        <w:t>1.</w:t>
      </w:r>
      <w:r w:rsidRPr="00C64995">
        <w:rPr>
          <w:lang w:val="fr-FR" w:eastAsia="fr-FR"/>
        </w:rPr>
        <w:tab/>
        <w:t>Essai du type I : émissions d</w:t>
      </w:r>
      <w:r w:rsidR="007D3902">
        <w:rPr>
          <w:lang w:val="fr-FR" w:eastAsia="fr-FR"/>
        </w:rPr>
        <w:t>’</w:t>
      </w:r>
      <w:r w:rsidRPr="00C64995">
        <w:rPr>
          <w:lang w:val="fr-FR" w:eastAsia="fr-FR"/>
        </w:rPr>
        <w:t>échappement après un démarrage à froid</w:t>
      </w:r>
    </w:p>
    <w:p w14:paraId="3548B979" w14:textId="22CF0478" w:rsidR="00C64995" w:rsidRPr="00C64995" w:rsidRDefault="00C64995" w:rsidP="00C64995">
      <w:pPr>
        <w:pStyle w:val="SingleTxtG"/>
        <w:rPr>
          <w:bCs/>
          <w:lang w:val="fr-FR" w:eastAsia="fr-FR"/>
        </w:rPr>
      </w:pPr>
      <w:r w:rsidRPr="00C64995">
        <w:rPr>
          <w:bCs/>
          <w:lang w:val="fr-FR" w:eastAsia="fr-FR"/>
        </w:rPr>
        <w:t>10.</w:t>
      </w:r>
      <w:r w:rsidRPr="00C64995">
        <w:rPr>
          <w:bCs/>
          <w:lang w:val="fr-FR" w:eastAsia="fr-FR"/>
        </w:rPr>
        <w:tab/>
        <w:t>Pour mesurer les émissions de gaz polluants d</w:t>
      </w:r>
      <w:r w:rsidR="007D3902">
        <w:rPr>
          <w:bCs/>
          <w:lang w:val="fr-FR" w:eastAsia="fr-FR"/>
        </w:rPr>
        <w:t>’</w:t>
      </w:r>
      <w:r w:rsidRPr="00C64995">
        <w:rPr>
          <w:bCs/>
          <w:lang w:val="fr-FR" w:eastAsia="fr-FR"/>
        </w:rPr>
        <w:t>un véhicule utilisé de façon ordinaire, on a recours à l</w:t>
      </w:r>
      <w:r w:rsidR="007D3902">
        <w:rPr>
          <w:bCs/>
          <w:lang w:val="fr-FR" w:eastAsia="fr-FR"/>
        </w:rPr>
        <w:t>’</w:t>
      </w:r>
      <w:r w:rsidRPr="00C64995">
        <w:rPr>
          <w:bCs/>
          <w:lang w:val="fr-FR" w:eastAsia="fr-FR"/>
        </w:rPr>
        <w:t>essai du type 1. La procédure comprend un démarrage à froid et un cycle de conduite approprié sur un banc à rouleaux conçu pour la classe de véhicules visée. En outre, on tient compte des exigences de répétabilité et de reproductibilité de l</w:t>
      </w:r>
      <w:r w:rsidR="007D3902">
        <w:rPr>
          <w:bCs/>
          <w:lang w:val="fr-FR" w:eastAsia="fr-FR"/>
        </w:rPr>
        <w:t>’</w:t>
      </w:r>
      <w:r w:rsidRPr="00C64995">
        <w:rPr>
          <w:bCs/>
          <w:lang w:val="fr-FR" w:eastAsia="fr-FR"/>
        </w:rPr>
        <w:t>essai.</w:t>
      </w:r>
    </w:p>
    <w:p w14:paraId="42001DB1" w14:textId="2E72E440" w:rsidR="00C64995" w:rsidRPr="00C64995" w:rsidRDefault="00C64995" w:rsidP="00C64995">
      <w:pPr>
        <w:pStyle w:val="H23G"/>
        <w:rPr>
          <w:lang w:val="fr-FR" w:eastAsia="fr-FR"/>
        </w:rPr>
      </w:pPr>
      <w:r w:rsidRPr="00C64995">
        <w:rPr>
          <w:lang w:val="fr-FR" w:eastAsia="fr-FR"/>
        </w:rPr>
        <w:tab/>
        <w:t>2.</w:t>
      </w:r>
      <w:r w:rsidRPr="00C64995">
        <w:rPr>
          <w:lang w:val="fr-FR" w:eastAsia="fr-FR"/>
        </w:rPr>
        <w:tab/>
        <w:t>Essai du type II : émissions d</w:t>
      </w:r>
      <w:r w:rsidR="007D3902">
        <w:rPr>
          <w:lang w:val="fr-FR" w:eastAsia="fr-FR"/>
        </w:rPr>
        <w:t>’</w:t>
      </w:r>
      <w:r w:rsidRPr="00C64995">
        <w:rPr>
          <w:lang w:val="fr-FR" w:eastAsia="fr-FR"/>
        </w:rPr>
        <w:t>échappement au ralenti (moteur à allumage commandé) et essai en accélération au point mort (moteur à allumage par compression)</w:t>
      </w:r>
    </w:p>
    <w:p w14:paraId="197FD4C3" w14:textId="764C84CF" w:rsidR="00C64995" w:rsidRPr="00C64995" w:rsidRDefault="00C64995" w:rsidP="00C64995">
      <w:pPr>
        <w:pStyle w:val="SingleTxtG"/>
        <w:rPr>
          <w:bCs/>
          <w:lang w:val="fr-FR" w:eastAsia="fr-FR"/>
        </w:rPr>
      </w:pPr>
      <w:r w:rsidRPr="00C64995">
        <w:rPr>
          <w:bCs/>
          <w:lang w:val="fr-FR" w:eastAsia="fr-FR"/>
        </w:rPr>
        <w:t>11.</w:t>
      </w:r>
      <w:r w:rsidRPr="00C64995">
        <w:rPr>
          <w:bCs/>
          <w:lang w:val="fr-FR" w:eastAsia="fr-FR"/>
        </w:rPr>
        <w:tab/>
        <w:t>Pour mesurer les émissions au ralenti et au ralenti accéléré dont il est question dans les essais réalisés aux fins du contrôle technique, on a recours à l</w:t>
      </w:r>
      <w:r w:rsidR="007D3902">
        <w:rPr>
          <w:bCs/>
          <w:lang w:val="fr-FR" w:eastAsia="fr-FR"/>
        </w:rPr>
        <w:t>’</w:t>
      </w:r>
      <w:r w:rsidRPr="00C64995">
        <w:rPr>
          <w:bCs/>
          <w:lang w:val="fr-FR" w:eastAsia="fr-FR"/>
        </w:rPr>
        <w:t>essai du type II. La procédure qui s</w:t>
      </w:r>
      <w:r w:rsidR="007D3902">
        <w:rPr>
          <w:bCs/>
          <w:lang w:val="fr-FR" w:eastAsia="fr-FR"/>
        </w:rPr>
        <w:t>’</w:t>
      </w:r>
      <w:r w:rsidRPr="00C64995">
        <w:rPr>
          <w:bCs/>
          <w:lang w:val="fr-FR" w:eastAsia="fr-FR"/>
        </w:rPr>
        <w:t>applique aux véhicules équipés d</w:t>
      </w:r>
      <w:r w:rsidR="007D3902">
        <w:rPr>
          <w:bCs/>
          <w:lang w:val="fr-FR" w:eastAsia="fr-FR"/>
        </w:rPr>
        <w:t>’</w:t>
      </w:r>
      <w:r w:rsidRPr="00C64995">
        <w:rPr>
          <w:bCs/>
          <w:lang w:val="fr-FR" w:eastAsia="fr-FR"/>
        </w:rPr>
        <w:t>un moteur à allumage commandé consiste à exécuter l</w:t>
      </w:r>
      <w:r w:rsidR="007D3902">
        <w:rPr>
          <w:bCs/>
          <w:lang w:val="fr-FR" w:eastAsia="fr-FR"/>
        </w:rPr>
        <w:t>’</w:t>
      </w:r>
      <w:r w:rsidRPr="00C64995">
        <w:rPr>
          <w:bCs/>
          <w:lang w:val="fr-FR" w:eastAsia="fr-FR"/>
        </w:rPr>
        <w:t>essai à deux régimes de ralenti pour mesurer les émissions de CO et de HC. La procédure qui s</w:t>
      </w:r>
      <w:r w:rsidR="007D3902">
        <w:rPr>
          <w:bCs/>
          <w:lang w:val="fr-FR" w:eastAsia="fr-FR"/>
        </w:rPr>
        <w:t>’</w:t>
      </w:r>
      <w:r w:rsidRPr="00C64995">
        <w:rPr>
          <w:bCs/>
          <w:lang w:val="fr-FR" w:eastAsia="fr-FR"/>
        </w:rPr>
        <w:t>applique aux véhicules équipés d</w:t>
      </w:r>
      <w:r w:rsidR="007D3902">
        <w:rPr>
          <w:bCs/>
          <w:lang w:val="fr-FR" w:eastAsia="fr-FR"/>
        </w:rPr>
        <w:t>’</w:t>
      </w:r>
      <w:r w:rsidRPr="00C64995">
        <w:rPr>
          <w:bCs/>
          <w:lang w:val="fr-FR" w:eastAsia="fr-FR"/>
        </w:rPr>
        <w:t>un moteur à allumage par compression consiste à accélérer au point mort afin de mesurer l</w:t>
      </w:r>
      <w:r w:rsidR="007D3902">
        <w:rPr>
          <w:bCs/>
          <w:lang w:val="fr-FR" w:eastAsia="fr-FR"/>
        </w:rPr>
        <w:t>’</w:t>
      </w:r>
      <w:r w:rsidRPr="00C64995">
        <w:rPr>
          <w:bCs/>
          <w:lang w:val="fr-FR" w:eastAsia="fr-FR"/>
        </w:rPr>
        <w:t>opacité des fumées, laquelle est un indicateur indirect des émissions de particules des véhicules à allumage par compression.</w:t>
      </w:r>
    </w:p>
    <w:p w14:paraId="0B17A677" w14:textId="052F512B" w:rsidR="00C64995" w:rsidRPr="00C64995" w:rsidRDefault="00C64995" w:rsidP="00C64995">
      <w:pPr>
        <w:pStyle w:val="H23G"/>
        <w:rPr>
          <w:lang w:val="fr-FR" w:eastAsia="fr-FR"/>
        </w:rPr>
      </w:pPr>
      <w:r w:rsidRPr="00C64995">
        <w:rPr>
          <w:lang w:val="fr-FR" w:eastAsia="fr-FR"/>
        </w:rPr>
        <w:tab/>
        <w:t>3.</w:t>
      </w:r>
      <w:r w:rsidRPr="00C64995">
        <w:rPr>
          <w:lang w:val="fr-FR" w:eastAsia="fr-FR"/>
        </w:rPr>
        <w:tab/>
        <w:t>Essai du type VII : efficacité énergétique − mesure des émissions de CO</w:t>
      </w:r>
      <w:r w:rsidRPr="00C64995">
        <w:rPr>
          <w:vertAlign w:val="subscript"/>
          <w:lang w:val="fr-FR" w:eastAsia="fr-FR"/>
        </w:rPr>
        <w:t>2</w:t>
      </w:r>
      <w:r w:rsidRPr="00C64995">
        <w:rPr>
          <w:lang w:val="fr-FR" w:eastAsia="fr-FR"/>
        </w:rPr>
        <w:t xml:space="preserve"> </w:t>
      </w:r>
      <w:r>
        <w:rPr>
          <w:lang w:val="fr-FR" w:eastAsia="fr-FR"/>
        </w:rPr>
        <w:br/>
      </w:r>
      <w:r w:rsidRPr="00C64995">
        <w:rPr>
          <w:lang w:val="fr-FR" w:eastAsia="fr-FR"/>
        </w:rPr>
        <w:t>et de la consommation de carburant</w:t>
      </w:r>
    </w:p>
    <w:p w14:paraId="456DABE1" w14:textId="7310F9CA" w:rsidR="00C64995" w:rsidRPr="00C64995" w:rsidRDefault="00C64995" w:rsidP="00C64995">
      <w:pPr>
        <w:pStyle w:val="SingleTxtG"/>
        <w:rPr>
          <w:bCs/>
          <w:lang w:val="fr-FR" w:eastAsia="fr-FR"/>
        </w:rPr>
      </w:pPr>
      <w:r w:rsidRPr="00C64995">
        <w:rPr>
          <w:bCs/>
          <w:lang w:val="fr-FR" w:eastAsia="fr-FR"/>
        </w:rPr>
        <w:t>12.</w:t>
      </w:r>
      <w:r w:rsidRPr="00C64995">
        <w:rPr>
          <w:bCs/>
          <w:lang w:val="fr-FR" w:eastAsia="fr-FR"/>
        </w:rPr>
        <w:tab/>
        <w:t>Pour fournir aux consommateurs les informations dont ils ont besoin afin d</w:t>
      </w:r>
      <w:r w:rsidR="007D3902">
        <w:rPr>
          <w:bCs/>
          <w:lang w:val="fr-FR" w:eastAsia="fr-FR"/>
        </w:rPr>
        <w:t>’</w:t>
      </w:r>
      <w:r w:rsidRPr="00C64995">
        <w:rPr>
          <w:bCs/>
          <w:lang w:val="fr-FR" w:eastAsia="fr-FR"/>
        </w:rPr>
        <w:t>évaluer l</w:t>
      </w:r>
      <w:r w:rsidR="007D3902">
        <w:rPr>
          <w:bCs/>
          <w:lang w:val="fr-FR" w:eastAsia="fr-FR"/>
        </w:rPr>
        <w:t>’</w:t>
      </w:r>
      <w:r w:rsidRPr="00C64995">
        <w:rPr>
          <w:bCs/>
          <w:lang w:val="fr-FR" w:eastAsia="fr-FR"/>
        </w:rPr>
        <w:t>efficacité énergétique, les coûts d</w:t>
      </w:r>
      <w:r w:rsidR="007D3902">
        <w:rPr>
          <w:bCs/>
          <w:lang w:val="fr-FR" w:eastAsia="fr-FR"/>
        </w:rPr>
        <w:t>’</w:t>
      </w:r>
      <w:r w:rsidRPr="00C64995">
        <w:rPr>
          <w:bCs/>
          <w:lang w:val="fr-FR" w:eastAsia="fr-FR"/>
        </w:rPr>
        <w:t>entretien et l</w:t>
      </w:r>
      <w:r w:rsidR="007D3902">
        <w:rPr>
          <w:bCs/>
          <w:lang w:val="fr-FR" w:eastAsia="fr-FR"/>
        </w:rPr>
        <w:t>’</w:t>
      </w:r>
      <w:r w:rsidRPr="00C64995">
        <w:rPr>
          <w:bCs/>
          <w:lang w:val="fr-FR" w:eastAsia="fr-FR"/>
        </w:rPr>
        <w:t>aspect pratique d</w:t>
      </w:r>
      <w:r w:rsidR="007D3902">
        <w:rPr>
          <w:bCs/>
          <w:lang w:val="fr-FR" w:eastAsia="fr-FR"/>
        </w:rPr>
        <w:t>’</w:t>
      </w:r>
      <w:r w:rsidRPr="00C64995">
        <w:rPr>
          <w:bCs/>
          <w:lang w:val="fr-FR" w:eastAsia="fr-FR"/>
        </w:rPr>
        <w:t>un véhicule, on se sert de l</w:t>
      </w:r>
      <w:r w:rsidR="007D3902">
        <w:rPr>
          <w:bCs/>
          <w:lang w:val="fr-FR" w:eastAsia="fr-FR"/>
        </w:rPr>
        <w:t>’</w:t>
      </w:r>
      <w:r w:rsidRPr="00C64995">
        <w:rPr>
          <w:bCs/>
          <w:lang w:val="fr-FR" w:eastAsia="fr-FR"/>
        </w:rPr>
        <w:t>essai du type VII. Celui-ci consiste à mesurer, aux fins de publication et d</w:t>
      </w:r>
      <w:r w:rsidR="007D3902">
        <w:rPr>
          <w:bCs/>
          <w:lang w:val="fr-FR" w:eastAsia="fr-FR"/>
        </w:rPr>
        <w:t>’</w:t>
      </w:r>
      <w:r w:rsidRPr="00C64995">
        <w:rPr>
          <w:bCs/>
          <w:lang w:val="fr-FR" w:eastAsia="fr-FR"/>
        </w:rPr>
        <w:t>inclusion dans la documentation du véhicule, l</w:t>
      </w:r>
      <w:r w:rsidR="007D3902">
        <w:rPr>
          <w:bCs/>
          <w:lang w:val="fr-FR" w:eastAsia="fr-FR"/>
        </w:rPr>
        <w:t>’</w:t>
      </w:r>
      <w:r w:rsidRPr="00C64995">
        <w:rPr>
          <w:bCs/>
          <w:lang w:val="fr-FR" w:eastAsia="fr-FR"/>
        </w:rPr>
        <w:t>efficacité énergétique, en calculant les émissions de CO</w:t>
      </w:r>
      <w:r w:rsidRPr="00C64995">
        <w:rPr>
          <w:bCs/>
          <w:vertAlign w:val="subscript"/>
          <w:lang w:val="fr-FR" w:eastAsia="fr-FR"/>
        </w:rPr>
        <w:t xml:space="preserve">2 </w:t>
      </w:r>
      <w:r w:rsidRPr="00C64995">
        <w:rPr>
          <w:bCs/>
          <w:lang w:val="fr-FR" w:eastAsia="fr-FR"/>
        </w:rPr>
        <w:t>et la consommation de carburant.</w:t>
      </w:r>
    </w:p>
    <w:p w14:paraId="1B67B227" w14:textId="063D5EAF" w:rsidR="00C64995" w:rsidRPr="00C64995" w:rsidRDefault="00C64995" w:rsidP="00C64995">
      <w:pPr>
        <w:pStyle w:val="SingleTxtG"/>
        <w:rPr>
          <w:bCs/>
          <w:lang w:val="fr-FR" w:eastAsia="fr-FR"/>
        </w:rPr>
      </w:pPr>
      <w:r w:rsidRPr="00C64995">
        <w:rPr>
          <w:bCs/>
          <w:lang w:val="fr-FR" w:eastAsia="fr-FR"/>
        </w:rPr>
        <w:t>13.</w:t>
      </w:r>
      <w:r w:rsidRPr="00C64995">
        <w:rPr>
          <w:bCs/>
          <w:lang w:val="fr-FR" w:eastAsia="fr-FR"/>
        </w:rPr>
        <w:tab/>
        <w:t xml:space="preserve">Le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s</w:t>
      </w:r>
      <w:r w:rsidR="007D3902">
        <w:rPr>
          <w:bCs/>
          <w:lang w:val="fr-FR" w:eastAsia="fr-FR"/>
        </w:rPr>
        <w:t>’</w:t>
      </w:r>
      <w:r w:rsidRPr="00C64995">
        <w:rPr>
          <w:bCs/>
          <w:lang w:val="fr-FR" w:eastAsia="fr-FR"/>
        </w:rPr>
        <w:t>appuie sur les travaux du groupe de travail informel du Cycle d</w:t>
      </w:r>
      <w:r w:rsidR="007D3902">
        <w:rPr>
          <w:bCs/>
          <w:lang w:val="fr-FR" w:eastAsia="fr-FR"/>
        </w:rPr>
        <w:t>’</w:t>
      </w:r>
      <w:r w:rsidRPr="00C64995">
        <w:rPr>
          <w:bCs/>
          <w:lang w:val="fr-FR" w:eastAsia="fr-FR"/>
        </w:rPr>
        <w:t xml:space="preserve">essai mondial harmonisé de mesure des émissions des motocycles (WMTC) et les discussions et conclusions du groupe, tels que présentés dans son rapport technique (ECE/TRANS/180/Add.2/Appendice 1). Le dernier amendement en date </w:t>
      </w:r>
      <w:r w:rsidRPr="00963C74">
        <w:rPr>
          <w:bCs/>
          <w:lang w:val="fr-FR" w:eastAsia="fr-FR"/>
        </w:rPr>
        <w:t>pour ce RTM ONU</w:t>
      </w:r>
      <w:r w:rsidRPr="00C64995">
        <w:rPr>
          <w:bCs/>
          <w:lang w:val="fr-FR" w:eastAsia="fr-FR"/>
        </w:rPr>
        <w:t xml:space="preserve"> remonte à 2011. L</w:t>
      </w:r>
      <w:r w:rsidR="007D3902">
        <w:rPr>
          <w:bCs/>
          <w:lang w:val="fr-FR" w:eastAsia="fr-FR"/>
        </w:rPr>
        <w:t>’</w:t>
      </w:r>
      <w:r w:rsidRPr="00C64995">
        <w:rPr>
          <w:bCs/>
          <w:lang w:val="fr-FR" w:eastAsia="fr-FR"/>
        </w:rPr>
        <w:t xml:space="preserve">amendement 5 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est fondé sur les travaux du groupe de travail informel des prescriptions d</w:t>
      </w:r>
      <w:r w:rsidR="007D3902">
        <w:rPr>
          <w:bCs/>
          <w:lang w:val="fr-FR" w:eastAsia="fr-FR"/>
        </w:rPr>
        <w:t>’</w:t>
      </w:r>
      <w:r w:rsidRPr="00C64995">
        <w:rPr>
          <w:bCs/>
          <w:lang w:val="fr-FR" w:eastAsia="fr-FR"/>
        </w:rPr>
        <w:t>efficacité en matière d</w:t>
      </w:r>
      <w:r w:rsidR="007D3902">
        <w:rPr>
          <w:bCs/>
          <w:lang w:val="fr-FR" w:eastAsia="fr-FR"/>
        </w:rPr>
        <w:t>’</w:t>
      </w:r>
      <w:r w:rsidRPr="00C64995">
        <w:rPr>
          <w:bCs/>
          <w:lang w:val="fr-FR" w:eastAsia="fr-FR"/>
        </w:rPr>
        <w:t>environnement et de propulsion (groupe de travail informel EPPR), qui a tenu sa première réunion durant la soixante</w:t>
      </w:r>
      <w:r w:rsidR="00974C56">
        <w:rPr>
          <w:bCs/>
          <w:lang w:val="fr-FR" w:eastAsia="fr-FR"/>
        </w:rPr>
        <w:noBreakHyphen/>
      </w:r>
      <w:r w:rsidRPr="00C64995">
        <w:rPr>
          <w:bCs/>
          <w:lang w:val="fr-FR" w:eastAsia="fr-FR"/>
        </w:rPr>
        <w:t>cinquième session du GRPE, en janvier 2013, sous les auspices de la Commission européenne (CE).</w:t>
      </w:r>
    </w:p>
    <w:p w14:paraId="742A4CB8" w14:textId="77777777" w:rsidR="00C64995" w:rsidRPr="00C64995" w:rsidRDefault="00C64995" w:rsidP="00C64995">
      <w:pPr>
        <w:pStyle w:val="H1G"/>
        <w:rPr>
          <w:lang w:val="fr-FR" w:eastAsia="fr-FR"/>
        </w:rPr>
      </w:pPr>
      <w:r w:rsidRPr="00C64995">
        <w:rPr>
          <w:lang w:val="fr-FR" w:eastAsia="fr-FR"/>
        </w:rPr>
        <w:tab/>
        <w:t>B.</w:t>
      </w:r>
      <w:r w:rsidRPr="00C64995">
        <w:rPr>
          <w:lang w:val="fr-FR" w:eastAsia="fr-FR"/>
        </w:rPr>
        <w:tab/>
        <w:t>Historique</w:t>
      </w:r>
    </w:p>
    <w:p w14:paraId="15CE24C9" w14:textId="1EEA47DD" w:rsidR="00C64995" w:rsidRPr="00C64995" w:rsidRDefault="00C64995" w:rsidP="00C64995">
      <w:pPr>
        <w:pStyle w:val="SingleTxtG"/>
        <w:rPr>
          <w:bCs/>
          <w:lang w:val="fr-FR" w:eastAsia="fr-FR"/>
        </w:rPr>
      </w:pPr>
      <w:r w:rsidRPr="00C64995">
        <w:rPr>
          <w:bCs/>
          <w:lang w:val="fr-FR" w:eastAsia="fr-FR"/>
        </w:rPr>
        <w:t>14.</w:t>
      </w:r>
      <w:r w:rsidRPr="00C64995">
        <w:rPr>
          <w:bCs/>
          <w:lang w:val="fr-FR" w:eastAsia="fr-FR"/>
        </w:rPr>
        <w:tab/>
        <w:t xml:space="preserve">Les travaux sur le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ont commencé en mai 2000, lorsque le groupe de travail informel du Cycle d</w:t>
      </w:r>
      <w:r w:rsidR="007D3902">
        <w:rPr>
          <w:bCs/>
          <w:lang w:val="fr-FR" w:eastAsia="fr-FR"/>
        </w:rPr>
        <w:t>’</w:t>
      </w:r>
      <w:r w:rsidRPr="00C64995">
        <w:rPr>
          <w:bCs/>
          <w:lang w:val="fr-FR" w:eastAsia="fr-FR"/>
        </w:rPr>
        <w:t>essai mondial harmonisé de mesure des émissions des motocycles (WMTC) a été établi. À la quarante-cinquième session du Groupe de travail de la pollution et de l</w:t>
      </w:r>
      <w:r w:rsidR="007D3902">
        <w:rPr>
          <w:bCs/>
          <w:lang w:val="fr-FR" w:eastAsia="fr-FR"/>
        </w:rPr>
        <w:t>’</w:t>
      </w:r>
      <w:r w:rsidRPr="00C64995">
        <w:rPr>
          <w:bCs/>
          <w:lang w:val="fr-FR" w:eastAsia="fr-FR"/>
        </w:rPr>
        <w:t>énergie (GRPE), tenue en janvier 2003, une proposition officielle de l</w:t>
      </w:r>
      <w:r w:rsidR="007D3902">
        <w:rPr>
          <w:bCs/>
          <w:lang w:val="fr-FR" w:eastAsia="fr-FR"/>
        </w:rPr>
        <w:t>’</w:t>
      </w:r>
      <w:r w:rsidRPr="00C64995">
        <w:rPr>
          <w:bCs/>
          <w:lang w:val="fr-FR" w:eastAsia="fr-FR"/>
        </w:rPr>
        <w:t>Allemagne visant à élaborer un RTM ONU a été approuvée pour examen par le Comité exécutif de l</w:t>
      </w:r>
      <w:r w:rsidR="007D3902">
        <w:rPr>
          <w:bCs/>
          <w:lang w:val="fr-FR" w:eastAsia="fr-FR"/>
        </w:rPr>
        <w:t>’</w:t>
      </w:r>
      <w:r w:rsidRPr="00C64995">
        <w:rPr>
          <w:bCs/>
          <w:lang w:val="fr-FR" w:eastAsia="fr-FR"/>
        </w:rPr>
        <w:t>Accord de 1998 (AC.3). À sa session du 13</w:t>
      </w:r>
      <w:r>
        <w:rPr>
          <w:bCs/>
          <w:lang w:val="fr-FR" w:eastAsia="fr-FR"/>
        </w:rPr>
        <w:t> </w:t>
      </w:r>
      <w:r w:rsidRPr="00C64995">
        <w:rPr>
          <w:bCs/>
          <w:lang w:val="fr-FR" w:eastAsia="fr-FR"/>
        </w:rPr>
        <w:t>novembre 2003, l</w:t>
      </w:r>
      <w:r w:rsidR="007D3902">
        <w:rPr>
          <w:bCs/>
          <w:lang w:val="fr-FR" w:eastAsia="fr-FR"/>
        </w:rPr>
        <w:t>’</w:t>
      </w:r>
      <w:r w:rsidRPr="00C64995">
        <w:rPr>
          <w:bCs/>
          <w:lang w:val="fr-FR" w:eastAsia="fr-FR"/>
        </w:rPr>
        <w:t>AC.3 a approuvé la proposition de l</w:t>
      </w:r>
      <w:r w:rsidR="007D3902">
        <w:rPr>
          <w:bCs/>
          <w:lang w:val="fr-FR" w:eastAsia="fr-FR"/>
        </w:rPr>
        <w:t>’</w:t>
      </w:r>
      <w:r w:rsidRPr="00C64995">
        <w:rPr>
          <w:bCs/>
          <w:lang w:val="fr-FR" w:eastAsia="fr-FR"/>
        </w:rPr>
        <w:t>Allemagne en tant que projet de RTM ONU.</w:t>
      </w:r>
    </w:p>
    <w:p w14:paraId="2065E2E7" w14:textId="0A871293" w:rsidR="00C64995" w:rsidRPr="00C64995" w:rsidRDefault="00C64995" w:rsidP="00C64995">
      <w:pPr>
        <w:pStyle w:val="SingleTxtG"/>
        <w:rPr>
          <w:bCs/>
          <w:lang w:val="fr-FR" w:eastAsia="fr-FR"/>
        </w:rPr>
      </w:pPr>
      <w:r w:rsidRPr="00C64995">
        <w:rPr>
          <w:bCs/>
          <w:lang w:val="fr-FR" w:eastAsia="fr-FR"/>
        </w:rPr>
        <w:t>15.</w:t>
      </w:r>
      <w:r w:rsidRPr="00C64995">
        <w:rPr>
          <w:bCs/>
          <w:lang w:val="fr-FR" w:eastAsia="fr-FR"/>
        </w:rPr>
        <w:tab/>
        <w:t xml:space="preserve">Le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a été approuvé par l</w:t>
      </w:r>
      <w:r w:rsidR="007D3902">
        <w:rPr>
          <w:bCs/>
          <w:lang w:val="fr-FR" w:eastAsia="fr-FR"/>
        </w:rPr>
        <w:t>’</w:t>
      </w:r>
      <w:r w:rsidRPr="00C64995">
        <w:rPr>
          <w:bCs/>
          <w:lang w:val="fr-FR" w:eastAsia="fr-FR"/>
        </w:rPr>
        <w:t>AC.3 en juin 2005. L</w:t>
      </w:r>
      <w:r w:rsidR="007D3902">
        <w:rPr>
          <w:bCs/>
          <w:lang w:val="fr-FR" w:eastAsia="fr-FR"/>
        </w:rPr>
        <w:t>’</w:t>
      </w:r>
      <w:r w:rsidRPr="00C64995">
        <w:rPr>
          <w:bCs/>
          <w:lang w:val="fr-FR" w:eastAsia="fr-FR"/>
        </w:rPr>
        <w:t>amendement 1 au RTM</w:t>
      </w:r>
      <w:r w:rsidR="00974C56">
        <w:rPr>
          <w:bCs/>
          <w:lang w:val="fr-FR" w:eastAsia="fr-FR"/>
        </w:rPr>
        <w:t> </w:t>
      </w:r>
      <w:r w:rsidRPr="00C64995">
        <w:rPr>
          <w:bCs/>
          <w:lang w:val="fr-FR" w:eastAsia="fr-FR"/>
        </w:rPr>
        <w:t xml:space="preserve">ONU </w:t>
      </w:r>
      <w:r w:rsidR="00974C56" w:rsidRPr="00C64995">
        <w:rPr>
          <w:rFonts w:eastAsia="MS Mincho"/>
          <w:szCs w:val="22"/>
          <w:lang w:val="fr-FR" w:eastAsia="fr-FR"/>
        </w:rPr>
        <w:t>n</w:t>
      </w:r>
      <w:r w:rsidR="00974C56" w:rsidRPr="00C64995">
        <w:rPr>
          <w:rFonts w:eastAsia="MS Mincho"/>
          <w:szCs w:val="22"/>
          <w:vertAlign w:val="superscript"/>
          <w:lang w:val="fr-FR" w:eastAsia="fr-FR"/>
        </w:rPr>
        <w:t>o</w:t>
      </w:r>
      <w:r w:rsidR="00974C56">
        <w:rPr>
          <w:lang w:val="fr-FR" w:eastAsia="fr-FR"/>
        </w:rPr>
        <w:t> </w:t>
      </w:r>
      <w:r w:rsidRPr="00C64995">
        <w:rPr>
          <w:bCs/>
          <w:lang w:val="fr-FR" w:eastAsia="fr-FR"/>
        </w:rPr>
        <w:t>2 a été approuvé par l</w:t>
      </w:r>
      <w:r w:rsidR="007D3902">
        <w:rPr>
          <w:bCs/>
          <w:lang w:val="fr-FR" w:eastAsia="fr-FR"/>
        </w:rPr>
        <w:t>’</w:t>
      </w:r>
      <w:r w:rsidRPr="00C64995">
        <w:rPr>
          <w:bCs/>
          <w:lang w:val="fr-FR" w:eastAsia="fr-FR"/>
        </w:rPr>
        <w:t>AC.3 en novembre 2007. Le projet de texte de l</w:t>
      </w:r>
      <w:r w:rsidR="007D3902">
        <w:rPr>
          <w:bCs/>
          <w:lang w:val="fr-FR" w:eastAsia="fr-FR"/>
        </w:rPr>
        <w:t>’</w:t>
      </w:r>
      <w:r w:rsidRPr="00C64995">
        <w:rPr>
          <w:bCs/>
          <w:lang w:val="fr-FR" w:eastAsia="fr-FR"/>
        </w:rPr>
        <w:t>amendement</w:t>
      </w:r>
      <w:r>
        <w:rPr>
          <w:bCs/>
          <w:lang w:val="fr-FR" w:eastAsia="fr-FR"/>
        </w:rPr>
        <w:t> </w:t>
      </w:r>
      <w:r w:rsidRPr="00C64995">
        <w:rPr>
          <w:bCs/>
          <w:lang w:val="fr-FR" w:eastAsia="fr-FR"/>
        </w:rPr>
        <w:t xml:space="preserve">2 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portant sur l</w:t>
      </w:r>
      <w:r w:rsidR="007D3902">
        <w:rPr>
          <w:bCs/>
          <w:lang w:val="fr-FR" w:eastAsia="fr-FR"/>
        </w:rPr>
        <w:t>’</w:t>
      </w:r>
      <w:r w:rsidRPr="00C64995">
        <w:rPr>
          <w:bCs/>
          <w:lang w:val="fr-FR" w:eastAsia="fr-FR"/>
        </w:rPr>
        <w:t>introduction de prescriptions de performance (valeurs limites pour les émissions de polluants des véhicules équipés de moteurs à essence) a été approuvé par le GRPE en janvier 2011, sous réserve des décisions finales de l</w:t>
      </w:r>
      <w:r w:rsidR="007D3902">
        <w:rPr>
          <w:bCs/>
          <w:lang w:val="fr-FR" w:eastAsia="fr-FR"/>
        </w:rPr>
        <w:t>’</w:t>
      </w:r>
      <w:r w:rsidRPr="00C64995">
        <w:rPr>
          <w:bCs/>
          <w:lang w:val="fr-FR" w:eastAsia="fr-FR"/>
        </w:rPr>
        <w:t>AC.3 concernant la présentation du texte.</w:t>
      </w:r>
    </w:p>
    <w:p w14:paraId="7FBE6E03" w14:textId="7656DCA1" w:rsidR="00C64995" w:rsidRPr="00C64995" w:rsidRDefault="00C64995" w:rsidP="00C64995">
      <w:pPr>
        <w:pStyle w:val="SingleTxtG"/>
        <w:rPr>
          <w:bCs/>
          <w:lang w:val="fr-FR" w:eastAsia="fr-FR"/>
        </w:rPr>
      </w:pPr>
      <w:r w:rsidRPr="00C64995">
        <w:rPr>
          <w:bCs/>
          <w:lang w:val="fr-FR" w:eastAsia="fr-FR"/>
        </w:rPr>
        <w:t>16.</w:t>
      </w:r>
      <w:r w:rsidRPr="00C64995">
        <w:rPr>
          <w:bCs/>
          <w:lang w:val="fr-FR" w:eastAsia="fr-FR"/>
        </w:rPr>
        <w:tab/>
        <w:t>À sa réunion d</w:t>
      </w:r>
      <w:r w:rsidR="007D3902">
        <w:rPr>
          <w:bCs/>
          <w:lang w:val="fr-FR" w:eastAsia="fr-FR"/>
        </w:rPr>
        <w:t>’</w:t>
      </w:r>
      <w:r w:rsidRPr="00C64995">
        <w:rPr>
          <w:bCs/>
          <w:lang w:val="fr-FR" w:eastAsia="fr-FR"/>
        </w:rPr>
        <w:t>avril 2006, tenue à Pune (Inde), le groupe de travail informel WMTC/FEG a décidé d</w:t>
      </w:r>
      <w:r w:rsidR="007D3902">
        <w:rPr>
          <w:bCs/>
          <w:lang w:val="fr-FR" w:eastAsia="fr-FR"/>
        </w:rPr>
        <w:t>’</w:t>
      </w:r>
      <w:r w:rsidRPr="00C64995">
        <w:rPr>
          <w:bCs/>
          <w:lang w:val="fr-FR" w:eastAsia="fr-FR"/>
        </w:rPr>
        <w:t>élaborer de nouvelles propositions de cycles d</w:t>
      </w:r>
      <w:r w:rsidR="007D3902">
        <w:rPr>
          <w:bCs/>
          <w:lang w:val="fr-FR" w:eastAsia="fr-FR"/>
        </w:rPr>
        <w:t>’</w:t>
      </w:r>
      <w:r w:rsidRPr="00C64995">
        <w:rPr>
          <w:bCs/>
          <w:lang w:val="fr-FR" w:eastAsia="fr-FR"/>
        </w:rPr>
        <w:t>essai et une nouvelle classification des véhicules pour les projets d</w:t>
      </w:r>
      <w:r w:rsidR="007D3902">
        <w:rPr>
          <w:bCs/>
          <w:lang w:val="fr-FR" w:eastAsia="fr-FR"/>
        </w:rPr>
        <w:t>’</w:t>
      </w:r>
      <w:r w:rsidRPr="00C64995">
        <w:rPr>
          <w:bCs/>
          <w:lang w:val="fr-FR" w:eastAsia="fr-FR"/>
        </w:rPr>
        <w:t>amendements au RTM ONU, afin de tenir compte des véhicules de faible puissance, couramment utilisés en Inde et en Chine.</w:t>
      </w:r>
    </w:p>
    <w:p w14:paraId="478F6ED6" w14:textId="4AEB9368" w:rsidR="00C64995" w:rsidRPr="00C64995" w:rsidRDefault="00C64995" w:rsidP="00C64995">
      <w:pPr>
        <w:pStyle w:val="SingleTxtG"/>
        <w:rPr>
          <w:bCs/>
          <w:lang w:val="fr-FR" w:eastAsia="fr-FR"/>
        </w:rPr>
      </w:pPr>
      <w:r w:rsidRPr="00C64995">
        <w:rPr>
          <w:bCs/>
          <w:lang w:val="fr-FR" w:eastAsia="fr-FR"/>
        </w:rPr>
        <w:t>17.</w:t>
      </w:r>
      <w:r w:rsidRPr="00C64995">
        <w:rPr>
          <w:bCs/>
          <w:lang w:val="fr-FR" w:eastAsia="fr-FR"/>
        </w:rPr>
        <w:tab/>
        <w:t>Une petite équipe spéciale WMTC, placée sous la coordination de l</w:t>
      </w:r>
      <w:r w:rsidR="007D3902">
        <w:rPr>
          <w:bCs/>
          <w:lang w:val="fr-FR" w:eastAsia="fr-FR"/>
        </w:rPr>
        <w:t>’</w:t>
      </w:r>
      <w:r w:rsidRPr="00C64995">
        <w:rPr>
          <w:bCs/>
          <w:lang w:val="fr-FR" w:eastAsia="fr-FR"/>
        </w:rPr>
        <w:t>Association internationale des constructeurs de motocycles (IMMA), a été mise sur pied pour formuler une proposition concernant le ou les cycles d</w:t>
      </w:r>
      <w:r w:rsidR="007D3902">
        <w:rPr>
          <w:bCs/>
          <w:lang w:val="fr-FR" w:eastAsia="fr-FR"/>
        </w:rPr>
        <w:t>’</w:t>
      </w:r>
      <w:r w:rsidRPr="00C64995">
        <w:rPr>
          <w:bCs/>
          <w:lang w:val="fr-FR" w:eastAsia="fr-FR"/>
        </w:rPr>
        <w:t>essai et toute nouvelle classification pouvant être nécessaire à cette fin. L</w:t>
      </w:r>
      <w:r w:rsidR="007D3902">
        <w:rPr>
          <w:bCs/>
          <w:lang w:val="fr-FR" w:eastAsia="fr-FR"/>
        </w:rPr>
        <w:t>’</w:t>
      </w:r>
      <w:r w:rsidRPr="00C64995">
        <w:rPr>
          <w:bCs/>
          <w:lang w:val="fr-FR" w:eastAsia="fr-FR"/>
        </w:rPr>
        <w:t>Inde, l</w:t>
      </w:r>
      <w:r w:rsidR="007D3902">
        <w:rPr>
          <w:bCs/>
          <w:lang w:val="fr-FR" w:eastAsia="fr-FR"/>
        </w:rPr>
        <w:t>’</w:t>
      </w:r>
      <w:r w:rsidRPr="00C64995">
        <w:rPr>
          <w:bCs/>
          <w:lang w:val="fr-FR" w:eastAsia="fr-FR"/>
        </w:rPr>
        <w:t>Italie, le Japon, l</w:t>
      </w:r>
      <w:r w:rsidR="007D3902">
        <w:rPr>
          <w:bCs/>
          <w:lang w:val="fr-FR" w:eastAsia="fr-FR"/>
        </w:rPr>
        <w:t>’</w:t>
      </w:r>
      <w:r w:rsidRPr="00C64995">
        <w:rPr>
          <w:bCs/>
          <w:lang w:val="fr-FR" w:eastAsia="fr-FR"/>
        </w:rPr>
        <w:t>Allemagne, la Commission européenne et l</w:t>
      </w:r>
      <w:r w:rsidR="007D3902">
        <w:rPr>
          <w:bCs/>
          <w:lang w:val="fr-FR" w:eastAsia="fr-FR"/>
        </w:rPr>
        <w:t>’</w:t>
      </w:r>
      <w:r w:rsidRPr="00C64995">
        <w:rPr>
          <w:bCs/>
          <w:lang w:val="fr-FR" w:eastAsia="fr-FR"/>
        </w:rPr>
        <w:t>IMMA en ont fait partie. L</w:t>
      </w:r>
      <w:r w:rsidR="007D3902">
        <w:rPr>
          <w:bCs/>
          <w:lang w:val="fr-FR" w:eastAsia="fr-FR"/>
        </w:rPr>
        <w:t>’</w:t>
      </w:r>
      <w:r w:rsidRPr="00C64995">
        <w:rPr>
          <w:bCs/>
          <w:lang w:val="fr-FR" w:eastAsia="fr-FR"/>
        </w:rPr>
        <w:t>équipe spéciale s</w:t>
      </w:r>
      <w:r w:rsidR="007D3902">
        <w:rPr>
          <w:bCs/>
          <w:lang w:val="fr-FR" w:eastAsia="fr-FR"/>
        </w:rPr>
        <w:t>’</w:t>
      </w:r>
      <w:r w:rsidRPr="00C64995">
        <w:rPr>
          <w:bCs/>
          <w:lang w:val="fr-FR" w:eastAsia="fr-FR"/>
        </w:rPr>
        <w:t>est réunie en août et octobre 2006.</w:t>
      </w:r>
    </w:p>
    <w:p w14:paraId="649BEA6C" w14:textId="251569A1" w:rsidR="00C64995" w:rsidRPr="00C64995" w:rsidRDefault="00C64995" w:rsidP="00C64995">
      <w:pPr>
        <w:pStyle w:val="SingleTxtG"/>
        <w:rPr>
          <w:bCs/>
          <w:lang w:val="fr-FR" w:eastAsia="fr-FR"/>
        </w:rPr>
      </w:pPr>
      <w:r w:rsidRPr="00C64995">
        <w:rPr>
          <w:bCs/>
          <w:lang w:val="fr-FR" w:eastAsia="fr-FR"/>
        </w:rPr>
        <w:t>18.</w:t>
      </w:r>
      <w:r w:rsidRPr="00C64995">
        <w:rPr>
          <w:bCs/>
          <w:lang w:val="fr-FR" w:eastAsia="fr-FR"/>
        </w:rPr>
        <w:tab/>
        <w:t>À sa réunion de novembre 2006, tenue à Ann Arbor (États-Unis d</w:t>
      </w:r>
      <w:r w:rsidR="007D3902">
        <w:rPr>
          <w:bCs/>
          <w:lang w:val="fr-FR" w:eastAsia="fr-FR"/>
        </w:rPr>
        <w:t>’</w:t>
      </w:r>
      <w:r w:rsidRPr="00C64995">
        <w:rPr>
          <w:bCs/>
          <w:lang w:val="fr-FR" w:eastAsia="fr-FR"/>
        </w:rPr>
        <w:t>Amérique), le groupe de travail WMTC/FEG a approuvé une version modifiée de l</w:t>
      </w:r>
      <w:r w:rsidR="007D3902">
        <w:rPr>
          <w:bCs/>
          <w:lang w:val="fr-FR" w:eastAsia="fr-FR"/>
        </w:rPr>
        <w:t>’</w:t>
      </w:r>
      <w:r w:rsidRPr="00C64995">
        <w:rPr>
          <w:bCs/>
          <w:lang w:val="fr-FR" w:eastAsia="fr-FR"/>
        </w:rPr>
        <w:t>une des propositions de l</w:t>
      </w:r>
      <w:r w:rsidR="007D3902">
        <w:rPr>
          <w:bCs/>
          <w:lang w:val="fr-FR" w:eastAsia="fr-FR"/>
        </w:rPr>
        <w:t>’</w:t>
      </w:r>
      <w:r w:rsidRPr="00C64995">
        <w:rPr>
          <w:bCs/>
          <w:lang w:val="fr-FR" w:eastAsia="fr-FR"/>
        </w:rPr>
        <w:t>équipe spéciale WMTC et l</w:t>
      </w:r>
      <w:r w:rsidR="007D3902">
        <w:rPr>
          <w:bCs/>
          <w:lang w:val="fr-FR" w:eastAsia="fr-FR"/>
        </w:rPr>
        <w:t>’</w:t>
      </w:r>
      <w:r w:rsidRPr="00C64995">
        <w:rPr>
          <w:bCs/>
          <w:lang w:val="fr-FR" w:eastAsia="fr-FR"/>
        </w:rPr>
        <w:t>a transmise au groupe de travail informel WMTC en janvier 2007, lequel l</w:t>
      </w:r>
      <w:r w:rsidR="007D3902">
        <w:rPr>
          <w:bCs/>
          <w:lang w:val="fr-FR" w:eastAsia="fr-FR"/>
        </w:rPr>
        <w:t>’</w:t>
      </w:r>
      <w:r w:rsidRPr="00C64995">
        <w:rPr>
          <w:bCs/>
          <w:lang w:val="fr-FR" w:eastAsia="fr-FR"/>
        </w:rPr>
        <w:t>a approuvée pour soumission au GRPE.</w:t>
      </w:r>
    </w:p>
    <w:p w14:paraId="4C7D138A" w14:textId="03E79DEE" w:rsidR="00C64995" w:rsidRPr="00C64995" w:rsidRDefault="00C64995" w:rsidP="00C64995">
      <w:pPr>
        <w:pStyle w:val="SingleTxtG"/>
        <w:rPr>
          <w:bCs/>
          <w:lang w:val="fr-FR" w:eastAsia="fr-FR"/>
        </w:rPr>
      </w:pPr>
      <w:r w:rsidRPr="00C64995">
        <w:rPr>
          <w:bCs/>
          <w:lang w:val="fr-FR" w:eastAsia="fr-FR"/>
        </w:rPr>
        <w:t>19.</w:t>
      </w:r>
      <w:r w:rsidRPr="00C64995">
        <w:rPr>
          <w:bCs/>
          <w:lang w:val="fr-FR" w:eastAsia="fr-FR"/>
        </w:rPr>
        <w:tab/>
        <w:t>L</w:t>
      </w:r>
      <w:r w:rsidR="007D3902">
        <w:rPr>
          <w:bCs/>
          <w:lang w:val="fr-FR" w:eastAsia="fr-FR"/>
        </w:rPr>
        <w:t>’</w:t>
      </w:r>
      <w:r w:rsidRPr="00C64995">
        <w:rPr>
          <w:bCs/>
          <w:lang w:val="fr-FR" w:eastAsia="fr-FR"/>
        </w:rPr>
        <w:t>idée de créer un groupe de travail a été soumise par l</w:t>
      </w:r>
      <w:r w:rsidR="007D3902">
        <w:rPr>
          <w:bCs/>
          <w:lang w:val="fr-FR" w:eastAsia="fr-FR"/>
        </w:rPr>
        <w:t>’</w:t>
      </w:r>
      <w:r w:rsidRPr="00C64995">
        <w:rPr>
          <w:bCs/>
          <w:lang w:val="fr-FR" w:eastAsia="fr-FR"/>
        </w:rPr>
        <w:t>Union européenne et annoncée aux soixante-troisième et soixante-quatrième sessions du GRPE, en janvier et juin 2012, ainsi qu</w:t>
      </w:r>
      <w:r w:rsidR="007D3902">
        <w:rPr>
          <w:bCs/>
          <w:lang w:val="fr-FR" w:eastAsia="fr-FR"/>
        </w:rPr>
        <w:t>’</w:t>
      </w:r>
      <w:r w:rsidRPr="00C64995">
        <w:rPr>
          <w:bCs/>
          <w:lang w:val="fr-FR" w:eastAsia="fr-FR"/>
        </w:rPr>
        <w:t>à la 157</w:t>
      </w:r>
      <w:r w:rsidRPr="00C64995">
        <w:rPr>
          <w:bCs/>
          <w:vertAlign w:val="superscript"/>
          <w:lang w:val="fr-FR" w:eastAsia="fr-FR"/>
        </w:rPr>
        <w:t>e</w:t>
      </w:r>
      <w:r w:rsidRPr="00C64995">
        <w:rPr>
          <w:bCs/>
          <w:lang w:val="fr-FR" w:eastAsia="fr-FR"/>
        </w:rPr>
        <w:t xml:space="preserve"> session du WP.29, en juin 2012.</w:t>
      </w:r>
    </w:p>
    <w:p w14:paraId="75637AF5" w14:textId="71D94FD7" w:rsidR="00C64995" w:rsidRPr="00C64995" w:rsidRDefault="00C64995" w:rsidP="00C64995">
      <w:pPr>
        <w:pStyle w:val="SingleTxtG"/>
        <w:rPr>
          <w:bCs/>
          <w:lang w:val="fr-FR" w:eastAsia="fr-FR"/>
        </w:rPr>
      </w:pPr>
      <w:r w:rsidRPr="00C64995">
        <w:rPr>
          <w:bCs/>
          <w:lang w:val="fr-FR" w:eastAsia="fr-FR"/>
        </w:rPr>
        <w:t>20.</w:t>
      </w:r>
      <w:r w:rsidRPr="00C64995">
        <w:rPr>
          <w:bCs/>
          <w:lang w:val="fr-FR" w:eastAsia="fr-FR"/>
        </w:rPr>
        <w:tab/>
        <w:t>Le groupe de travail informel EPPR</w:t>
      </w:r>
      <w:r w:rsidRPr="00C64995">
        <w:rPr>
          <w:bCs/>
          <w:i/>
          <w:iCs/>
          <w:lang w:val="fr-FR" w:eastAsia="fr-FR"/>
        </w:rPr>
        <w:t xml:space="preserve"> </w:t>
      </w:r>
      <w:r w:rsidRPr="00C64995">
        <w:rPr>
          <w:bCs/>
          <w:lang w:val="fr-FR" w:eastAsia="fr-FR"/>
        </w:rPr>
        <w:t>a ainsi été créé, sous l</w:t>
      </w:r>
      <w:r w:rsidR="007D3902">
        <w:rPr>
          <w:bCs/>
          <w:lang w:val="fr-FR" w:eastAsia="fr-FR"/>
        </w:rPr>
        <w:t>’</w:t>
      </w:r>
      <w:r w:rsidRPr="00C64995">
        <w:rPr>
          <w:bCs/>
          <w:lang w:val="fr-FR" w:eastAsia="fr-FR"/>
        </w:rPr>
        <w:t>égide du GRPE, et son mandat (document informel WP.29-158-15) a été approuvé à la 158</w:t>
      </w:r>
      <w:r w:rsidRPr="00C64995">
        <w:rPr>
          <w:bCs/>
          <w:vertAlign w:val="superscript"/>
          <w:lang w:val="fr-FR" w:eastAsia="fr-FR"/>
        </w:rPr>
        <w:t>e</w:t>
      </w:r>
      <w:r w:rsidRPr="00C64995">
        <w:rPr>
          <w:bCs/>
          <w:lang w:val="fr-FR" w:eastAsia="fr-FR"/>
        </w:rPr>
        <w:t xml:space="preserve"> session du WP.29 (13</w:t>
      </w:r>
      <w:r>
        <w:rPr>
          <w:bCs/>
          <w:lang w:val="fr-FR" w:eastAsia="fr-FR"/>
        </w:rPr>
        <w:noBreakHyphen/>
      </w:r>
      <w:r w:rsidRPr="00C64995">
        <w:rPr>
          <w:bCs/>
          <w:lang w:val="fr-FR" w:eastAsia="fr-FR"/>
        </w:rPr>
        <w:t>16</w:t>
      </w:r>
      <w:r>
        <w:rPr>
          <w:bCs/>
          <w:lang w:val="fr-FR" w:eastAsia="fr-FR"/>
        </w:rPr>
        <w:t> </w:t>
      </w:r>
      <w:r w:rsidRPr="00C64995">
        <w:rPr>
          <w:bCs/>
          <w:lang w:val="fr-FR" w:eastAsia="fr-FR"/>
        </w:rPr>
        <w:t>novembre 2012). À la soixante-dix-neuvième session du GRPE, en 2019, une proposition officielle d</w:t>
      </w:r>
      <w:r w:rsidR="007D3902">
        <w:rPr>
          <w:bCs/>
          <w:lang w:val="fr-FR" w:eastAsia="fr-FR"/>
        </w:rPr>
        <w:t>’</w:t>
      </w:r>
      <w:r w:rsidRPr="00C64995">
        <w:rPr>
          <w:bCs/>
          <w:lang w:val="fr-FR" w:eastAsia="fr-FR"/>
        </w:rPr>
        <w:t xml:space="preserve">amendement 4 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établie par le groupe de travail informel EPPR, a été soumise pour adoption par l</w:t>
      </w:r>
      <w:r w:rsidR="007D3902">
        <w:rPr>
          <w:bCs/>
          <w:lang w:val="fr-FR" w:eastAsia="fr-FR"/>
        </w:rPr>
        <w:t>’</w:t>
      </w:r>
      <w:r w:rsidRPr="00C64995">
        <w:rPr>
          <w:bCs/>
          <w:lang w:val="fr-FR" w:eastAsia="fr-FR"/>
        </w:rPr>
        <w:t>AC.3.</w:t>
      </w:r>
    </w:p>
    <w:p w14:paraId="04710371" w14:textId="14ABCA50" w:rsidR="00C64995" w:rsidRPr="00C64995" w:rsidRDefault="00C64995" w:rsidP="00C64995">
      <w:pPr>
        <w:pStyle w:val="SingleTxtG"/>
        <w:rPr>
          <w:bCs/>
          <w:lang w:val="fr-FR" w:eastAsia="fr-FR"/>
        </w:rPr>
      </w:pPr>
      <w:r w:rsidRPr="00C64995">
        <w:rPr>
          <w:bCs/>
          <w:lang w:val="fr-FR" w:eastAsia="fr-FR"/>
        </w:rPr>
        <w:t>21.</w:t>
      </w:r>
      <w:r w:rsidRPr="00C64995">
        <w:rPr>
          <w:bCs/>
          <w:lang w:val="fr-FR" w:eastAsia="fr-FR"/>
        </w:rPr>
        <w:tab/>
        <w:t>Les travaux menés sur les types et procédures d</w:t>
      </w:r>
      <w:r w:rsidR="007D3902">
        <w:rPr>
          <w:bCs/>
          <w:lang w:val="fr-FR" w:eastAsia="fr-FR"/>
        </w:rPr>
        <w:t>’</w:t>
      </w:r>
      <w:r w:rsidRPr="00C64995">
        <w:rPr>
          <w:bCs/>
          <w:lang w:val="fr-FR" w:eastAsia="fr-FR"/>
        </w:rPr>
        <w:t>essai et les débats sur l</w:t>
      </w:r>
      <w:r w:rsidR="007D3902">
        <w:rPr>
          <w:bCs/>
          <w:lang w:val="fr-FR" w:eastAsia="fr-FR"/>
        </w:rPr>
        <w:t>’</w:t>
      </w:r>
      <w:r w:rsidRPr="00C64995">
        <w:rPr>
          <w:bCs/>
          <w:lang w:val="fr-FR" w:eastAsia="fr-FR"/>
        </w:rPr>
        <w:t>harmonisation à l</w:t>
      </w:r>
      <w:r w:rsidR="007D3902">
        <w:rPr>
          <w:bCs/>
          <w:lang w:val="fr-FR" w:eastAsia="fr-FR"/>
        </w:rPr>
        <w:t>’</w:t>
      </w:r>
      <w:r w:rsidRPr="00C64995">
        <w:rPr>
          <w:bCs/>
          <w:lang w:val="fr-FR" w:eastAsia="fr-FR"/>
        </w:rPr>
        <w:t xml:space="preserve">échelle mondiale trouvent leur expression dans les prescriptions techniques énoncées dans le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 xml:space="preserve">2. La version finale du texte de ce </w:t>
      </w:r>
      <w:r w:rsidRPr="00963C74">
        <w:rPr>
          <w:bCs/>
          <w:lang w:val="fr-FR" w:eastAsia="fr-FR"/>
        </w:rPr>
        <w:t>RTM ONU fig</w:t>
      </w:r>
      <w:r w:rsidRPr="00C64995">
        <w:rPr>
          <w:bCs/>
          <w:lang w:val="fr-FR" w:eastAsia="fr-FR"/>
        </w:rPr>
        <w:t>ure dans la deuxième partie du document de travail s</w:t>
      </w:r>
      <w:r w:rsidR="007D3902">
        <w:rPr>
          <w:bCs/>
          <w:lang w:val="fr-FR" w:eastAsia="fr-FR"/>
        </w:rPr>
        <w:t>’</w:t>
      </w:r>
      <w:r w:rsidRPr="00C64995">
        <w:rPr>
          <w:bCs/>
          <w:lang w:val="fr-FR" w:eastAsia="fr-FR"/>
        </w:rPr>
        <w:t>y rapportant.</w:t>
      </w:r>
    </w:p>
    <w:p w14:paraId="7E9DB208" w14:textId="77777777" w:rsidR="00C64995" w:rsidRPr="00C64995" w:rsidRDefault="00C64995" w:rsidP="00C64995">
      <w:pPr>
        <w:pStyle w:val="H1G"/>
        <w:rPr>
          <w:lang w:val="fr-FR" w:eastAsia="fr-FR"/>
        </w:rPr>
      </w:pPr>
      <w:r w:rsidRPr="00C64995">
        <w:rPr>
          <w:lang w:val="fr-FR" w:eastAsia="fr-FR"/>
        </w:rPr>
        <w:tab/>
        <w:t>C.</w:t>
      </w:r>
      <w:r w:rsidRPr="00C64995">
        <w:rPr>
          <w:lang w:val="fr-FR" w:eastAsia="fr-FR"/>
        </w:rPr>
        <w:tab/>
        <w:t>Règlements et normes internationales volontaires cités en référence</w:t>
      </w:r>
    </w:p>
    <w:p w14:paraId="02C3CEA7" w14:textId="7C46CA4D" w:rsidR="00C64995" w:rsidRPr="00C64995" w:rsidRDefault="00C64995" w:rsidP="00C64995">
      <w:pPr>
        <w:pStyle w:val="H23G"/>
        <w:rPr>
          <w:lang w:val="fr-FR" w:eastAsia="fr-FR"/>
        </w:rPr>
      </w:pPr>
      <w:r w:rsidRPr="00C64995">
        <w:rPr>
          <w:lang w:val="fr-FR" w:eastAsia="fr-FR"/>
        </w:rPr>
        <w:tab/>
        <w:t>1.</w:t>
      </w:r>
      <w:r w:rsidRPr="00C64995">
        <w:rPr>
          <w:lang w:val="fr-FR" w:eastAsia="fr-FR"/>
        </w:rPr>
        <w:tab/>
        <w:t>Références techniques aux fins de l</w:t>
      </w:r>
      <w:r w:rsidR="007D3902">
        <w:rPr>
          <w:lang w:val="fr-FR" w:eastAsia="fr-FR"/>
        </w:rPr>
        <w:t>’</w:t>
      </w:r>
      <w:r w:rsidRPr="00C64995">
        <w:rPr>
          <w:lang w:val="fr-FR" w:eastAsia="fr-FR"/>
        </w:rPr>
        <w:t>élaboration de l</w:t>
      </w:r>
      <w:r w:rsidR="007D3902">
        <w:rPr>
          <w:lang w:val="fr-FR" w:eastAsia="fr-FR"/>
        </w:rPr>
        <w:t>’</w:t>
      </w:r>
      <w:r w:rsidRPr="00C64995">
        <w:rPr>
          <w:lang w:val="fr-FR" w:eastAsia="fr-FR"/>
        </w:rPr>
        <w:t xml:space="preserve">amendement 5 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lang w:val="fr-FR" w:eastAsia="fr-FR"/>
        </w:rPr>
        <w:t>2</w:t>
      </w:r>
    </w:p>
    <w:p w14:paraId="2CDB85F4" w14:textId="27A3E3FF" w:rsidR="00C64995" w:rsidRPr="00C64995" w:rsidRDefault="00C64995" w:rsidP="00C64995">
      <w:pPr>
        <w:pStyle w:val="SingleTxtG"/>
        <w:rPr>
          <w:bCs/>
          <w:lang w:val="fr-FR" w:eastAsia="fr-FR"/>
        </w:rPr>
      </w:pPr>
      <w:r w:rsidRPr="00C64995">
        <w:rPr>
          <w:bCs/>
          <w:lang w:val="fr-FR" w:eastAsia="fr-FR"/>
        </w:rPr>
        <w:t>22.</w:t>
      </w:r>
      <w:r w:rsidRPr="00C64995">
        <w:rPr>
          <w:bCs/>
          <w:lang w:val="fr-FR" w:eastAsia="fr-FR"/>
        </w:rPr>
        <w:tab/>
        <w:t>S</w:t>
      </w:r>
      <w:r w:rsidR="007D3902">
        <w:rPr>
          <w:bCs/>
          <w:lang w:val="fr-FR" w:eastAsia="fr-FR"/>
        </w:rPr>
        <w:t>’</w:t>
      </w:r>
      <w:r w:rsidRPr="00C64995">
        <w:rPr>
          <w:bCs/>
          <w:lang w:val="fr-FR" w:eastAsia="fr-FR"/>
        </w:rPr>
        <w:t>agissant de l</w:t>
      </w:r>
      <w:r w:rsidR="007D3902">
        <w:rPr>
          <w:bCs/>
          <w:lang w:val="fr-FR" w:eastAsia="fr-FR"/>
        </w:rPr>
        <w:t>’</w:t>
      </w:r>
      <w:r w:rsidRPr="00C64995">
        <w:rPr>
          <w:bCs/>
          <w:lang w:val="fr-FR" w:eastAsia="fr-FR"/>
        </w:rPr>
        <w:t>élaboration de l</w:t>
      </w:r>
      <w:r w:rsidR="007D3902">
        <w:rPr>
          <w:bCs/>
          <w:lang w:val="fr-FR" w:eastAsia="fr-FR"/>
        </w:rPr>
        <w:t>’</w:t>
      </w:r>
      <w:r w:rsidRPr="00C64995">
        <w:rPr>
          <w:bCs/>
          <w:lang w:val="fr-FR" w:eastAsia="fr-FR"/>
        </w:rPr>
        <w:t xml:space="preserve">amendement 5 au RTM ONU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Pr="00C64995">
        <w:rPr>
          <w:bCs/>
          <w:lang w:val="fr-FR" w:eastAsia="fr-FR"/>
        </w:rPr>
        <w:t>2, les textes suivants contenaient des applications pertinentes des prescriptions relatives aux émissions de gaz des véhicules à deux ou trois roues dont on pouvait disposer à titre de références techniques :</w:t>
      </w:r>
    </w:p>
    <w:p w14:paraId="7CAEBEB3" w14:textId="082B74B8" w:rsidR="00C64995" w:rsidRPr="00C64995" w:rsidRDefault="00C64995" w:rsidP="00C64995">
      <w:pPr>
        <w:pStyle w:val="SingleTxtG"/>
        <w:ind w:left="1701"/>
        <w:rPr>
          <w:bCs/>
          <w:lang w:val="fr-FR" w:eastAsia="fr-FR"/>
        </w:rPr>
      </w:pPr>
      <w:r w:rsidRPr="00C64995">
        <w:rPr>
          <w:bCs/>
          <w:lang w:val="fr-FR" w:eastAsia="fr-FR"/>
        </w:rPr>
        <w:t>a)</w:t>
      </w:r>
      <w:r w:rsidRPr="00C64995">
        <w:rPr>
          <w:bCs/>
          <w:lang w:val="fr-FR" w:eastAsia="fr-FR"/>
        </w:rPr>
        <w:tab/>
        <w:t>Commission économique pour l</w:t>
      </w:r>
      <w:r w:rsidR="007D3902">
        <w:rPr>
          <w:bCs/>
          <w:lang w:val="fr-FR" w:eastAsia="fr-FR"/>
        </w:rPr>
        <w:t>’</w:t>
      </w:r>
      <w:r w:rsidRPr="00C64995">
        <w:rPr>
          <w:bCs/>
          <w:lang w:val="fr-FR" w:eastAsia="fr-FR"/>
        </w:rPr>
        <w:t>Europe (CEE) :</w:t>
      </w:r>
    </w:p>
    <w:p w14:paraId="56D6E0CC" w14:textId="53B2889F" w:rsidR="00C64995" w:rsidRPr="00C64995" w:rsidRDefault="00C64995" w:rsidP="00E860AC">
      <w:pPr>
        <w:pStyle w:val="SingleTxtG"/>
        <w:ind w:left="1701"/>
        <w:rPr>
          <w:bCs/>
          <w:lang w:val="fr-FR" w:eastAsia="fr-FR"/>
        </w:rPr>
      </w:pPr>
      <w:r w:rsidRPr="00C64995">
        <w:rPr>
          <w:bCs/>
          <w:lang w:val="fr-FR" w:eastAsia="fr-FR"/>
        </w:rPr>
        <w:tab/>
        <w:t xml:space="preserve">Règlement ONU </w:t>
      </w:r>
      <w:r w:rsidR="005B38BE" w:rsidRPr="00C64995">
        <w:rPr>
          <w:rFonts w:eastAsia="MS Mincho"/>
          <w:szCs w:val="22"/>
          <w:lang w:val="fr-FR" w:eastAsia="fr-FR"/>
        </w:rPr>
        <w:t>n</w:t>
      </w:r>
      <w:r w:rsidR="005B38BE" w:rsidRPr="00C64995">
        <w:rPr>
          <w:rFonts w:eastAsia="MS Mincho"/>
          <w:szCs w:val="22"/>
          <w:vertAlign w:val="superscript"/>
          <w:lang w:val="fr-FR" w:eastAsia="fr-FR"/>
        </w:rPr>
        <w:t>o</w:t>
      </w:r>
      <w:r w:rsidR="005B38BE">
        <w:rPr>
          <w:lang w:val="fr-FR" w:eastAsia="fr-FR"/>
        </w:rPr>
        <w:t> </w:t>
      </w:r>
      <w:r w:rsidRPr="00C64995">
        <w:rPr>
          <w:bCs/>
          <w:lang w:val="fr-FR" w:eastAsia="fr-FR"/>
        </w:rPr>
        <w:t>40, série 01 d</w:t>
      </w:r>
      <w:r w:rsidR="007D3902">
        <w:rPr>
          <w:bCs/>
          <w:lang w:val="fr-FR" w:eastAsia="fr-FR"/>
        </w:rPr>
        <w:t>’</w:t>
      </w:r>
      <w:r w:rsidRPr="00C64995">
        <w:rPr>
          <w:bCs/>
          <w:lang w:val="fr-FR" w:eastAsia="fr-FR"/>
        </w:rPr>
        <w:t>amendements (Prescriptions uniformes relatives à l</w:t>
      </w:r>
      <w:r w:rsidR="007D3902">
        <w:rPr>
          <w:bCs/>
          <w:lang w:val="fr-FR" w:eastAsia="fr-FR"/>
        </w:rPr>
        <w:t>’</w:t>
      </w:r>
      <w:r w:rsidRPr="00C64995">
        <w:rPr>
          <w:bCs/>
          <w:lang w:val="fr-FR" w:eastAsia="fr-FR"/>
        </w:rPr>
        <w:t>homologation des motocycles équipés de moteurs à allumage commandé en ce qui concerne les émissions de gaz polluants du moteur)</w:t>
      </w:r>
      <w:r w:rsidR="005B38BE">
        <w:rPr>
          <w:bCs/>
          <w:lang w:val="fr-FR" w:eastAsia="fr-FR"/>
        </w:rPr>
        <w:t> ;</w:t>
      </w:r>
    </w:p>
    <w:p w14:paraId="0C7AD10C" w14:textId="77777777" w:rsidR="00C64995" w:rsidRPr="00C64995" w:rsidRDefault="00C64995" w:rsidP="005B38BE">
      <w:pPr>
        <w:pStyle w:val="SingleTxtG"/>
        <w:keepNext/>
        <w:ind w:left="1701"/>
        <w:rPr>
          <w:bCs/>
          <w:lang w:val="fr-FR" w:eastAsia="fr-FR"/>
        </w:rPr>
      </w:pPr>
      <w:r w:rsidRPr="00C64995">
        <w:rPr>
          <w:bCs/>
          <w:lang w:val="fr-FR" w:eastAsia="fr-FR"/>
        </w:rPr>
        <w:t>b)</w:t>
      </w:r>
      <w:r w:rsidRPr="00C64995">
        <w:rPr>
          <w:bCs/>
          <w:lang w:val="fr-FR" w:eastAsia="fr-FR"/>
        </w:rPr>
        <w:tab/>
        <w:t>Chine :</w:t>
      </w:r>
    </w:p>
    <w:p w14:paraId="5EB27227" w14:textId="77777777" w:rsidR="00C64995" w:rsidRPr="00C64995" w:rsidRDefault="00C64995" w:rsidP="00E860AC">
      <w:pPr>
        <w:pStyle w:val="SingleTxtG"/>
        <w:ind w:left="1701"/>
        <w:rPr>
          <w:bCs/>
          <w:lang w:val="fr-FR" w:eastAsia="fr-FR"/>
        </w:rPr>
      </w:pPr>
      <w:r w:rsidRPr="00C64995">
        <w:rPr>
          <w:bCs/>
          <w:lang w:val="fr-FR" w:eastAsia="fr-FR"/>
        </w:rPr>
        <w:t>i)</w:t>
      </w:r>
      <w:r w:rsidRPr="00C64995">
        <w:rPr>
          <w:bCs/>
          <w:lang w:val="fr-FR" w:eastAsia="fr-FR"/>
        </w:rPr>
        <w:tab/>
        <w:t>GB 14622-2016 « Limites et méthodes de mesure des émissions des motocycles » (CHINE Ⅳ) ;</w:t>
      </w:r>
    </w:p>
    <w:p w14:paraId="7ED2363A" w14:textId="5E8EC11B" w:rsidR="00C64995" w:rsidRPr="00C64995" w:rsidRDefault="00C64995" w:rsidP="00E860AC">
      <w:pPr>
        <w:pStyle w:val="SingleTxtG"/>
        <w:ind w:left="1701"/>
        <w:rPr>
          <w:bCs/>
          <w:lang w:val="fr-FR" w:eastAsia="fr-FR"/>
        </w:rPr>
      </w:pPr>
      <w:r w:rsidRPr="00C64995">
        <w:rPr>
          <w:bCs/>
          <w:lang w:val="fr-FR" w:eastAsia="fr-FR"/>
        </w:rPr>
        <w:t>ii)</w:t>
      </w:r>
      <w:r w:rsidRPr="00C64995">
        <w:rPr>
          <w:bCs/>
          <w:lang w:val="fr-FR" w:eastAsia="fr-FR"/>
        </w:rPr>
        <w:tab/>
        <w:t>GB 18176-2016 « Limites et méthodes de mesure des émissions des cyclomoteurs » (CHINE Ⅳ)</w:t>
      </w:r>
      <w:r w:rsidR="005B38BE">
        <w:rPr>
          <w:bCs/>
          <w:lang w:val="fr-FR" w:eastAsia="fr-FR"/>
        </w:rPr>
        <w:t> ;</w:t>
      </w:r>
    </w:p>
    <w:p w14:paraId="61775D22" w14:textId="77777777" w:rsidR="00C64995" w:rsidRPr="00C64995" w:rsidRDefault="00C64995" w:rsidP="005B38BE">
      <w:pPr>
        <w:pStyle w:val="SingleTxtG"/>
        <w:ind w:left="1701"/>
        <w:rPr>
          <w:bCs/>
          <w:lang w:val="fr-FR" w:eastAsia="fr-FR"/>
        </w:rPr>
      </w:pPr>
      <w:r w:rsidRPr="00C64995">
        <w:rPr>
          <w:bCs/>
          <w:lang w:val="fr-FR" w:eastAsia="fr-FR"/>
        </w:rPr>
        <w:t>c)</w:t>
      </w:r>
      <w:r w:rsidRPr="00C64995">
        <w:rPr>
          <w:bCs/>
          <w:lang w:val="fr-FR" w:eastAsia="fr-FR"/>
        </w:rPr>
        <w:tab/>
        <w:t>Union européenne (UE) :</w:t>
      </w:r>
    </w:p>
    <w:p w14:paraId="3B3CCA2D" w14:textId="7AB4F58F" w:rsidR="00C64995" w:rsidRPr="00C64995" w:rsidRDefault="00C64995" w:rsidP="00E860AC">
      <w:pPr>
        <w:pStyle w:val="SingleTxtG"/>
        <w:ind w:left="1701"/>
        <w:rPr>
          <w:bCs/>
          <w:lang w:val="fr-FR" w:eastAsia="fr-FR"/>
        </w:rPr>
      </w:pPr>
      <w:r w:rsidRPr="00C64995">
        <w:rPr>
          <w:bCs/>
          <w:lang w:val="fr-FR" w:eastAsia="fr-FR"/>
        </w:rPr>
        <w:t>i)</w:t>
      </w:r>
      <w:r w:rsidRPr="00C64995">
        <w:rPr>
          <w:bCs/>
          <w:lang w:val="fr-FR" w:eastAsia="fr-FR"/>
        </w:rPr>
        <w:tab/>
        <w:t xml:space="preserve">Règlement (UE) </w:t>
      </w:r>
      <w:r w:rsidR="005B38BE" w:rsidRPr="00C64995">
        <w:rPr>
          <w:rFonts w:eastAsia="MS Mincho"/>
          <w:szCs w:val="22"/>
          <w:lang w:val="fr-FR" w:eastAsia="fr-FR"/>
        </w:rPr>
        <w:t>n</w:t>
      </w:r>
      <w:r w:rsidR="005B38BE" w:rsidRPr="00C64995">
        <w:rPr>
          <w:rFonts w:eastAsia="MS Mincho"/>
          <w:szCs w:val="22"/>
          <w:vertAlign w:val="superscript"/>
          <w:lang w:val="fr-FR" w:eastAsia="fr-FR"/>
        </w:rPr>
        <w:t>o</w:t>
      </w:r>
      <w:r w:rsidR="005B38BE">
        <w:rPr>
          <w:lang w:val="fr-FR" w:eastAsia="fr-FR"/>
        </w:rPr>
        <w:t> </w:t>
      </w:r>
      <w:r w:rsidRPr="00C64995">
        <w:rPr>
          <w:bCs/>
          <w:lang w:val="fr-FR" w:eastAsia="fr-FR"/>
        </w:rPr>
        <w:t>168/2013 adopté au cours de l</w:t>
      </w:r>
      <w:r w:rsidR="007D3902">
        <w:rPr>
          <w:bCs/>
          <w:lang w:val="fr-FR" w:eastAsia="fr-FR"/>
        </w:rPr>
        <w:t>’</w:t>
      </w:r>
      <w:r w:rsidRPr="00C64995">
        <w:rPr>
          <w:bCs/>
          <w:lang w:val="fr-FR" w:eastAsia="fr-FR"/>
        </w:rPr>
        <w:t>année 2013, modifié par le règlement (UE) 2019/129 et le règlement (UE) 2020/1694, ainsi que le règlement délégué sur les prescriptions d</w:t>
      </w:r>
      <w:r w:rsidR="007D3902">
        <w:rPr>
          <w:bCs/>
          <w:lang w:val="fr-FR" w:eastAsia="fr-FR"/>
        </w:rPr>
        <w:t>’</w:t>
      </w:r>
      <w:r w:rsidRPr="00C64995">
        <w:rPr>
          <w:bCs/>
          <w:lang w:val="fr-FR" w:eastAsia="fr-FR"/>
        </w:rPr>
        <w:t>efficacité du point de vue environnemental et du groupe motopropulseur</w:t>
      </w:r>
      <w:r w:rsidR="005B38BE">
        <w:rPr>
          <w:bCs/>
          <w:lang w:val="fr-FR" w:eastAsia="fr-FR"/>
        </w:rPr>
        <w:t> ;</w:t>
      </w:r>
    </w:p>
    <w:p w14:paraId="7EEA8FC5" w14:textId="4C1ADCBA" w:rsidR="00C64995" w:rsidRDefault="005B38BE" w:rsidP="00E860AC">
      <w:pPr>
        <w:pStyle w:val="SingleTxtG"/>
        <w:ind w:left="1701"/>
        <w:rPr>
          <w:bCs/>
          <w:lang w:val="fr-FR" w:eastAsia="fr-FR"/>
        </w:rPr>
      </w:pPr>
      <w:r>
        <w:rPr>
          <w:bCs/>
          <w:lang w:val="fr-FR" w:eastAsia="fr-FR"/>
        </w:rPr>
        <w:t>ii)</w:t>
      </w:r>
      <w:r>
        <w:rPr>
          <w:bCs/>
          <w:lang w:val="fr-FR" w:eastAsia="fr-FR"/>
        </w:rPr>
        <w:tab/>
      </w:r>
      <w:r w:rsidR="00C64995" w:rsidRPr="00C64995">
        <w:rPr>
          <w:bCs/>
          <w:lang w:val="fr-FR" w:eastAsia="fr-FR"/>
        </w:rPr>
        <w:t xml:space="preserve">Règlement (UE) </w:t>
      </w:r>
      <w:r w:rsidRPr="00C64995">
        <w:rPr>
          <w:rFonts w:eastAsia="MS Mincho"/>
          <w:szCs w:val="22"/>
          <w:lang w:val="fr-FR" w:eastAsia="fr-FR"/>
        </w:rPr>
        <w:t>n</w:t>
      </w:r>
      <w:r w:rsidRPr="00C64995">
        <w:rPr>
          <w:rFonts w:eastAsia="MS Mincho"/>
          <w:szCs w:val="22"/>
          <w:vertAlign w:val="superscript"/>
          <w:lang w:val="fr-FR" w:eastAsia="fr-FR"/>
        </w:rPr>
        <w:t>o</w:t>
      </w:r>
      <w:r>
        <w:rPr>
          <w:lang w:val="fr-FR" w:eastAsia="fr-FR"/>
        </w:rPr>
        <w:t> </w:t>
      </w:r>
      <w:r w:rsidR="00C64995" w:rsidRPr="00C64995">
        <w:rPr>
          <w:bCs/>
          <w:lang w:val="fr-FR" w:eastAsia="fr-FR"/>
        </w:rPr>
        <w:t>134/2014 (REPPR), modifié par le règlement (UE) 2016/1824 et le règlement (UE) 2018/295, établissant des dispositions techniques et des procédures d</w:t>
      </w:r>
      <w:r w:rsidR="007D3902">
        <w:rPr>
          <w:bCs/>
          <w:lang w:val="fr-FR" w:eastAsia="fr-FR"/>
        </w:rPr>
        <w:t>’</w:t>
      </w:r>
      <w:r w:rsidR="00C64995" w:rsidRPr="00C64995">
        <w:rPr>
          <w:bCs/>
          <w:lang w:val="fr-FR" w:eastAsia="fr-FR"/>
        </w:rPr>
        <w:t>essai de performance environnementale</w:t>
      </w:r>
      <w:r>
        <w:rPr>
          <w:bCs/>
          <w:lang w:val="fr-FR" w:eastAsia="fr-FR"/>
        </w:rPr>
        <w:t> ;</w:t>
      </w:r>
    </w:p>
    <w:p w14:paraId="651FA626" w14:textId="77777777" w:rsidR="005B38BE" w:rsidRPr="005B38BE" w:rsidRDefault="005B38BE" w:rsidP="005B38BE">
      <w:pPr>
        <w:pStyle w:val="SingleTxtG"/>
        <w:ind w:left="1701"/>
        <w:rPr>
          <w:bCs/>
          <w:lang w:val="en-US" w:eastAsia="fr-FR"/>
        </w:rPr>
      </w:pPr>
      <w:r w:rsidRPr="005B38BE">
        <w:rPr>
          <w:bCs/>
          <w:lang w:val="en-US" w:eastAsia="fr-FR"/>
        </w:rPr>
        <w:t>d)</w:t>
      </w:r>
      <w:r w:rsidRPr="005B38BE">
        <w:rPr>
          <w:bCs/>
          <w:lang w:val="en-US" w:eastAsia="fr-FR"/>
        </w:rPr>
        <w:tab/>
        <w:t>Inde :</w:t>
      </w:r>
    </w:p>
    <w:p w14:paraId="0A35DC1F" w14:textId="1B633F49" w:rsidR="005B38BE" w:rsidRPr="005B38BE" w:rsidRDefault="005B38BE" w:rsidP="00E860AC">
      <w:pPr>
        <w:pStyle w:val="SingleTxtG"/>
        <w:ind w:left="1701"/>
        <w:rPr>
          <w:bCs/>
          <w:lang w:val="en-US" w:eastAsia="fr-FR"/>
        </w:rPr>
      </w:pPr>
      <w:r w:rsidRPr="005B38BE">
        <w:rPr>
          <w:bCs/>
          <w:lang w:val="en-US" w:eastAsia="fr-FR"/>
        </w:rPr>
        <w:t>i)</w:t>
      </w:r>
      <w:r w:rsidRPr="005B38BE">
        <w:rPr>
          <w:bCs/>
          <w:lang w:val="en-US" w:eastAsia="fr-FR"/>
        </w:rPr>
        <w:tab/>
        <w:t>MoSRT&amp;H/CMVR/TAP-115/116, Central Motor Vehicle Rule No.</w:t>
      </w:r>
      <w:r>
        <w:rPr>
          <w:bCs/>
          <w:lang w:val="en-US" w:eastAsia="fr-FR"/>
        </w:rPr>
        <w:t> </w:t>
      </w:r>
      <w:r w:rsidRPr="005B38BE">
        <w:rPr>
          <w:bCs/>
          <w:lang w:val="en-US" w:eastAsia="fr-FR"/>
        </w:rPr>
        <w:t>115 and AIS 137 Part 1</w:t>
      </w:r>
      <w:r>
        <w:rPr>
          <w:bCs/>
          <w:lang w:val="en-US" w:eastAsia="fr-FR"/>
        </w:rPr>
        <w:t> ;</w:t>
      </w:r>
    </w:p>
    <w:p w14:paraId="4F4A3C58" w14:textId="3F6D13A6" w:rsidR="005B38BE" w:rsidRPr="005B38BE" w:rsidRDefault="005B38BE" w:rsidP="00E860AC">
      <w:pPr>
        <w:pStyle w:val="SingleTxtG"/>
        <w:ind w:left="1701"/>
        <w:rPr>
          <w:bCs/>
          <w:lang w:val="fr-FR" w:eastAsia="fr-FR"/>
        </w:rPr>
      </w:pPr>
      <w:bookmarkStart w:id="1" w:name="_Hlk102743514"/>
      <w:r w:rsidRPr="005B38BE">
        <w:rPr>
          <w:bCs/>
          <w:lang w:val="fr-FR" w:eastAsia="fr-FR"/>
        </w:rPr>
        <w:t>ii)</w:t>
      </w:r>
      <w:r w:rsidRPr="005B38BE">
        <w:rPr>
          <w:bCs/>
          <w:lang w:val="fr-FR" w:eastAsia="fr-FR"/>
        </w:rPr>
        <w:tab/>
        <w:t xml:space="preserve">Notifications du Gouvernement indien dans la </w:t>
      </w:r>
      <w:r w:rsidRPr="00963C74">
        <w:rPr>
          <w:bCs/>
          <w:i/>
          <w:iCs/>
          <w:lang w:val="fr-FR" w:eastAsia="fr-FR"/>
        </w:rPr>
        <w:t>Gazette of India</w:t>
      </w:r>
      <w:r w:rsidR="003F2FF8">
        <w:rPr>
          <w:bCs/>
          <w:lang w:val="fr-FR" w:eastAsia="fr-FR"/>
        </w:rPr>
        <w:t xml:space="preserve"> </w:t>
      </w:r>
      <w:r w:rsidRPr="005B38BE">
        <w:rPr>
          <w:bCs/>
          <w:lang w:val="fr-FR" w:eastAsia="fr-FR"/>
        </w:rPr>
        <w:t xml:space="preserve">: </w:t>
      </w:r>
      <w:bookmarkEnd w:id="1"/>
      <w:r w:rsidRPr="005B38BE">
        <w:rPr>
          <w:bCs/>
          <w:lang w:val="fr-FR" w:eastAsia="fr-FR"/>
        </w:rPr>
        <w:t>GSR 889 (E) dt. 19.09.2016 et GSR 881 (E) 26.11.2019</w:t>
      </w:r>
      <w:r>
        <w:rPr>
          <w:bCs/>
          <w:lang w:val="fr-FR" w:eastAsia="fr-FR"/>
        </w:rPr>
        <w:t> ;</w:t>
      </w:r>
    </w:p>
    <w:p w14:paraId="6DF9E6D0" w14:textId="77777777" w:rsidR="005B38BE" w:rsidRPr="005B38BE" w:rsidRDefault="005B38BE" w:rsidP="005B38BE">
      <w:pPr>
        <w:pStyle w:val="SingleTxtG"/>
        <w:ind w:left="1701"/>
        <w:rPr>
          <w:bCs/>
          <w:lang w:val="fr-FR" w:eastAsia="fr-FR"/>
        </w:rPr>
      </w:pPr>
      <w:r w:rsidRPr="005B38BE">
        <w:rPr>
          <w:bCs/>
          <w:lang w:val="fr-FR" w:eastAsia="fr-FR"/>
        </w:rPr>
        <w:t>e)</w:t>
      </w:r>
      <w:r w:rsidRPr="005B38BE">
        <w:rPr>
          <w:bCs/>
          <w:lang w:val="fr-FR" w:eastAsia="fr-FR"/>
        </w:rPr>
        <w:tab/>
        <w:t>Japon :</w:t>
      </w:r>
    </w:p>
    <w:p w14:paraId="2718BA84" w14:textId="13330CED" w:rsidR="005B38BE" w:rsidRPr="005B38BE" w:rsidRDefault="005B38BE" w:rsidP="00E860AC">
      <w:pPr>
        <w:pStyle w:val="SingleTxtG"/>
        <w:ind w:left="1701"/>
        <w:rPr>
          <w:bCs/>
          <w:lang w:val="fr-FR" w:eastAsia="fr-FR"/>
        </w:rPr>
      </w:pPr>
      <w:r w:rsidRPr="005B38BE">
        <w:rPr>
          <w:bCs/>
          <w:lang w:val="fr-FR" w:eastAsia="fr-FR"/>
        </w:rPr>
        <w:t>i)</w:t>
      </w:r>
      <w:r w:rsidRPr="005B38BE">
        <w:rPr>
          <w:bCs/>
          <w:lang w:val="fr-FR" w:eastAsia="fr-FR"/>
        </w:rPr>
        <w:tab/>
        <w:t>Loi sur les véhicules routiers, article 41 «</w:t>
      </w:r>
      <w:r>
        <w:rPr>
          <w:bCs/>
          <w:lang w:val="fr-FR" w:eastAsia="fr-FR"/>
        </w:rPr>
        <w:t> </w:t>
      </w:r>
      <w:r w:rsidRPr="005B38BE">
        <w:rPr>
          <w:bCs/>
          <w:lang w:val="fr-FR" w:eastAsia="fr-FR"/>
        </w:rPr>
        <w:t>Systèmes et dispositifs équipant les véhicules à moteur</w:t>
      </w:r>
      <w:r>
        <w:rPr>
          <w:bCs/>
          <w:lang w:val="fr-FR" w:eastAsia="fr-FR"/>
        </w:rPr>
        <w:t> </w:t>
      </w:r>
      <w:r w:rsidRPr="005B38BE">
        <w:rPr>
          <w:bCs/>
          <w:lang w:val="fr-FR" w:eastAsia="fr-FR"/>
        </w:rPr>
        <w:t>» ;</w:t>
      </w:r>
    </w:p>
    <w:p w14:paraId="7AB824A7" w14:textId="5AEF3E01" w:rsidR="005B38BE" w:rsidRPr="005B38BE" w:rsidRDefault="005B38BE" w:rsidP="00E860AC">
      <w:pPr>
        <w:pStyle w:val="SingleTxtG"/>
        <w:ind w:left="1701"/>
        <w:rPr>
          <w:bCs/>
          <w:lang w:val="fr-FR" w:eastAsia="fr-FR"/>
        </w:rPr>
      </w:pPr>
      <w:r w:rsidRPr="005B38BE">
        <w:rPr>
          <w:bCs/>
          <w:lang w:val="fr-FR" w:eastAsia="fr-FR"/>
        </w:rPr>
        <w:t>ii)</w:t>
      </w:r>
      <w:r w:rsidRPr="005B38BE">
        <w:rPr>
          <w:bCs/>
          <w:lang w:val="fr-FR" w:eastAsia="fr-FR"/>
        </w:rPr>
        <w:tab/>
        <w:t>Règlement relatif à la sécurité des véhicules routiers, article 31 «</w:t>
      </w:r>
      <w:r>
        <w:rPr>
          <w:bCs/>
          <w:lang w:val="fr-FR" w:eastAsia="fr-FR"/>
        </w:rPr>
        <w:t> </w:t>
      </w:r>
      <w:r w:rsidRPr="005B38BE">
        <w:rPr>
          <w:bCs/>
          <w:lang w:val="fr-FR" w:eastAsia="fr-FR"/>
        </w:rPr>
        <w:t>Dispositifs antipollution » ;</w:t>
      </w:r>
    </w:p>
    <w:p w14:paraId="05631E8C" w14:textId="414D375F" w:rsidR="005B38BE" w:rsidRPr="005B38BE" w:rsidRDefault="005B38BE" w:rsidP="005B38BE">
      <w:pPr>
        <w:pStyle w:val="SingleTxtG"/>
        <w:ind w:left="1701"/>
        <w:rPr>
          <w:bCs/>
          <w:lang w:val="fr-FR" w:eastAsia="fr-FR"/>
        </w:rPr>
      </w:pPr>
      <w:r w:rsidRPr="005B38BE">
        <w:rPr>
          <w:bCs/>
          <w:lang w:val="fr-FR" w:eastAsia="fr-FR"/>
        </w:rPr>
        <w:t>f)</w:t>
      </w:r>
      <w:r w:rsidRPr="005B38BE">
        <w:rPr>
          <w:bCs/>
          <w:lang w:val="fr-FR" w:eastAsia="fr-FR"/>
        </w:rPr>
        <w:tab/>
        <w:t>États-Unis d</w:t>
      </w:r>
      <w:r w:rsidR="007D3902">
        <w:rPr>
          <w:bCs/>
          <w:lang w:val="fr-FR" w:eastAsia="fr-FR"/>
        </w:rPr>
        <w:t>’</w:t>
      </w:r>
      <w:r w:rsidRPr="005B38BE">
        <w:rPr>
          <w:bCs/>
          <w:lang w:val="fr-FR" w:eastAsia="fr-FR"/>
        </w:rPr>
        <w:t>Amérique :</w:t>
      </w:r>
    </w:p>
    <w:p w14:paraId="46978859" w14:textId="5CD7662B" w:rsidR="005B38BE" w:rsidRPr="005B38BE" w:rsidRDefault="005B38BE" w:rsidP="00E860AC">
      <w:pPr>
        <w:pStyle w:val="SingleTxtG"/>
        <w:ind w:left="1701"/>
        <w:rPr>
          <w:lang w:val="fr-FR" w:eastAsia="fr-FR"/>
        </w:rPr>
      </w:pPr>
      <w:r w:rsidRPr="005B38BE">
        <w:rPr>
          <w:lang w:val="fr-FR" w:eastAsia="fr-FR"/>
        </w:rPr>
        <w:tab/>
        <w:t xml:space="preserve">Recueil des règlements fédéraux, </w:t>
      </w:r>
      <w:r>
        <w:rPr>
          <w:lang w:val="fr-FR" w:eastAsia="fr-FR"/>
        </w:rPr>
        <w:t>t</w:t>
      </w:r>
      <w:r w:rsidRPr="005B38BE">
        <w:rPr>
          <w:lang w:val="fr-FR" w:eastAsia="fr-FR"/>
        </w:rPr>
        <w:t>itre 40, partie 86, sous-parties E et</w:t>
      </w:r>
      <w:r>
        <w:rPr>
          <w:lang w:val="fr-FR" w:eastAsia="fr-FR"/>
        </w:rPr>
        <w:t> </w:t>
      </w:r>
      <w:r w:rsidRPr="005B38BE">
        <w:rPr>
          <w:lang w:val="fr-FR" w:eastAsia="fr-FR"/>
        </w:rPr>
        <w:t>F</w:t>
      </w:r>
      <w:r>
        <w:rPr>
          <w:lang w:val="fr-FR" w:eastAsia="fr-FR"/>
        </w:rPr>
        <w:t> </w:t>
      </w:r>
      <w:r w:rsidRPr="005B38BE">
        <w:rPr>
          <w:lang w:val="fr-FR" w:eastAsia="fr-FR"/>
        </w:rPr>
        <w:t>;</w:t>
      </w:r>
    </w:p>
    <w:p w14:paraId="3E568D9B" w14:textId="4ABB0C7F" w:rsidR="005B38BE" w:rsidRPr="005B38BE" w:rsidRDefault="005B38BE" w:rsidP="005B38BE">
      <w:pPr>
        <w:pStyle w:val="SingleTxtG"/>
        <w:ind w:left="1701"/>
        <w:rPr>
          <w:bCs/>
          <w:lang w:val="fr-FR" w:eastAsia="fr-FR"/>
        </w:rPr>
      </w:pPr>
      <w:r w:rsidRPr="005B38BE">
        <w:rPr>
          <w:bCs/>
          <w:lang w:val="fr-FR" w:eastAsia="fr-FR"/>
        </w:rPr>
        <w:tab/>
        <w:t>g)</w:t>
      </w:r>
      <w:r w:rsidRPr="005B38BE">
        <w:rPr>
          <w:bCs/>
          <w:lang w:val="fr-FR" w:eastAsia="fr-FR"/>
        </w:rPr>
        <w:tab/>
        <w:t>Normes de l</w:t>
      </w:r>
      <w:r w:rsidR="007D3902">
        <w:rPr>
          <w:bCs/>
          <w:lang w:val="fr-FR" w:eastAsia="fr-FR"/>
        </w:rPr>
        <w:t>’</w:t>
      </w:r>
      <w:r w:rsidRPr="005B38BE">
        <w:rPr>
          <w:bCs/>
          <w:lang w:val="fr-FR" w:eastAsia="fr-FR"/>
        </w:rPr>
        <w:t>Organisation internationale de normalisation (ISO) :</w:t>
      </w:r>
    </w:p>
    <w:p w14:paraId="198353E5" w14:textId="67CBE9AD" w:rsidR="005B38BE" w:rsidRPr="005B38BE" w:rsidRDefault="005B38BE" w:rsidP="00E860AC">
      <w:pPr>
        <w:pStyle w:val="SingleTxtG"/>
        <w:ind w:left="1701"/>
        <w:rPr>
          <w:bCs/>
          <w:lang w:val="fr-FR" w:eastAsia="fr-FR"/>
        </w:rPr>
      </w:pPr>
      <w:r w:rsidRPr="005B38BE">
        <w:rPr>
          <w:bCs/>
          <w:lang w:val="fr-FR" w:eastAsia="fr-FR"/>
        </w:rPr>
        <w:t>i)</w:t>
      </w:r>
      <w:r w:rsidRPr="005B38BE">
        <w:rPr>
          <w:bCs/>
          <w:lang w:val="fr-FR" w:eastAsia="fr-FR"/>
        </w:rPr>
        <w:tab/>
        <w:t>ISO 11486 (Motocycles − Méthodes pour fixer la résistance à l</w:t>
      </w:r>
      <w:r w:rsidR="007D3902">
        <w:rPr>
          <w:bCs/>
          <w:lang w:val="fr-FR" w:eastAsia="fr-FR"/>
        </w:rPr>
        <w:t>’</w:t>
      </w:r>
      <w:r w:rsidRPr="005B38BE">
        <w:rPr>
          <w:bCs/>
          <w:lang w:val="fr-FR" w:eastAsia="fr-FR"/>
        </w:rPr>
        <w:t>avancement sur un banc dynamométrique) ;</w:t>
      </w:r>
    </w:p>
    <w:p w14:paraId="5E3630D6" w14:textId="1B302B91" w:rsidR="005B38BE" w:rsidRPr="005B38BE" w:rsidRDefault="005B38BE" w:rsidP="00E860AC">
      <w:pPr>
        <w:pStyle w:val="SingleTxtG"/>
        <w:ind w:left="1701"/>
        <w:rPr>
          <w:bCs/>
          <w:lang w:val="fr-FR" w:eastAsia="fr-FR"/>
        </w:rPr>
      </w:pPr>
      <w:r w:rsidRPr="005B38BE">
        <w:rPr>
          <w:bCs/>
          <w:lang w:val="fr-FR" w:eastAsia="fr-FR"/>
        </w:rPr>
        <w:t>ii)</w:t>
      </w:r>
      <w:r w:rsidRPr="005B38BE">
        <w:rPr>
          <w:bCs/>
          <w:lang w:val="fr-FR" w:eastAsia="fr-FR"/>
        </w:rPr>
        <w:tab/>
        <w:t>ISO 6460 (Motocycles − Méthode de mesure des émissions de gaz d</w:t>
      </w:r>
      <w:r w:rsidR="007D3902">
        <w:rPr>
          <w:bCs/>
          <w:lang w:val="fr-FR" w:eastAsia="fr-FR"/>
        </w:rPr>
        <w:t>’</w:t>
      </w:r>
      <w:r w:rsidRPr="005B38BE">
        <w:rPr>
          <w:bCs/>
          <w:lang w:val="fr-FR" w:eastAsia="fr-FR"/>
        </w:rPr>
        <w:t>échappement et de la consommation de carburant) ;</w:t>
      </w:r>
    </w:p>
    <w:p w14:paraId="5FFC67DE" w14:textId="15110DF3" w:rsidR="005B38BE" w:rsidRPr="005B38BE" w:rsidRDefault="005B38BE" w:rsidP="00E860AC">
      <w:pPr>
        <w:pStyle w:val="SingleTxtG"/>
        <w:ind w:left="1701"/>
        <w:rPr>
          <w:bCs/>
          <w:lang w:val="fr-FR" w:eastAsia="fr-FR"/>
        </w:rPr>
      </w:pPr>
      <w:r w:rsidRPr="005B38BE">
        <w:rPr>
          <w:bCs/>
          <w:lang w:val="fr-FR" w:eastAsia="fr-FR"/>
        </w:rPr>
        <w:t>iii)</w:t>
      </w:r>
      <w:r w:rsidRPr="005B38BE">
        <w:rPr>
          <w:bCs/>
          <w:lang w:val="fr-FR" w:eastAsia="fr-FR"/>
        </w:rPr>
        <w:tab/>
        <w:t>ISO 4106 (Motocycles − Code d</w:t>
      </w:r>
      <w:r w:rsidR="007D3902">
        <w:rPr>
          <w:bCs/>
          <w:lang w:val="fr-FR" w:eastAsia="fr-FR"/>
        </w:rPr>
        <w:t>’</w:t>
      </w:r>
      <w:r w:rsidRPr="005B38BE">
        <w:rPr>
          <w:bCs/>
          <w:lang w:val="fr-FR" w:eastAsia="fr-FR"/>
        </w:rPr>
        <w:t>essai des moteurs − Puissance nette).</w:t>
      </w:r>
    </w:p>
    <w:p w14:paraId="71299F97" w14:textId="6F8F0E9B" w:rsidR="005B38BE" w:rsidRPr="005B38BE" w:rsidRDefault="005B38BE" w:rsidP="005B38BE">
      <w:pPr>
        <w:pStyle w:val="SingleTxtG"/>
        <w:rPr>
          <w:lang w:val="fr-FR" w:eastAsia="fr-FR"/>
        </w:rPr>
      </w:pPr>
      <w:r w:rsidRPr="005B38BE">
        <w:rPr>
          <w:lang w:val="fr-FR" w:eastAsia="fr-FR"/>
        </w:rPr>
        <w:t>23.</w:t>
      </w:r>
      <w:r w:rsidRPr="005B38BE">
        <w:rPr>
          <w:lang w:val="fr-FR" w:eastAsia="fr-FR"/>
        </w:rPr>
        <w:tab/>
        <w:t>La plupart de ces règlements existaient depuis de nombreuses années et les méthodes de mesure variaient sensiblement d</w:t>
      </w:r>
      <w:r w:rsidR="007D3902">
        <w:rPr>
          <w:lang w:val="fr-FR" w:eastAsia="fr-FR"/>
        </w:rPr>
        <w:t>’</w:t>
      </w:r>
      <w:r w:rsidRPr="005B38BE">
        <w:rPr>
          <w:lang w:val="fr-FR" w:eastAsia="fr-FR"/>
        </w:rPr>
        <w:t>un règlement à un autre. Les experts connaissaient bien les prescriptions qu</w:t>
      </w:r>
      <w:r w:rsidR="007D3902">
        <w:rPr>
          <w:lang w:val="fr-FR" w:eastAsia="fr-FR"/>
        </w:rPr>
        <w:t>’</w:t>
      </w:r>
      <w:r w:rsidRPr="005B38BE">
        <w:rPr>
          <w:lang w:val="fr-FR" w:eastAsia="fr-FR"/>
        </w:rPr>
        <w:t>ils contenaient et en parlaient durant leurs séances de travail. Le groupe de travail informel EPPR est ainsi arrivé à la conclusion que, pour pouvoir déterminer l</w:t>
      </w:r>
      <w:r w:rsidR="007D3902">
        <w:rPr>
          <w:lang w:val="fr-FR" w:eastAsia="fr-FR"/>
        </w:rPr>
        <w:t>’</w:t>
      </w:r>
      <w:r w:rsidRPr="005B38BE">
        <w:rPr>
          <w:lang w:val="fr-FR" w:eastAsia="fr-FR"/>
        </w:rPr>
        <w:t>impact effectif d</w:t>
      </w:r>
      <w:r w:rsidR="007D3902">
        <w:rPr>
          <w:lang w:val="fr-FR" w:eastAsia="fr-FR"/>
        </w:rPr>
        <w:t>’</w:t>
      </w:r>
      <w:r w:rsidRPr="005B38BE">
        <w:rPr>
          <w:lang w:val="fr-FR" w:eastAsia="fr-FR"/>
        </w:rPr>
        <w:t>un deux-roues sur l</w:t>
      </w:r>
      <w:r w:rsidR="007D3902">
        <w:rPr>
          <w:lang w:val="fr-FR" w:eastAsia="fr-FR"/>
        </w:rPr>
        <w:t>’</w:t>
      </w:r>
      <w:r w:rsidRPr="005B38BE">
        <w:rPr>
          <w:lang w:val="fr-FR" w:eastAsia="fr-FR"/>
        </w:rPr>
        <w:t>environnement, s</w:t>
      </w:r>
      <w:r w:rsidR="007D3902">
        <w:rPr>
          <w:lang w:val="fr-FR" w:eastAsia="fr-FR"/>
        </w:rPr>
        <w:t>’</w:t>
      </w:r>
      <w:r w:rsidRPr="005B38BE">
        <w:rPr>
          <w:lang w:val="fr-FR" w:eastAsia="fr-FR"/>
        </w:rPr>
        <w:t>agissant de ses émissions de gaz polluants et de sa consommation de carburant, il fallait que la procédure d</w:t>
      </w:r>
      <w:r w:rsidR="007D3902">
        <w:rPr>
          <w:lang w:val="fr-FR" w:eastAsia="fr-FR"/>
        </w:rPr>
        <w:t>’</w:t>
      </w:r>
      <w:r w:rsidRPr="005B38BE">
        <w:rPr>
          <w:lang w:val="fr-FR" w:eastAsia="fr-FR"/>
        </w:rPr>
        <w:t xml:space="preserve">essai et, partant, le RTM ONU </w:t>
      </w:r>
      <w:r w:rsidRPr="005B38BE">
        <w:rPr>
          <w:rFonts w:eastAsia="MS Mincho"/>
          <w:szCs w:val="22"/>
          <w:lang w:val="fr-FR" w:eastAsia="fr-FR"/>
        </w:rPr>
        <w:t>n</w:t>
      </w:r>
      <w:r w:rsidRPr="005B38BE">
        <w:rPr>
          <w:rFonts w:eastAsia="MS Mincho"/>
          <w:szCs w:val="22"/>
          <w:vertAlign w:val="superscript"/>
          <w:lang w:val="fr-FR" w:eastAsia="fr-FR"/>
        </w:rPr>
        <w:t>o</w:t>
      </w:r>
      <w:r>
        <w:rPr>
          <w:lang w:val="fr-FR" w:eastAsia="fr-FR"/>
        </w:rPr>
        <w:t> </w:t>
      </w:r>
      <w:r w:rsidRPr="005B38BE">
        <w:rPr>
          <w:lang w:val="fr-FR" w:eastAsia="fr-FR"/>
        </w:rPr>
        <w:t>2 rendent compte de l</w:t>
      </w:r>
      <w:r w:rsidR="007D3902">
        <w:rPr>
          <w:lang w:val="fr-FR" w:eastAsia="fr-FR"/>
        </w:rPr>
        <w:t>’</w:t>
      </w:r>
      <w:r w:rsidRPr="005B38BE">
        <w:rPr>
          <w:lang w:val="fr-FR" w:eastAsia="fr-FR"/>
        </w:rPr>
        <w:t>utilisation du véhicule en situation réelle.</w:t>
      </w:r>
    </w:p>
    <w:p w14:paraId="64DC4BEE" w14:textId="7A4094CA" w:rsidR="005B38BE" w:rsidRPr="005B38BE" w:rsidRDefault="005B38BE" w:rsidP="005B38BE">
      <w:pPr>
        <w:pStyle w:val="HChG"/>
        <w:rPr>
          <w:lang w:val="fr-FR" w:eastAsia="fr-FR"/>
        </w:rPr>
      </w:pPr>
      <w:r w:rsidRPr="005B38BE">
        <w:rPr>
          <w:lang w:val="fr-FR" w:eastAsia="fr-FR"/>
        </w:rPr>
        <w:tab/>
        <w:t>IV.</w:t>
      </w:r>
      <w:r w:rsidRPr="005B38BE">
        <w:rPr>
          <w:lang w:val="fr-FR" w:eastAsia="fr-FR"/>
        </w:rPr>
        <w:tab/>
        <w:t>Élaboration de l</w:t>
      </w:r>
      <w:r w:rsidR="007D3902">
        <w:rPr>
          <w:lang w:val="fr-FR" w:eastAsia="fr-FR"/>
        </w:rPr>
        <w:t>’</w:t>
      </w:r>
      <w:r w:rsidRPr="005B38BE">
        <w:rPr>
          <w:lang w:val="fr-FR" w:eastAsia="fr-FR"/>
        </w:rPr>
        <w:t>amendement 5</w:t>
      </w:r>
    </w:p>
    <w:p w14:paraId="7259CED6" w14:textId="569A021F" w:rsidR="005B38BE" w:rsidRPr="005B38BE" w:rsidRDefault="005B38BE" w:rsidP="005B38BE">
      <w:pPr>
        <w:pStyle w:val="SingleTxtG"/>
        <w:rPr>
          <w:lang w:val="fr-FR" w:eastAsia="fr-FR"/>
        </w:rPr>
      </w:pPr>
      <w:r w:rsidRPr="005B38BE">
        <w:rPr>
          <w:lang w:val="fr-FR" w:eastAsia="fr-FR"/>
        </w:rPr>
        <w:t>24.</w:t>
      </w:r>
      <w:r w:rsidRPr="005B38BE">
        <w:rPr>
          <w:lang w:val="fr-FR" w:eastAsia="fr-FR"/>
        </w:rPr>
        <w:tab/>
        <w:t>Conformément à l</w:t>
      </w:r>
      <w:r w:rsidR="007D3902">
        <w:rPr>
          <w:lang w:val="fr-FR" w:eastAsia="fr-FR"/>
        </w:rPr>
        <w:t>’</w:t>
      </w:r>
      <w:r w:rsidRPr="005B38BE">
        <w:rPr>
          <w:lang w:val="fr-FR" w:eastAsia="fr-FR"/>
        </w:rPr>
        <w:t>autorisation susmentionnée (ECE/TRANS/WP.29/AC.3/36/Rev.1) et à son mandat tel qu</w:t>
      </w:r>
      <w:r w:rsidR="007D3902">
        <w:rPr>
          <w:lang w:val="fr-FR" w:eastAsia="fr-FR"/>
        </w:rPr>
        <w:t>’</w:t>
      </w:r>
      <w:r w:rsidRPr="005B38BE">
        <w:rPr>
          <w:lang w:val="fr-FR" w:eastAsia="fr-FR"/>
        </w:rPr>
        <w:t>approuvé (GRPE-81-23r1e.pdf), le groupe de travail informel EPPR a procédé, dans le cadre de l</w:t>
      </w:r>
      <w:r w:rsidR="007D3902">
        <w:rPr>
          <w:lang w:val="fr-FR" w:eastAsia="fr-FR"/>
        </w:rPr>
        <w:t>’</w:t>
      </w:r>
      <w:r w:rsidRPr="005B38BE">
        <w:rPr>
          <w:lang w:val="fr-FR" w:eastAsia="fr-FR"/>
        </w:rPr>
        <w:t xml:space="preserve">amendement 5, à une révision complète du RTM ONU </w:t>
      </w:r>
      <w:r w:rsidRPr="005B38BE">
        <w:rPr>
          <w:rFonts w:eastAsia="MS Mincho"/>
          <w:szCs w:val="22"/>
          <w:lang w:val="fr-FR" w:eastAsia="fr-FR"/>
        </w:rPr>
        <w:t>n</w:t>
      </w:r>
      <w:r w:rsidRPr="005B38BE">
        <w:rPr>
          <w:rFonts w:eastAsia="MS Mincho"/>
          <w:szCs w:val="22"/>
          <w:vertAlign w:val="superscript"/>
          <w:lang w:val="fr-FR" w:eastAsia="fr-FR"/>
        </w:rPr>
        <w:t>o</w:t>
      </w:r>
      <w:r>
        <w:rPr>
          <w:lang w:val="fr-FR" w:eastAsia="fr-FR"/>
        </w:rPr>
        <w:t> </w:t>
      </w:r>
      <w:r w:rsidRPr="005B38BE">
        <w:rPr>
          <w:lang w:val="fr-FR" w:eastAsia="fr-FR"/>
        </w:rPr>
        <w:t>2, afin</w:t>
      </w:r>
      <w:r>
        <w:rPr>
          <w:lang w:val="fr-FR" w:eastAsia="fr-FR"/>
        </w:rPr>
        <w:t> </w:t>
      </w:r>
      <w:r w:rsidRPr="005B38BE">
        <w:rPr>
          <w:lang w:val="fr-FR" w:eastAsia="fr-FR"/>
        </w:rPr>
        <w:t>:</w:t>
      </w:r>
    </w:p>
    <w:p w14:paraId="7A60DEBA" w14:textId="3BF8B19B" w:rsidR="005B38BE" w:rsidRPr="005B38BE" w:rsidRDefault="005B38BE" w:rsidP="00E860AC">
      <w:pPr>
        <w:pStyle w:val="SingleTxtG"/>
        <w:ind w:left="1701"/>
        <w:rPr>
          <w:lang w:val="fr-FR" w:eastAsia="fr-FR"/>
        </w:rPr>
      </w:pPr>
      <w:r w:rsidRPr="005B38BE">
        <w:rPr>
          <w:lang w:val="fr-FR" w:eastAsia="fr-FR"/>
        </w:rPr>
        <w:t>a)</w:t>
      </w:r>
      <w:r w:rsidRPr="005B38BE">
        <w:rPr>
          <w:lang w:val="fr-FR" w:eastAsia="fr-FR"/>
        </w:rPr>
        <w:tab/>
        <w:t>D</w:t>
      </w:r>
      <w:r w:rsidR="007D3902">
        <w:rPr>
          <w:lang w:val="fr-FR" w:eastAsia="fr-FR"/>
        </w:rPr>
        <w:t>’</w:t>
      </w:r>
      <w:r w:rsidRPr="005B38BE">
        <w:rPr>
          <w:lang w:val="fr-FR" w:eastAsia="fr-FR"/>
        </w:rPr>
        <w:t>en corriger les erreurs typographiques et de mise en forme ;</w:t>
      </w:r>
    </w:p>
    <w:p w14:paraId="714D707E" w14:textId="0255ED10" w:rsidR="005B38BE" w:rsidRPr="005B38BE" w:rsidRDefault="005B38BE" w:rsidP="00E860AC">
      <w:pPr>
        <w:pStyle w:val="SingleTxtG"/>
        <w:ind w:firstLine="567"/>
        <w:rPr>
          <w:lang w:val="fr-FR" w:eastAsia="fr-FR"/>
        </w:rPr>
      </w:pPr>
      <w:r w:rsidRPr="005B38BE">
        <w:rPr>
          <w:lang w:val="fr-FR" w:eastAsia="fr-FR"/>
        </w:rPr>
        <w:t>b)</w:t>
      </w:r>
      <w:r w:rsidRPr="005B38BE">
        <w:rPr>
          <w:lang w:val="fr-FR" w:eastAsia="fr-FR"/>
        </w:rPr>
        <w:tab/>
        <w:t>D</w:t>
      </w:r>
      <w:r w:rsidR="007D3902">
        <w:rPr>
          <w:lang w:val="fr-FR" w:eastAsia="fr-FR"/>
        </w:rPr>
        <w:t>’</w:t>
      </w:r>
      <w:r w:rsidRPr="005B38BE">
        <w:rPr>
          <w:lang w:val="fr-FR" w:eastAsia="fr-FR"/>
        </w:rPr>
        <w:t>y apporter des modifications sur la base des travaux du groupe de travail informel de la procédure d</w:t>
      </w:r>
      <w:r w:rsidR="007D3902">
        <w:rPr>
          <w:lang w:val="fr-FR" w:eastAsia="fr-FR"/>
        </w:rPr>
        <w:t>’</w:t>
      </w:r>
      <w:r w:rsidRPr="005B38BE">
        <w:rPr>
          <w:lang w:val="fr-FR" w:eastAsia="fr-FR"/>
        </w:rPr>
        <w:t xml:space="preserve">essai mondiale harmonisée pour les voitures </w:t>
      </w:r>
      <w:r w:rsidRPr="005B38BE">
        <w:rPr>
          <w:bCs/>
          <w:lang w:val="fr-FR" w:eastAsia="fr-FR"/>
        </w:rPr>
        <w:t>particulières</w:t>
      </w:r>
      <w:r w:rsidRPr="005B38BE">
        <w:rPr>
          <w:lang w:val="fr-FR" w:eastAsia="fr-FR"/>
        </w:rPr>
        <w:t xml:space="preserve"> et véhicules utilitaires légers (WLTP), si cela était jugé opportun, afin de veiller à l</w:t>
      </w:r>
      <w:r w:rsidR="007D3902">
        <w:rPr>
          <w:lang w:val="fr-FR" w:eastAsia="fr-FR"/>
        </w:rPr>
        <w:t>’</w:t>
      </w:r>
      <w:r w:rsidRPr="005B38BE">
        <w:rPr>
          <w:lang w:val="fr-FR" w:eastAsia="fr-FR"/>
        </w:rPr>
        <w:t>harmonisation des activités et d</w:t>
      </w:r>
      <w:r w:rsidR="007D3902">
        <w:rPr>
          <w:lang w:val="fr-FR" w:eastAsia="fr-FR"/>
        </w:rPr>
        <w:t>’</w:t>
      </w:r>
      <w:r w:rsidRPr="005B38BE">
        <w:rPr>
          <w:lang w:val="fr-FR" w:eastAsia="fr-FR"/>
        </w:rPr>
        <w:t>éviter tout chevauchement</w:t>
      </w:r>
      <w:r>
        <w:rPr>
          <w:lang w:val="fr-FR" w:eastAsia="fr-FR"/>
        </w:rPr>
        <w:t> ;</w:t>
      </w:r>
    </w:p>
    <w:p w14:paraId="42E17368" w14:textId="444A231C" w:rsidR="005B38BE" w:rsidRPr="005B38BE" w:rsidRDefault="005B38BE" w:rsidP="005B38BE">
      <w:pPr>
        <w:pStyle w:val="SingleTxtG"/>
        <w:ind w:firstLine="567"/>
        <w:rPr>
          <w:lang w:val="fr-FR" w:eastAsia="fr-FR"/>
        </w:rPr>
      </w:pPr>
      <w:r w:rsidRPr="005B38BE">
        <w:rPr>
          <w:lang w:val="fr-FR" w:eastAsia="fr-FR"/>
        </w:rPr>
        <w:t>c)</w:t>
      </w:r>
      <w:r w:rsidRPr="005B38BE">
        <w:rPr>
          <w:lang w:val="fr-FR" w:eastAsia="fr-FR"/>
        </w:rPr>
        <w:tab/>
        <w:t>De le mettre à jour en tenant compte des progrès techniques, s</w:t>
      </w:r>
      <w:r w:rsidR="007D3902">
        <w:rPr>
          <w:lang w:val="fr-FR" w:eastAsia="fr-FR"/>
        </w:rPr>
        <w:t>’</w:t>
      </w:r>
      <w:r w:rsidRPr="005B38BE">
        <w:rPr>
          <w:lang w:val="fr-FR" w:eastAsia="fr-FR"/>
        </w:rPr>
        <w:t>il y avait lieu ;</w:t>
      </w:r>
    </w:p>
    <w:p w14:paraId="5E152A55" w14:textId="535BA3B0" w:rsidR="005B38BE" w:rsidRPr="005B38BE" w:rsidRDefault="005B38BE" w:rsidP="00E860AC">
      <w:pPr>
        <w:pStyle w:val="SingleTxtG"/>
        <w:ind w:firstLine="567"/>
        <w:rPr>
          <w:lang w:val="fr-FR" w:eastAsia="fr-FR"/>
        </w:rPr>
      </w:pPr>
      <w:r w:rsidRPr="005B38BE">
        <w:rPr>
          <w:lang w:val="fr-FR" w:eastAsia="fr-FR"/>
        </w:rPr>
        <w:t>d)</w:t>
      </w:r>
      <w:r w:rsidRPr="005B38BE">
        <w:rPr>
          <w:lang w:val="fr-FR" w:eastAsia="fr-FR"/>
        </w:rPr>
        <w:tab/>
        <w:t>D</w:t>
      </w:r>
      <w:r w:rsidR="007D3902">
        <w:rPr>
          <w:lang w:val="fr-FR" w:eastAsia="fr-FR"/>
        </w:rPr>
        <w:t>’</w:t>
      </w:r>
      <w:r w:rsidRPr="005B38BE">
        <w:rPr>
          <w:lang w:val="fr-FR" w:eastAsia="fr-FR"/>
        </w:rPr>
        <w:t>étendre son champ d</w:t>
      </w:r>
      <w:r w:rsidR="007D3902">
        <w:rPr>
          <w:lang w:val="fr-FR" w:eastAsia="fr-FR"/>
        </w:rPr>
        <w:t>’</w:t>
      </w:r>
      <w:r w:rsidRPr="005B38BE">
        <w:rPr>
          <w:lang w:val="fr-FR" w:eastAsia="fr-FR"/>
        </w:rPr>
        <w:t>application aux véhicules à trois roues, à l</w:t>
      </w:r>
      <w:r w:rsidR="007D3902">
        <w:rPr>
          <w:lang w:val="fr-FR" w:eastAsia="fr-FR"/>
        </w:rPr>
        <w:t>’</w:t>
      </w:r>
      <w:r w:rsidRPr="005B38BE">
        <w:rPr>
          <w:lang w:val="fr-FR" w:eastAsia="fr-FR"/>
        </w:rPr>
        <w:t>exception des véhicules de faible puissance</w:t>
      </w:r>
      <w:r w:rsidRPr="005B38BE">
        <w:rPr>
          <w:i/>
          <w:iCs/>
          <w:lang w:val="fr-FR" w:eastAsia="fr-FR"/>
        </w:rPr>
        <w:t xml:space="preserve"> </w:t>
      </w:r>
      <w:r w:rsidRPr="005B38BE">
        <w:rPr>
          <w:lang w:val="fr-FR" w:eastAsia="fr-FR"/>
        </w:rPr>
        <w:t>utilisés en Inde ;</w:t>
      </w:r>
    </w:p>
    <w:p w14:paraId="6D05D8A4" w14:textId="05520FA1" w:rsidR="005B38BE" w:rsidRPr="005B38BE" w:rsidRDefault="005B38BE" w:rsidP="00E860AC">
      <w:pPr>
        <w:pStyle w:val="SingleTxtG"/>
        <w:ind w:firstLine="567"/>
        <w:rPr>
          <w:lang w:val="fr-FR" w:eastAsia="fr-FR"/>
        </w:rPr>
      </w:pPr>
      <w:r w:rsidRPr="005B38BE">
        <w:rPr>
          <w:lang w:val="fr-FR" w:eastAsia="fr-FR"/>
        </w:rPr>
        <w:t>e)</w:t>
      </w:r>
      <w:r w:rsidRPr="005B38BE">
        <w:rPr>
          <w:lang w:val="fr-FR" w:eastAsia="fr-FR"/>
        </w:rPr>
        <w:tab/>
        <w:t>D</w:t>
      </w:r>
      <w:r w:rsidR="007D3902">
        <w:rPr>
          <w:lang w:val="fr-FR" w:eastAsia="fr-FR"/>
        </w:rPr>
        <w:t>’</w:t>
      </w:r>
      <w:r w:rsidRPr="005B38BE">
        <w:rPr>
          <w:lang w:val="fr-FR" w:eastAsia="fr-FR"/>
        </w:rPr>
        <w:t>y ajouter la définition des véhicules à roues jumelées à des fins de clarification ;</w:t>
      </w:r>
    </w:p>
    <w:p w14:paraId="1454FCA6" w14:textId="5E4B4225" w:rsidR="005B38BE" w:rsidRPr="005B38BE" w:rsidRDefault="005B38BE" w:rsidP="00E860AC">
      <w:pPr>
        <w:pStyle w:val="SingleTxtG"/>
        <w:ind w:firstLine="567"/>
        <w:rPr>
          <w:lang w:val="fr-FR" w:eastAsia="fr-FR"/>
        </w:rPr>
      </w:pPr>
      <w:r w:rsidRPr="005B38BE">
        <w:rPr>
          <w:lang w:val="fr-FR" w:eastAsia="fr-FR"/>
        </w:rPr>
        <w:t>f)</w:t>
      </w:r>
      <w:r w:rsidRPr="005B38BE">
        <w:rPr>
          <w:lang w:val="fr-FR" w:eastAsia="fr-FR"/>
        </w:rPr>
        <w:tab/>
        <w:t>D</w:t>
      </w:r>
      <w:r w:rsidR="007D3902">
        <w:rPr>
          <w:lang w:val="fr-FR" w:eastAsia="fr-FR"/>
        </w:rPr>
        <w:t>’</w:t>
      </w:r>
      <w:r w:rsidRPr="005B38BE">
        <w:rPr>
          <w:lang w:val="fr-FR" w:eastAsia="fr-FR"/>
        </w:rPr>
        <w:t>étendre son champ d</w:t>
      </w:r>
      <w:r w:rsidR="007D3902">
        <w:rPr>
          <w:lang w:val="fr-FR" w:eastAsia="fr-FR"/>
        </w:rPr>
        <w:t>’</w:t>
      </w:r>
      <w:r w:rsidRPr="005B38BE">
        <w:rPr>
          <w:lang w:val="fr-FR" w:eastAsia="fr-FR"/>
        </w:rPr>
        <w:t>application aux carburants de remplacement (notamment le gaz naturel comprimé (GNC) et le gaz de pétrole liquéfié (GPL)).</w:t>
      </w:r>
    </w:p>
    <w:p w14:paraId="1B6D2388" w14:textId="77C7534D" w:rsidR="005B38BE" w:rsidRPr="005B38BE" w:rsidRDefault="005B38BE" w:rsidP="005B38BE">
      <w:pPr>
        <w:pStyle w:val="SingleTxtG"/>
        <w:rPr>
          <w:lang w:val="fr-FR" w:eastAsia="fr-FR"/>
        </w:rPr>
      </w:pPr>
      <w:r w:rsidRPr="005B38BE">
        <w:rPr>
          <w:lang w:val="fr-FR" w:eastAsia="fr-FR"/>
        </w:rPr>
        <w:t>25.</w:t>
      </w:r>
      <w:r w:rsidRPr="005B38BE">
        <w:rPr>
          <w:lang w:val="fr-FR" w:eastAsia="fr-FR"/>
        </w:rPr>
        <w:tab/>
        <w:t xml:space="preserve">Si la cohérence du texte du RTM ONU </w:t>
      </w:r>
      <w:r w:rsidRPr="005B38BE">
        <w:rPr>
          <w:rFonts w:eastAsia="MS Mincho"/>
          <w:szCs w:val="22"/>
          <w:lang w:val="fr-FR" w:eastAsia="fr-FR"/>
        </w:rPr>
        <w:t>n</w:t>
      </w:r>
      <w:r w:rsidRPr="005B38BE">
        <w:rPr>
          <w:rFonts w:eastAsia="MS Mincho"/>
          <w:szCs w:val="22"/>
          <w:vertAlign w:val="superscript"/>
          <w:lang w:val="fr-FR" w:eastAsia="fr-FR"/>
        </w:rPr>
        <w:t>o</w:t>
      </w:r>
      <w:r>
        <w:rPr>
          <w:lang w:val="fr-FR" w:eastAsia="fr-FR"/>
        </w:rPr>
        <w:t> </w:t>
      </w:r>
      <w:r w:rsidRPr="005B38BE">
        <w:rPr>
          <w:lang w:val="fr-FR" w:eastAsia="fr-FR"/>
        </w:rPr>
        <w:t>2 avec l</w:t>
      </w:r>
      <w:r w:rsidR="007D3902">
        <w:rPr>
          <w:lang w:val="fr-FR" w:eastAsia="fr-FR"/>
        </w:rPr>
        <w:t>’</w:t>
      </w:r>
      <w:r w:rsidRPr="005B38BE">
        <w:rPr>
          <w:lang w:val="fr-FR" w:eastAsia="fr-FR"/>
        </w:rPr>
        <w:t>Euro 5 a pour l</w:t>
      </w:r>
      <w:r w:rsidR="007D3902">
        <w:rPr>
          <w:lang w:val="fr-FR" w:eastAsia="fr-FR"/>
        </w:rPr>
        <w:t>’</w:t>
      </w:r>
      <w:r w:rsidRPr="005B38BE">
        <w:rPr>
          <w:lang w:val="fr-FR" w:eastAsia="fr-FR"/>
        </w:rPr>
        <w:t>essentiel été maintenue, comme convenu au début du processus de révision, les changements expliqués ci-dessous ont été décidés dans le cadre de l</w:t>
      </w:r>
      <w:r w:rsidR="007D3902">
        <w:rPr>
          <w:lang w:val="fr-FR" w:eastAsia="fr-FR"/>
        </w:rPr>
        <w:t>’</w:t>
      </w:r>
      <w:r w:rsidRPr="005B38BE">
        <w:rPr>
          <w:lang w:val="fr-FR" w:eastAsia="fr-FR"/>
        </w:rPr>
        <w:t xml:space="preserve">amendement 5 à ce </w:t>
      </w:r>
      <w:r w:rsidRPr="00963C74">
        <w:rPr>
          <w:lang w:val="fr-FR" w:eastAsia="fr-FR"/>
        </w:rPr>
        <w:t>RTM,</w:t>
      </w:r>
      <w:r w:rsidRPr="005B38BE">
        <w:rPr>
          <w:lang w:val="fr-FR" w:eastAsia="fr-FR"/>
        </w:rPr>
        <w:t xml:space="preserve"> par rapport à l</w:t>
      </w:r>
      <w:r w:rsidR="007D3902">
        <w:rPr>
          <w:lang w:val="fr-FR" w:eastAsia="fr-FR"/>
        </w:rPr>
        <w:t>’</w:t>
      </w:r>
      <w:r w:rsidRPr="005B38BE">
        <w:rPr>
          <w:lang w:val="fr-FR" w:eastAsia="fr-FR"/>
        </w:rPr>
        <w:t>amendement 4.</w:t>
      </w:r>
    </w:p>
    <w:p w14:paraId="44F8C6DD" w14:textId="77777777" w:rsidR="005B38BE" w:rsidRPr="005B38BE" w:rsidRDefault="005B38BE" w:rsidP="005B38BE">
      <w:pPr>
        <w:pStyle w:val="H1G"/>
        <w:rPr>
          <w:lang w:val="fr-FR" w:eastAsia="fr-FR"/>
        </w:rPr>
      </w:pPr>
      <w:r w:rsidRPr="005B38BE">
        <w:rPr>
          <w:lang w:val="fr-FR" w:eastAsia="fr-FR"/>
        </w:rPr>
        <w:tab/>
        <w:t>A.</w:t>
      </w:r>
      <w:r w:rsidRPr="005B38BE">
        <w:rPr>
          <w:lang w:val="fr-FR" w:eastAsia="fr-FR"/>
        </w:rPr>
        <w:tab/>
        <w:t>Corrections générales</w:t>
      </w:r>
    </w:p>
    <w:p w14:paraId="16F1D771" w14:textId="77777777" w:rsidR="005B38BE" w:rsidRPr="005B38BE" w:rsidRDefault="005B38BE" w:rsidP="005B38BE">
      <w:pPr>
        <w:pStyle w:val="H23G"/>
        <w:rPr>
          <w:lang w:val="fr-FR" w:eastAsia="fr-FR"/>
        </w:rPr>
      </w:pPr>
      <w:r w:rsidRPr="005B38BE">
        <w:rPr>
          <w:lang w:val="fr-FR" w:eastAsia="fr-FR"/>
        </w:rPr>
        <w:tab/>
        <w:t>1.</w:t>
      </w:r>
      <w:r w:rsidRPr="005B38BE">
        <w:rPr>
          <w:lang w:val="fr-FR" w:eastAsia="fr-FR"/>
        </w:rPr>
        <w:tab/>
        <w:t>Motocycle</w:t>
      </w:r>
    </w:p>
    <w:p w14:paraId="56E2C4A5" w14:textId="77777777" w:rsidR="005B38BE" w:rsidRPr="005B38BE" w:rsidRDefault="005B38BE" w:rsidP="005B38BE">
      <w:pPr>
        <w:pStyle w:val="SingleTxtG"/>
        <w:rPr>
          <w:lang w:val="fr-FR" w:eastAsia="fr-FR"/>
        </w:rPr>
      </w:pPr>
      <w:r w:rsidRPr="005B38BE">
        <w:rPr>
          <w:lang w:val="fr-FR" w:eastAsia="fr-FR"/>
        </w:rPr>
        <w:t>26.</w:t>
      </w:r>
      <w:r w:rsidRPr="005B38BE">
        <w:rPr>
          <w:lang w:val="fr-FR" w:eastAsia="fr-FR"/>
        </w:rPr>
        <w:tab/>
        <w:t>Les termes « motocycle » et « cyclomoteur » ont été supprimés dans la mesure du possible, car ils sont propres à une certaine région (UE), tandis que des classes particulières de véhicules ont été définies dans ce RTM ONU (0, 1, 2 et 3).</w:t>
      </w:r>
    </w:p>
    <w:p w14:paraId="549EC96E" w14:textId="77777777" w:rsidR="005B38BE" w:rsidRPr="005B38BE" w:rsidRDefault="005B38BE" w:rsidP="005B38BE">
      <w:pPr>
        <w:pStyle w:val="H23G"/>
        <w:rPr>
          <w:lang w:val="fr-FR" w:eastAsia="fr-FR"/>
        </w:rPr>
      </w:pPr>
      <w:r w:rsidRPr="005B38BE">
        <w:rPr>
          <w:lang w:val="fr-FR" w:eastAsia="fr-FR"/>
        </w:rPr>
        <w:tab/>
        <w:t>2.</w:t>
      </w:r>
      <w:r w:rsidRPr="005B38BE">
        <w:rPr>
          <w:lang w:val="fr-FR" w:eastAsia="fr-FR"/>
        </w:rPr>
        <w:tab/>
        <w:t>Carburants de référence</w:t>
      </w:r>
    </w:p>
    <w:p w14:paraId="6AA2527B" w14:textId="093EE413" w:rsidR="005B38BE" w:rsidRPr="005B38BE" w:rsidRDefault="005B38BE" w:rsidP="005B38BE">
      <w:pPr>
        <w:pStyle w:val="SingleTxtG"/>
        <w:rPr>
          <w:lang w:val="fr-FR" w:eastAsia="fr-FR"/>
        </w:rPr>
      </w:pPr>
      <w:r w:rsidRPr="005B38BE">
        <w:rPr>
          <w:lang w:val="fr-FR" w:eastAsia="fr-FR"/>
        </w:rPr>
        <w:t>27.</w:t>
      </w:r>
      <w:r w:rsidRPr="005B38BE">
        <w:rPr>
          <w:lang w:val="fr-FR" w:eastAsia="fr-FR"/>
        </w:rPr>
        <w:tab/>
        <w:t>Correction d</w:t>
      </w:r>
      <w:r w:rsidR="007D3902">
        <w:rPr>
          <w:lang w:val="fr-FR" w:eastAsia="fr-FR"/>
        </w:rPr>
        <w:t>’</w:t>
      </w:r>
      <w:r w:rsidRPr="005B38BE">
        <w:rPr>
          <w:lang w:val="fr-FR" w:eastAsia="fr-FR"/>
        </w:rPr>
        <w:t>une erreur :</w:t>
      </w:r>
    </w:p>
    <w:p w14:paraId="70432A7F" w14:textId="77777777" w:rsidR="005B38BE" w:rsidRPr="005B38BE" w:rsidRDefault="005B38BE" w:rsidP="005B38BE">
      <w:pPr>
        <w:pStyle w:val="SingleTxtG"/>
        <w:ind w:left="2268" w:hanging="567"/>
        <w:rPr>
          <w:lang w:val="es-ES" w:eastAsia="fr-FR"/>
        </w:rPr>
      </w:pPr>
      <w:r w:rsidRPr="005B38BE">
        <w:rPr>
          <w:lang w:val="es-ES" w:eastAsia="fr-FR"/>
        </w:rPr>
        <w:t>Principal (Euro5)</w:t>
      </w:r>
    </w:p>
    <w:p w14:paraId="5BC246F7" w14:textId="77777777" w:rsidR="005B38BE" w:rsidRPr="005B38BE" w:rsidRDefault="005B38BE" w:rsidP="005B38BE">
      <w:pPr>
        <w:pStyle w:val="SingleTxtG"/>
        <w:ind w:left="2268"/>
        <w:rPr>
          <w:lang w:val="es-ES" w:eastAsia="fr-FR"/>
        </w:rPr>
      </w:pPr>
      <w:r w:rsidRPr="005B38BE">
        <w:rPr>
          <w:lang w:val="es-ES" w:eastAsia="fr-FR"/>
        </w:rPr>
        <w:tab/>
        <w:t>Tableau A4.App 2/1</w:t>
      </w:r>
      <w:r w:rsidRPr="005B38BE">
        <w:rPr>
          <w:rFonts w:ascii="MS Gothic" w:eastAsia="MS Gothic" w:hAnsi="MS Gothic" w:cs="MS Gothic" w:hint="eastAsia"/>
          <w:lang w:val="es-ES" w:eastAsia="fr-FR"/>
        </w:rPr>
        <w:t>：</w:t>
      </w:r>
      <w:r w:rsidRPr="005B38BE">
        <w:rPr>
          <w:lang w:val="es-ES" w:eastAsia="fr-FR"/>
        </w:rPr>
        <w:t>Japon E0</w:t>
      </w:r>
    </w:p>
    <w:p w14:paraId="4729633F" w14:textId="77777777" w:rsidR="005B38BE" w:rsidRPr="005B38BE" w:rsidRDefault="005B38BE" w:rsidP="005B38BE">
      <w:pPr>
        <w:pStyle w:val="SingleTxtG"/>
        <w:ind w:left="2268"/>
        <w:rPr>
          <w:lang w:val="es-ES" w:eastAsia="fr-FR"/>
        </w:rPr>
      </w:pPr>
      <w:r w:rsidRPr="005B38BE">
        <w:rPr>
          <w:lang w:val="es-ES" w:eastAsia="fr-FR"/>
        </w:rPr>
        <w:tab/>
        <w:t>Tableau A4.App 2/3</w:t>
      </w:r>
      <w:r w:rsidRPr="005B38BE">
        <w:rPr>
          <w:rFonts w:ascii="MS Gothic" w:eastAsia="MS Gothic" w:hAnsi="MS Gothic" w:cs="MS Gothic" w:hint="eastAsia"/>
          <w:lang w:val="es-ES" w:eastAsia="fr-FR"/>
        </w:rPr>
        <w:t>：</w:t>
      </w:r>
      <w:r w:rsidRPr="005B38BE">
        <w:rPr>
          <w:lang w:val="es-ES" w:eastAsia="fr-FR"/>
        </w:rPr>
        <w:t>Japon E0 100</w:t>
      </w:r>
    </w:p>
    <w:p w14:paraId="19D148D9" w14:textId="77777777" w:rsidR="005B38BE" w:rsidRPr="005B38BE" w:rsidRDefault="005B38BE" w:rsidP="005B38BE">
      <w:pPr>
        <w:pStyle w:val="SingleTxtG"/>
        <w:ind w:left="2268"/>
        <w:rPr>
          <w:lang w:val="es-ES" w:eastAsia="fr-FR"/>
        </w:rPr>
      </w:pPr>
      <w:r w:rsidRPr="005B38BE">
        <w:rPr>
          <w:lang w:val="es-ES" w:eastAsia="fr-FR"/>
        </w:rPr>
        <w:tab/>
        <w:t>Tableau A4.App 2/4</w:t>
      </w:r>
      <w:r w:rsidRPr="005B38BE">
        <w:rPr>
          <w:rFonts w:ascii="MS Gothic" w:eastAsia="MS Gothic" w:hAnsi="MS Gothic" w:cs="MS Gothic" w:hint="eastAsia"/>
          <w:lang w:val="es-ES" w:eastAsia="fr-FR"/>
        </w:rPr>
        <w:t>：</w:t>
      </w:r>
      <w:r w:rsidRPr="005B38BE">
        <w:rPr>
          <w:lang w:val="es-ES" w:eastAsia="fr-FR"/>
        </w:rPr>
        <w:t>UE E5</w:t>
      </w:r>
    </w:p>
    <w:p w14:paraId="0CE461F6" w14:textId="77777777" w:rsidR="005B38BE" w:rsidRPr="005B38BE" w:rsidRDefault="005B38BE" w:rsidP="005B38BE">
      <w:pPr>
        <w:pStyle w:val="SingleTxtG"/>
        <w:ind w:left="2268"/>
        <w:rPr>
          <w:lang w:val="es-ES" w:eastAsia="fr-FR"/>
        </w:rPr>
      </w:pPr>
      <w:r w:rsidRPr="005B38BE">
        <w:rPr>
          <w:lang w:val="es-ES" w:eastAsia="fr-FR"/>
        </w:rPr>
        <w:tab/>
        <w:t>Tableau A4.App 2/6</w:t>
      </w:r>
      <w:r w:rsidRPr="005B38BE">
        <w:rPr>
          <w:rFonts w:ascii="MS Gothic" w:eastAsia="MS Gothic" w:hAnsi="MS Gothic" w:cs="MS Gothic" w:hint="eastAsia"/>
          <w:lang w:val="es-ES" w:eastAsia="fr-FR"/>
        </w:rPr>
        <w:t>：</w:t>
      </w:r>
      <w:r w:rsidRPr="005B38BE">
        <w:rPr>
          <w:lang w:val="es-ES" w:eastAsia="fr-FR"/>
        </w:rPr>
        <w:t>UE B5</w:t>
      </w:r>
    </w:p>
    <w:p w14:paraId="308EC587" w14:textId="77777777" w:rsidR="005B38BE" w:rsidRPr="005B38BE" w:rsidRDefault="005B38BE" w:rsidP="005B38BE">
      <w:pPr>
        <w:pStyle w:val="SingleTxtG"/>
        <w:ind w:left="2268" w:hanging="567"/>
        <w:rPr>
          <w:lang w:val="es-ES" w:eastAsia="fr-FR"/>
        </w:rPr>
      </w:pPr>
      <w:r w:rsidRPr="005B38BE">
        <w:rPr>
          <w:lang w:val="es-ES" w:eastAsia="fr-FR"/>
        </w:rPr>
        <w:t>Alt-A (Inde BS-4)</w:t>
      </w:r>
    </w:p>
    <w:p w14:paraId="703C977E" w14:textId="77777777" w:rsidR="005B38BE" w:rsidRPr="005B38BE" w:rsidRDefault="005B38BE" w:rsidP="005B38BE">
      <w:pPr>
        <w:pStyle w:val="SingleTxtG"/>
        <w:ind w:left="2268"/>
        <w:rPr>
          <w:lang w:val="es-ES" w:eastAsia="fr-FR"/>
        </w:rPr>
      </w:pPr>
      <w:r w:rsidRPr="005B38BE">
        <w:rPr>
          <w:lang w:val="es-ES" w:eastAsia="fr-FR"/>
        </w:rPr>
        <w:tab/>
        <w:t>Tableau A4.App 2/2</w:t>
      </w:r>
      <w:r w:rsidRPr="005B38BE">
        <w:rPr>
          <w:rFonts w:ascii="MS Gothic" w:eastAsia="MS Gothic" w:hAnsi="MS Gothic" w:cs="MS Gothic" w:hint="eastAsia"/>
          <w:lang w:val="es-ES" w:eastAsia="fr-FR"/>
        </w:rPr>
        <w:t>；</w:t>
      </w:r>
      <w:r w:rsidRPr="005B38BE">
        <w:rPr>
          <w:lang w:val="es-ES" w:eastAsia="fr-FR"/>
        </w:rPr>
        <w:t>UE E0</w:t>
      </w:r>
    </w:p>
    <w:p w14:paraId="5F8CB99A" w14:textId="4CC0743C" w:rsidR="005B38BE" w:rsidRPr="005B38BE" w:rsidRDefault="005B38BE" w:rsidP="005B38BE">
      <w:pPr>
        <w:pStyle w:val="SingleTxtG"/>
        <w:ind w:left="2268" w:hanging="567"/>
        <w:rPr>
          <w:lang w:val="es-ES" w:eastAsia="fr-FR"/>
        </w:rPr>
      </w:pPr>
      <w:r w:rsidRPr="005B38BE">
        <w:rPr>
          <w:lang w:val="es-ES" w:eastAsia="fr-FR"/>
        </w:rPr>
        <w:t>Alt-B</w:t>
      </w:r>
      <w:r w:rsidR="003F2FF8">
        <w:rPr>
          <w:lang w:val="es-ES" w:eastAsia="fr-FR"/>
        </w:rPr>
        <w:t xml:space="preserve"> </w:t>
      </w:r>
      <w:r w:rsidRPr="005B38BE">
        <w:rPr>
          <w:lang w:val="es-ES" w:eastAsia="fr-FR"/>
        </w:rPr>
        <w:t>(Euro-4)</w:t>
      </w:r>
    </w:p>
    <w:p w14:paraId="34B93A76" w14:textId="77777777" w:rsidR="005B38BE" w:rsidRPr="005B38BE" w:rsidRDefault="005B38BE" w:rsidP="005B38BE">
      <w:pPr>
        <w:pStyle w:val="SingleTxtG"/>
        <w:ind w:left="2268"/>
        <w:rPr>
          <w:lang w:val="es-ES" w:eastAsia="fr-FR"/>
        </w:rPr>
      </w:pPr>
      <w:r w:rsidRPr="005B38BE">
        <w:rPr>
          <w:lang w:val="es-ES" w:eastAsia="fr-FR"/>
        </w:rPr>
        <w:tab/>
        <w:t>Tableau A4.App 2/4</w:t>
      </w:r>
      <w:r w:rsidRPr="005B38BE">
        <w:rPr>
          <w:rFonts w:ascii="MS Gothic" w:eastAsia="MS Gothic" w:hAnsi="MS Gothic" w:cs="MS Gothic" w:hint="eastAsia"/>
          <w:lang w:val="es-ES" w:eastAsia="fr-FR"/>
        </w:rPr>
        <w:t>：</w:t>
      </w:r>
      <w:r w:rsidRPr="005B38BE">
        <w:rPr>
          <w:lang w:val="es-ES" w:eastAsia="fr-FR"/>
        </w:rPr>
        <w:t>UE E5</w:t>
      </w:r>
    </w:p>
    <w:p w14:paraId="4104A1D3" w14:textId="0E37F8A4" w:rsidR="005B38BE" w:rsidRPr="005B38BE" w:rsidRDefault="005B38BE" w:rsidP="005B38BE">
      <w:pPr>
        <w:pStyle w:val="SingleTxtG"/>
        <w:ind w:left="2268" w:hanging="567"/>
        <w:rPr>
          <w:lang w:val="es-ES" w:eastAsia="fr-FR"/>
        </w:rPr>
      </w:pPr>
      <w:r w:rsidRPr="005B38BE">
        <w:rPr>
          <w:lang w:val="es-ES" w:eastAsia="fr-FR"/>
        </w:rPr>
        <w:t>Alt-C</w:t>
      </w:r>
      <w:r w:rsidR="003F2FF8">
        <w:rPr>
          <w:lang w:val="es-ES" w:eastAsia="fr-FR"/>
        </w:rPr>
        <w:t xml:space="preserve"> </w:t>
      </w:r>
      <w:r w:rsidRPr="005B38BE">
        <w:rPr>
          <w:lang w:val="es-ES" w:eastAsia="fr-FR"/>
        </w:rPr>
        <w:t>(Euro-3)</w:t>
      </w:r>
    </w:p>
    <w:p w14:paraId="69C0F723" w14:textId="77777777" w:rsidR="005B38BE" w:rsidRPr="005B38BE" w:rsidRDefault="005B38BE" w:rsidP="005B38BE">
      <w:pPr>
        <w:pStyle w:val="SingleTxtG"/>
        <w:ind w:left="2268"/>
        <w:rPr>
          <w:lang w:val="es-ES" w:eastAsia="fr-FR"/>
        </w:rPr>
      </w:pPr>
      <w:r w:rsidRPr="005B38BE">
        <w:rPr>
          <w:lang w:val="es-ES" w:eastAsia="fr-FR"/>
        </w:rPr>
        <w:tab/>
        <w:t>Tableau A4.App 2/4</w:t>
      </w:r>
      <w:r w:rsidRPr="005B38BE">
        <w:rPr>
          <w:rFonts w:ascii="MS Gothic" w:eastAsia="MS Gothic" w:hAnsi="MS Gothic" w:cs="MS Gothic" w:hint="eastAsia"/>
          <w:lang w:val="es-ES" w:eastAsia="fr-FR"/>
        </w:rPr>
        <w:t>：</w:t>
      </w:r>
      <w:r w:rsidRPr="005B38BE">
        <w:rPr>
          <w:lang w:val="es-ES" w:eastAsia="fr-FR"/>
        </w:rPr>
        <w:t>UE E5</w:t>
      </w:r>
    </w:p>
    <w:p w14:paraId="2AD5F19A" w14:textId="77777777" w:rsidR="005B38BE" w:rsidRPr="005B38BE" w:rsidRDefault="005B38BE" w:rsidP="005B38BE">
      <w:pPr>
        <w:pStyle w:val="H23G"/>
        <w:rPr>
          <w:lang w:val="fr-FR" w:eastAsia="fr-FR"/>
        </w:rPr>
      </w:pPr>
      <w:r w:rsidRPr="005B38BE">
        <w:rPr>
          <w:lang w:val="es-ES" w:eastAsia="fr-FR"/>
        </w:rPr>
        <w:tab/>
      </w:r>
      <w:r w:rsidRPr="005B38BE">
        <w:rPr>
          <w:lang w:val="fr-FR" w:eastAsia="fr-FR"/>
        </w:rPr>
        <w:t>3.</w:t>
      </w:r>
      <w:r w:rsidRPr="005B38BE">
        <w:rPr>
          <w:lang w:val="fr-FR" w:eastAsia="fr-FR"/>
        </w:rPr>
        <w:tab/>
        <w:t>Dispositions administratives</w:t>
      </w:r>
    </w:p>
    <w:p w14:paraId="6CA26C65" w14:textId="785F8FFA" w:rsidR="005B38BE" w:rsidRPr="005B38BE" w:rsidRDefault="005B38BE" w:rsidP="005B38BE">
      <w:pPr>
        <w:pStyle w:val="SingleTxtG"/>
        <w:rPr>
          <w:lang w:val="fr-FR" w:eastAsia="fr-FR"/>
        </w:rPr>
      </w:pPr>
      <w:r w:rsidRPr="005B38BE">
        <w:rPr>
          <w:lang w:val="fr-FR" w:eastAsia="fr-FR"/>
        </w:rPr>
        <w:t>28.</w:t>
      </w:r>
      <w:r w:rsidRPr="005B38BE">
        <w:rPr>
          <w:lang w:val="fr-FR" w:eastAsia="fr-FR"/>
        </w:rPr>
        <w:tab/>
        <w:t>L</w:t>
      </w:r>
      <w:r w:rsidR="007D3902">
        <w:rPr>
          <w:lang w:val="fr-FR" w:eastAsia="fr-FR"/>
        </w:rPr>
        <w:t>’</w:t>
      </w:r>
      <w:r w:rsidRPr="005B38BE">
        <w:rPr>
          <w:lang w:val="fr-FR" w:eastAsia="fr-FR"/>
        </w:rPr>
        <w:t>homologation de type n</w:t>
      </w:r>
      <w:r w:rsidR="007D3902">
        <w:rPr>
          <w:lang w:val="fr-FR" w:eastAsia="fr-FR"/>
        </w:rPr>
        <w:t>’</w:t>
      </w:r>
      <w:r w:rsidRPr="005B38BE">
        <w:rPr>
          <w:lang w:val="fr-FR" w:eastAsia="fr-FR"/>
        </w:rPr>
        <w:t>étant pas utilisée dans toutes les régions, le terme « certification » a remplacé « homologation de type », et termes « autorité compétente » s</w:t>
      </w:r>
      <w:r w:rsidR="007D3902">
        <w:rPr>
          <w:lang w:val="fr-FR" w:eastAsia="fr-FR"/>
        </w:rPr>
        <w:t>’</w:t>
      </w:r>
      <w:r w:rsidRPr="005B38BE">
        <w:rPr>
          <w:lang w:val="fr-FR" w:eastAsia="fr-FR"/>
        </w:rPr>
        <w:t>est substitué à « autorité d</w:t>
      </w:r>
      <w:r w:rsidR="007D3902">
        <w:rPr>
          <w:lang w:val="fr-FR" w:eastAsia="fr-FR"/>
        </w:rPr>
        <w:t>’</w:t>
      </w:r>
      <w:r w:rsidRPr="005B38BE">
        <w:rPr>
          <w:lang w:val="fr-FR" w:eastAsia="fr-FR"/>
        </w:rPr>
        <w:t>homologation ».</w:t>
      </w:r>
    </w:p>
    <w:p w14:paraId="2E255B86" w14:textId="77777777" w:rsidR="005B38BE" w:rsidRPr="005B38BE" w:rsidRDefault="005B38BE" w:rsidP="005B38BE">
      <w:pPr>
        <w:pStyle w:val="H1G"/>
        <w:rPr>
          <w:lang w:val="fr-FR" w:eastAsia="fr-FR"/>
        </w:rPr>
      </w:pPr>
      <w:r w:rsidRPr="005B38BE">
        <w:rPr>
          <w:lang w:val="fr-FR" w:eastAsia="fr-FR"/>
        </w:rPr>
        <w:tab/>
        <w:t>B.</w:t>
      </w:r>
      <w:r w:rsidRPr="005B38BE">
        <w:rPr>
          <w:lang w:val="fr-FR" w:eastAsia="fr-FR"/>
        </w:rPr>
        <w:tab/>
        <w:t>Harmonisation avec la procédure WLTP</w:t>
      </w:r>
    </w:p>
    <w:p w14:paraId="6A34EED5" w14:textId="77777777" w:rsidR="005B38BE" w:rsidRPr="005B38BE" w:rsidRDefault="005B38BE" w:rsidP="005B38BE">
      <w:pPr>
        <w:pStyle w:val="H23G"/>
        <w:rPr>
          <w:lang w:val="fr-FR" w:eastAsia="fr-FR"/>
        </w:rPr>
      </w:pPr>
      <w:r w:rsidRPr="005B38BE">
        <w:rPr>
          <w:lang w:val="fr-FR" w:eastAsia="fr-FR"/>
        </w:rPr>
        <w:tab/>
        <w:t>1.</w:t>
      </w:r>
      <w:r w:rsidRPr="005B38BE">
        <w:rPr>
          <w:lang w:val="fr-FR" w:eastAsia="fr-FR"/>
        </w:rPr>
        <w:tab/>
        <w:t>Introduction</w:t>
      </w:r>
    </w:p>
    <w:p w14:paraId="0BBB4257" w14:textId="072CEB3B" w:rsidR="005B38BE" w:rsidRPr="005B38BE" w:rsidRDefault="005B38BE" w:rsidP="005B38BE">
      <w:pPr>
        <w:pStyle w:val="SingleTxtG"/>
        <w:rPr>
          <w:bCs/>
          <w:lang w:val="fr-FR" w:eastAsia="fr-FR"/>
        </w:rPr>
      </w:pPr>
      <w:r w:rsidRPr="005B38BE">
        <w:rPr>
          <w:lang w:val="fr-FR" w:eastAsia="fr-FR"/>
        </w:rPr>
        <w:t>29.</w:t>
      </w:r>
      <w:r w:rsidRPr="005B38BE">
        <w:rPr>
          <w:lang w:val="fr-FR" w:eastAsia="fr-FR"/>
        </w:rPr>
        <w:tab/>
        <w:t>Une harmonisation générale avec la procédure WLTP a été proposée par l</w:t>
      </w:r>
      <w:r w:rsidR="007D3902">
        <w:rPr>
          <w:lang w:val="fr-FR" w:eastAsia="fr-FR"/>
        </w:rPr>
        <w:t>’</w:t>
      </w:r>
      <w:r w:rsidRPr="005B38BE">
        <w:rPr>
          <w:lang w:val="fr-FR" w:eastAsia="fr-FR"/>
        </w:rPr>
        <w:t>IMMA à la trente-neuvième</w:t>
      </w:r>
      <w:r w:rsidRPr="005B38BE">
        <w:rPr>
          <w:b/>
          <w:bCs/>
          <w:lang w:val="fr-FR" w:eastAsia="fr-FR"/>
        </w:rPr>
        <w:t xml:space="preserve"> </w:t>
      </w:r>
      <w:r w:rsidRPr="005B38BE">
        <w:rPr>
          <w:lang w:val="fr-FR" w:eastAsia="fr-FR"/>
        </w:rPr>
        <w:t>réunion</w:t>
      </w:r>
      <w:r w:rsidRPr="005B38BE">
        <w:rPr>
          <w:b/>
          <w:bCs/>
          <w:lang w:val="fr-FR" w:eastAsia="fr-FR"/>
        </w:rPr>
        <w:t xml:space="preserve"> </w:t>
      </w:r>
      <w:r w:rsidRPr="005B38BE">
        <w:rPr>
          <w:lang w:val="fr-FR" w:eastAsia="fr-FR"/>
        </w:rPr>
        <w:t>du groupe de travail informel EPPR</w:t>
      </w:r>
      <w:r w:rsidRPr="003F2FF8">
        <w:rPr>
          <w:lang w:val="fr-FR" w:eastAsia="fr-FR"/>
        </w:rPr>
        <w:t xml:space="preserve"> </w:t>
      </w:r>
      <w:r w:rsidRPr="005B38BE">
        <w:rPr>
          <w:lang w:val="fr-FR" w:eastAsia="fr-FR"/>
        </w:rPr>
        <w:t xml:space="preserve">(octobre 2020) </w:t>
      </w:r>
      <w:r w:rsidR="003F2FF8">
        <w:rPr>
          <w:lang w:val="fr-FR" w:eastAsia="fr-FR"/>
        </w:rPr>
        <w:t>−</w:t>
      </w:r>
      <w:r w:rsidRPr="005B38BE">
        <w:rPr>
          <w:lang w:val="fr-FR" w:eastAsia="fr-FR"/>
        </w:rPr>
        <w:t xml:space="preserve"> documents EPPR-39-02 et EPPR 39-03 :</w:t>
      </w:r>
    </w:p>
    <w:p w14:paraId="29ECB8BB" w14:textId="27EF813E" w:rsidR="005B38BE" w:rsidRPr="005B38BE" w:rsidRDefault="005B38BE" w:rsidP="00E860AC">
      <w:pPr>
        <w:pStyle w:val="SingleTxtG"/>
        <w:ind w:firstLine="567"/>
        <w:rPr>
          <w:lang w:val="fr-FR" w:eastAsia="fr-FR"/>
        </w:rPr>
      </w:pPr>
      <w:r w:rsidRPr="005B38BE">
        <w:rPr>
          <w:lang w:val="fr-FR" w:eastAsia="fr-FR"/>
        </w:rPr>
        <w:t>a)</w:t>
      </w:r>
      <w:r w:rsidRPr="005B38BE">
        <w:rPr>
          <w:lang w:val="fr-FR" w:eastAsia="fr-FR"/>
        </w:rPr>
        <w:tab/>
        <w:t>Pour harmonisation avec la dernière version de l</w:t>
      </w:r>
      <w:r w:rsidR="007D3902">
        <w:rPr>
          <w:lang w:val="fr-FR" w:eastAsia="fr-FR"/>
        </w:rPr>
        <w:t>’</w:t>
      </w:r>
      <w:r w:rsidRPr="005B38BE">
        <w:rPr>
          <w:lang w:val="fr-FR" w:eastAsia="fr-FR"/>
        </w:rPr>
        <w:t>amendement 6 au RTM</w:t>
      </w:r>
      <w:r w:rsidR="00085B9D">
        <w:rPr>
          <w:lang w:val="fr-FR" w:eastAsia="fr-FR"/>
        </w:rPr>
        <w:t> </w:t>
      </w:r>
      <w:r w:rsidRPr="005B38BE">
        <w:rPr>
          <w:lang w:val="fr-FR" w:eastAsia="fr-FR"/>
        </w:rPr>
        <w:t>ONU</w:t>
      </w:r>
      <w:r w:rsidR="00E860AC">
        <w:rPr>
          <w:lang w:val="fr-FR" w:eastAsia="fr-FR"/>
        </w:rPr>
        <w:t> </w:t>
      </w:r>
      <w:r w:rsidRPr="005B38BE">
        <w:rPr>
          <w:rFonts w:eastAsia="MS Mincho"/>
          <w:szCs w:val="22"/>
          <w:lang w:val="fr-FR" w:eastAsia="fr-FR"/>
        </w:rPr>
        <w:t>n</w:t>
      </w:r>
      <w:r w:rsidRPr="005B38BE">
        <w:rPr>
          <w:rFonts w:eastAsia="MS Mincho"/>
          <w:szCs w:val="22"/>
          <w:vertAlign w:val="superscript"/>
          <w:lang w:val="fr-FR" w:eastAsia="fr-FR"/>
        </w:rPr>
        <w:t>o</w:t>
      </w:r>
      <w:r>
        <w:rPr>
          <w:lang w:val="fr-FR" w:eastAsia="fr-FR"/>
        </w:rPr>
        <w:t> </w:t>
      </w:r>
      <w:r w:rsidRPr="005B38BE">
        <w:rPr>
          <w:lang w:val="fr-FR" w:eastAsia="fr-FR"/>
        </w:rPr>
        <w:t>15 sur la procédure WLTP ;</w:t>
      </w:r>
    </w:p>
    <w:p w14:paraId="7977AF74" w14:textId="44D66D2B" w:rsidR="005B38BE" w:rsidRPr="005B38BE" w:rsidRDefault="005B38BE" w:rsidP="005B38BE">
      <w:pPr>
        <w:pStyle w:val="SingleTxtG"/>
        <w:ind w:firstLine="567"/>
        <w:rPr>
          <w:lang w:val="fr-FR" w:eastAsia="fr-FR"/>
        </w:rPr>
      </w:pPr>
      <w:r w:rsidRPr="005B38BE">
        <w:rPr>
          <w:lang w:val="fr-FR" w:eastAsia="fr-FR"/>
        </w:rPr>
        <w:t>b)</w:t>
      </w:r>
      <w:r w:rsidRPr="005B38BE">
        <w:rPr>
          <w:lang w:val="fr-FR" w:eastAsia="fr-FR"/>
        </w:rPr>
        <w:tab/>
        <w:t>Pour résoudre ou éviter les problèmes d</w:t>
      </w:r>
      <w:r w:rsidR="007D3902">
        <w:rPr>
          <w:lang w:val="fr-FR" w:eastAsia="fr-FR"/>
        </w:rPr>
        <w:t>’</w:t>
      </w:r>
      <w:r w:rsidRPr="005B38BE">
        <w:rPr>
          <w:lang w:val="fr-FR" w:eastAsia="fr-FR"/>
        </w:rPr>
        <w:t>interprétation.</w:t>
      </w:r>
    </w:p>
    <w:p w14:paraId="7F92E6F4" w14:textId="77777777" w:rsidR="005B38BE" w:rsidRPr="005B38BE" w:rsidRDefault="005B38BE" w:rsidP="00E860AC">
      <w:pPr>
        <w:pStyle w:val="SingleTxtG"/>
        <w:ind w:firstLine="567"/>
        <w:rPr>
          <w:lang w:val="fr-FR" w:eastAsia="fr-FR"/>
        </w:rPr>
      </w:pPr>
      <w:r w:rsidRPr="005B38BE">
        <w:rPr>
          <w:lang w:val="fr-FR" w:eastAsia="fr-FR"/>
        </w:rPr>
        <w:t>Cette proposition a été appuyée par le Japon à la trente-neuvième réunion du groupe de travail informel EPPR, par la Commission européenne (CE) à la quarantième réunion de ce groupe de travail (décembre 2020) et approuvée.</w:t>
      </w:r>
    </w:p>
    <w:p w14:paraId="41B31B8C" w14:textId="664EEDE9" w:rsidR="005B38BE" w:rsidRPr="005B38BE" w:rsidRDefault="005B38BE" w:rsidP="005B38BE">
      <w:pPr>
        <w:pStyle w:val="H23G"/>
        <w:rPr>
          <w:lang w:val="fr-FR" w:eastAsia="fr-FR"/>
        </w:rPr>
      </w:pPr>
      <w:r w:rsidRPr="005B38BE">
        <w:rPr>
          <w:lang w:val="fr-FR" w:eastAsia="fr-FR"/>
        </w:rPr>
        <w:tab/>
        <w:t>2.</w:t>
      </w:r>
      <w:r w:rsidRPr="005B38BE">
        <w:rPr>
          <w:lang w:val="fr-FR" w:eastAsia="fr-FR"/>
        </w:rPr>
        <w:tab/>
        <w:t>Diagramme de décision</w:t>
      </w:r>
    </w:p>
    <w:p w14:paraId="0F349BE9" w14:textId="2731A52F" w:rsidR="005B38BE" w:rsidRPr="005B38BE" w:rsidRDefault="005B38BE" w:rsidP="005B38BE">
      <w:pPr>
        <w:pStyle w:val="SingleTxtG"/>
        <w:rPr>
          <w:lang w:val="fr-FR" w:eastAsia="fr-FR"/>
        </w:rPr>
      </w:pPr>
      <w:r w:rsidRPr="005B38BE">
        <w:rPr>
          <w:lang w:val="fr-FR" w:eastAsia="fr-FR"/>
        </w:rPr>
        <w:t>30.</w:t>
      </w:r>
      <w:r w:rsidRPr="005B38BE">
        <w:rPr>
          <w:lang w:val="fr-FR" w:eastAsia="fr-FR"/>
        </w:rPr>
        <w:tab/>
        <w:t>Dans le document EPPR-43-05 (mars 2021), l</w:t>
      </w:r>
      <w:r w:rsidR="007D3902">
        <w:rPr>
          <w:lang w:val="fr-FR" w:eastAsia="fr-FR"/>
        </w:rPr>
        <w:t>’</w:t>
      </w:r>
      <w:r w:rsidRPr="005B38BE">
        <w:rPr>
          <w:lang w:val="fr-FR" w:eastAsia="fr-FR"/>
        </w:rPr>
        <w:t>IMMA a proposé que le diagramme présenté dans la figure A1/7 de l</w:t>
      </w:r>
      <w:r w:rsidR="007D3902">
        <w:rPr>
          <w:lang w:val="fr-FR" w:eastAsia="fr-FR"/>
        </w:rPr>
        <w:t>’</w:t>
      </w:r>
      <w:r w:rsidRPr="005B38BE">
        <w:rPr>
          <w:lang w:val="fr-FR" w:eastAsia="fr-FR"/>
        </w:rPr>
        <w:t>amendement 4 soit remplacé par le diagramme de la figure</w:t>
      </w:r>
      <w:r w:rsidR="00085B9D">
        <w:rPr>
          <w:lang w:val="fr-FR" w:eastAsia="fr-FR"/>
        </w:rPr>
        <w:t> </w:t>
      </w:r>
      <w:r w:rsidRPr="005B38BE">
        <w:rPr>
          <w:lang w:val="fr-FR" w:eastAsia="fr-FR"/>
        </w:rPr>
        <w:t>A6/1 du RTM ONU n</w:t>
      </w:r>
      <w:r w:rsidRPr="005B38BE">
        <w:rPr>
          <w:vertAlign w:val="superscript"/>
          <w:lang w:val="fr-FR" w:eastAsia="fr-FR"/>
        </w:rPr>
        <w:t>o</w:t>
      </w:r>
      <w:r w:rsidRPr="00E860AC">
        <w:rPr>
          <w:lang w:val="fr-FR" w:eastAsia="fr-FR"/>
        </w:rPr>
        <w:t> </w:t>
      </w:r>
      <w:r w:rsidRPr="005B38BE">
        <w:rPr>
          <w:lang w:val="fr-FR" w:eastAsia="fr-FR"/>
        </w:rPr>
        <w:t>15 sur la WLTP (</w:t>
      </w:r>
      <w:r w:rsidRPr="00E860AC">
        <w:rPr>
          <w:lang w:val="fr-FR" w:eastAsia="fr-FR"/>
        </w:rPr>
        <w:t>ECE/TRANS/WP29/2020/127</w:t>
      </w:r>
      <w:r w:rsidRPr="005B38BE">
        <w:rPr>
          <w:lang w:val="fr-FR" w:eastAsia="fr-FR"/>
        </w:rPr>
        <w:t>), pour harmonisation avec la WLTP.</w:t>
      </w:r>
    </w:p>
    <w:p w14:paraId="075EE4D5" w14:textId="2E15CB86" w:rsidR="005B38BE" w:rsidRDefault="005B38BE" w:rsidP="005B38BE">
      <w:pPr>
        <w:pStyle w:val="SingleTxtG"/>
        <w:rPr>
          <w:lang w:val="fr-FR" w:eastAsia="fr-FR"/>
        </w:rPr>
      </w:pPr>
      <w:r w:rsidRPr="005B38BE">
        <w:rPr>
          <w:lang w:val="fr-FR" w:eastAsia="fr-FR"/>
        </w:rPr>
        <w:t>Ancienne figure de l</w:t>
      </w:r>
      <w:r w:rsidR="007D3902">
        <w:rPr>
          <w:lang w:val="fr-FR" w:eastAsia="fr-FR"/>
        </w:rPr>
        <w:t>’</w:t>
      </w:r>
      <w:r w:rsidRPr="005B38BE">
        <w:rPr>
          <w:lang w:val="fr-FR" w:eastAsia="fr-FR"/>
        </w:rPr>
        <w:t>amendement 4 :</w:t>
      </w:r>
    </w:p>
    <w:p w14:paraId="3EA6D7B6" w14:textId="77777777" w:rsidR="005B38BE" w:rsidRPr="00593039" w:rsidRDefault="005B38BE" w:rsidP="005B38BE">
      <w:pPr>
        <w:pStyle w:val="Titre1"/>
        <w:rPr>
          <w:bCs/>
          <w:color w:val="000000" w:themeColor="text1"/>
          <w:lang w:val="fr-FR"/>
        </w:rPr>
      </w:pPr>
      <w:r w:rsidRPr="00593039">
        <w:rPr>
          <w:lang w:val="fr-FR"/>
        </w:rPr>
        <w:t>Figure A1/7</w:t>
      </w:r>
    </w:p>
    <w:p w14:paraId="4BD4D2C6" w14:textId="11A9388C" w:rsidR="005B38BE" w:rsidRDefault="005B38BE" w:rsidP="005B38BE">
      <w:pPr>
        <w:pStyle w:val="Titre1"/>
        <w:spacing w:after="120"/>
        <w:rPr>
          <w:b/>
          <w:bCs/>
          <w:lang w:val="fr-FR"/>
        </w:rPr>
      </w:pPr>
      <w:r w:rsidRPr="00593039">
        <w:rPr>
          <w:b/>
          <w:bCs/>
          <w:lang w:val="fr-FR"/>
        </w:rPr>
        <w:t>Diagramme de décision relatif au nombre d</w:t>
      </w:r>
      <w:r w:rsidR="007D3902">
        <w:rPr>
          <w:b/>
          <w:bCs/>
          <w:lang w:val="fr-FR"/>
        </w:rPr>
        <w:t>’</w:t>
      </w:r>
      <w:r w:rsidRPr="00593039">
        <w:rPr>
          <w:b/>
          <w:bCs/>
          <w:lang w:val="fr-FR"/>
        </w:rPr>
        <w:t>essais du type I à réaliser</w:t>
      </w:r>
    </w:p>
    <w:p w14:paraId="1F8D1FB4" w14:textId="18B5DAD0" w:rsidR="005B38BE" w:rsidRDefault="005B38BE" w:rsidP="009D0736">
      <w:pPr>
        <w:pStyle w:val="SingleTxtG"/>
        <w:spacing w:after="240" w:line="240" w:lineRule="auto"/>
        <w:rPr>
          <w:lang w:val="fr-FR"/>
        </w:rPr>
      </w:pPr>
      <w:r w:rsidRPr="00593039">
        <w:rPr>
          <w:noProof/>
          <w:color w:val="000000" w:themeColor="text1"/>
          <w:lang w:val="fr-FR" w:eastAsia="nl-NL"/>
        </w:rPr>
        <w:drawing>
          <wp:inline distT="0" distB="0" distL="0" distR="0" wp14:anchorId="28F3FEF4" wp14:editId="29CBF319">
            <wp:extent cx="4174490" cy="443674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4490" cy="4436745"/>
                    </a:xfrm>
                    <a:prstGeom prst="rect">
                      <a:avLst/>
                    </a:prstGeom>
                    <a:noFill/>
                    <a:ln>
                      <a:noFill/>
                    </a:ln>
                  </pic:spPr>
                </pic:pic>
              </a:graphicData>
            </a:graphic>
          </wp:inline>
        </w:drawing>
      </w:r>
    </w:p>
    <w:p w14:paraId="7B911B73" w14:textId="77777777" w:rsidR="009D0736" w:rsidRDefault="009D0736">
      <w:pPr>
        <w:suppressAutoHyphens w:val="0"/>
        <w:kinsoku/>
        <w:overflowPunct/>
        <w:autoSpaceDE/>
        <w:autoSpaceDN/>
        <w:adjustRightInd/>
        <w:snapToGrid/>
        <w:spacing w:after="200" w:line="276" w:lineRule="auto"/>
        <w:rPr>
          <w:lang w:val="fr-FR"/>
        </w:rPr>
      </w:pPr>
      <w:r>
        <w:rPr>
          <w:lang w:val="fr-FR"/>
        </w:rPr>
        <w:br w:type="page"/>
      </w:r>
    </w:p>
    <w:p w14:paraId="0BA101B6" w14:textId="0B8415BA" w:rsidR="009D0736" w:rsidRPr="00593039" w:rsidRDefault="009D0736" w:rsidP="009D0736">
      <w:pPr>
        <w:pStyle w:val="SingleTxtG"/>
        <w:keepLines/>
        <w:rPr>
          <w:color w:val="000000" w:themeColor="text1"/>
          <w:lang w:val="fr-FR"/>
        </w:rPr>
      </w:pPr>
      <w:r w:rsidRPr="00593039">
        <w:rPr>
          <w:lang w:val="fr-FR"/>
        </w:rPr>
        <w:t>Figure proposée pour l</w:t>
      </w:r>
      <w:r w:rsidR="007D3902">
        <w:rPr>
          <w:lang w:val="fr-FR"/>
        </w:rPr>
        <w:t>’</w:t>
      </w:r>
      <w:r w:rsidRPr="00593039">
        <w:rPr>
          <w:lang w:val="fr-FR"/>
        </w:rPr>
        <w:t>amendement 5 :</w:t>
      </w:r>
    </w:p>
    <w:p w14:paraId="3ACB5818" w14:textId="77777777" w:rsidR="009D0736" w:rsidRPr="00593039" w:rsidRDefault="009D0736" w:rsidP="009D0736">
      <w:pPr>
        <w:pStyle w:val="Titre1"/>
        <w:keepNext w:val="0"/>
        <w:rPr>
          <w:lang w:val="fr-FR"/>
        </w:rPr>
      </w:pPr>
      <w:r w:rsidRPr="00593039">
        <w:rPr>
          <w:lang w:val="fr-FR"/>
        </w:rPr>
        <w:t>Figure A1/7</w:t>
      </w:r>
    </w:p>
    <w:p w14:paraId="139813E3" w14:textId="38017FF6" w:rsidR="009D0736" w:rsidRDefault="009D0736" w:rsidP="009D0736">
      <w:pPr>
        <w:pStyle w:val="Titre1"/>
        <w:keepNext w:val="0"/>
        <w:spacing w:after="120"/>
        <w:rPr>
          <w:b/>
          <w:bCs/>
          <w:lang w:val="fr-FR"/>
        </w:rPr>
      </w:pPr>
      <w:r w:rsidRPr="009D0736">
        <w:rPr>
          <w:b/>
          <w:bCs/>
          <w:lang w:val="fr-FR"/>
        </w:rPr>
        <w:t>Diagramme de décision relatif au nombre d</w:t>
      </w:r>
      <w:r w:rsidR="007D3902">
        <w:rPr>
          <w:b/>
          <w:bCs/>
          <w:lang w:val="fr-FR"/>
        </w:rPr>
        <w:t>’</w:t>
      </w:r>
      <w:r w:rsidRPr="009D0736">
        <w:rPr>
          <w:b/>
          <w:bCs/>
          <w:lang w:val="fr-FR"/>
        </w:rPr>
        <w:t>essais du type I à réaliser</w:t>
      </w:r>
    </w:p>
    <w:p w14:paraId="3954D8F8" w14:textId="26AE3EC9" w:rsidR="009D0736" w:rsidRDefault="00003928" w:rsidP="000B1866">
      <w:pPr>
        <w:pStyle w:val="SingleTxtG"/>
        <w:spacing w:after="240" w:line="240" w:lineRule="auto"/>
        <w:rPr>
          <w:lang w:val="fr-FR"/>
        </w:rPr>
      </w:pPr>
      <w:r w:rsidRPr="00593039">
        <w:rPr>
          <w:noProof/>
          <w:lang w:val="fr-FR" w:eastAsia="nl-NL"/>
        </w:rPr>
        <mc:AlternateContent>
          <mc:Choice Requires="wpc">
            <w:drawing>
              <wp:inline distT="0" distB="0" distL="0" distR="0" wp14:anchorId="42351DC2" wp14:editId="5F976C7A">
                <wp:extent cx="4644000" cy="4629600"/>
                <wp:effectExtent l="0" t="0" r="252095" b="19050"/>
                <wp:docPr id="80" name="Canvas 11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Text Box 13866"/>
                        <wps:cNvSpPr txBox="1">
                          <a:spLocks noChangeArrowheads="1"/>
                        </wps:cNvSpPr>
                        <wps:spPr bwMode="auto">
                          <a:xfrm>
                            <a:off x="2180371" y="34434"/>
                            <a:ext cx="765420" cy="161949"/>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2D25F0C" w14:textId="77777777" w:rsidR="00003928" w:rsidRPr="00412418" w:rsidRDefault="00003928" w:rsidP="006A2A95">
                              <w:pPr>
                                <w:spacing w:line="240" w:lineRule="auto"/>
                                <w:jc w:val="center"/>
                                <w:rPr>
                                  <w:sz w:val="18"/>
                                  <w:szCs w:val="18"/>
                                </w:rPr>
                              </w:pPr>
                              <w:r>
                                <w:rPr>
                                  <w:lang w:val="fr-FR"/>
                                </w:rPr>
                                <w:t>Premier essai</w:t>
                              </w:r>
                            </w:p>
                          </w:txbxContent>
                        </wps:txbx>
                        <wps:bodyPr rot="0" vert="horz" wrap="none" lIns="36000" tIns="0" rIns="36000" bIns="0" anchor="ctr" anchorCtr="0" upright="1">
                          <a:noAutofit/>
                        </wps:bodyPr>
                      </wps:wsp>
                      <wps:wsp>
                        <wps:cNvPr id="43" name="Flowchart: Preparation 13867"/>
                        <wps:cNvSpPr>
                          <a:spLocks noChangeArrowheads="1"/>
                        </wps:cNvSpPr>
                        <wps:spPr bwMode="auto">
                          <a:xfrm>
                            <a:off x="994769" y="363241"/>
                            <a:ext cx="3106616" cy="375166"/>
                          </a:xfrm>
                          <a:prstGeom prst="flowChartPreparation">
                            <a:avLst/>
                          </a:prstGeom>
                          <a:solidFill>
                            <a:srgbClr val="FFFF99"/>
                          </a:solidFill>
                          <a:ln w="6350" algn="ctr">
                            <a:solidFill>
                              <a:srgbClr val="000000"/>
                            </a:solidFill>
                            <a:miter lim="800000"/>
                            <a:headEnd/>
                            <a:tailEnd/>
                          </a:ln>
                        </wps:spPr>
                        <wps:txbx>
                          <w:txbxContent>
                            <w:p w14:paraId="7B95077A" w14:textId="1E6F15D2" w:rsidR="00003928" w:rsidRPr="00003928" w:rsidRDefault="00003928" w:rsidP="00003928">
                              <w:pPr>
                                <w:pStyle w:val="NormalWeb"/>
                                <w:jc w:val="center"/>
                                <w:rPr>
                                  <w:sz w:val="18"/>
                                  <w:szCs w:val="18"/>
                                  <w:lang w:val="fr-FR"/>
                                </w:rPr>
                              </w:pPr>
                              <w:r w:rsidRPr="00003928">
                                <w:rPr>
                                  <w:sz w:val="18"/>
                                  <w:szCs w:val="18"/>
                                  <w:lang w:val="fr-FR"/>
                                </w:rPr>
                                <w:t>Limite dépassée pour l</w:t>
                              </w:r>
                              <w:r>
                                <w:rPr>
                                  <w:sz w:val="18"/>
                                  <w:szCs w:val="18"/>
                                  <w:lang w:val="fr-FR"/>
                                </w:rPr>
                                <w:t>’</w:t>
                              </w:r>
                              <w:r w:rsidRPr="00003928">
                                <w:rPr>
                                  <w:sz w:val="18"/>
                                  <w:szCs w:val="18"/>
                                  <w:lang w:val="fr-FR"/>
                                </w:rPr>
                                <w:t>un des critères</w:t>
                              </w:r>
                            </w:p>
                          </w:txbxContent>
                        </wps:txbx>
                        <wps:bodyPr rot="0" vert="horz" wrap="square" lIns="0" tIns="0" rIns="0" bIns="0" anchor="ctr" anchorCtr="0" upright="1">
                          <a:noAutofit/>
                        </wps:bodyPr>
                      </wps:wsp>
                      <wps:wsp>
                        <wps:cNvPr id="44" name="Text Box 13869"/>
                        <wps:cNvSpPr txBox="1">
                          <a:spLocks noChangeArrowheads="1"/>
                        </wps:cNvSpPr>
                        <wps:spPr bwMode="auto">
                          <a:xfrm>
                            <a:off x="4104410" y="314110"/>
                            <a:ext cx="35291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4CD566" w14:textId="77777777" w:rsidR="00003928" w:rsidRPr="00412418" w:rsidRDefault="00003928" w:rsidP="00003928">
                              <w:pPr>
                                <w:rPr>
                                  <w:sz w:val="18"/>
                                  <w:szCs w:val="18"/>
                                </w:rPr>
                              </w:pPr>
                              <w:r>
                                <w:rPr>
                                  <w:lang w:val="fr-FR"/>
                                </w:rPr>
                                <w:t>Oui</w:t>
                              </w:r>
                            </w:p>
                          </w:txbxContent>
                        </wps:txbx>
                        <wps:bodyPr rot="0" vert="horz" wrap="none" lIns="80888" tIns="40444" rIns="80888" bIns="40444" anchor="t" anchorCtr="0" upright="1">
                          <a:spAutoFit/>
                        </wps:bodyPr>
                      </wps:wsp>
                      <wps:wsp>
                        <wps:cNvPr id="45" name="Straight Arrow Connector 1088"/>
                        <wps:cNvCnPr>
                          <a:cxnSpLocks noChangeShapeType="1"/>
                        </wps:cNvCnPr>
                        <wps:spPr bwMode="auto">
                          <a:xfrm flipH="1">
                            <a:off x="2566540" y="206601"/>
                            <a:ext cx="667" cy="14059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Flowchart: Preparation 13867"/>
                        <wps:cNvSpPr>
                          <a:spLocks noChangeArrowheads="1"/>
                        </wps:cNvSpPr>
                        <wps:spPr bwMode="auto">
                          <a:xfrm>
                            <a:off x="1009537" y="877736"/>
                            <a:ext cx="3106616" cy="509103"/>
                          </a:xfrm>
                          <a:prstGeom prst="flowChartPreparation">
                            <a:avLst/>
                          </a:prstGeom>
                          <a:solidFill>
                            <a:srgbClr val="FFFF99"/>
                          </a:solidFill>
                          <a:ln w="6350" algn="ctr">
                            <a:solidFill>
                              <a:srgbClr val="000000"/>
                            </a:solidFill>
                            <a:miter lim="800000"/>
                            <a:headEnd/>
                            <a:tailEnd/>
                          </a:ln>
                        </wps:spPr>
                        <wps:txbx>
                          <w:txbxContent>
                            <w:p w14:paraId="552AE65A" w14:textId="77777777" w:rsidR="00003928" w:rsidRPr="00300E08" w:rsidRDefault="00003928" w:rsidP="00003928">
                              <w:pPr>
                                <w:pStyle w:val="NormalWeb"/>
                                <w:jc w:val="center"/>
                                <w:rPr>
                                  <w:rFonts w:eastAsia="SimSun"/>
                                  <w:sz w:val="18"/>
                                  <w:szCs w:val="18"/>
                                  <w:lang w:val="fr-FR"/>
                                </w:rPr>
                              </w:pPr>
                              <w:r w:rsidRPr="00E62A79">
                                <w:rPr>
                                  <w:sz w:val="18"/>
                                  <w:szCs w:val="18"/>
                                  <w:lang w:val="fr-FR"/>
                                </w:rPr>
                                <w:t>Tous les critères énumérés à la ligne correspondant au premier essai dans le tableau A1/5 ci-dessous sont satisfaits.</w:t>
                              </w:r>
                            </w:p>
                          </w:txbxContent>
                        </wps:txbx>
                        <wps:bodyPr rot="0" vert="horz" wrap="square" lIns="0" tIns="0" rIns="0" bIns="0" anchor="ctr" anchorCtr="0" upright="1">
                          <a:noAutofit/>
                        </wps:bodyPr>
                      </wps:wsp>
                      <wps:wsp>
                        <wps:cNvPr id="49" name="Straight Arrow Connector 1088"/>
                        <wps:cNvCnPr>
                          <a:cxnSpLocks noChangeShapeType="1"/>
                        </wps:cNvCnPr>
                        <wps:spPr bwMode="auto">
                          <a:xfrm flipH="1">
                            <a:off x="2562037" y="746059"/>
                            <a:ext cx="1344" cy="131281"/>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3869"/>
                        <wps:cNvSpPr txBox="1">
                          <a:spLocks noChangeArrowheads="1"/>
                        </wps:cNvSpPr>
                        <wps:spPr bwMode="auto">
                          <a:xfrm>
                            <a:off x="2161313" y="686179"/>
                            <a:ext cx="38085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D3E249" w14:textId="77777777" w:rsidR="00003928" w:rsidRPr="00412418" w:rsidRDefault="00003928" w:rsidP="00003928">
                              <w:pPr>
                                <w:rPr>
                                  <w:sz w:val="18"/>
                                  <w:szCs w:val="18"/>
                                </w:rPr>
                              </w:pPr>
                              <w:r>
                                <w:rPr>
                                  <w:lang w:val="fr-FR"/>
                                </w:rPr>
                                <w:t>Non</w:t>
                              </w:r>
                            </w:p>
                          </w:txbxContent>
                        </wps:txbx>
                        <wps:bodyPr rot="0" vert="horz" wrap="none" lIns="80888" tIns="40444" rIns="80888" bIns="40444" anchor="t" anchorCtr="0" upright="1">
                          <a:spAutoFit/>
                        </wps:bodyPr>
                      </wps:wsp>
                      <wps:wsp>
                        <wps:cNvPr id="51" name="Text Box 13869"/>
                        <wps:cNvSpPr txBox="1">
                          <a:spLocks noChangeArrowheads="1"/>
                        </wps:cNvSpPr>
                        <wps:spPr bwMode="auto">
                          <a:xfrm>
                            <a:off x="733965" y="852047"/>
                            <a:ext cx="35291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9CF153" w14:textId="77777777" w:rsidR="00003928" w:rsidRPr="00412418" w:rsidRDefault="00003928" w:rsidP="00003928">
                              <w:pPr>
                                <w:rPr>
                                  <w:sz w:val="18"/>
                                  <w:szCs w:val="18"/>
                                </w:rPr>
                              </w:pPr>
                              <w:r>
                                <w:rPr>
                                  <w:lang w:val="fr-FR"/>
                                </w:rPr>
                                <w:t>Oui</w:t>
                              </w:r>
                            </w:p>
                          </w:txbxContent>
                        </wps:txbx>
                        <wps:bodyPr rot="0" vert="horz" wrap="none" lIns="80888" tIns="40444" rIns="80888" bIns="40444" anchor="t" anchorCtr="0" upright="1">
                          <a:spAutoFit/>
                        </wps:bodyPr>
                      </wps:wsp>
                      <wps:wsp>
                        <wps:cNvPr id="52" name="Flowchart: Preparation 13867"/>
                        <wps:cNvSpPr>
                          <a:spLocks noChangeArrowheads="1"/>
                        </wps:cNvSpPr>
                        <wps:spPr bwMode="auto">
                          <a:xfrm>
                            <a:off x="1006626" y="1834129"/>
                            <a:ext cx="3109528" cy="335683"/>
                          </a:xfrm>
                          <a:prstGeom prst="flowChartPreparation">
                            <a:avLst/>
                          </a:prstGeom>
                          <a:solidFill>
                            <a:srgbClr val="FFFF99"/>
                          </a:solidFill>
                          <a:ln w="6350" algn="ctr">
                            <a:solidFill>
                              <a:srgbClr val="000000"/>
                            </a:solidFill>
                            <a:miter lim="800000"/>
                            <a:headEnd/>
                            <a:tailEnd/>
                          </a:ln>
                        </wps:spPr>
                        <wps:txbx>
                          <w:txbxContent>
                            <w:p w14:paraId="1FE2B8B9" w14:textId="48F41770" w:rsidR="00003928" w:rsidRPr="00300E08" w:rsidRDefault="00003928" w:rsidP="00003928">
                              <w:pPr>
                                <w:pStyle w:val="NormalWeb"/>
                                <w:jc w:val="center"/>
                                <w:rPr>
                                  <w:sz w:val="18"/>
                                  <w:szCs w:val="18"/>
                                  <w:lang w:val="fr-FR"/>
                                </w:rPr>
                              </w:pPr>
                              <w:r w:rsidRPr="00B83F0E">
                                <w:rPr>
                                  <w:sz w:val="18"/>
                                  <w:szCs w:val="18"/>
                                  <w:lang w:val="fr-FR"/>
                                </w:rPr>
                                <w:t>Limite dépassée pour l</w:t>
                              </w:r>
                              <w:r w:rsidR="00085B9D">
                                <w:rPr>
                                  <w:sz w:val="18"/>
                                  <w:szCs w:val="18"/>
                                  <w:lang w:val="fr-FR"/>
                                </w:rPr>
                                <w:t>’</w:t>
                              </w:r>
                              <w:r w:rsidRPr="00B83F0E">
                                <w:rPr>
                                  <w:sz w:val="18"/>
                                  <w:szCs w:val="18"/>
                                  <w:lang w:val="fr-FR"/>
                                </w:rPr>
                                <w:t>un des critères</w:t>
                              </w:r>
                            </w:p>
                          </w:txbxContent>
                        </wps:txbx>
                        <wps:bodyPr rot="0" vert="horz" wrap="square" lIns="0" tIns="0" rIns="0" bIns="0" anchor="ctr" anchorCtr="0" upright="1">
                          <a:noAutofit/>
                        </wps:bodyPr>
                      </wps:wsp>
                      <wps:wsp>
                        <wps:cNvPr id="53" name="Text Box 13869"/>
                        <wps:cNvSpPr txBox="1">
                          <a:spLocks noChangeArrowheads="1"/>
                        </wps:cNvSpPr>
                        <wps:spPr bwMode="auto">
                          <a:xfrm>
                            <a:off x="4104830" y="1763882"/>
                            <a:ext cx="35291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D55431" w14:textId="77777777" w:rsidR="00003928" w:rsidRPr="006A2A95" w:rsidRDefault="00003928" w:rsidP="00003928">
                              <w:pPr>
                                <w:pStyle w:val="NormalWeb"/>
                                <w:spacing w:line="240" w:lineRule="exact"/>
                                <w:rPr>
                                  <w:sz w:val="20"/>
                                  <w:szCs w:val="20"/>
                                </w:rPr>
                              </w:pPr>
                              <w:r w:rsidRPr="006A2A95">
                                <w:rPr>
                                  <w:sz w:val="20"/>
                                  <w:szCs w:val="20"/>
                                  <w:lang w:val="fr-FR"/>
                                </w:rPr>
                                <w:t>Oui</w:t>
                              </w:r>
                            </w:p>
                          </w:txbxContent>
                        </wps:txbx>
                        <wps:bodyPr rot="0" vert="horz" wrap="none" lIns="80888" tIns="40444" rIns="80888" bIns="40444" anchor="t" anchorCtr="0" upright="1">
                          <a:spAutoFit/>
                        </wps:bodyPr>
                      </wps:wsp>
                      <wps:wsp>
                        <wps:cNvPr id="54" name="Straight Arrow Connector 1088"/>
                        <wps:cNvCnPr>
                          <a:cxnSpLocks noChangeShapeType="1"/>
                          <a:stCxn id="79" idx="2"/>
                          <a:endCxn id="52" idx="0"/>
                        </wps:cNvCnPr>
                        <wps:spPr bwMode="auto">
                          <a:xfrm>
                            <a:off x="2556759" y="1722346"/>
                            <a:ext cx="4496" cy="111605"/>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Straight Arrow Connector 1088"/>
                        <wps:cNvCnPr>
                          <a:cxnSpLocks noChangeShapeType="1"/>
                        </wps:cNvCnPr>
                        <wps:spPr bwMode="auto">
                          <a:xfrm>
                            <a:off x="2561257" y="2169601"/>
                            <a:ext cx="3435" cy="202011"/>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13869"/>
                        <wps:cNvSpPr txBox="1">
                          <a:spLocks noChangeArrowheads="1"/>
                        </wps:cNvSpPr>
                        <wps:spPr bwMode="auto">
                          <a:xfrm>
                            <a:off x="2159150" y="2154549"/>
                            <a:ext cx="38085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3688D5" w14:textId="77777777" w:rsidR="00003928" w:rsidRPr="00003928" w:rsidRDefault="00003928" w:rsidP="00003928">
                              <w:pPr>
                                <w:pStyle w:val="NormalWeb"/>
                                <w:spacing w:line="240" w:lineRule="exact"/>
                                <w:rPr>
                                  <w:sz w:val="20"/>
                                  <w:szCs w:val="20"/>
                                </w:rPr>
                              </w:pPr>
                              <w:r w:rsidRPr="00003928">
                                <w:rPr>
                                  <w:sz w:val="20"/>
                                  <w:szCs w:val="20"/>
                                  <w:lang w:val="fr-FR"/>
                                </w:rPr>
                                <w:t>Non</w:t>
                              </w:r>
                            </w:p>
                          </w:txbxContent>
                        </wps:txbx>
                        <wps:bodyPr rot="0" vert="horz" wrap="none" lIns="80888" tIns="40444" rIns="80888" bIns="40444" anchor="t" anchorCtr="0" upright="1">
                          <a:spAutoFit/>
                        </wps:bodyPr>
                      </wps:wsp>
                      <wps:wsp>
                        <wps:cNvPr id="58" name="Text Box 13869"/>
                        <wps:cNvSpPr txBox="1">
                          <a:spLocks noChangeArrowheads="1"/>
                        </wps:cNvSpPr>
                        <wps:spPr bwMode="auto">
                          <a:xfrm>
                            <a:off x="734865" y="2414601"/>
                            <a:ext cx="35291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2C1325" w14:textId="77777777" w:rsidR="00003928" w:rsidRPr="00003928" w:rsidRDefault="00003928" w:rsidP="00003928">
                              <w:pPr>
                                <w:pStyle w:val="NormalWeb"/>
                                <w:spacing w:line="240" w:lineRule="exact"/>
                                <w:rPr>
                                  <w:sz w:val="20"/>
                                  <w:szCs w:val="20"/>
                                </w:rPr>
                              </w:pPr>
                              <w:r w:rsidRPr="00003928">
                                <w:rPr>
                                  <w:sz w:val="20"/>
                                  <w:szCs w:val="20"/>
                                  <w:lang w:val="fr-FR"/>
                                </w:rPr>
                                <w:t>Oui</w:t>
                              </w:r>
                            </w:p>
                          </w:txbxContent>
                        </wps:txbx>
                        <wps:bodyPr rot="0" vert="horz" wrap="none" lIns="80888" tIns="40444" rIns="80888" bIns="40444" anchor="t" anchorCtr="0" upright="1">
                          <a:spAutoFit/>
                        </wps:bodyPr>
                      </wps:wsp>
                      <wps:wsp>
                        <wps:cNvPr id="59" name="Straight Arrow Connector 1088"/>
                        <wps:cNvCnPr>
                          <a:cxnSpLocks noChangeShapeType="1"/>
                        </wps:cNvCnPr>
                        <wps:spPr bwMode="auto">
                          <a:xfrm>
                            <a:off x="2559555" y="1392643"/>
                            <a:ext cx="112" cy="148185"/>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13866"/>
                        <wps:cNvSpPr txBox="1">
                          <a:spLocks noChangeArrowheads="1"/>
                        </wps:cNvSpPr>
                        <wps:spPr bwMode="auto">
                          <a:xfrm>
                            <a:off x="2078699" y="3122439"/>
                            <a:ext cx="968226" cy="1651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46E73C05" w14:textId="77777777" w:rsidR="00003928" w:rsidRPr="00003928" w:rsidRDefault="00003928" w:rsidP="00003928">
                              <w:pPr>
                                <w:pStyle w:val="NormalWeb"/>
                                <w:spacing w:line="240" w:lineRule="exact"/>
                                <w:rPr>
                                  <w:sz w:val="20"/>
                                  <w:szCs w:val="20"/>
                                </w:rPr>
                              </w:pPr>
                              <w:r w:rsidRPr="00003928">
                                <w:rPr>
                                  <w:sz w:val="20"/>
                                  <w:szCs w:val="20"/>
                                  <w:lang w:val="fr-FR"/>
                                </w:rPr>
                                <w:t>Troisième essai</w:t>
                              </w:r>
                            </w:p>
                          </w:txbxContent>
                        </wps:txbx>
                        <wps:bodyPr rot="0" vert="horz" wrap="none" lIns="80888" tIns="0" rIns="80888" bIns="0" anchor="ctr" anchorCtr="0" upright="1">
                          <a:spAutoFit/>
                        </wps:bodyPr>
                      </wps:wsp>
                      <wps:wsp>
                        <wps:cNvPr id="61" name="Flowchart: Preparation 13867"/>
                        <wps:cNvSpPr>
                          <a:spLocks noChangeArrowheads="1"/>
                        </wps:cNvSpPr>
                        <wps:spPr bwMode="auto">
                          <a:xfrm>
                            <a:off x="1009443" y="3451876"/>
                            <a:ext cx="3106710" cy="355686"/>
                          </a:xfrm>
                          <a:prstGeom prst="flowChartPreparation">
                            <a:avLst/>
                          </a:prstGeom>
                          <a:solidFill>
                            <a:srgbClr val="FFFF99"/>
                          </a:solidFill>
                          <a:ln w="6350" algn="ctr">
                            <a:solidFill>
                              <a:srgbClr val="000000"/>
                            </a:solidFill>
                            <a:miter lim="800000"/>
                            <a:headEnd/>
                            <a:tailEnd/>
                          </a:ln>
                        </wps:spPr>
                        <wps:txbx>
                          <w:txbxContent>
                            <w:p w14:paraId="2FF673E5" w14:textId="6D02B51F" w:rsidR="00003928" w:rsidRPr="006A2A95" w:rsidRDefault="00003928" w:rsidP="00003928">
                              <w:pPr>
                                <w:pStyle w:val="NormalWeb"/>
                                <w:jc w:val="center"/>
                                <w:rPr>
                                  <w:sz w:val="18"/>
                                  <w:szCs w:val="18"/>
                                  <w:lang w:val="fr-FR"/>
                                </w:rPr>
                              </w:pPr>
                              <w:r w:rsidRPr="006A2A95">
                                <w:rPr>
                                  <w:sz w:val="18"/>
                                  <w:szCs w:val="18"/>
                                  <w:lang w:val="fr-FR"/>
                                </w:rPr>
                                <w:t>Limite dépassée pour l</w:t>
                              </w:r>
                              <w:r w:rsidR="006A2A95" w:rsidRPr="006A2A95">
                                <w:rPr>
                                  <w:sz w:val="18"/>
                                  <w:szCs w:val="18"/>
                                  <w:lang w:val="fr-FR"/>
                                </w:rPr>
                                <w:t>’</w:t>
                              </w:r>
                              <w:r w:rsidRPr="006A2A95">
                                <w:rPr>
                                  <w:sz w:val="18"/>
                                  <w:szCs w:val="18"/>
                                  <w:lang w:val="fr-FR"/>
                                </w:rPr>
                                <w:t>un des critères</w:t>
                              </w:r>
                            </w:p>
                          </w:txbxContent>
                        </wps:txbx>
                        <wps:bodyPr rot="0" vert="horz" wrap="square" lIns="0" tIns="0" rIns="0" bIns="0" anchor="ctr" anchorCtr="0" upright="1">
                          <a:noAutofit/>
                        </wps:bodyPr>
                      </wps:wsp>
                      <wps:wsp>
                        <wps:cNvPr id="62" name="Text Box 13869"/>
                        <wps:cNvSpPr txBox="1">
                          <a:spLocks noChangeArrowheads="1"/>
                        </wps:cNvSpPr>
                        <wps:spPr bwMode="auto">
                          <a:xfrm>
                            <a:off x="4096387" y="3393589"/>
                            <a:ext cx="35291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C8D722" w14:textId="77777777" w:rsidR="00003928" w:rsidRPr="00003928" w:rsidRDefault="00003928" w:rsidP="00003928">
                              <w:pPr>
                                <w:pStyle w:val="NormalWeb"/>
                                <w:spacing w:line="240" w:lineRule="exact"/>
                                <w:rPr>
                                  <w:sz w:val="20"/>
                                  <w:szCs w:val="20"/>
                                </w:rPr>
                              </w:pPr>
                              <w:r w:rsidRPr="00003928">
                                <w:rPr>
                                  <w:sz w:val="20"/>
                                  <w:szCs w:val="20"/>
                                  <w:lang w:val="fr-FR"/>
                                </w:rPr>
                                <w:t>Oui</w:t>
                              </w:r>
                            </w:p>
                          </w:txbxContent>
                        </wps:txbx>
                        <wps:bodyPr rot="0" vert="horz" wrap="none" lIns="80888" tIns="40444" rIns="80888" bIns="40444" anchor="t" anchorCtr="0" upright="1">
                          <a:spAutoFit/>
                        </wps:bodyPr>
                      </wps:wsp>
                      <wps:wsp>
                        <wps:cNvPr id="63" name="Straight Arrow Connector 1088"/>
                        <wps:cNvCnPr>
                          <a:cxnSpLocks noChangeShapeType="1"/>
                        </wps:cNvCnPr>
                        <wps:spPr bwMode="auto">
                          <a:xfrm flipH="1">
                            <a:off x="2562263" y="3297962"/>
                            <a:ext cx="1118" cy="142860"/>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Straight Arrow Connector 1088"/>
                        <wps:cNvCnPr>
                          <a:cxnSpLocks noChangeShapeType="1"/>
                        </wps:cNvCnPr>
                        <wps:spPr bwMode="auto">
                          <a:xfrm>
                            <a:off x="2569172" y="3810747"/>
                            <a:ext cx="1817" cy="262693"/>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フローチャート : 代替処理 648"/>
                        <wps:cNvSpPr/>
                        <wps:spPr>
                          <a:xfrm>
                            <a:off x="4051418" y="4060290"/>
                            <a:ext cx="831087" cy="57090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6183FE68" w14:textId="77777777" w:rsidR="00003928" w:rsidRPr="006A2A95" w:rsidRDefault="00003928" w:rsidP="00003928">
                              <w:pPr>
                                <w:pStyle w:val="NormalWeb"/>
                                <w:spacing w:line="240" w:lineRule="exact"/>
                                <w:jc w:val="center"/>
                                <w:rPr>
                                  <w:sz w:val="18"/>
                                  <w:szCs w:val="18"/>
                                </w:rPr>
                              </w:pPr>
                              <w:r w:rsidRPr="006A2A95">
                                <w:rPr>
                                  <w:sz w:val="18"/>
                                  <w:szCs w:val="18"/>
                                  <w:lang w:val="fr-FR"/>
                                </w:rPr>
                                <w:t>Rejeté</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7" name="Text Box 13869"/>
                        <wps:cNvSpPr txBox="1">
                          <a:spLocks noChangeArrowheads="1"/>
                        </wps:cNvSpPr>
                        <wps:spPr bwMode="auto">
                          <a:xfrm>
                            <a:off x="2188018" y="3794335"/>
                            <a:ext cx="38085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C3BCF7" w14:textId="77777777" w:rsidR="00003928" w:rsidRPr="00003928" w:rsidRDefault="00003928" w:rsidP="00003928">
                              <w:pPr>
                                <w:pStyle w:val="NormalWeb"/>
                                <w:spacing w:line="240" w:lineRule="exact"/>
                                <w:rPr>
                                  <w:sz w:val="20"/>
                                  <w:szCs w:val="20"/>
                                </w:rPr>
                              </w:pPr>
                              <w:r w:rsidRPr="00003928">
                                <w:rPr>
                                  <w:sz w:val="20"/>
                                  <w:szCs w:val="20"/>
                                  <w:lang w:val="fr-FR"/>
                                </w:rPr>
                                <w:t>Non</w:t>
                              </w:r>
                            </w:p>
                          </w:txbxContent>
                        </wps:txbx>
                        <wps:bodyPr rot="0" vert="horz" wrap="none" lIns="80888" tIns="40444" rIns="80888" bIns="40444" anchor="t" anchorCtr="0" upright="1">
                          <a:spAutoFit/>
                        </wps:bodyPr>
                      </wps:wsp>
                      <wps:wsp>
                        <wps:cNvPr id="68" name="Straight Arrow Connector 1088"/>
                        <wps:cNvCnPr>
                          <a:cxnSpLocks noChangeShapeType="1"/>
                        </wps:cNvCnPr>
                        <wps:spPr bwMode="auto">
                          <a:xfrm flipH="1">
                            <a:off x="2567173" y="2942149"/>
                            <a:ext cx="34" cy="158556"/>
                          </a:xfrm>
                          <a:prstGeom prst="straightConnector1">
                            <a:avLst/>
                          </a:prstGeom>
                          <a:noFill/>
                          <a:ln w="63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フローチャート : 代替処理 655"/>
                        <wps:cNvSpPr/>
                        <wps:spPr>
                          <a:xfrm>
                            <a:off x="1449632" y="4060696"/>
                            <a:ext cx="2229971" cy="571308"/>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333519C3" w14:textId="64FEC197" w:rsidR="00003928" w:rsidRPr="006A2A95" w:rsidRDefault="00003928" w:rsidP="006A2A95">
                              <w:pPr>
                                <w:pStyle w:val="NormalWeb"/>
                                <w:jc w:val="center"/>
                                <w:rPr>
                                  <w:sz w:val="18"/>
                                  <w:szCs w:val="18"/>
                                  <w:lang w:val="fr-FR"/>
                                </w:rPr>
                              </w:pPr>
                              <w:r w:rsidRPr="006A2A95">
                                <w:rPr>
                                  <w:sz w:val="18"/>
                                  <w:szCs w:val="18"/>
                                  <w:lang w:val="fr-FR"/>
                                </w:rPr>
                                <w:t xml:space="preserve">Valeur déclarée ou moyenne </w:t>
                              </w:r>
                              <w:r w:rsidR="006A2A95">
                                <w:rPr>
                                  <w:sz w:val="18"/>
                                  <w:szCs w:val="18"/>
                                  <w:lang w:val="fr-FR"/>
                                </w:rPr>
                                <w:br/>
                              </w:r>
                              <w:r w:rsidRPr="006A2A95">
                                <w:rPr>
                                  <w:sz w:val="18"/>
                                  <w:szCs w:val="18"/>
                                  <w:lang w:val="fr-FR"/>
                                </w:rPr>
                                <w:t xml:space="preserve">des trois acceptée, selon l’appréciation </w:t>
                              </w:r>
                              <w:r w:rsidR="006A2A95">
                                <w:rPr>
                                  <w:sz w:val="18"/>
                                  <w:szCs w:val="18"/>
                                  <w:lang w:val="fr-FR"/>
                                </w:rPr>
                                <w:br/>
                              </w:r>
                              <w:r w:rsidRPr="006A2A95">
                                <w:rPr>
                                  <w:sz w:val="18"/>
                                  <w:szCs w:val="18"/>
                                  <w:lang w:val="fr-FR"/>
                                </w:rPr>
                                <w:t>de chaque valeur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0" name="カギ線コネクタ 66"/>
                        <wps:cNvCnPr/>
                        <wps:spPr>
                          <a:xfrm>
                            <a:off x="4107847" y="556054"/>
                            <a:ext cx="350808" cy="3507043"/>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1" name="カギ線コネクタ 656"/>
                        <wps:cNvCnPr/>
                        <wps:spPr>
                          <a:xfrm>
                            <a:off x="4108599" y="2005798"/>
                            <a:ext cx="350808" cy="2058318"/>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2" name="カギ線コネクタ 657"/>
                        <wps:cNvCnPr/>
                        <wps:spPr>
                          <a:xfrm>
                            <a:off x="4108266" y="3630352"/>
                            <a:ext cx="350790" cy="440086"/>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3" name="フローチャート : 代替処理 658"/>
                        <wps:cNvSpPr/>
                        <wps:spPr>
                          <a:xfrm>
                            <a:off x="20936" y="4060272"/>
                            <a:ext cx="1245938" cy="571732"/>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172A1300" w14:textId="4A2ED724" w:rsidR="00003928" w:rsidRPr="006A2A95" w:rsidRDefault="00003928" w:rsidP="006A2A95">
                              <w:pPr>
                                <w:pStyle w:val="NormalWeb"/>
                                <w:jc w:val="center"/>
                                <w:rPr>
                                  <w:sz w:val="18"/>
                                  <w:szCs w:val="18"/>
                                  <w:lang w:val="fr-FR"/>
                                </w:rPr>
                              </w:pPr>
                              <w:r w:rsidRPr="006A2A95">
                                <w:rPr>
                                  <w:sz w:val="18"/>
                                  <w:szCs w:val="18"/>
                                  <w:lang w:val="fr-FR"/>
                                </w:rPr>
                                <w:t xml:space="preserve">Valeurs et émissions déclarées </w:t>
                              </w:r>
                              <w:r w:rsidR="006A2A95">
                                <w:rPr>
                                  <w:sz w:val="18"/>
                                  <w:szCs w:val="18"/>
                                  <w:lang w:val="fr-FR"/>
                                </w:rPr>
                                <w:br/>
                              </w:r>
                              <w:r w:rsidRPr="006A2A95">
                                <w:rPr>
                                  <w:sz w:val="18"/>
                                  <w:szCs w:val="18"/>
                                  <w:lang w:val="fr-FR"/>
                                </w:rPr>
                                <w:t>toutes acceptées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4" name="カギ線コネクタ 659"/>
                        <wps:cNvCnPr/>
                        <wps:spPr>
                          <a:xfrm rot="10800000" flipV="1">
                            <a:off x="643905" y="1134273"/>
                            <a:ext cx="365632" cy="2941301"/>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5" name="カギ線コネクタ 660"/>
                        <wps:cNvCnPr/>
                        <wps:spPr>
                          <a:xfrm rot="10800000" flipV="1">
                            <a:off x="643905" y="2677747"/>
                            <a:ext cx="365632" cy="1400007"/>
                          </a:xfrm>
                          <a:prstGeom prst="bentConnector2">
                            <a:avLst/>
                          </a:prstGeom>
                          <a:noFill/>
                          <a:ln w="6350" cap="flat" cmpd="sng" algn="ctr">
                            <a:solidFill>
                              <a:sysClr val="windowText" lastClr="000000"/>
                            </a:solidFill>
                            <a:prstDash val="solid"/>
                            <a:miter lim="800000"/>
                            <a:headEnd type="none" w="med" len="med"/>
                            <a:tailEnd type="triangle" w="med" len="med"/>
                          </a:ln>
                          <a:effectLst/>
                        </wps:spPr>
                        <wps:bodyPr/>
                      </wps:wsp>
                      <wps:wsp>
                        <wps:cNvPr id="76" name="Text Box 13869"/>
                        <wps:cNvSpPr txBox="1">
                          <a:spLocks noChangeArrowheads="1"/>
                        </wps:cNvSpPr>
                        <wps:spPr bwMode="auto">
                          <a:xfrm>
                            <a:off x="2161441" y="1331766"/>
                            <a:ext cx="380851" cy="233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27B394" w14:textId="77777777" w:rsidR="00003928" w:rsidRPr="00412418" w:rsidRDefault="00003928" w:rsidP="00003928">
                              <w:pPr>
                                <w:rPr>
                                  <w:sz w:val="18"/>
                                  <w:szCs w:val="18"/>
                                </w:rPr>
                              </w:pPr>
                              <w:r>
                                <w:rPr>
                                  <w:lang w:val="fr-FR"/>
                                </w:rPr>
                                <w:t>Non</w:t>
                              </w:r>
                            </w:p>
                          </w:txbxContent>
                        </wps:txbx>
                        <wps:bodyPr rot="0" vert="horz" wrap="none" lIns="80888" tIns="40444" rIns="80888" bIns="40444" anchor="t" anchorCtr="0" upright="1">
                          <a:spAutoFit/>
                        </wps:bodyPr>
                      </wps:wsp>
                      <wps:wsp>
                        <wps:cNvPr id="77" name="Text Box 13869"/>
                        <wps:cNvSpPr txBox="1">
                          <a:spLocks noChangeArrowheads="1"/>
                        </wps:cNvSpPr>
                        <wps:spPr bwMode="auto">
                          <a:xfrm>
                            <a:off x="2165505" y="2951457"/>
                            <a:ext cx="38085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2100AB" w14:textId="77777777" w:rsidR="00003928" w:rsidRPr="00412418" w:rsidRDefault="00003928" w:rsidP="00003928">
                              <w:pPr>
                                <w:rPr>
                                  <w:sz w:val="18"/>
                                  <w:szCs w:val="18"/>
                                </w:rPr>
                              </w:pPr>
                              <w:r>
                                <w:rPr>
                                  <w:lang w:val="fr-FR"/>
                                </w:rPr>
                                <w:t>Non</w:t>
                              </w:r>
                            </w:p>
                          </w:txbxContent>
                        </wps:txbx>
                        <wps:bodyPr rot="0" vert="horz" wrap="none" lIns="80888" tIns="0" rIns="80888" bIns="0" anchor="t" anchorCtr="0" upright="1">
                          <a:spAutoFit/>
                        </wps:bodyPr>
                      </wps:wsp>
                      <wps:wsp>
                        <wps:cNvPr id="78" name="Flowchart: Preparation 13867"/>
                        <wps:cNvSpPr>
                          <a:spLocks noChangeArrowheads="1"/>
                        </wps:cNvSpPr>
                        <wps:spPr bwMode="auto">
                          <a:xfrm>
                            <a:off x="1013180" y="2379024"/>
                            <a:ext cx="3106616" cy="588310"/>
                          </a:xfrm>
                          <a:prstGeom prst="flowChartPreparation">
                            <a:avLst/>
                          </a:prstGeom>
                          <a:solidFill>
                            <a:srgbClr val="FFFF99"/>
                          </a:solidFill>
                          <a:ln w="6350" algn="ctr">
                            <a:solidFill>
                              <a:srgbClr val="000000"/>
                            </a:solidFill>
                            <a:miter lim="800000"/>
                            <a:headEnd/>
                            <a:tailEnd/>
                          </a:ln>
                        </wps:spPr>
                        <wps:txbx>
                          <w:txbxContent>
                            <w:p w14:paraId="07237A0A" w14:textId="77777777" w:rsidR="00003928" w:rsidRPr="00003928" w:rsidRDefault="00003928" w:rsidP="00003928">
                              <w:pPr>
                                <w:pStyle w:val="NormalWeb"/>
                                <w:jc w:val="center"/>
                                <w:rPr>
                                  <w:rFonts w:eastAsia="SimSun"/>
                                  <w:sz w:val="18"/>
                                  <w:szCs w:val="18"/>
                                  <w:lang w:val="fr-FR"/>
                                </w:rPr>
                              </w:pPr>
                              <w:r w:rsidRPr="00003928">
                                <w:rPr>
                                  <w:sz w:val="18"/>
                                  <w:szCs w:val="18"/>
                                  <w:lang w:val="fr-FR"/>
                                </w:rPr>
                                <w:t>Tous les critères énumérés à la ligne correspondant au deuxième essai dans le tableau A1/5 ci-dessous sont satisfaits.</w:t>
                              </w:r>
                            </w:p>
                          </w:txbxContent>
                        </wps:txbx>
                        <wps:bodyPr rot="0" vert="horz" wrap="square" lIns="0" tIns="0" rIns="0" bIns="0" anchor="ctr" anchorCtr="0" upright="1">
                          <a:noAutofit/>
                        </wps:bodyPr>
                      </wps:wsp>
                      <wps:wsp>
                        <wps:cNvPr id="79" name="Text Box 13866"/>
                        <wps:cNvSpPr txBox="1">
                          <a:spLocks noChangeArrowheads="1"/>
                        </wps:cNvSpPr>
                        <wps:spPr bwMode="auto">
                          <a:xfrm>
                            <a:off x="2114177" y="1549506"/>
                            <a:ext cx="885435" cy="173008"/>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770D83E8" w14:textId="77777777" w:rsidR="00003928" w:rsidRPr="00003928" w:rsidRDefault="00003928" w:rsidP="006A2A95">
                              <w:pPr>
                                <w:pStyle w:val="NormalWeb"/>
                                <w:rPr>
                                  <w:sz w:val="20"/>
                                  <w:szCs w:val="20"/>
                                </w:rPr>
                              </w:pPr>
                              <w:r w:rsidRPr="00003928">
                                <w:rPr>
                                  <w:sz w:val="20"/>
                                  <w:szCs w:val="20"/>
                                  <w:lang w:val="fr-FR"/>
                                </w:rPr>
                                <w:t>Deuxième essai</w:t>
                              </w:r>
                            </w:p>
                          </w:txbxContent>
                        </wps:txbx>
                        <wps:bodyPr rot="0" vert="horz" wrap="none" lIns="36000" tIns="0" rIns="36000" bIns="0" anchor="ctr" anchorCtr="0" upright="1">
                          <a:noAutofit/>
                        </wps:bodyPr>
                      </wps:wsp>
                    </wpc:wpc>
                  </a:graphicData>
                </a:graphic>
              </wp:inline>
            </w:drawing>
          </mc:Choice>
          <mc:Fallback>
            <w:pict>
              <v:group w14:anchorId="42351DC2" id="Canvas 1116" o:spid="_x0000_s1026" editas="canvas" style="width:365.65pt;height:364.55pt;mso-position-horizontal-relative:char;mso-position-vertical-relative:line" coordsize="46437,4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437;height:46291;visibility:visible;mso-wrap-style:square">
                  <v:fill o:detectmouseclick="t"/>
                  <v:path o:connecttype="none"/>
                </v:shape>
                <v:shapetype id="_x0000_t202" coordsize="21600,21600" o:spt="202" path="m,l,21600r21600,l21600,xe">
                  <v:stroke joinstyle="miter"/>
                  <v:path gradientshapeok="t" o:connecttype="rect"/>
                </v:shapetype>
                <v:shape id="Text Box 13866" o:spid="_x0000_s1028" type="#_x0000_t202" style="position:absolute;left:21803;top:344;width:7654;height:161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" fillcolor="window" strokecolor="windowText" strokeweight="1pt">
                  <v:textbox inset="1mm,0,1mm,0">
                    <w:txbxContent>
                      <w:p w14:paraId="22D25F0C" w14:textId="77777777" w:rsidR="00003928" w:rsidRPr="00412418" w:rsidRDefault="00003928" w:rsidP="006A2A95">
                        <w:pPr>
                          <w:spacing w:line="240" w:lineRule="auto"/>
                          <w:jc w:val="center"/>
                          <w:rPr>
                            <w:sz w:val="18"/>
                            <w:szCs w:val="18"/>
                          </w:rPr>
                        </w:pPr>
                        <w:r>
                          <w:rPr>
                            <w:lang w:val="fr-FR"/>
                          </w:rPr>
                          <w:t>Premier essai</w:t>
                        </w:r>
                      </w:p>
                    </w:txbxContent>
                  </v:textbox>
                </v:shape>
                <v:shapetype id="_x0000_t117" coordsize="21600,21600" o:spt="117" path="m4353,l17214,r4386,10800l17214,21600r-12861,l,10800xe">
                  <v:stroke joinstyle="miter"/>
                  <v:path gradientshapeok="t" o:connecttype="rect" textboxrect="4353,0,17214,21600"/>
                </v:shapetype>
                <v:shape id="Flowchart: Preparation 13867" o:spid="_x0000_s1029" type="#_x0000_t117" style="position:absolute;left:9947;top:3632;width:31066;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" fillcolor="#ff9" strokeweight=".5pt">
                  <v:textbox inset="0,0,0,0">
                    <w:txbxContent>
                      <w:p w14:paraId="7B95077A" w14:textId="1E6F15D2" w:rsidR="00003928" w:rsidRPr="00003928" w:rsidRDefault="00003928" w:rsidP="00003928">
                        <w:pPr>
                          <w:pStyle w:val="NormalWeb"/>
                          <w:jc w:val="center"/>
                          <w:rPr>
                            <w:sz w:val="18"/>
                            <w:szCs w:val="18"/>
                            <w:lang w:val="fr-FR"/>
                          </w:rPr>
                        </w:pPr>
                        <w:r w:rsidRPr="00003928">
                          <w:rPr>
                            <w:sz w:val="18"/>
                            <w:szCs w:val="18"/>
                            <w:lang w:val="fr-FR"/>
                          </w:rPr>
                          <w:t>Limite dépassée pour l</w:t>
                        </w:r>
                        <w:r>
                          <w:rPr>
                            <w:sz w:val="18"/>
                            <w:szCs w:val="18"/>
                            <w:lang w:val="fr-FR"/>
                          </w:rPr>
                          <w:t>’</w:t>
                        </w:r>
                        <w:r w:rsidRPr="00003928">
                          <w:rPr>
                            <w:sz w:val="18"/>
                            <w:szCs w:val="18"/>
                            <w:lang w:val="fr-FR"/>
                          </w:rPr>
                          <w:t>un des critères</w:t>
                        </w:r>
                      </w:p>
                    </w:txbxContent>
                  </v:textbox>
                </v:shape>
                <v:shape id="Text Box 13869" o:spid="_x0000_s1030" type="#_x0000_t202" style="position:absolute;left:41044;top:3141;width:3529;height:2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" filled="f" stroked="f" strokeweight=".5pt">
                  <v:textbox style="mso-fit-shape-to-text:t" inset="2.24689mm,1.1234mm,2.24689mm,1.1234mm">
                    <w:txbxContent>
                      <w:p w14:paraId="1F4CD566" w14:textId="77777777" w:rsidR="00003928" w:rsidRPr="00412418" w:rsidRDefault="00003928" w:rsidP="00003928">
                        <w:pPr>
                          <w:rPr>
                            <w:sz w:val="18"/>
                            <w:szCs w:val="18"/>
                          </w:rPr>
                        </w:pPr>
                        <w:r>
                          <w:rPr>
                            <w:lang w:val="fr-FR"/>
                          </w:rPr>
                          <w:t>Oui</w:t>
                        </w:r>
                      </w:p>
                    </w:txbxContent>
                  </v:textbox>
                </v:shape>
                <v:shapetype id="_x0000_t32" coordsize="21600,21600" o:spt="32" o:oned="t" path="m,l21600,21600e" filled="f">
                  <v:path arrowok="t" fillok="f" o:connecttype="none"/>
                  <o:lock v:ext="edit" shapetype="t"/>
                </v:shapetype>
                <v:shape id="Straight Arrow Connector 1088" o:spid="_x0000_s1031" type="#_x0000_t32" style="position:absolute;left:25665;top:2066;width:7;height:14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" strokeweight=".5pt">
                  <v:stroke endarrow="block"/>
                </v:shape>
                <v:shape id="Flowchart: Preparation 13867" o:spid="_x0000_s1032" type="#_x0000_t117" style="position:absolute;left:10095;top:8777;width:31066;height:5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" fillcolor="#ff9" strokeweight=".5pt">
                  <v:textbox inset="0,0,0,0">
                    <w:txbxContent>
                      <w:p w14:paraId="552AE65A" w14:textId="77777777" w:rsidR="00003928" w:rsidRPr="00300E08" w:rsidRDefault="00003928" w:rsidP="00003928">
                        <w:pPr>
                          <w:pStyle w:val="NormalWeb"/>
                          <w:jc w:val="center"/>
                          <w:rPr>
                            <w:rFonts w:eastAsia="SimSun"/>
                            <w:sz w:val="18"/>
                            <w:szCs w:val="18"/>
                            <w:lang w:val="fr-FR"/>
                          </w:rPr>
                        </w:pPr>
                        <w:r w:rsidRPr="00E62A79">
                          <w:rPr>
                            <w:sz w:val="18"/>
                            <w:szCs w:val="18"/>
                            <w:lang w:val="fr-FR"/>
                          </w:rPr>
                          <w:t>Tous les critères énumérés à la ligne correspondant au premier essai dans le tableau A1/5 ci-dessous sont satisfaits.</w:t>
                        </w:r>
                      </w:p>
                    </w:txbxContent>
                  </v:textbox>
                </v:shape>
                <v:shape id="Straight Arrow Connector 1088" o:spid="_x0000_s1033" type="#_x0000_t32" style="position:absolute;left:25620;top:7460;width:13;height:13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" strokeweight=".5pt">
                  <v:stroke endarrow="block"/>
                </v:shape>
                <v:shape id="Text Box 13869" o:spid="_x0000_s1034" type="#_x0000_t202" style="position:absolute;left:21613;top:6861;width:3808;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" filled="f" stroked="f" strokeweight=".5pt">
                  <v:textbox style="mso-fit-shape-to-text:t" inset="2.24689mm,1.1234mm,2.24689mm,1.1234mm">
                    <w:txbxContent>
                      <w:p w14:paraId="69D3E249" w14:textId="77777777" w:rsidR="00003928" w:rsidRPr="00412418" w:rsidRDefault="00003928" w:rsidP="00003928">
                        <w:pPr>
                          <w:rPr>
                            <w:sz w:val="18"/>
                            <w:szCs w:val="18"/>
                          </w:rPr>
                        </w:pPr>
                        <w:r>
                          <w:rPr>
                            <w:lang w:val="fr-FR"/>
                          </w:rPr>
                          <w:t>Non</w:t>
                        </w:r>
                      </w:p>
                    </w:txbxContent>
                  </v:textbox>
                </v:shape>
                <v:shape id="Text Box 13869" o:spid="_x0000_s1035" type="#_x0000_t202" style="position:absolute;left:7339;top:8520;width:3529;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" filled="f" stroked="f" strokeweight=".5pt">
                  <v:textbox style="mso-fit-shape-to-text:t" inset="2.24689mm,1.1234mm,2.24689mm,1.1234mm">
                    <w:txbxContent>
                      <w:p w14:paraId="009CF153" w14:textId="77777777" w:rsidR="00003928" w:rsidRPr="00412418" w:rsidRDefault="00003928" w:rsidP="00003928">
                        <w:pPr>
                          <w:rPr>
                            <w:sz w:val="18"/>
                            <w:szCs w:val="18"/>
                          </w:rPr>
                        </w:pPr>
                        <w:r>
                          <w:rPr>
                            <w:lang w:val="fr-FR"/>
                          </w:rPr>
                          <w:t>Oui</w:t>
                        </w:r>
                      </w:p>
                    </w:txbxContent>
                  </v:textbox>
                </v:shape>
                <v:shape id="Flowchart: Preparation 13867" o:spid="_x0000_s1036" type="#_x0000_t117" style="position:absolute;left:10066;top:18341;width:31095;height:3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" fillcolor="#ff9" strokeweight=".5pt">
                  <v:textbox inset="0,0,0,0">
                    <w:txbxContent>
                      <w:p w14:paraId="1FE2B8B9" w14:textId="48F41770" w:rsidR="00003928" w:rsidRPr="00300E08" w:rsidRDefault="00003928" w:rsidP="00003928">
                        <w:pPr>
                          <w:pStyle w:val="NormalWeb"/>
                          <w:jc w:val="center"/>
                          <w:rPr>
                            <w:sz w:val="18"/>
                            <w:szCs w:val="18"/>
                            <w:lang w:val="fr-FR"/>
                          </w:rPr>
                        </w:pPr>
                        <w:r w:rsidRPr="00B83F0E">
                          <w:rPr>
                            <w:sz w:val="18"/>
                            <w:szCs w:val="18"/>
                            <w:lang w:val="fr-FR"/>
                          </w:rPr>
                          <w:t>Limite dépassée pour l</w:t>
                        </w:r>
                        <w:r w:rsidR="00085B9D">
                          <w:rPr>
                            <w:sz w:val="18"/>
                            <w:szCs w:val="18"/>
                            <w:lang w:val="fr-FR"/>
                          </w:rPr>
                          <w:t>’</w:t>
                        </w:r>
                        <w:r w:rsidRPr="00B83F0E">
                          <w:rPr>
                            <w:sz w:val="18"/>
                            <w:szCs w:val="18"/>
                            <w:lang w:val="fr-FR"/>
                          </w:rPr>
                          <w:t>un des critères</w:t>
                        </w:r>
                      </w:p>
                    </w:txbxContent>
                  </v:textbox>
                </v:shape>
                <v:shape id="Text Box 13869" o:spid="_x0000_s1037" type="#_x0000_t202" style="position:absolute;left:41048;top:17638;width:3529;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" filled="f" stroked="f" strokeweight=".5pt">
                  <v:textbox style="mso-fit-shape-to-text:t" inset="2.24689mm,1.1234mm,2.24689mm,1.1234mm">
                    <w:txbxContent>
                      <w:p w14:paraId="57D55431" w14:textId="77777777" w:rsidR="00003928" w:rsidRPr="006A2A95" w:rsidRDefault="00003928" w:rsidP="00003928">
                        <w:pPr>
                          <w:pStyle w:val="NormalWeb"/>
                          <w:spacing w:line="240" w:lineRule="exact"/>
                          <w:rPr>
                            <w:sz w:val="20"/>
                            <w:szCs w:val="20"/>
                          </w:rPr>
                        </w:pPr>
                        <w:r w:rsidRPr="006A2A95">
                          <w:rPr>
                            <w:sz w:val="20"/>
                            <w:szCs w:val="20"/>
                            <w:lang w:val="fr-FR"/>
                          </w:rPr>
                          <w:t>Oui</w:t>
                        </w:r>
                      </w:p>
                    </w:txbxContent>
                  </v:textbox>
                </v:shape>
                <v:shape id="Straight Arrow Connector 1088" o:spid="_x0000_s1038" type="#_x0000_t32" style="position:absolute;left:25567;top:17223;width:45;height:1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" strokeweight=".5pt">
                  <v:stroke endarrow="block"/>
                </v:shape>
                <v:shape id="Straight Arrow Connector 1088" o:spid="_x0000_s1039" type="#_x0000_t32" style="position:absolute;left:25612;top:21696;width:34;height:2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" strokeweight=".5pt">
                  <v:stroke endarrow="block"/>
                </v:shape>
                <v:shape id="Text Box 13869" o:spid="_x0000_s1040" type="#_x0000_t202" style="position:absolute;left:21591;top:21545;width:3809;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" filled="f" stroked="f" strokeweight=".5pt">
                  <v:textbox style="mso-fit-shape-to-text:t" inset="2.24689mm,1.1234mm,2.24689mm,1.1234mm">
                    <w:txbxContent>
                      <w:p w14:paraId="163688D5" w14:textId="77777777" w:rsidR="00003928" w:rsidRPr="00003928" w:rsidRDefault="00003928" w:rsidP="00003928">
                        <w:pPr>
                          <w:pStyle w:val="NormalWeb"/>
                          <w:spacing w:line="240" w:lineRule="exact"/>
                          <w:rPr>
                            <w:sz w:val="20"/>
                            <w:szCs w:val="20"/>
                          </w:rPr>
                        </w:pPr>
                        <w:r w:rsidRPr="00003928">
                          <w:rPr>
                            <w:sz w:val="20"/>
                            <w:szCs w:val="20"/>
                            <w:lang w:val="fr-FR"/>
                          </w:rPr>
                          <w:t>Non</w:t>
                        </w:r>
                      </w:p>
                    </w:txbxContent>
                  </v:textbox>
                </v:shape>
                <v:shape id="Text Box 13869" o:spid="_x0000_s1041" type="#_x0000_t202" style="position:absolute;left:7348;top:24146;width:3529;height:23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" filled="f" stroked="f" strokeweight=".5pt">
                  <v:textbox style="mso-fit-shape-to-text:t" inset="2.24689mm,1.1234mm,2.24689mm,1.1234mm">
                    <w:txbxContent>
                      <w:p w14:paraId="452C1325" w14:textId="77777777" w:rsidR="00003928" w:rsidRPr="00003928" w:rsidRDefault="00003928" w:rsidP="00003928">
                        <w:pPr>
                          <w:pStyle w:val="NormalWeb"/>
                          <w:spacing w:line="240" w:lineRule="exact"/>
                          <w:rPr>
                            <w:sz w:val="20"/>
                            <w:szCs w:val="20"/>
                          </w:rPr>
                        </w:pPr>
                        <w:r w:rsidRPr="00003928">
                          <w:rPr>
                            <w:sz w:val="20"/>
                            <w:szCs w:val="20"/>
                            <w:lang w:val="fr-FR"/>
                          </w:rPr>
                          <w:t>Oui</w:t>
                        </w:r>
                      </w:p>
                    </w:txbxContent>
                  </v:textbox>
                </v:shape>
                <v:shape id="Straight Arrow Connector 1088" o:spid="_x0000_s1042" type="#_x0000_t32" style="position:absolute;left:25595;top:13926;width:1;height:1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" strokeweight=".5pt">
                  <v:stroke endarrow="block"/>
                </v:shape>
                <v:shape id="Text Box 13866" o:spid="_x0000_s1043" type="#_x0000_t202" style="position:absolute;left:20786;top:31224;width:9683;height:165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" fillcolor="window" strokecolor="windowText" strokeweight="1pt">
                  <v:textbox style="mso-fit-shape-to-text:t" inset="2.24689mm,0,2.24689mm,0">
                    <w:txbxContent>
                      <w:p w14:paraId="46E73C05" w14:textId="77777777" w:rsidR="00003928" w:rsidRPr="00003928" w:rsidRDefault="00003928" w:rsidP="00003928">
                        <w:pPr>
                          <w:pStyle w:val="NormalWeb"/>
                          <w:spacing w:line="240" w:lineRule="exact"/>
                          <w:rPr>
                            <w:sz w:val="20"/>
                            <w:szCs w:val="20"/>
                          </w:rPr>
                        </w:pPr>
                        <w:r w:rsidRPr="00003928">
                          <w:rPr>
                            <w:sz w:val="20"/>
                            <w:szCs w:val="20"/>
                            <w:lang w:val="fr-FR"/>
                          </w:rPr>
                          <w:t>Troisième essai</w:t>
                        </w:r>
                      </w:p>
                    </w:txbxContent>
                  </v:textbox>
                </v:shape>
                <v:shape id="Flowchart: Preparation 13867" o:spid="_x0000_s1044" type="#_x0000_t117" style="position:absolute;left:10094;top:34518;width:31067;height:3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" fillcolor="#ff9" strokeweight=".5pt">
                  <v:textbox inset="0,0,0,0">
                    <w:txbxContent>
                      <w:p w14:paraId="2FF673E5" w14:textId="6D02B51F" w:rsidR="00003928" w:rsidRPr="006A2A95" w:rsidRDefault="00003928" w:rsidP="00003928">
                        <w:pPr>
                          <w:pStyle w:val="NormalWeb"/>
                          <w:jc w:val="center"/>
                          <w:rPr>
                            <w:sz w:val="18"/>
                            <w:szCs w:val="18"/>
                            <w:lang w:val="fr-FR"/>
                          </w:rPr>
                        </w:pPr>
                        <w:r w:rsidRPr="006A2A95">
                          <w:rPr>
                            <w:sz w:val="18"/>
                            <w:szCs w:val="18"/>
                            <w:lang w:val="fr-FR"/>
                          </w:rPr>
                          <w:t>Limite dépassée pour l</w:t>
                        </w:r>
                        <w:r w:rsidR="006A2A95" w:rsidRPr="006A2A95">
                          <w:rPr>
                            <w:sz w:val="18"/>
                            <w:szCs w:val="18"/>
                            <w:lang w:val="fr-FR"/>
                          </w:rPr>
                          <w:t>’</w:t>
                        </w:r>
                        <w:r w:rsidRPr="006A2A95">
                          <w:rPr>
                            <w:sz w:val="18"/>
                            <w:szCs w:val="18"/>
                            <w:lang w:val="fr-FR"/>
                          </w:rPr>
                          <w:t>un des critères</w:t>
                        </w:r>
                      </w:p>
                    </w:txbxContent>
                  </v:textbox>
                </v:shape>
                <v:shape id="Text Box 13869" o:spid="_x0000_s1045" type="#_x0000_t202" style="position:absolute;left:40963;top:33935;width:3529;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" filled="f" stroked="f" strokeweight=".5pt">
                  <v:textbox style="mso-fit-shape-to-text:t" inset="2.24689mm,1.1234mm,2.24689mm,1.1234mm">
                    <w:txbxContent>
                      <w:p w14:paraId="1CC8D722" w14:textId="77777777" w:rsidR="00003928" w:rsidRPr="00003928" w:rsidRDefault="00003928" w:rsidP="00003928">
                        <w:pPr>
                          <w:pStyle w:val="NormalWeb"/>
                          <w:spacing w:line="240" w:lineRule="exact"/>
                          <w:rPr>
                            <w:sz w:val="20"/>
                            <w:szCs w:val="20"/>
                          </w:rPr>
                        </w:pPr>
                        <w:r w:rsidRPr="00003928">
                          <w:rPr>
                            <w:sz w:val="20"/>
                            <w:szCs w:val="20"/>
                            <w:lang w:val="fr-FR"/>
                          </w:rPr>
                          <w:t>Oui</w:t>
                        </w:r>
                      </w:p>
                    </w:txbxContent>
                  </v:textbox>
                </v:shape>
                <v:shape id="Straight Arrow Connector 1088" o:spid="_x0000_s1046" type="#_x0000_t32" style="position:absolute;left:25622;top:32979;width:11;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" strokeweight=".5pt">
                  <v:stroke endarrow="block"/>
                </v:shape>
                <v:shape id="Straight Arrow Connector 1088" o:spid="_x0000_s1047" type="#_x0000_t32" style="position:absolute;left:25691;top:38107;width:18;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" strokeweight=".5pt">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648" o:spid="_x0000_s1048" type="#_x0000_t176" style="position:absolute;left:40514;top:40602;width:8311;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" fillcolor="window" strokecolor="windowText" strokeweight="1pt">
                  <v:textbox inset="0,0,0,0">
                    <w:txbxContent>
                      <w:p w14:paraId="6183FE68" w14:textId="77777777" w:rsidR="00003928" w:rsidRPr="006A2A95" w:rsidRDefault="00003928" w:rsidP="00003928">
                        <w:pPr>
                          <w:pStyle w:val="NormalWeb"/>
                          <w:spacing w:line="240" w:lineRule="exact"/>
                          <w:jc w:val="center"/>
                          <w:rPr>
                            <w:sz w:val="18"/>
                            <w:szCs w:val="18"/>
                          </w:rPr>
                        </w:pPr>
                        <w:r w:rsidRPr="006A2A95">
                          <w:rPr>
                            <w:sz w:val="18"/>
                            <w:szCs w:val="18"/>
                            <w:lang w:val="fr-FR"/>
                          </w:rPr>
                          <w:t>Rejeté</w:t>
                        </w:r>
                      </w:p>
                    </w:txbxContent>
                  </v:textbox>
                </v:shape>
                <v:shape id="Text Box 13869" o:spid="_x0000_s1049" type="#_x0000_t202" style="position:absolute;left:21880;top:37943;width:3808;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" filled="f" stroked="f" strokeweight=".5pt">
                  <v:textbox style="mso-fit-shape-to-text:t" inset="2.24689mm,1.1234mm,2.24689mm,1.1234mm">
                    <w:txbxContent>
                      <w:p w14:paraId="1FC3BCF7" w14:textId="77777777" w:rsidR="00003928" w:rsidRPr="00003928" w:rsidRDefault="00003928" w:rsidP="00003928">
                        <w:pPr>
                          <w:pStyle w:val="NormalWeb"/>
                          <w:spacing w:line="240" w:lineRule="exact"/>
                          <w:rPr>
                            <w:sz w:val="20"/>
                            <w:szCs w:val="20"/>
                          </w:rPr>
                        </w:pPr>
                        <w:r w:rsidRPr="00003928">
                          <w:rPr>
                            <w:sz w:val="20"/>
                            <w:szCs w:val="20"/>
                            <w:lang w:val="fr-FR"/>
                          </w:rPr>
                          <w:t>Non</w:t>
                        </w:r>
                      </w:p>
                    </w:txbxContent>
                  </v:textbox>
                </v:shape>
                <v:shape id="Straight Arrow Connector 1088" o:spid="_x0000_s1050" type="#_x0000_t32" style="position:absolute;left:25671;top:29421;width:1;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" strokeweight=".5pt">
                  <v:stroke endarrow="block"/>
                </v:shape>
                <v:shape id="フローチャート : 代替処理 655" o:spid="_x0000_s1051" type="#_x0000_t176" style="position:absolute;left:14496;top:40606;width:22300;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" fillcolor="window" strokecolor="windowText" strokeweight="1pt">
                  <v:textbox inset="0,0,0,0">
                    <w:txbxContent>
                      <w:p w14:paraId="333519C3" w14:textId="64FEC197" w:rsidR="00003928" w:rsidRPr="006A2A95" w:rsidRDefault="00003928" w:rsidP="006A2A95">
                        <w:pPr>
                          <w:pStyle w:val="NormalWeb"/>
                          <w:jc w:val="center"/>
                          <w:rPr>
                            <w:sz w:val="18"/>
                            <w:szCs w:val="18"/>
                            <w:lang w:val="fr-FR"/>
                          </w:rPr>
                        </w:pPr>
                        <w:r w:rsidRPr="006A2A95">
                          <w:rPr>
                            <w:sz w:val="18"/>
                            <w:szCs w:val="18"/>
                            <w:lang w:val="fr-FR"/>
                          </w:rPr>
                          <w:t xml:space="preserve">Valeur déclarée ou moyenne </w:t>
                        </w:r>
                        <w:r w:rsidR="006A2A95">
                          <w:rPr>
                            <w:sz w:val="18"/>
                            <w:szCs w:val="18"/>
                            <w:lang w:val="fr-FR"/>
                          </w:rPr>
                          <w:br/>
                        </w:r>
                        <w:r w:rsidRPr="006A2A95">
                          <w:rPr>
                            <w:sz w:val="18"/>
                            <w:szCs w:val="18"/>
                            <w:lang w:val="fr-FR"/>
                          </w:rPr>
                          <w:t xml:space="preserve">des trois acceptée, selon l’appréciation </w:t>
                        </w:r>
                        <w:r w:rsidR="006A2A95">
                          <w:rPr>
                            <w:sz w:val="18"/>
                            <w:szCs w:val="18"/>
                            <w:lang w:val="fr-FR"/>
                          </w:rPr>
                          <w:br/>
                        </w:r>
                        <w:r w:rsidRPr="006A2A95">
                          <w:rPr>
                            <w:sz w:val="18"/>
                            <w:szCs w:val="18"/>
                            <w:lang w:val="fr-FR"/>
                          </w:rPr>
                          <w:t>de chaque valeur</w:t>
                        </w:r>
                      </w:p>
                    </w:txbxContent>
                  </v:textbox>
                </v:shape>
                <v:shapetype id="_x0000_t33" coordsize="21600,21600" o:spt="33" o:oned="t" path="m,l21600,r,21600e" filled="f">
                  <v:stroke joinstyle="miter"/>
                  <v:path arrowok="t" fillok="f" o:connecttype="none"/>
                  <o:lock v:ext="edit" shapetype="t"/>
                </v:shapetype>
                <v:shape id="カギ線コネクタ 66" o:spid="_x0000_s1052" type="#_x0000_t33" style="position:absolute;left:41078;top:5560;width:3508;height:350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" strokecolor="windowText" strokeweight=".5pt">
                  <v:stroke endarrow="block"/>
                </v:shape>
                <v:shape id="カギ線コネクタ 656" o:spid="_x0000_s1053" type="#_x0000_t33" style="position:absolute;left:41085;top:20057;width:3509;height:20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" strokecolor="windowText" strokeweight=".5pt">
                  <v:stroke endarrow="block"/>
                </v:shape>
                <v:shape id="カギ線コネクタ 657" o:spid="_x0000_s1054" type="#_x0000_t33" style="position:absolute;left:41082;top:36303;width:3508;height:44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" strokecolor="windowText" strokeweight=".5pt">
                  <v:stroke endarrow="block"/>
                </v:shape>
                <v:shape id="フローチャート : 代替処理 658" o:spid="_x0000_s1055" type="#_x0000_t176" style="position:absolute;left:209;top:40602;width:12459;height: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" fillcolor="window" strokecolor="windowText" strokeweight="1pt">
                  <v:textbox inset="0,0,0,0">
                    <w:txbxContent>
                      <w:p w14:paraId="172A1300" w14:textId="4A2ED724" w:rsidR="00003928" w:rsidRPr="006A2A95" w:rsidRDefault="00003928" w:rsidP="006A2A95">
                        <w:pPr>
                          <w:pStyle w:val="NormalWeb"/>
                          <w:jc w:val="center"/>
                          <w:rPr>
                            <w:sz w:val="18"/>
                            <w:szCs w:val="18"/>
                            <w:lang w:val="fr-FR"/>
                          </w:rPr>
                        </w:pPr>
                        <w:r w:rsidRPr="006A2A95">
                          <w:rPr>
                            <w:sz w:val="18"/>
                            <w:szCs w:val="18"/>
                            <w:lang w:val="fr-FR"/>
                          </w:rPr>
                          <w:t xml:space="preserve">Valeurs et émissions déclarées </w:t>
                        </w:r>
                        <w:r w:rsidR="006A2A95">
                          <w:rPr>
                            <w:sz w:val="18"/>
                            <w:szCs w:val="18"/>
                            <w:lang w:val="fr-FR"/>
                          </w:rPr>
                          <w:br/>
                        </w:r>
                        <w:r w:rsidRPr="006A2A95">
                          <w:rPr>
                            <w:sz w:val="18"/>
                            <w:szCs w:val="18"/>
                            <w:lang w:val="fr-FR"/>
                          </w:rPr>
                          <w:t>toutes acceptées</w:t>
                        </w:r>
                      </w:p>
                    </w:txbxContent>
                  </v:textbox>
                </v:shape>
                <v:shape id="カギ線コネクタ 659" o:spid="_x0000_s1056" type="#_x0000_t33" style="position:absolute;left:6439;top:11342;width:3656;height:294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" strokecolor="windowText" strokeweight=".5pt">
                  <v:stroke endarrow="block"/>
                </v:shape>
                <v:shape id="カギ線コネクタ 660" o:spid="_x0000_s1057" type="#_x0000_t33" style="position:absolute;left:6439;top:26777;width:3656;height:1400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" strokecolor="windowText" strokeweight=".5pt">
                  <v:stroke endarrow="block"/>
                </v:shape>
                <v:shape id="Text Box 13869" o:spid="_x0000_s1058" type="#_x0000_t202" style="position:absolute;left:21614;top:13317;width:3808;height:2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" filled="f" stroked="f" strokeweight=".5pt">
                  <v:textbox style="mso-fit-shape-to-text:t" inset="2.24689mm,1.1234mm,2.24689mm,1.1234mm">
                    <w:txbxContent>
                      <w:p w14:paraId="4427B394" w14:textId="77777777" w:rsidR="00003928" w:rsidRPr="00412418" w:rsidRDefault="00003928" w:rsidP="00003928">
                        <w:pPr>
                          <w:rPr>
                            <w:sz w:val="18"/>
                            <w:szCs w:val="18"/>
                          </w:rPr>
                        </w:pPr>
                        <w:r>
                          <w:rPr>
                            <w:lang w:val="fr-FR"/>
                          </w:rPr>
                          <w:t>Non</w:t>
                        </w:r>
                      </w:p>
                    </w:txbxContent>
                  </v:textbox>
                </v:shape>
                <v:shape id="Text Box 13869" o:spid="_x0000_s1059" type="#_x0000_t202" style="position:absolute;left:21655;top:29514;width:380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" filled="f" stroked="f" strokeweight=".5pt">
                  <v:textbox style="mso-fit-shape-to-text:t" inset="2.24689mm,0,2.24689mm,0">
                    <w:txbxContent>
                      <w:p w14:paraId="422100AB" w14:textId="77777777" w:rsidR="00003928" w:rsidRPr="00412418" w:rsidRDefault="00003928" w:rsidP="00003928">
                        <w:pPr>
                          <w:rPr>
                            <w:sz w:val="18"/>
                            <w:szCs w:val="18"/>
                          </w:rPr>
                        </w:pPr>
                        <w:r>
                          <w:rPr>
                            <w:lang w:val="fr-FR"/>
                          </w:rPr>
                          <w:t>Non</w:t>
                        </w:r>
                      </w:p>
                    </w:txbxContent>
                  </v:textbox>
                </v:shape>
                <v:shape id="Flowchart: Preparation 13867" o:spid="_x0000_s1060" type="#_x0000_t117" style="position:absolute;left:10131;top:23790;width:31066;height:5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" fillcolor="#ff9" strokeweight=".5pt">
                  <v:textbox inset="0,0,0,0">
                    <w:txbxContent>
                      <w:p w14:paraId="07237A0A" w14:textId="77777777" w:rsidR="00003928" w:rsidRPr="00003928" w:rsidRDefault="00003928" w:rsidP="00003928">
                        <w:pPr>
                          <w:pStyle w:val="NormalWeb"/>
                          <w:jc w:val="center"/>
                          <w:rPr>
                            <w:rFonts w:eastAsia="SimSun"/>
                            <w:sz w:val="18"/>
                            <w:szCs w:val="18"/>
                            <w:lang w:val="fr-FR"/>
                          </w:rPr>
                        </w:pPr>
                        <w:r w:rsidRPr="00003928">
                          <w:rPr>
                            <w:sz w:val="18"/>
                            <w:szCs w:val="18"/>
                            <w:lang w:val="fr-FR"/>
                          </w:rPr>
                          <w:t>Tous les critères énumérés à la ligne correspondant au deuxième essai dans le tableau A1/5 ci-dessous sont satisfaits.</w:t>
                        </w:r>
                      </w:p>
                    </w:txbxContent>
                  </v:textbox>
                </v:shape>
                <v:shape id="Text Box 13866" o:spid="_x0000_s1061" type="#_x0000_t202" style="position:absolute;left:21141;top:15495;width:8855;height:173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" fillcolor="window" strokecolor="windowText" strokeweight="1pt">
                  <v:textbox inset="1mm,0,1mm,0">
                    <w:txbxContent>
                      <w:p w14:paraId="770D83E8" w14:textId="77777777" w:rsidR="00003928" w:rsidRPr="00003928" w:rsidRDefault="00003928" w:rsidP="006A2A95">
                        <w:pPr>
                          <w:pStyle w:val="NormalWeb"/>
                          <w:rPr>
                            <w:sz w:val="20"/>
                            <w:szCs w:val="20"/>
                          </w:rPr>
                        </w:pPr>
                        <w:r w:rsidRPr="00003928">
                          <w:rPr>
                            <w:sz w:val="20"/>
                            <w:szCs w:val="20"/>
                            <w:lang w:val="fr-FR"/>
                          </w:rPr>
                          <w:t>Deuxième essai</w:t>
                        </w:r>
                      </w:p>
                    </w:txbxContent>
                  </v:textbox>
                </v:shape>
                <w10:anchorlock/>
              </v:group>
            </w:pict>
          </mc:Fallback>
        </mc:AlternateContent>
      </w:r>
    </w:p>
    <w:p w14:paraId="1014159D" w14:textId="0B30A47A" w:rsidR="000B1866" w:rsidRPr="000B1866" w:rsidRDefault="000B1866" w:rsidP="000B1866">
      <w:pPr>
        <w:pStyle w:val="SingleTxtG"/>
        <w:rPr>
          <w:lang w:val="fr-FR"/>
        </w:rPr>
      </w:pPr>
      <w:r w:rsidRPr="000B1866">
        <w:rPr>
          <w:lang w:val="fr-FR"/>
        </w:rPr>
        <w:t>31.</w:t>
      </w:r>
      <w:r w:rsidRPr="000B1866">
        <w:rPr>
          <w:lang w:val="fr-FR"/>
        </w:rPr>
        <w:tab/>
        <w:t xml:space="preserve">La principale différence avec le diagramme précédent est la correction apportée à la référence : </w:t>
      </w:r>
      <w:r>
        <w:rPr>
          <w:lang w:val="fr-FR"/>
        </w:rPr>
        <w:t>« </w:t>
      </w:r>
      <w:r w:rsidRPr="000B1866">
        <w:rPr>
          <w:lang w:val="fr-FR"/>
        </w:rPr>
        <w:t>tableau A1/5</w:t>
      </w:r>
      <w:r>
        <w:rPr>
          <w:lang w:val="fr-FR"/>
        </w:rPr>
        <w:t> »</w:t>
      </w:r>
      <w:r w:rsidRPr="000B1866">
        <w:rPr>
          <w:lang w:val="fr-FR"/>
        </w:rPr>
        <w:t xml:space="preserve"> au lieu de </w:t>
      </w:r>
      <w:r>
        <w:rPr>
          <w:lang w:val="fr-FR"/>
        </w:rPr>
        <w:t>« </w:t>
      </w:r>
      <w:r w:rsidRPr="000B1866">
        <w:rPr>
          <w:lang w:val="fr-FR"/>
        </w:rPr>
        <w:t>tableau A6/2</w:t>
      </w:r>
      <w:r>
        <w:rPr>
          <w:lang w:val="fr-FR"/>
        </w:rPr>
        <w:t> »</w:t>
      </w:r>
      <w:r w:rsidRPr="000B1866">
        <w:rPr>
          <w:lang w:val="fr-FR"/>
        </w:rPr>
        <w:t>.</w:t>
      </w:r>
    </w:p>
    <w:p w14:paraId="6D8DDF68" w14:textId="396EB4E7" w:rsidR="000B1866" w:rsidRPr="000B1866" w:rsidRDefault="000B1866" w:rsidP="00570DC0">
      <w:pPr>
        <w:pStyle w:val="SingleTxtG"/>
        <w:ind w:firstLine="567"/>
        <w:rPr>
          <w:lang w:val="fr-FR"/>
        </w:rPr>
      </w:pPr>
      <w:r w:rsidRPr="000B1866">
        <w:rPr>
          <w:lang w:val="fr-FR"/>
        </w:rPr>
        <w:t>L</w:t>
      </w:r>
      <w:r w:rsidR="007D3902">
        <w:rPr>
          <w:lang w:val="fr-FR"/>
        </w:rPr>
        <w:t>’</w:t>
      </w:r>
      <w:r w:rsidRPr="000B1866">
        <w:rPr>
          <w:lang w:val="fr-FR"/>
        </w:rPr>
        <w:t>Inde (M.</w:t>
      </w:r>
      <w:r>
        <w:rPr>
          <w:lang w:val="fr-FR"/>
        </w:rPr>
        <w:t> </w:t>
      </w:r>
      <w:r w:rsidRPr="000B1866">
        <w:rPr>
          <w:lang w:val="fr-FR"/>
        </w:rPr>
        <w:t>Kumbhar) a fait observer que « valeur déclarée ou moyenne des trois » faisait référence aux émissions de CO</w:t>
      </w:r>
      <w:r w:rsidRPr="000B1866">
        <w:rPr>
          <w:vertAlign w:val="subscript"/>
          <w:lang w:val="fr-FR"/>
        </w:rPr>
        <w:t xml:space="preserve">2 </w:t>
      </w:r>
      <w:r w:rsidRPr="000B1866">
        <w:rPr>
          <w:lang w:val="fr-FR"/>
        </w:rPr>
        <w:t xml:space="preserve">et de polluants dans le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15, mais que cette interprétation n</w:t>
      </w:r>
      <w:r w:rsidR="007D3902">
        <w:rPr>
          <w:lang w:val="fr-FR"/>
        </w:rPr>
        <w:t>’</w:t>
      </w:r>
      <w:r w:rsidRPr="000B1866">
        <w:rPr>
          <w:lang w:val="fr-FR"/>
        </w:rPr>
        <w:t xml:space="preserve">était pas applicable au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dans lequel le CO</w:t>
      </w:r>
      <w:r w:rsidRPr="000B1866">
        <w:rPr>
          <w:vertAlign w:val="subscript"/>
          <w:lang w:val="fr-FR"/>
        </w:rPr>
        <w:t xml:space="preserve">2 </w:t>
      </w:r>
      <w:r w:rsidRPr="000B1866">
        <w:rPr>
          <w:lang w:val="fr-FR"/>
        </w:rPr>
        <w:t>n</w:t>
      </w:r>
      <w:r w:rsidR="007D3902">
        <w:rPr>
          <w:lang w:val="fr-FR"/>
        </w:rPr>
        <w:t>’</w:t>
      </w:r>
      <w:r w:rsidRPr="000B1866">
        <w:rPr>
          <w:lang w:val="fr-FR"/>
        </w:rPr>
        <w:t>est pas concerné.</w:t>
      </w:r>
    </w:p>
    <w:p w14:paraId="76C07B89" w14:textId="3FA617F9" w:rsidR="000B1866" w:rsidRPr="000B1866" w:rsidRDefault="000B1866" w:rsidP="00570DC0">
      <w:pPr>
        <w:pStyle w:val="SingleTxtG"/>
        <w:ind w:firstLine="567"/>
        <w:rPr>
          <w:lang w:val="fr-FR"/>
        </w:rPr>
      </w:pPr>
      <w:r w:rsidRPr="000B1866">
        <w:rPr>
          <w:lang w:val="fr-FR"/>
        </w:rPr>
        <w:t>L</w:t>
      </w:r>
      <w:r w:rsidR="007D3902">
        <w:rPr>
          <w:lang w:val="fr-FR"/>
        </w:rPr>
        <w:t>’</w:t>
      </w:r>
      <w:r w:rsidRPr="000B1866">
        <w:rPr>
          <w:lang w:val="fr-FR"/>
        </w:rPr>
        <w:t>IMMA s</w:t>
      </w:r>
      <w:r w:rsidR="007D3902">
        <w:rPr>
          <w:lang w:val="fr-FR"/>
        </w:rPr>
        <w:t>’</w:t>
      </w:r>
      <w:r w:rsidRPr="000B1866">
        <w:rPr>
          <w:lang w:val="fr-FR"/>
        </w:rPr>
        <w:t>est engagée à revoir le diagramme en tenant compte de cette observation.</w:t>
      </w:r>
    </w:p>
    <w:p w14:paraId="51502031" w14:textId="1EBF4A10" w:rsidR="000B1866" w:rsidRPr="000B1866" w:rsidRDefault="000B1866" w:rsidP="00570DC0">
      <w:pPr>
        <w:pStyle w:val="SingleTxtG"/>
        <w:ind w:firstLine="567"/>
        <w:rPr>
          <w:lang w:val="fr-FR"/>
        </w:rPr>
      </w:pPr>
      <w:r w:rsidRPr="000B1866">
        <w:rPr>
          <w:lang w:val="fr-FR"/>
        </w:rPr>
        <w:t>À sa quarante-sixième réunion (juin 2021), le groupe de travail informel EPPR a décidé de réexaminer le diagramme (dans le document EPPR-46-06), notamment s</w:t>
      </w:r>
      <w:r w:rsidR="007D3902">
        <w:rPr>
          <w:lang w:val="fr-FR"/>
        </w:rPr>
        <w:t>’</w:t>
      </w:r>
      <w:r w:rsidRPr="000B1866">
        <w:rPr>
          <w:lang w:val="fr-FR"/>
        </w:rPr>
        <w:t>agissant de la nécessité de prévoir un troisième essai pour les émissions de polluants. Les contre</w:t>
      </w:r>
      <w:r w:rsidR="00570DC0">
        <w:rPr>
          <w:lang w:val="fr-FR"/>
        </w:rPr>
        <w:noBreakHyphen/>
      </w:r>
      <w:r w:rsidRPr="000B1866">
        <w:rPr>
          <w:lang w:val="fr-FR"/>
        </w:rPr>
        <w:t>propositions doivent être envoyées par écrit, en temps utile pour être évaluées par le groupe de travail informel EPPR avant sa réunion suivante.</w:t>
      </w:r>
    </w:p>
    <w:p w14:paraId="09EFE786" w14:textId="4D19BFDB" w:rsidR="000B1866" w:rsidRPr="000B1866" w:rsidRDefault="000B1866" w:rsidP="00570DC0">
      <w:pPr>
        <w:pStyle w:val="SingleTxtG"/>
        <w:ind w:firstLine="567"/>
        <w:rPr>
          <w:lang w:val="fr-FR"/>
        </w:rPr>
      </w:pPr>
      <w:r w:rsidRPr="000B1866">
        <w:rPr>
          <w:lang w:val="fr-FR"/>
        </w:rPr>
        <w:t>En l</w:t>
      </w:r>
      <w:r w:rsidR="007D3902">
        <w:rPr>
          <w:lang w:val="fr-FR"/>
        </w:rPr>
        <w:t>’</w:t>
      </w:r>
      <w:r w:rsidRPr="000B1866">
        <w:rPr>
          <w:lang w:val="fr-FR"/>
        </w:rPr>
        <w:t>absence de contre-proposition approuvée par le groupe de travail informel EPPR avant la date limite du 19</w:t>
      </w:r>
      <w:r>
        <w:rPr>
          <w:lang w:val="fr-FR"/>
        </w:rPr>
        <w:t> </w:t>
      </w:r>
      <w:r w:rsidRPr="000B1866">
        <w:rPr>
          <w:lang w:val="fr-FR"/>
        </w:rPr>
        <w:t>octobre, le diagramme figurant dans le document EPPR-46-06 (qui se fonde sur le document GRPE-83-26-rev.1 pour ce point) sera soumis au GRPE.</w:t>
      </w:r>
    </w:p>
    <w:p w14:paraId="5391AC7C" w14:textId="77777777" w:rsidR="000B1866" w:rsidRPr="000B1866" w:rsidRDefault="000B1866" w:rsidP="00570DC0">
      <w:pPr>
        <w:pStyle w:val="SingleTxtG"/>
        <w:ind w:firstLine="567"/>
        <w:rPr>
          <w:u w:val="single"/>
          <w:lang w:val="fr-FR"/>
        </w:rPr>
      </w:pPr>
      <w:r w:rsidRPr="000B1866">
        <w:rPr>
          <w:lang w:val="fr-FR"/>
        </w:rPr>
        <w:t>À la quarante-septième réunion du groupe de travail informel EPPR (juillet 2021), le secrétariat de ce groupe de travail a invité ses membres à donner un avis sur le diagramme présenté à la figure A1/7 du document EPPR-46-06, notamment sur la nécessité de prévoir un troisième essai pour les émissions de polluants.</w:t>
      </w:r>
    </w:p>
    <w:p w14:paraId="169302B7" w14:textId="4CBCC2D5" w:rsidR="000B1866" w:rsidRPr="000B1866" w:rsidRDefault="000B1866" w:rsidP="00570DC0">
      <w:pPr>
        <w:pStyle w:val="SingleTxtG"/>
        <w:ind w:firstLine="567"/>
        <w:rPr>
          <w:lang w:val="fr-FR"/>
        </w:rPr>
      </w:pPr>
      <w:r w:rsidRPr="000B1866">
        <w:rPr>
          <w:lang w:val="fr-FR"/>
        </w:rPr>
        <w:t>Le WLTP l</w:t>
      </w:r>
      <w:r w:rsidR="007D3902">
        <w:rPr>
          <w:lang w:val="fr-FR"/>
        </w:rPr>
        <w:t>’</w:t>
      </w:r>
      <w:r w:rsidRPr="000B1866">
        <w:rPr>
          <w:lang w:val="fr-FR"/>
        </w:rPr>
        <w:t>exigeait pour le CO</w:t>
      </w:r>
      <w:r w:rsidRPr="000B1866">
        <w:rPr>
          <w:vertAlign w:val="subscript"/>
          <w:lang w:val="fr-FR"/>
        </w:rPr>
        <w:t xml:space="preserve">2 </w:t>
      </w:r>
      <w:r w:rsidRPr="000B1866">
        <w:rPr>
          <w:lang w:val="fr-FR"/>
        </w:rPr>
        <w:t>mais pas pour les émissions de polluants.</w:t>
      </w:r>
    </w:p>
    <w:p w14:paraId="20DBEF03" w14:textId="77777777" w:rsidR="000B1866" w:rsidRPr="000B1866" w:rsidRDefault="000B1866" w:rsidP="00570DC0">
      <w:pPr>
        <w:pStyle w:val="SingleTxtG"/>
        <w:ind w:firstLine="567"/>
        <w:rPr>
          <w:lang w:val="fr-FR"/>
        </w:rPr>
      </w:pPr>
      <w:r w:rsidRPr="000B1866">
        <w:rPr>
          <w:lang w:val="fr-FR"/>
        </w:rPr>
        <w:t>À la quarante-sixième réunion</w:t>
      </w:r>
      <w:r w:rsidRPr="000B1866">
        <w:rPr>
          <w:b/>
          <w:bCs/>
          <w:lang w:val="fr-FR"/>
        </w:rPr>
        <w:t xml:space="preserve"> </w:t>
      </w:r>
      <w:r w:rsidRPr="000B1866">
        <w:rPr>
          <w:lang w:val="fr-FR"/>
        </w:rPr>
        <w:t>du groupe de travail informel EPPR, la Chine avait demandé si le troisième essai était nécessaire pour les émissions de polluants.</w:t>
      </w:r>
    </w:p>
    <w:p w14:paraId="306D1956" w14:textId="793316F1" w:rsidR="000B1866" w:rsidRPr="000B1866" w:rsidRDefault="000B1866" w:rsidP="00570DC0">
      <w:pPr>
        <w:pStyle w:val="SingleTxtG"/>
        <w:ind w:firstLine="567"/>
        <w:rPr>
          <w:u w:val="single"/>
          <w:lang w:val="fr-FR"/>
        </w:rPr>
      </w:pPr>
      <w:r w:rsidRPr="000B1866">
        <w:rPr>
          <w:lang w:val="fr-FR"/>
        </w:rPr>
        <w:t>La présidence</w:t>
      </w:r>
      <w:r w:rsidRPr="000B1866">
        <w:rPr>
          <w:b/>
          <w:bCs/>
          <w:lang w:val="fr-FR"/>
        </w:rPr>
        <w:t xml:space="preserve"> </w:t>
      </w:r>
      <w:r w:rsidRPr="000B1866">
        <w:rPr>
          <w:lang w:val="fr-FR"/>
        </w:rPr>
        <w:t>a indiqué qu</w:t>
      </w:r>
      <w:r w:rsidR="007D3902" w:rsidRPr="00673D3D">
        <w:rPr>
          <w:lang w:val="fr-FR"/>
        </w:rPr>
        <w:t>’</w:t>
      </w:r>
      <w:r w:rsidRPr="000B1866">
        <w:rPr>
          <w:lang w:val="fr-FR"/>
        </w:rPr>
        <w:t>elle était favorable au maintien du diagramme tel que proposé dans le document EPPR-46-06.</w:t>
      </w:r>
    </w:p>
    <w:p w14:paraId="6471CA83" w14:textId="59B79190" w:rsidR="000B1866" w:rsidRPr="000B1866" w:rsidRDefault="000B1866" w:rsidP="00570DC0">
      <w:pPr>
        <w:pStyle w:val="SingleTxtG"/>
        <w:ind w:firstLine="567"/>
        <w:rPr>
          <w:u w:val="single"/>
          <w:lang w:val="fr-FR"/>
        </w:rPr>
      </w:pPr>
      <w:r w:rsidRPr="000B1866">
        <w:rPr>
          <w:lang w:val="fr-FR"/>
        </w:rPr>
        <w:t>Elle a proposé que le diagramme figurant dans le document EPPR-46-06 soit approuvé si aucune contre-proposition n</w:t>
      </w:r>
      <w:r w:rsidR="007D3902" w:rsidRPr="00673D3D">
        <w:rPr>
          <w:lang w:val="fr-FR"/>
        </w:rPr>
        <w:t>’</w:t>
      </w:r>
      <w:r w:rsidRPr="000B1866">
        <w:rPr>
          <w:lang w:val="fr-FR"/>
        </w:rPr>
        <w:t>était présentée, et invité le groupe de travail informel EPPR à soumettre toute éventuelle contre-proposition en temps utile avant la soumission du document officiel au GRPE en octobre.</w:t>
      </w:r>
    </w:p>
    <w:p w14:paraId="7C72EE5C" w14:textId="1BC8E768" w:rsidR="000B1866" w:rsidRPr="000B1866" w:rsidRDefault="000B1866" w:rsidP="00570DC0">
      <w:pPr>
        <w:pStyle w:val="SingleTxtG"/>
        <w:ind w:firstLine="567"/>
        <w:rPr>
          <w:u w:val="single"/>
          <w:lang w:val="fr-FR"/>
        </w:rPr>
      </w:pPr>
      <w:r w:rsidRPr="000B1866">
        <w:rPr>
          <w:lang w:val="fr-FR"/>
        </w:rPr>
        <w:t>Le Japon, après avoir évalué le diagramme correspondant dans la procédure WLTP, a confirmé qu</w:t>
      </w:r>
      <w:r w:rsidR="007D3902">
        <w:rPr>
          <w:lang w:val="fr-FR"/>
        </w:rPr>
        <w:t>’</w:t>
      </w:r>
      <w:r w:rsidRPr="000B1866">
        <w:rPr>
          <w:lang w:val="fr-FR"/>
        </w:rPr>
        <w:t>il était favorable au maintien de ce diagramme sans modification.</w:t>
      </w:r>
    </w:p>
    <w:p w14:paraId="602F3967" w14:textId="7C5A9290" w:rsidR="000B1866" w:rsidRPr="000B1866" w:rsidRDefault="000B1866" w:rsidP="00570DC0">
      <w:pPr>
        <w:pStyle w:val="SingleTxtG"/>
        <w:ind w:firstLine="567"/>
        <w:rPr>
          <w:lang w:val="fr-FR"/>
        </w:rPr>
      </w:pPr>
      <w:r w:rsidRPr="000B1866">
        <w:rPr>
          <w:lang w:val="fr-FR"/>
        </w:rPr>
        <w:t>La Chine a rappelé qu</w:t>
      </w:r>
      <w:r w:rsidR="007D3902">
        <w:rPr>
          <w:lang w:val="fr-FR"/>
        </w:rPr>
        <w:t>’</w:t>
      </w:r>
      <w:r w:rsidRPr="000B1866">
        <w:rPr>
          <w:lang w:val="fr-FR"/>
        </w:rPr>
        <w:t>elle avait demandé, à la quarante-sixième réunion</w:t>
      </w:r>
      <w:r w:rsidRPr="000B1866">
        <w:rPr>
          <w:b/>
          <w:bCs/>
          <w:lang w:val="fr-FR"/>
        </w:rPr>
        <w:t xml:space="preserve"> </w:t>
      </w:r>
      <w:r w:rsidRPr="000B1866">
        <w:rPr>
          <w:lang w:val="fr-FR"/>
        </w:rPr>
        <w:t>du groupe de travail informel EPPR, que l</w:t>
      </w:r>
      <w:r w:rsidR="007D3902">
        <w:rPr>
          <w:lang w:val="fr-FR"/>
        </w:rPr>
        <w:t>’</w:t>
      </w:r>
      <w:r w:rsidRPr="000B1866">
        <w:rPr>
          <w:lang w:val="fr-FR"/>
        </w:rPr>
        <w:t>on vérifie si le troisième essai était nécessaire pour les émissions de polluants.</w:t>
      </w:r>
    </w:p>
    <w:p w14:paraId="0EBA1989" w14:textId="6F39399E" w:rsidR="000B1866" w:rsidRPr="000B1866" w:rsidRDefault="000B1866" w:rsidP="00570DC0">
      <w:pPr>
        <w:pStyle w:val="SingleTxtG"/>
        <w:ind w:firstLine="567"/>
        <w:rPr>
          <w:lang w:val="fr-FR"/>
        </w:rPr>
      </w:pPr>
      <w:r w:rsidRPr="000B1866">
        <w:rPr>
          <w:lang w:val="fr-FR"/>
        </w:rPr>
        <w:t>En l</w:t>
      </w:r>
      <w:r w:rsidR="007D3902">
        <w:rPr>
          <w:lang w:val="fr-FR"/>
        </w:rPr>
        <w:t>’</w:t>
      </w:r>
      <w:r w:rsidRPr="000B1866">
        <w:rPr>
          <w:lang w:val="fr-FR"/>
        </w:rPr>
        <w:t>absence de contre-proposition, le diagramme figurant à la figure A1/7 du document EPPR-46-06 n</w:t>
      </w:r>
      <w:r w:rsidR="007D3902">
        <w:rPr>
          <w:lang w:val="fr-FR"/>
        </w:rPr>
        <w:t>’</w:t>
      </w:r>
      <w:r w:rsidRPr="000B1866">
        <w:rPr>
          <w:lang w:val="fr-FR"/>
        </w:rPr>
        <w:t xml:space="preserve">a pas été modifié, étant entendu que, dans le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le troisième essai ne s</w:t>
      </w:r>
      <w:r w:rsidR="007D3902">
        <w:rPr>
          <w:lang w:val="fr-FR"/>
        </w:rPr>
        <w:t>’</w:t>
      </w:r>
      <w:r w:rsidRPr="000B1866">
        <w:rPr>
          <w:lang w:val="fr-FR"/>
        </w:rPr>
        <w:t>applique qu</w:t>
      </w:r>
      <w:r w:rsidR="007D3902">
        <w:rPr>
          <w:lang w:val="fr-FR"/>
        </w:rPr>
        <w:t>’</w:t>
      </w:r>
      <w:r w:rsidRPr="000B1866">
        <w:rPr>
          <w:lang w:val="fr-FR"/>
        </w:rPr>
        <w:t>aux émissions de polluants.</w:t>
      </w:r>
    </w:p>
    <w:p w14:paraId="14724C94" w14:textId="77777777" w:rsidR="000B1866" w:rsidRPr="000B1866" w:rsidRDefault="000B1866" w:rsidP="000B1866">
      <w:pPr>
        <w:pStyle w:val="H23G"/>
        <w:rPr>
          <w:lang w:val="fr-FR"/>
        </w:rPr>
      </w:pPr>
      <w:r w:rsidRPr="000B1866">
        <w:rPr>
          <w:lang w:val="fr-FR"/>
        </w:rPr>
        <w:tab/>
        <w:t>3.</w:t>
      </w:r>
      <w:r w:rsidRPr="000B1866">
        <w:rPr>
          <w:lang w:val="fr-FR"/>
        </w:rPr>
        <w:tab/>
        <w:t>Masse de référence (m</w:t>
      </w:r>
      <w:r w:rsidRPr="000B1866">
        <w:rPr>
          <w:vertAlign w:val="subscript"/>
          <w:lang w:val="fr-FR"/>
        </w:rPr>
        <w:t>ref</w:t>
      </w:r>
      <w:r w:rsidRPr="000B1866">
        <w:rPr>
          <w:lang w:val="fr-FR"/>
        </w:rPr>
        <w:t>)</w:t>
      </w:r>
    </w:p>
    <w:p w14:paraId="7FF078E4" w14:textId="41BB7D9E" w:rsidR="000B1866" w:rsidRPr="000B1866" w:rsidRDefault="000B1866" w:rsidP="000B1866">
      <w:pPr>
        <w:pStyle w:val="SingleTxtG"/>
        <w:rPr>
          <w:lang w:val="fr-FR"/>
        </w:rPr>
      </w:pPr>
      <w:r w:rsidRPr="000B1866">
        <w:rPr>
          <w:lang w:val="fr-FR"/>
        </w:rPr>
        <w:t>32.</w:t>
      </w:r>
      <w:r w:rsidRPr="000B1866">
        <w:rPr>
          <w:lang w:val="fr-FR"/>
        </w:rPr>
        <w:tab/>
        <w:t>Le groupe de travail informel EPPR a estimé qu</w:t>
      </w:r>
      <w:r w:rsidR="007D3902">
        <w:rPr>
          <w:lang w:val="fr-FR"/>
        </w:rPr>
        <w:t>’</w:t>
      </w:r>
      <w:r w:rsidRPr="000B1866">
        <w:rPr>
          <w:lang w:val="fr-FR"/>
        </w:rPr>
        <w:t>il fallait remplacer « m</w:t>
      </w:r>
      <w:r w:rsidRPr="000B1866">
        <w:rPr>
          <w:vertAlign w:val="subscript"/>
          <w:lang w:val="fr-FR"/>
        </w:rPr>
        <w:t>ref</w:t>
      </w:r>
      <w:r w:rsidRPr="000B1866">
        <w:rPr>
          <w:lang w:val="fr-FR"/>
        </w:rPr>
        <w:t xml:space="preserve"> (kg) 199 » par « m</w:t>
      </w:r>
      <w:r w:rsidRPr="000B1866">
        <w:rPr>
          <w:vertAlign w:val="subscript"/>
          <w:lang w:val="fr-FR"/>
        </w:rPr>
        <w:t>k</w:t>
      </w:r>
      <w:r w:rsidRPr="000B1866">
        <w:rPr>
          <w:lang w:val="fr-FR"/>
        </w:rPr>
        <w:t xml:space="preserve"> (kg) 199 » dans le tableau A4.App13/2 de l</w:t>
      </w:r>
      <w:r w:rsidR="007D3902">
        <w:rPr>
          <w:lang w:val="fr-FR"/>
        </w:rPr>
        <w:t>’</w:t>
      </w:r>
      <w:r w:rsidRPr="000B1866">
        <w:rPr>
          <w:lang w:val="fr-FR"/>
        </w:rPr>
        <w:t>annexe 4 dans l</w:t>
      </w:r>
      <w:r w:rsidR="007D3902" w:rsidRPr="00673D3D">
        <w:rPr>
          <w:lang w:val="fr-FR"/>
        </w:rPr>
        <w:t>’</w:t>
      </w:r>
      <w:r w:rsidRPr="000B1866">
        <w:rPr>
          <w:lang w:val="fr-FR"/>
        </w:rPr>
        <w:t>amendement 4 au RTM</w:t>
      </w:r>
      <w:r>
        <w:rPr>
          <w:lang w:val="fr-FR"/>
        </w:rPr>
        <w:t> </w:t>
      </w:r>
      <w:r w:rsidRPr="000B1866">
        <w:rPr>
          <w:lang w:val="fr-FR"/>
        </w:rPr>
        <w:t xml:space="preserve">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comme dans l</w:t>
      </w:r>
      <w:r w:rsidR="007D3902">
        <w:rPr>
          <w:lang w:val="fr-FR"/>
        </w:rPr>
        <w:t>’</w:t>
      </w:r>
      <w:r w:rsidRPr="000B1866">
        <w:rPr>
          <w:lang w:val="fr-FR"/>
        </w:rPr>
        <w:t xml:space="preserve">amendement 6 au RTM ONU </w:t>
      </w:r>
      <w:r w:rsidR="00673D3D" w:rsidRPr="00673D3D">
        <w:rPr>
          <w:rFonts w:eastAsia="MS Mincho"/>
          <w:szCs w:val="22"/>
          <w:lang w:val="fr-FR"/>
        </w:rPr>
        <w:t>n</w:t>
      </w:r>
      <w:r w:rsidR="00673D3D" w:rsidRPr="00673D3D">
        <w:rPr>
          <w:rFonts w:eastAsia="MS Mincho"/>
          <w:szCs w:val="22"/>
          <w:vertAlign w:val="superscript"/>
          <w:lang w:val="fr-FR"/>
        </w:rPr>
        <w:t>o</w:t>
      </w:r>
      <w:r w:rsidR="00673D3D">
        <w:rPr>
          <w:lang w:val="fr-FR"/>
        </w:rPr>
        <w:t> </w:t>
      </w:r>
      <w:r w:rsidRPr="000B1866">
        <w:rPr>
          <w:lang w:val="fr-FR"/>
        </w:rPr>
        <w:t>15 (WLTP).</w:t>
      </w:r>
    </w:p>
    <w:p w14:paraId="475ACCB2" w14:textId="6ACD68D1" w:rsidR="000B1866" w:rsidRPr="000B1866" w:rsidRDefault="000B1866" w:rsidP="000B1866">
      <w:pPr>
        <w:pStyle w:val="H23G"/>
        <w:rPr>
          <w:lang w:val="fr-FR"/>
        </w:rPr>
      </w:pPr>
      <w:r w:rsidRPr="000B1866">
        <w:rPr>
          <w:lang w:val="fr-FR"/>
        </w:rPr>
        <w:tab/>
        <w:t>4.</w:t>
      </w:r>
      <w:r w:rsidRPr="000B1866">
        <w:rPr>
          <w:lang w:val="fr-FR"/>
        </w:rPr>
        <w:tab/>
        <w:t>Autres points</w:t>
      </w:r>
    </w:p>
    <w:p w14:paraId="016BAAE6" w14:textId="50CEEF56" w:rsidR="000B1866" w:rsidRPr="000B1866" w:rsidRDefault="000B1866" w:rsidP="000B1866">
      <w:pPr>
        <w:pStyle w:val="SingleTxtG"/>
        <w:rPr>
          <w:lang w:val="fr-FR"/>
        </w:rPr>
      </w:pPr>
      <w:r w:rsidRPr="000B1866">
        <w:rPr>
          <w:lang w:val="fr-FR"/>
        </w:rPr>
        <w:t>33.</w:t>
      </w:r>
      <w:r w:rsidRPr="000B1866">
        <w:rPr>
          <w:lang w:val="fr-FR"/>
        </w:rPr>
        <w:tab/>
        <w:t>Dans le tableau A1/6 intitulé « Périodicité d</w:t>
      </w:r>
      <w:r w:rsidR="007D3902">
        <w:rPr>
          <w:lang w:val="fr-FR"/>
        </w:rPr>
        <w:t>’</w:t>
      </w:r>
      <w:r w:rsidRPr="000B1866">
        <w:rPr>
          <w:lang w:val="fr-FR"/>
        </w:rPr>
        <w:t>étalonnage de l</w:t>
      </w:r>
      <w:r w:rsidR="007D3902">
        <w:rPr>
          <w:lang w:val="fr-FR"/>
        </w:rPr>
        <w:t>’</w:t>
      </w:r>
      <w:r w:rsidRPr="000B1866">
        <w:rPr>
          <w:lang w:val="fr-FR"/>
        </w:rPr>
        <w:t>appareil », aux fins de l</w:t>
      </w:r>
      <w:r w:rsidR="007D3902">
        <w:rPr>
          <w:lang w:val="fr-FR"/>
        </w:rPr>
        <w:t>’</w:t>
      </w:r>
      <w:r w:rsidRPr="000B1866">
        <w:rPr>
          <w:lang w:val="fr-FR"/>
        </w:rPr>
        <w:t>harmonisation avec la procédure WLTP ; NO</w:t>
      </w:r>
      <w:r w:rsidRPr="000B1866">
        <w:rPr>
          <w:vertAlign w:val="subscript"/>
          <w:lang w:val="fr-FR"/>
        </w:rPr>
        <w:t>2</w:t>
      </w:r>
      <w:r w:rsidRPr="000B1866">
        <w:rPr>
          <w:lang w:val="fr-FR"/>
        </w:rPr>
        <w:t xml:space="preserve"> a été remplacé par NO</w:t>
      </w:r>
      <w:r w:rsidRPr="000B1866">
        <w:rPr>
          <w:vertAlign w:val="subscript"/>
          <w:lang w:val="fr-FR"/>
        </w:rPr>
        <w:t>X</w:t>
      </w:r>
      <w:r w:rsidRPr="000B1866">
        <w:rPr>
          <w:lang w:val="fr-FR"/>
        </w:rPr>
        <w:t> ; « 1,225 kPa » a été remplacé par « 1,25 kPa »</w:t>
      </w:r>
      <w:r w:rsidR="00673D3D">
        <w:rPr>
          <w:lang w:val="fr-FR"/>
        </w:rPr>
        <w:t xml:space="preserve"> </w:t>
      </w:r>
      <w:r w:rsidRPr="000B1866">
        <w:rPr>
          <w:lang w:val="fr-FR"/>
        </w:rPr>
        <w:t>; le 3.4.3.8.1 et les informations concernant le matériau utilisé pour les sacs ont été ajoutés.</w:t>
      </w:r>
    </w:p>
    <w:p w14:paraId="1A87F20E" w14:textId="08511FEA" w:rsidR="000B1866" w:rsidRPr="000B1866" w:rsidRDefault="000B1866" w:rsidP="00673D3D">
      <w:pPr>
        <w:pStyle w:val="SingleTxtG"/>
        <w:ind w:firstLine="567"/>
        <w:rPr>
          <w:lang w:val="fr-FR"/>
        </w:rPr>
      </w:pPr>
      <w:r w:rsidRPr="000B1866">
        <w:rPr>
          <w:lang w:val="fr-FR"/>
        </w:rPr>
        <w:t>Ces sacs servant à recueillir l</w:t>
      </w:r>
      <w:r w:rsidR="007D3902">
        <w:rPr>
          <w:lang w:val="fr-FR"/>
        </w:rPr>
        <w:t>’</w:t>
      </w:r>
      <w:r w:rsidRPr="000B1866">
        <w:rPr>
          <w:lang w:val="fr-FR"/>
        </w:rPr>
        <w:t>air de dilution et le mélange de gaz dilués doivent avoir une capacité suffisante pour ne pas entraver le débit normal de prélèvement, et n</w:t>
      </w:r>
      <w:r w:rsidR="007D3902">
        <w:rPr>
          <w:lang w:val="fr-FR"/>
        </w:rPr>
        <w:t>’</w:t>
      </w:r>
      <w:r w:rsidRPr="000B1866">
        <w:rPr>
          <w:lang w:val="fr-FR"/>
        </w:rPr>
        <w:t>être pas susceptibles d</w:t>
      </w:r>
      <w:r w:rsidR="007D3902">
        <w:rPr>
          <w:lang w:val="fr-FR"/>
        </w:rPr>
        <w:t>’</w:t>
      </w:r>
      <w:r w:rsidRPr="000B1866">
        <w:rPr>
          <w:lang w:val="fr-FR"/>
        </w:rPr>
        <w:t>altérer la nature des gaz polluants concernés.</w:t>
      </w:r>
    </w:p>
    <w:p w14:paraId="6C5DB4E9" w14:textId="1C8B0FBA" w:rsidR="000B1866" w:rsidRPr="000B1866" w:rsidRDefault="000B1866" w:rsidP="00673D3D">
      <w:pPr>
        <w:pStyle w:val="SingleTxtG"/>
        <w:ind w:firstLine="567"/>
        <w:rPr>
          <w:bCs/>
          <w:lang w:val="fr-FR"/>
        </w:rPr>
      </w:pPr>
      <w:r w:rsidRPr="000B1866">
        <w:rPr>
          <w:lang w:val="fr-FR"/>
        </w:rPr>
        <w:t>Les sacs doivent être faits d</w:t>
      </w:r>
      <w:r w:rsidR="007D3902">
        <w:rPr>
          <w:lang w:val="fr-FR"/>
        </w:rPr>
        <w:t>’</w:t>
      </w:r>
      <w:r w:rsidRPr="000B1866">
        <w:rPr>
          <w:lang w:val="fr-FR"/>
        </w:rPr>
        <w:t xml:space="preserve">un matériau qui ne modifie pas de plus de </w:t>
      </w:r>
      <w:r>
        <w:rPr>
          <w:lang w:val="fr-FR"/>
        </w:rPr>
        <w:sym w:font="Symbol" w:char="F0B1"/>
      </w:r>
      <w:r w:rsidRPr="000B1866">
        <w:rPr>
          <w:lang w:val="fr-FR"/>
        </w:rPr>
        <w:t>2 % après 30 min les mesures elles-mêmes ni la composition chimique des échantillons de gaz (films composites de polyéthylène polyamide ou de polyhydrocarbures fluorés, par exemple).</w:t>
      </w:r>
    </w:p>
    <w:p w14:paraId="61F25254" w14:textId="2DC0A763" w:rsidR="000B1866" w:rsidRPr="000B1866" w:rsidRDefault="000B1866" w:rsidP="000B1866">
      <w:pPr>
        <w:pStyle w:val="SingleTxtG"/>
        <w:rPr>
          <w:lang w:val="fr-FR"/>
        </w:rPr>
      </w:pPr>
      <w:r w:rsidRPr="000B1866">
        <w:rPr>
          <w:lang w:val="fr-FR"/>
        </w:rPr>
        <w:t>34.</w:t>
      </w:r>
      <w:r w:rsidRPr="000B1866">
        <w:rPr>
          <w:lang w:val="fr-FR"/>
        </w:rPr>
        <w:tab/>
        <w:t>Au 4.2.3.4.5 certains paramètres ont été ajoutés aux fins de l</w:t>
      </w:r>
      <w:r w:rsidR="007D3902">
        <w:rPr>
          <w:lang w:val="fr-FR"/>
        </w:rPr>
        <w:t>’</w:t>
      </w:r>
      <w:r w:rsidRPr="000B1866">
        <w:rPr>
          <w:lang w:val="fr-FR"/>
        </w:rPr>
        <w:t>harmonisation avec la WLTP :</w:t>
      </w:r>
    </w:p>
    <w:p w14:paraId="284D5688" w14:textId="5A75586B" w:rsidR="000B1866" w:rsidRPr="000B1866" w:rsidRDefault="000B1866" w:rsidP="00673D3D">
      <w:pPr>
        <w:pStyle w:val="SingleTxtG"/>
        <w:ind w:firstLine="567"/>
        <w:rPr>
          <w:bCs/>
          <w:lang w:val="fr-FR"/>
        </w:rPr>
      </w:pPr>
      <w:r w:rsidRPr="000B1866">
        <w:rPr>
          <w:lang w:val="fr-FR"/>
        </w:rPr>
        <w:t>« Le tracé de la courbe de linéarisation et les points de linéarisation permettent de vérifier que l</w:t>
      </w:r>
      <w:r w:rsidR="007D3902">
        <w:rPr>
          <w:lang w:val="fr-FR"/>
        </w:rPr>
        <w:t>’</w:t>
      </w:r>
      <w:r w:rsidRPr="000B1866">
        <w:rPr>
          <w:lang w:val="fr-FR"/>
        </w:rPr>
        <w:t>étalonnage a été correctement exécuté. Les différents paramètres caractéristiques de l</w:t>
      </w:r>
      <w:r w:rsidR="007D3902">
        <w:rPr>
          <w:lang w:val="fr-FR"/>
        </w:rPr>
        <w:t>’</w:t>
      </w:r>
      <w:r w:rsidRPr="000B1866">
        <w:rPr>
          <w:lang w:val="fr-FR"/>
        </w:rPr>
        <w:t>analyseur doivent être indiqués, notamment :</w:t>
      </w:r>
    </w:p>
    <w:p w14:paraId="39FD561B" w14:textId="0DF04DEE" w:rsidR="000B1866" w:rsidRPr="000B1866" w:rsidRDefault="000B1866" w:rsidP="000B1866">
      <w:pPr>
        <w:pStyle w:val="SingleTxtG"/>
        <w:ind w:firstLine="567"/>
        <w:rPr>
          <w:lang w:val="fr-FR"/>
        </w:rPr>
      </w:pPr>
      <w:r w:rsidRPr="000B1866">
        <w:rPr>
          <w:bCs/>
          <w:lang w:val="fr-FR"/>
        </w:rPr>
        <w:t>a)</w:t>
      </w:r>
      <w:r w:rsidRPr="000B1866">
        <w:rPr>
          <w:bCs/>
          <w:lang w:val="fr-FR"/>
        </w:rPr>
        <w:tab/>
        <w:t>L</w:t>
      </w:r>
      <w:r w:rsidR="007D3902">
        <w:rPr>
          <w:bCs/>
          <w:lang w:val="fr-FR"/>
        </w:rPr>
        <w:t>’</w:t>
      </w:r>
      <w:r w:rsidRPr="000B1866">
        <w:rPr>
          <w:bCs/>
          <w:lang w:val="fr-FR"/>
        </w:rPr>
        <w:t>analyseur et le constituant gazeux ;</w:t>
      </w:r>
    </w:p>
    <w:p w14:paraId="46DD1436" w14:textId="0433BB86" w:rsidR="000B1866" w:rsidRPr="000B1866" w:rsidRDefault="000B1866" w:rsidP="000B1866">
      <w:pPr>
        <w:pStyle w:val="SingleTxtG"/>
        <w:ind w:firstLine="567"/>
        <w:rPr>
          <w:lang w:val="fr-FR"/>
        </w:rPr>
      </w:pPr>
      <w:r w:rsidRPr="000B1866">
        <w:rPr>
          <w:bCs/>
          <w:lang w:val="fr-FR"/>
        </w:rPr>
        <w:t>b)</w:t>
      </w:r>
      <w:r w:rsidRPr="000B1866">
        <w:rPr>
          <w:bCs/>
          <w:lang w:val="fr-FR"/>
        </w:rPr>
        <w:tab/>
        <w:t>La gamme ;</w:t>
      </w:r>
    </w:p>
    <w:p w14:paraId="2A5D439F" w14:textId="4FADAE3D" w:rsidR="000B1866" w:rsidRPr="000B1866" w:rsidRDefault="000B1866" w:rsidP="000B1866">
      <w:pPr>
        <w:pStyle w:val="SingleTxtG"/>
        <w:ind w:firstLine="567"/>
        <w:rPr>
          <w:lang w:val="fr-FR"/>
        </w:rPr>
      </w:pPr>
      <w:r w:rsidRPr="000B1866">
        <w:rPr>
          <w:bCs/>
          <w:lang w:val="fr-FR"/>
        </w:rPr>
        <w:t>c)</w:t>
      </w:r>
      <w:r w:rsidRPr="000B1866">
        <w:rPr>
          <w:bCs/>
          <w:lang w:val="fr-FR"/>
        </w:rPr>
        <w:tab/>
        <w:t>La date de la linéarisation. »</w:t>
      </w:r>
      <w:r>
        <w:rPr>
          <w:bCs/>
          <w:lang w:val="fr-FR"/>
        </w:rPr>
        <w:t>.</w:t>
      </w:r>
    </w:p>
    <w:p w14:paraId="56F7E2BB" w14:textId="4C144BF7" w:rsidR="000B1866" w:rsidRPr="000B1866" w:rsidRDefault="000B1866" w:rsidP="000B1866">
      <w:pPr>
        <w:pStyle w:val="SingleTxtG"/>
        <w:rPr>
          <w:lang w:val="fr-FR"/>
        </w:rPr>
      </w:pPr>
      <w:r w:rsidRPr="000B1866">
        <w:rPr>
          <w:lang w:val="fr-FR"/>
        </w:rPr>
        <w:t>35.</w:t>
      </w:r>
      <w:r w:rsidRPr="000B1866">
        <w:rPr>
          <w:lang w:val="fr-FR"/>
        </w:rPr>
        <w:tab/>
        <w:t>Au 4.2.3.6.1 des segments</w:t>
      </w:r>
      <w:r w:rsidRPr="000B1866">
        <w:rPr>
          <w:b/>
          <w:bCs/>
          <w:lang w:val="fr-FR"/>
        </w:rPr>
        <w:t xml:space="preserve"> </w:t>
      </w:r>
      <w:r w:rsidRPr="000B1866">
        <w:rPr>
          <w:lang w:val="fr-FR"/>
        </w:rPr>
        <w:t>ont été ajoutés aux fins de l</w:t>
      </w:r>
      <w:r w:rsidR="007D3902">
        <w:rPr>
          <w:lang w:val="fr-FR"/>
        </w:rPr>
        <w:t>’</w:t>
      </w:r>
      <w:r w:rsidRPr="000B1866">
        <w:rPr>
          <w:lang w:val="fr-FR"/>
        </w:rPr>
        <w:t>harmonisation avec l</w:t>
      </w:r>
      <w:r w:rsidR="007D3902">
        <w:rPr>
          <w:lang w:val="fr-FR"/>
        </w:rPr>
        <w:t>’</w:t>
      </w:r>
      <w:r w:rsidRPr="000B1866">
        <w:rPr>
          <w:lang w:val="fr-FR"/>
        </w:rPr>
        <w:t xml:space="preserve">amendement 6 au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15 sur la WLTP :</w:t>
      </w:r>
    </w:p>
    <w:p w14:paraId="7688E535" w14:textId="072D9F74" w:rsidR="000B1866" w:rsidRPr="000B1866" w:rsidRDefault="000B1866" w:rsidP="000316F2">
      <w:pPr>
        <w:pStyle w:val="SingleTxtG"/>
        <w:ind w:left="1701"/>
        <w:rPr>
          <w:lang w:val="fr-FR"/>
        </w:rPr>
      </w:pPr>
      <w:r w:rsidRPr="000B1866">
        <w:rPr>
          <w:lang w:val="fr-FR"/>
        </w:rPr>
        <w:t>« Les gaz purs utilisés selon le cas pour l</w:t>
      </w:r>
      <w:r w:rsidR="007D3902">
        <w:rPr>
          <w:lang w:val="fr-FR"/>
        </w:rPr>
        <w:t>’</w:t>
      </w:r>
      <w:r w:rsidRPr="000B1866">
        <w:rPr>
          <w:lang w:val="fr-FR"/>
        </w:rPr>
        <w:t>étalonnage et l</w:t>
      </w:r>
      <w:r w:rsidR="007D3902">
        <w:rPr>
          <w:lang w:val="fr-FR"/>
        </w:rPr>
        <w:t>’</w:t>
      </w:r>
      <w:r w:rsidRPr="000B1866">
        <w:rPr>
          <w:lang w:val="fr-FR"/>
        </w:rPr>
        <w:t>utilisation de l</w:t>
      </w:r>
      <w:r w:rsidR="007D3902">
        <w:rPr>
          <w:lang w:val="fr-FR"/>
        </w:rPr>
        <w:t>’</w:t>
      </w:r>
      <w:r w:rsidRPr="000B1866">
        <w:rPr>
          <w:lang w:val="fr-FR"/>
        </w:rPr>
        <w:t>appareillage doivent répondre aux conditions suivantes</w:t>
      </w:r>
      <w:r w:rsidR="00673D3D">
        <w:rPr>
          <w:lang w:val="fr-FR"/>
        </w:rPr>
        <w:t> ;</w:t>
      </w:r>
    </w:p>
    <w:p w14:paraId="7CCE0707" w14:textId="10179643" w:rsidR="000B1866" w:rsidRPr="000B1866" w:rsidRDefault="000B1866" w:rsidP="000316F2">
      <w:pPr>
        <w:pStyle w:val="SingleTxtG"/>
        <w:ind w:left="1701"/>
        <w:rPr>
          <w:lang w:val="fr-FR"/>
        </w:rPr>
      </w:pPr>
      <w:r w:rsidRPr="000B1866">
        <w:rPr>
          <w:lang w:val="fr-FR"/>
        </w:rPr>
        <w:t>À la demande de la Partie contractante, si un gaz conforme aux marges de tolérance ci-après n</w:t>
      </w:r>
      <w:r w:rsidR="007D3902">
        <w:rPr>
          <w:lang w:val="fr-FR"/>
        </w:rPr>
        <w:t>’</w:t>
      </w:r>
      <w:r w:rsidRPr="000B1866">
        <w:rPr>
          <w:lang w:val="fr-FR"/>
        </w:rPr>
        <w:t>est pas disponible dans la région, un gaz disponible dans la région et dont les marges de tolérance sont plus larges mais aussi étroites que possible peut être utilisé</w:t>
      </w:r>
      <w:r w:rsidR="00673D3D">
        <w:rPr>
          <w:lang w:val="fr-FR"/>
        </w:rPr>
        <w:t> ;</w:t>
      </w:r>
    </w:p>
    <w:p w14:paraId="06F0A396" w14:textId="5A090BF4" w:rsidR="000B1866" w:rsidRPr="000B1866" w:rsidRDefault="000B1866" w:rsidP="000316F2">
      <w:pPr>
        <w:pStyle w:val="SingleTxtG"/>
        <w:ind w:left="1701"/>
        <w:rPr>
          <w:lang w:val="fr-FR"/>
        </w:rPr>
      </w:pPr>
      <w:r w:rsidRPr="000B1866">
        <w:rPr>
          <w:lang w:val="fr-FR"/>
        </w:rPr>
        <w:t>Hydrogène purifié (et mélange contenant de l</w:t>
      </w:r>
      <w:r w:rsidR="007D3902">
        <w:rPr>
          <w:lang w:val="fr-FR"/>
        </w:rPr>
        <w:t>’</w:t>
      </w:r>
      <w:r w:rsidRPr="000B1866">
        <w:rPr>
          <w:lang w:val="fr-FR"/>
        </w:rPr>
        <w:t>hélium ou de l</w:t>
      </w:r>
      <w:r w:rsidR="007D3902">
        <w:rPr>
          <w:lang w:val="fr-FR"/>
        </w:rPr>
        <w:t>’</w:t>
      </w:r>
      <w:r w:rsidRPr="000B1866">
        <w:rPr>
          <w:lang w:val="fr-FR"/>
        </w:rPr>
        <w:t>azote)</w:t>
      </w:r>
      <w:r w:rsidR="00C234E9">
        <w:rPr>
          <w:lang w:val="fr-FR"/>
        </w:rPr>
        <w:t xml:space="preserve"> </w:t>
      </w:r>
      <w:r w:rsidRPr="000B1866">
        <w:rPr>
          <w:lang w:val="fr-FR"/>
        </w:rPr>
        <w:t>: (pureté</w:t>
      </w:r>
      <w:r w:rsidR="00673D3D">
        <w:rPr>
          <w:lang w:val="fr-FR"/>
        </w:rPr>
        <w:t> :</w:t>
      </w:r>
      <w:r w:rsidR="00C234E9">
        <w:rPr>
          <w:lang w:val="fr-FR"/>
        </w:rPr>
        <w:t> </w:t>
      </w:r>
      <w:r w:rsidRPr="000B1866">
        <w:rPr>
          <w:lang w:val="fr-FR"/>
        </w:rPr>
        <w:t>≤</w:t>
      </w:r>
      <w:r w:rsidR="00673D3D">
        <w:rPr>
          <w:lang w:val="fr-FR"/>
        </w:rPr>
        <w:t> </w:t>
      </w:r>
      <w:r w:rsidRPr="000B1866">
        <w:rPr>
          <w:lang w:val="fr-FR"/>
        </w:rPr>
        <w:t>1</w:t>
      </w:r>
      <w:r w:rsidR="00673D3D">
        <w:rPr>
          <w:lang w:val="fr-FR"/>
        </w:rPr>
        <w:t> </w:t>
      </w:r>
      <w:r w:rsidRPr="000B1866">
        <w:rPr>
          <w:lang w:val="fr-FR"/>
        </w:rPr>
        <w:t>ppm</w:t>
      </w:r>
      <w:r w:rsidR="00673D3D">
        <w:rPr>
          <w:lang w:val="fr-FR"/>
        </w:rPr>
        <w:t> </w:t>
      </w:r>
      <w:r w:rsidRPr="000B1866">
        <w:rPr>
          <w:lang w:val="fr-FR"/>
        </w:rPr>
        <w:t>C1, ≤</w:t>
      </w:r>
      <w:r w:rsidR="00673D3D">
        <w:rPr>
          <w:lang w:val="fr-FR"/>
        </w:rPr>
        <w:t> </w:t>
      </w:r>
      <w:r w:rsidRPr="000B1866">
        <w:rPr>
          <w:lang w:val="fr-FR"/>
        </w:rPr>
        <w:t>400 ppm CO</w:t>
      </w:r>
      <w:r w:rsidRPr="000B1866">
        <w:rPr>
          <w:vertAlign w:val="subscript"/>
          <w:lang w:val="fr-FR"/>
        </w:rPr>
        <w:t>2</w:t>
      </w:r>
      <w:r w:rsidRPr="000B1866">
        <w:rPr>
          <w:lang w:val="fr-FR"/>
        </w:rPr>
        <w:t>) ; teneur en hydrogène entre 39 % et 41 % en volume)</w:t>
      </w:r>
      <w:r w:rsidR="00C234E9">
        <w:rPr>
          <w:lang w:val="fr-FR"/>
        </w:rPr>
        <w:t> </w:t>
      </w:r>
      <w:r w:rsidRPr="000B1866">
        <w:rPr>
          <w:lang w:val="fr-FR"/>
        </w:rPr>
        <w:t>; »</w:t>
      </w:r>
      <w:r w:rsidR="00673D3D">
        <w:rPr>
          <w:lang w:val="fr-FR"/>
        </w:rPr>
        <w:t>.</w:t>
      </w:r>
    </w:p>
    <w:p w14:paraId="58C077B3" w14:textId="448E38EE" w:rsidR="000B1866" w:rsidRPr="000B1866" w:rsidRDefault="000B1866" w:rsidP="000B1866">
      <w:pPr>
        <w:pStyle w:val="SingleTxtG"/>
        <w:rPr>
          <w:lang w:val="fr-FR"/>
        </w:rPr>
      </w:pPr>
      <w:r w:rsidRPr="000B1866">
        <w:rPr>
          <w:lang w:val="fr-FR"/>
        </w:rPr>
        <w:t>36.</w:t>
      </w:r>
      <w:r w:rsidRPr="000B1866">
        <w:rPr>
          <w:lang w:val="fr-FR"/>
        </w:rPr>
        <w:tab/>
        <w:t>Analyse des échantillons : au 4.2.7.2, « 20 min » a été remplacé par « 30 min » aux fins de l</w:t>
      </w:r>
      <w:r w:rsidR="007D3902">
        <w:rPr>
          <w:lang w:val="fr-FR"/>
        </w:rPr>
        <w:t>’</w:t>
      </w:r>
      <w:r w:rsidRPr="000B1866">
        <w:rPr>
          <w:lang w:val="fr-FR"/>
        </w:rPr>
        <w:t>harmonisation avec la WLTP.</w:t>
      </w:r>
    </w:p>
    <w:p w14:paraId="6ABCEF6F" w14:textId="4946F3AC" w:rsidR="000B1866" w:rsidRPr="000B1866" w:rsidRDefault="000B1866" w:rsidP="000B1866">
      <w:pPr>
        <w:pStyle w:val="SingleTxtG"/>
        <w:rPr>
          <w:lang w:val="fr-FR"/>
        </w:rPr>
      </w:pPr>
      <w:r w:rsidRPr="000B1866">
        <w:rPr>
          <w:lang w:val="fr-FR"/>
        </w:rPr>
        <w:t>37.</w:t>
      </w:r>
      <w:r w:rsidRPr="000B1866">
        <w:rPr>
          <w:lang w:val="fr-FR"/>
        </w:rPr>
        <w:tab/>
        <w:t>Données concernant les émissions (gaz dilués) : au 4.2.7.2, « il doit être effectué » a été remplacé par « on peut effectuer », aux fins de l</w:t>
      </w:r>
      <w:r w:rsidR="007D3902">
        <w:rPr>
          <w:lang w:val="fr-FR"/>
        </w:rPr>
        <w:t>’</w:t>
      </w:r>
      <w:r w:rsidRPr="000B1866">
        <w:rPr>
          <w:lang w:val="fr-FR"/>
        </w:rPr>
        <w:t>harmonisation avec la WLTP.</w:t>
      </w:r>
    </w:p>
    <w:p w14:paraId="6D3A5442" w14:textId="6ADD8E3F" w:rsidR="000B1866" w:rsidRPr="000B1866" w:rsidRDefault="000B1866" w:rsidP="000316F2">
      <w:pPr>
        <w:pStyle w:val="SingleTxtG"/>
        <w:ind w:left="1701"/>
        <w:rPr>
          <w:lang w:val="fr-FR"/>
        </w:rPr>
      </w:pPr>
      <w:r w:rsidRPr="000B1866">
        <w:rPr>
          <w:lang w:val="fr-FR"/>
        </w:rPr>
        <w:t>Dans la WLTP, aucune procédure n</w:t>
      </w:r>
      <w:r w:rsidR="007D3902">
        <w:rPr>
          <w:lang w:val="fr-FR"/>
        </w:rPr>
        <w:t>’</w:t>
      </w:r>
      <w:r w:rsidRPr="000B1866">
        <w:rPr>
          <w:lang w:val="fr-FR"/>
        </w:rPr>
        <w:t>est prescrite :</w:t>
      </w:r>
    </w:p>
    <w:p w14:paraId="71BF4722" w14:textId="0CCB259E" w:rsidR="000B1866" w:rsidRPr="000B1866" w:rsidRDefault="000B1866" w:rsidP="000316F2">
      <w:pPr>
        <w:pStyle w:val="SingleTxtG"/>
        <w:ind w:left="1701"/>
        <w:rPr>
          <w:lang w:val="fr-FR"/>
        </w:rPr>
      </w:pPr>
      <w:r w:rsidRPr="000B1866">
        <w:rPr>
          <w:lang w:val="fr-FR"/>
        </w:rPr>
        <w:t>« 2.9</w:t>
      </w:r>
      <w:r w:rsidRPr="000B1866">
        <w:rPr>
          <w:lang w:val="fr-FR"/>
        </w:rPr>
        <w:tab/>
        <w:t>Prélèvement des gaz</w:t>
      </w:r>
    </w:p>
    <w:p w14:paraId="5218D791" w14:textId="12034C5D" w:rsidR="000B1866" w:rsidRPr="000B1866" w:rsidRDefault="000B1866" w:rsidP="000316F2">
      <w:pPr>
        <w:pStyle w:val="SingleTxtG"/>
        <w:ind w:left="1701"/>
        <w:rPr>
          <w:lang w:val="fr-FR"/>
        </w:rPr>
      </w:pPr>
      <w:r w:rsidRPr="000B1866">
        <w:rPr>
          <w:lang w:val="fr-FR"/>
        </w:rPr>
        <w:t>Des échantillons de gaz doivent être collectés dans des sacs puis analysés à la fin de l</w:t>
      </w:r>
      <w:r w:rsidR="007D3902">
        <w:rPr>
          <w:lang w:val="fr-FR"/>
        </w:rPr>
        <w:t>’</w:t>
      </w:r>
      <w:r w:rsidRPr="000B1866">
        <w:rPr>
          <w:lang w:val="fr-FR"/>
        </w:rPr>
        <w:t>essai ou d</w:t>
      </w:r>
      <w:r w:rsidR="007D3902">
        <w:rPr>
          <w:lang w:val="fr-FR"/>
        </w:rPr>
        <w:t>’</w:t>
      </w:r>
      <w:r w:rsidRPr="000B1866">
        <w:rPr>
          <w:lang w:val="fr-FR"/>
        </w:rPr>
        <w:t>une phase de l</w:t>
      </w:r>
      <w:r w:rsidR="007D3902">
        <w:rPr>
          <w:lang w:val="fr-FR"/>
        </w:rPr>
        <w:t>’</w:t>
      </w:r>
      <w:r w:rsidRPr="000B1866">
        <w:rPr>
          <w:lang w:val="fr-FR"/>
        </w:rPr>
        <w:t>essai. Les échantillons peuvent également être analysés en continu et les valeurs intégrées sur tout le cycle. »</w:t>
      </w:r>
      <w:r w:rsidR="000316F2">
        <w:rPr>
          <w:lang w:val="fr-FR"/>
        </w:rPr>
        <w:t>.</w:t>
      </w:r>
    </w:p>
    <w:p w14:paraId="1E12A507" w14:textId="686ED3E5" w:rsidR="000B1866" w:rsidRPr="000B1866" w:rsidRDefault="000B1866" w:rsidP="000316F2">
      <w:pPr>
        <w:pStyle w:val="SingleTxtG"/>
        <w:ind w:left="1701"/>
        <w:rPr>
          <w:lang w:val="fr-FR"/>
        </w:rPr>
      </w:pPr>
      <w:r w:rsidRPr="000B1866">
        <w:rPr>
          <w:lang w:val="fr-FR"/>
        </w:rPr>
        <w:t>Le paragraphe 86.537-90 du Titre 40 du Recueil des règlements fédéraux</w:t>
      </w:r>
      <w:r w:rsidRPr="000B1866">
        <w:rPr>
          <w:i/>
          <w:iCs/>
          <w:lang w:val="fr-FR"/>
        </w:rPr>
        <w:t xml:space="preserve"> </w:t>
      </w:r>
      <w:r w:rsidRPr="000B1866">
        <w:rPr>
          <w:lang w:val="fr-FR"/>
        </w:rPr>
        <w:t>se lit comme suit :</w:t>
      </w:r>
    </w:p>
    <w:p w14:paraId="4C51BEBB" w14:textId="276C0991" w:rsidR="000B1866" w:rsidRPr="000B1866" w:rsidRDefault="000B1866" w:rsidP="000316F2">
      <w:pPr>
        <w:pStyle w:val="SingleTxtG"/>
        <w:ind w:left="1701"/>
        <w:rPr>
          <w:lang w:val="fr-FR"/>
        </w:rPr>
      </w:pPr>
      <w:r w:rsidRPr="000B1866">
        <w:rPr>
          <w:lang w:val="fr-FR"/>
        </w:rPr>
        <w:t>La surveillance continue des émissions d</w:t>
      </w:r>
      <w:r w:rsidR="007D3902">
        <w:rPr>
          <w:lang w:val="fr-FR"/>
        </w:rPr>
        <w:t>’</w:t>
      </w:r>
      <w:r w:rsidRPr="000B1866">
        <w:rPr>
          <w:lang w:val="fr-FR"/>
        </w:rPr>
        <w:t>échappement n</w:t>
      </w:r>
      <w:r w:rsidR="007D3902">
        <w:rPr>
          <w:lang w:val="fr-FR"/>
        </w:rPr>
        <w:t>’</w:t>
      </w:r>
      <w:r w:rsidRPr="000B1866">
        <w:rPr>
          <w:lang w:val="fr-FR"/>
        </w:rPr>
        <w:t>est en principe pas autorisée. Pour procéder à la surveillance continue des émissions d</w:t>
      </w:r>
      <w:r w:rsidR="007D3902">
        <w:rPr>
          <w:lang w:val="fr-FR"/>
        </w:rPr>
        <w:t>’</w:t>
      </w:r>
      <w:r w:rsidRPr="000B1866">
        <w:rPr>
          <w:lang w:val="fr-FR"/>
        </w:rPr>
        <w:t>échappement, il faut obtenir l</w:t>
      </w:r>
      <w:r w:rsidR="007D3902">
        <w:rPr>
          <w:lang w:val="fr-FR"/>
        </w:rPr>
        <w:t>’</w:t>
      </w:r>
      <w:r w:rsidRPr="000B1866">
        <w:rPr>
          <w:lang w:val="fr-FR"/>
        </w:rPr>
        <w:t>accord par écrite de l</w:t>
      </w:r>
      <w:r w:rsidR="007D3902">
        <w:rPr>
          <w:lang w:val="fr-FR"/>
        </w:rPr>
        <w:t>’</w:t>
      </w:r>
      <w:r w:rsidRPr="000B1866">
        <w:rPr>
          <w:lang w:val="fr-FR"/>
        </w:rPr>
        <w:t>administrateur.</w:t>
      </w:r>
    </w:p>
    <w:p w14:paraId="770EE6D2" w14:textId="00A2CDDF" w:rsidR="000B1866" w:rsidRPr="000B1866" w:rsidRDefault="000B1866" w:rsidP="000B1866">
      <w:pPr>
        <w:pStyle w:val="SingleTxtG"/>
        <w:rPr>
          <w:lang w:val="fr-FR"/>
        </w:rPr>
      </w:pPr>
      <w:r w:rsidRPr="000B1866">
        <w:rPr>
          <w:lang w:val="fr-FR"/>
        </w:rPr>
        <w:t>38.</w:t>
      </w:r>
      <w:r w:rsidRPr="000B1866">
        <w:rPr>
          <w:lang w:val="fr-FR"/>
        </w:rPr>
        <w:tab/>
        <w:t>Analyse des échantillons : au 5.1.1.1, « 20 min » a été remplacé par « 30 min » aux fins de l</w:t>
      </w:r>
      <w:r w:rsidR="007D3902">
        <w:rPr>
          <w:lang w:val="fr-FR"/>
        </w:rPr>
        <w:t>’</w:t>
      </w:r>
      <w:r w:rsidRPr="000B1866">
        <w:rPr>
          <w:lang w:val="fr-FR"/>
        </w:rPr>
        <w:t>harmonisation avec la WLTP.</w:t>
      </w:r>
    </w:p>
    <w:p w14:paraId="11B9ECCB" w14:textId="74BD47E5" w:rsidR="000B1866" w:rsidRPr="000B1866" w:rsidRDefault="000B1866" w:rsidP="000316F2">
      <w:pPr>
        <w:pStyle w:val="SingleTxtG"/>
        <w:ind w:firstLine="567"/>
        <w:rPr>
          <w:lang w:val="fr-FR"/>
        </w:rPr>
      </w:pPr>
      <w:r w:rsidRPr="000B1866">
        <w:rPr>
          <w:lang w:val="fr-FR"/>
        </w:rPr>
        <w:t>Au 5.1.1.4.3, les spécifications B5 et B7 ont été ajoutées aux fins de l</w:t>
      </w:r>
      <w:r w:rsidR="007D3902">
        <w:rPr>
          <w:lang w:val="fr-FR"/>
        </w:rPr>
        <w:t>’</w:t>
      </w:r>
      <w:r w:rsidRPr="000B1866">
        <w:rPr>
          <w:lang w:val="fr-FR"/>
        </w:rPr>
        <w:t>harmonisation avec la WLTP.</w:t>
      </w:r>
    </w:p>
    <w:p w14:paraId="24BDEDCE" w14:textId="5EB4EC58" w:rsidR="000B1866" w:rsidRPr="000B1866" w:rsidRDefault="000B1866" w:rsidP="000316F2">
      <w:pPr>
        <w:pStyle w:val="SingleTxtG"/>
        <w:ind w:firstLine="567"/>
        <w:rPr>
          <w:lang w:val="fr-FR"/>
        </w:rPr>
      </w:pPr>
      <w:r w:rsidRPr="000B1866">
        <w:rPr>
          <w:lang w:val="fr-FR"/>
        </w:rPr>
        <w:t>Au 5.1.1.4.9, les spécifications B0 et B7 ont été ajoutées aux fins de l</w:t>
      </w:r>
      <w:r w:rsidR="007D3902">
        <w:rPr>
          <w:lang w:val="fr-FR"/>
        </w:rPr>
        <w:t>’</w:t>
      </w:r>
      <w:r w:rsidRPr="000B1866">
        <w:rPr>
          <w:lang w:val="fr-FR"/>
        </w:rPr>
        <w:t>harmonisation avec la WLTP.</w:t>
      </w:r>
    </w:p>
    <w:p w14:paraId="2558CB4F" w14:textId="74AB461D" w:rsidR="000B1866" w:rsidRPr="000B1866" w:rsidRDefault="000B1866" w:rsidP="000316F2">
      <w:pPr>
        <w:pStyle w:val="SingleTxtG"/>
        <w:ind w:firstLine="567"/>
        <w:rPr>
          <w:lang w:val="fr-FR"/>
        </w:rPr>
      </w:pPr>
      <w:r w:rsidRPr="000B1866">
        <w:rPr>
          <w:lang w:val="fr-FR"/>
        </w:rPr>
        <w:t>Au 2.2.4 de l</w:t>
      </w:r>
      <w:r w:rsidR="007D3902">
        <w:rPr>
          <w:lang w:val="fr-FR"/>
        </w:rPr>
        <w:t>’</w:t>
      </w:r>
      <w:r w:rsidRPr="000B1866">
        <w:rPr>
          <w:lang w:val="fr-FR"/>
        </w:rPr>
        <w:t>annexe 3, les spécifications B5 et B7 ont été ajoutées aux fins de l</w:t>
      </w:r>
      <w:r w:rsidR="007D3902">
        <w:rPr>
          <w:lang w:val="fr-FR"/>
        </w:rPr>
        <w:t>’</w:t>
      </w:r>
      <w:r w:rsidRPr="000B1866">
        <w:rPr>
          <w:lang w:val="fr-FR"/>
        </w:rPr>
        <w:t>harmonisation avec la WLTP.</w:t>
      </w:r>
    </w:p>
    <w:p w14:paraId="5A7C5683" w14:textId="34B65918" w:rsidR="000B1866" w:rsidRPr="000B1866" w:rsidRDefault="000B1866" w:rsidP="000316F2">
      <w:pPr>
        <w:pStyle w:val="SingleTxtG"/>
        <w:ind w:firstLine="567"/>
        <w:rPr>
          <w:lang w:val="fr-FR"/>
        </w:rPr>
      </w:pPr>
      <w:r w:rsidRPr="000B1866">
        <w:rPr>
          <w:lang w:val="fr-FR"/>
        </w:rPr>
        <w:t>Au 1.4.3.6 de l</w:t>
      </w:r>
      <w:r w:rsidR="007D3902">
        <w:rPr>
          <w:lang w:val="fr-FR"/>
        </w:rPr>
        <w:t>’</w:t>
      </w:r>
      <w:r w:rsidRPr="000B1866">
        <w:rPr>
          <w:lang w:val="fr-FR"/>
        </w:rPr>
        <w:t>annexe 3, les spécifications B0 ont été ajoutées aux fins de l</w:t>
      </w:r>
      <w:r w:rsidR="007D3902">
        <w:rPr>
          <w:lang w:val="fr-FR"/>
        </w:rPr>
        <w:t>’</w:t>
      </w:r>
      <w:r w:rsidRPr="000B1866">
        <w:rPr>
          <w:lang w:val="fr-FR"/>
        </w:rPr>
        <w:t>harmonisation avec la WLTP.</w:t>
      </w:r>
    </w:p>
    <w:p w14:paraId="6F0FBDFF" w14:textId="77777777" w:rsidR="000B1866" w:rsidRPr="000B1866" w:rsidRDefault="000B1866" w:rsidP="000B1866">
      <w:pPr>
        <w:pStyle w:val="H1G"/>
        <w:rPr>
          <w:lang w:val="fr-FR"/>
        </w:rPr>
      </w:pPr>
      <w:r w:rsidRPr="000B1866">
        <w:rPr>
          <w:lang w:val="fr-FR"/>
        </w:rPr>
        <w:tab/>
        <w:t>C.</w:t>
      </w:r>
      <w:r w:rsidRPr="000B1866">
        <w:rPr>
          <w:lang w:val="fr-FR"/>
        </w:rPr>
        <w:tab/>
        <w:t>Corrections techniques</w:t>
      </w:r>
    </w:p>
    <w:p w14:paraId="49F8DABE" w14:textId="239545A2" w:rsidR="000B1866" w:rsidRPr="000B1866" w:rsidRDefault="000B1866" w:rsidP="000B1866">
      <w:pPr>
        <w:pStyle w:val="H23G"/>
        <w:rPr>
          <w:lang w:val="fr-FR"/>
        </w:rPr>
      </w:pPr>
      <w:r w:rsidRPr="000B1866">
        <w:rPr>
          <w:lang w:val="fr-FR"/>
        </w:rPr>
        <w:tab/>
        <w:t>1.</w:t>
      </w:r>
      <w:r w:rsidRPr="000B1866">
        <w:rPr>
          <w:lang w:val="fr-FR"/>
        </w:rPr>
        <w:tab/>
        <w:t>Masses prises en compte lors du réglage du banc à rouleaux</w:t>
      </w:r>
    </w:p>
    <w:p w14:paraId="6AEC95A5" w14:textId="431D4DBE" w:rsidR="000B1866" w:rsidRPr="000B1866" w:rsidRDefault="000B1866" w:rsidP="000316F2">
      <w:pPr>
        <w:pStyle w:val="SingleTxtG"/>
        <w:rPr>
          <w:lang w:val="fr-FR"/>
        </w:rPr>
      </w:pPr>
      <w:r w:rsidRPr="000B1866">
        <w:rPr>
          <w:lang w:val="fr-FR"/>
        </w:rPr>
        <w:t>39.</w:t>
      </w:r>
      <w:r w:rsidRPr="000B1866">
        <w:rPr>
          <w:lang w:val="fr-FR"/>
        </w:rPr>
        <w:tab/>
        <w:t>Les masses à prendre en compte lors du réglage du banc à rouleaux ne sont pas les mêmes dans l</w:t>
      </w:r>
      <w:r w:rsidR="007D3902">
        <w:rPr>
          <w:lang w:val="fr-FR"/>
        </w:rPr>
        <w:t>’</w:t>
      </w:r>
      <w:r w:rsidRPr="000B1866">
        <w:rPr>
          <w:lang w:val="fr-FR"/>
        </w:rPr>
        <w:t xml:space="preserve">Euro 5 et dans le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en raison d</w:t>
      </w:r>
      <w:r w:rsidR="007D3902">
        <w:rPr>
          <w:lang w:val="fr-FR"/>
        </w:rPr>
        <w:t>’</w:t>
      </w:r>
      <w:r w:rsidRPr="000B1866">
        <w:rPr>
          <w:lang w:val="fr-FR"/>
        </w:rPr>
        <w:t>une erreur dans l</w:t>
      </w:r>
      <w:r w:rsidR="007D3902">
        <w:rPr>
          <w:lang w:val="fr-FR"/>
        </w:rPr>
        <w:t>’</w:t>
      </w:r>
      <w:r w:rsidRPr="000B1866">
        <w:rPr>
          <w:lang w:val="fr-FR"/>
        </w:rPr>
        <w:t>Euro 5, comme l</w:t>
      </w:r>
      <w:r w:rsidR="007D3902">
        <w:rPr>
          <w:lang w:val="fr-FR"/>
        </w:rPr>
        <w:t>’</w:t>
      </w:r>
      <w:r w:rsidRPr="000B1866">
        <w:rPr>
          <w:lang w:val="fr-FR"/>
        </w:rPr>
        <w:t xml:space="preserve">a expliqué la CE dans le </w:t>
      </w:r>
      <w:r w:rsidRPr="00AF3FE4">
        <w:rPr>
          <w:u w:val="single"/>
          <w:lang w:val="fr-FR"/>
        </w:rPr>
        <w:t>document EPPR-40-01</w:t>
      </w:r>
      <w:r w:rsidRPr="000B1866">
        <w:rPr>
          <w:lang w:val="fr-FR"/>
        </w:rPr>
        <w:t>.</w:t>
      </w:r>
    </w:p>
    <w:p w14:paraId="1135C6FE" w14:textId="2CE2C345" w:rsidR="000B1866" w:rsidRPr="000B1866" w:rsidRDefault="000B1866" w:rsidP="000316F2">
      <w:pPr>
        <w:pStyle w:val="SingleTxtG"/>
        <w:ind w:firstLine="567"/>
        <w:rPr>
          <w:lang w:val="fr-FR"/>
        </w:rPr>
      </w:pPr>
      <w:r w:rsidRPr="000B1866">
        <w:rPr>
          <w:lang w:val="fr-FR"/>
        </w:rPr>
        <w:t>Lors du réglage du banc, l</w:t>
      </w:r>
      <w:r w:rsidR="007D3902">
        <w:rPr>
          <w:lang w:val="fr-FR"/>
        </w:rPr>
        <w:t>’</w:t>
      </w:r>
      <w:r w:rsidRPr="000B1866">
        <w:rPr>
          <w:lang w:val="fr-FR"/>
        </w:rPr>
        <w:t>Euro 5 se réfère à m</w:t>
      </w:r>
      <w:r w:rsidRPr="000B1866">
        <w:rPr>
          <w:vertAlign w:val="subscript"/>
          <w:lang w:val="fr-FR"/>
        </w:rPr>
        <w:t xml:space="preserve">k </w:t>
      </w:r>
      <w:r w:rsidRPr="000B1866">
        <w:rPr>
          <w:lang w:val="fr-FR"/>
        </w:rPr>
        <w:t>= masse en ordre de marche hors masse du conducteur, tandis que l</w:t>
      </w:r>
      <w:r w:rsidR="007D3902">
        <w:rPr>
          <w:lang w:val="fr-FR"/>
        </w:rPr>
        <w:t>’</w:t>
      </w:r>
      <w:r w:rsidRPr="000B1866">
        <w:rPr>
          <w:lang w:val="fr-FR"/>
        </w:rPr>
        <w:t xml:space="preserve">amendement 4 au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se réfère à m</w:t>
      </w:r>
      <w:r w:rsidRPr="000B1866">
        <w:rPr>
          <w:vertAlign w:val="subscript"/>
          <w:lang w:val="fr-FR"/>
        </w:rPr>
        <w:t>ref</w:t>
      </w:r>
      <w:r w:rsidRPr="000B1866">
        <w:rPr>
          <w:lang w:val="fr-FR"/>
        </w:rPr>
        <w:t>, qui inclut la masse du conducteur, conformément à la norme ISO11486: m</w:t>
      </w:r>
      <w:r w:rsidRPr="000B1866">
        <w:rPr>
          <w:vertAlign w:val="subscript"/>
          <w:lang w:val="fr-FR"/>
        </w:rPr>
        <w:t xml:space="preserve">ref </w:t>
      </w:r>
      <w:r w:rsidRPr="000B1866">
        <w:rPr>
          <w:lang w:val="fr-FR"/>
        </w:rPr>
        <w:t>= m</w:t>
      </w:r>
      <w:r w:rsidRPr="000B1866">
        <w:rPr>
          <w:vertAlign w:val="subscript"/>
          <w:lang w:val="fr-FR"/>
        </w:rPr>
        <w:t xml:space="preserve">k </w:t>
      </w:r>
      <w:r w:rsidRPr="000B1866">
        <w:rPr>
          <w:lang w:val="fr-FR"/>
        </w:rPr>
        <w:t>+ 75 kg.</w:t>
      </w:r>
    </w:p>
    <w:p w14:paraId="571FAF0D" w14:textId="586AAA8A" w:rsidR="000B1866" w:rsidRPr="000B1866" w:rsidRDefault="000B1866" w:rsidP="000316F2">
      <w:pPr>
        <w:pStyle w:val="SingleTxtG"/>
        <w:ind w:firstLine="567"/>
        <w:rPr>
          <w:lang w:val="fr-FR"/>
        </w:rPr>
      </w:pPr>
      <w:r w:rsidRPr="000B1866">
        <w:rPr>
          <w:lang w:val="fr-FR"/>
        </w:rPr>
        <w:t xml:space="preserve">À la quarantième réunion du groupe de travail informel EPPR (décembre 2020), la CE a précisé que les masses indiquées dans le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 xml:space="preserve">2 étaient correctes alors que le règlement (UE)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134/2014 sur l</w:t>
      </w:r>
      <w:r w:rsidR="007D3902">
        <w:rPr>
          <w:lang w:val="fr-FR"/>
        </w:rPr>
        <w:t>’</w:t>
      </w:r>
      <w:r w:rsidRPr="000B1866">
        <w:rPr>
          <w:lang w:val="fr-FR"/>
        </w:rPr>
        <w:t>Euro 5 contenait une erreur, laquelle est expliquée en détail dans le document EPPR-40-01 (CE). Le groupe de travail informel EPPR a décidé de continuer à utiliser principalement m</w:t>
      </w:r>
      <w:r w:rsidRPr="000B1866">
        <w:rPr>
          <w:vertAlign w:val="subscript"/>
          <w:lang w:val="fr-FR"/>
        </w:rPr>
        <w:t>k</w:t>
      </w:r>
      <w:r w:rsidRPr="000B1866">
        <w:rPr>
          <w:lang w:val="fr-FR"/>
        </w:rPr>
        <w:t xml:space="preserve"> aussi longtemps que possible.</w:t>
      </w:r>
    </w:p>
    <w:p w14:paraId="758B6913" w14:textId="16A76C9F" w:rsidR="000B1866" w:rsidRPr="000B1866" w:rsidRDefault="000B1866" w:rsidP="000316F2">
      <w:pPr>
        <w:pStyle w:val="SingleTxtG"/>
        <w:ind w:firstLine="567"/>
        <w:rPr>
          <w:lang w:val="fr-FR"/>
        </w:rPr>
      </w:pPr>
      <w:r w:rsidRPr="000B1866">
        <w:rPr>
          <w:lang w:val="fr-FR"/>
        </w:rPr>
        <w:t xml:space="preserve">Note sur la norme ISO11486 intitulée « Motocycles </w:t>
      </w:r>
      <w:r>
        <w:rPr>
          <w:lang w:val="fr-FR"/>
        </w:rPr>
        <w:t>−</w:t>
      </w:r>
      <w:r w:rsidRPr="000B1866">
        <w:rPr>
          <w:lang w:val="fr-FR"/>
        </w:rPr>
        <w:t xml:space="preserve"> Méthodes pour fixer la résistance à l</w:t>
      </w:r>
      <w:r w:rsidR="007D3902">
        <w:rPr>
          <w:lang w:val="fr-FR"/>
        </w:rPr>
        <w:t>’</w:t>
      </w:r>
      <w:r w:rsidRPr="000B1866">
        <w:rPr>
          <w:lang w:val="fr-FR"/>
        </w:rPr>
        <w:t>avancement sur un banc dynamométrique » ayant pour objet de déterminer les orientations proposées dans ce document concernant</w:t>
      </w:r>
      <w:r w:rsidRPr="000B1866">
        <w:rPr>
          <w:b/>
          <w:bCs/>
          <w:lang w:val="fr-FR"/>
        </w:rPr>
        <w:t xml:space="preserve"> </w:t>
      </w:r>
      <w:r w:rsidRPr="000B1866">
        <w:rPr>
          <w:lang w:val="fr-FR"/>
        </w:rPr>
        <w:t>le choix de la masse pour le tableau relatif</w:t>
      </w:r>
      <w:r w:rsidRPr="000B1866">
        <w:rPr>
          <w:b/>
          <w:bCs/>
          <w:lang w:val="fr-FR"/>
        </w:rPr>
        <w:t xml:space="preserve"> </w:t>
      </w:r>
      <w:r w:rsidRPr="000B1866">
        <w:rPr>
          <w:lang w:val="fr-FR"/>
        </w:rPr>
        <w:t>à la résistance à l</w:t>
      </w:r>
      <w:r w:rsidR="007D3902">
        <w:rPr>
          <w:lang w:val="fr-FR"/>
        </w:rPr>
        <w:t>’</w:t>
      </w:r>
      <w:r w:rsidRPr="000B1866">
        <w:rPr>
          <w:lang w:val="fr-FR"/>
        </w:rPr>
        <w:t>avancement.</w:t>
      </w:r>
    </w:p>
    <w:p w14:paraId="004AF890" w14:textId="77777777" w:rsidR="000B1866" w:rsidRPr="000B1866" w:rsidRDefault="000B1866" w:rsidP="000316F2">
      <w:pPr>
        <w:pStyle w:val="SingleTxtG"/>
        <w:ind w:firstLine="567"/>
        <w:rPr>
          <w:lang w:val="fr-FR"/>
        </w:rPr>
      </w:pPr>
      <w:r w:rsidRPr="000B1866">
        <w:rPr>
          <w:lang w:val="fr-FR"/>
        </w:rPr>
        <w:t>Le document indique :</w:t>
      </w:r>
    </w:p>
    <w:p w14:paraId="572E6D20" w14:textId="21E684CA" w:rsidR="000B1866" w:rsidRPr="000B1866" w:rsidRDefault="000B1866" w:rsidP="000316F2">
      <w:pPr>
        <w:pStyle w:val="SingleTxtG"/>
        <w:ind w:left="1701"/>
        <w:rPr>
          <w:lang w:val="fr-FR"/>
        </w:rPr>
      </w:pPr>
      <w:r w:rsidRPr="000B1866">
        <w:t>10.</w:t>
      </w:r>
      <w:r>
        <w:t xml:space="preserve"> </w:t>
      </w:r>
      <w:r w:rsidRPr="000B1866">
        <w:t>Réglage du banc</w:t>
      </w:r>
      <w:r w:rsidRPr="000B1866">
        <w:rPr>
          <w:lang w:val="fr-FR"/>
        </w:rPr>
        <w:t xml:space="preserve"> à rouleaux à l</w:t>
      </w:r>
      <w:r w:rsidR="007D3902">
        <w:rPr>
          <w:lang w:val="fr-FR"/>
        </w:rPr>
        <w:t>’</w:t>
      </w:r>
      <w:r w:rsidRPr="000B1866">
        <w:rPr>
          <w:lang w:val="fr-FR"/>
        </w:rPr>
        <w:t>aide du tableau relatif à la résistance à l</w:t>
      </w:r>
      <w:r w:rsidR="007D3902">
        <w:rPr>
          <w:lang w:val="fr-FR"/>
        </w:rPr>
        <w:t>’</w:t>
      </w:r>
      <w:r w:rsidRPr="000B1866">
        <w:rPr>
          <w:lang w:val="fr-FR"/>
        </w:rPr>
        <w:t>avancement.</w:t>
      </w:r>
    </w:p>
    <w:p w14:paraId="2B1D430A" w14:textId="77777777" w:rsidR="000B1866" w:rsidRPr="000B1866" w:rsidRDefault="000B1866" w:rsidP="000316F2">
      <w:pPr>
        <w:pStyle w:val="SingleTxtG"/>
        <w:ind w:left="1701"/>
        <w:rPr>
          <w:lang w:val="fr-FR"/>
        </w:rPr>
      </w:pPr>
      <w:r w:rsidRPr="000B1866">
        <w:rPr>
          <w:lang w:val="fr-FR"/>
        </w:rPr>
        <w:t>10.1 Applicabilité</w:t>
      </w:r>
    </w:p>
    <w:p w14:paraId="1CA19367" w14:textId="21F4C0B1" w:rsidR="000B1866" w:rsidRPr="000B1866" w:rsidRDefault="000B1866" w:rsidP="000316F2">
      <w:pPr>
        <w:pStyle w:val="SingleTxtG"/>
        <w:ind w:left="1701"/>
        <w:rPr>
          <w:lang w:val="fr-FR"/>
        </w:rPr>
      </w:pPr>
      <w:r w:rsidRPr="000B1866">
        <w:rPr>
          <w:lang w:val="fr-FR"/>
        </w:rPr>
        <w:t>Le banc à rouleaux peut être réglé grâce à l</w:t>
      </w:r>
      <w:r w:rsidR="007D3902">
        <w:rPr>
          <w:lang w:val="fr-FR"/>
        </w:rPr>
        <w:t>’</w:t>
      </w:r>
      <w:r w:rsidRPr="000B1866">
        <w:rPr>
          <w:lang w:val="fr-FR"/>
        </w:rPr>
        <w:t>utilisation d</w:t>
      </w:r>
      <w:r w:rsidR="007D3902">
        <w:rPr>
          <w:lang w:val="fr-FR"/>
        </w:rPr>
        <w:t>’</w:t>
      </w:r>
      <w:r w:rsidRPr="000B1866">
        <w:rPr>
          <w:lang w:val="fr-FR"/>
        </w:rPr>
        <w:t>un tableau plutôt qu</w:t>
      </w:r>
      <w:r w:rsidR="007D3902">
        <w:rPr>
          <w:lang w:val="fr-FR"/>
        </w:rPr>
        <w:t>’</w:t>
      </w:r>
      <w:r w:rsidRPr="000B1866">
        <w:rPr>
          <w:lang w:val="fr-FR"/>
        </w:rPr>
        <w:t>au moyen de la valeur de la force de résistance à l</w:t>
      </w:r>
      <w:r w:rsidR="007D3902">
        <w:rPr>
          <w:lang w:val="fr-FR"/>
        </w:rPr>
        <w:t>’</w:t>
      </w:r>
      <w:r w:rsidRPr="000B1866">
        <w:rPr>
          <w:lang w:val="fr-FR"/>
        </w:rPr>
        <w:t>avancement obtenue par la méthode de décélération en roue libre. Dans la méthode du tableau, le banc est réglé en fonction de la masse de référence quelles que soient les caractéristiques particulières du motocycle.</w:t>
      </w:r>
    </w:p>
    <w:p w14:paraId="7DA095CE" w14:textId="4C928AC7" w:rsidR="000B1866" w:rsidRPr="000B1866" w:rsidRDefault="000B1866" w:rsidP="000316F2">
      <w:pPr>
        <w:pStyle w:val="SingleTxtG"/>
        <w:ind w:left="1701"/>
        <w:rPr>
          <w:lang w:val="fr-FR"/>
        </w:rPr>
      </w:pPr>
      <w:r w:rsidRPr="000B1866">
        <w:rPr>
          <w:lang w:val="fr-FR"/>
        </w:rPr>
        <w:t>Il est indiqué à la section 4 de la norme ISO11486, intitulée « Symboles », que m</w:t>
      </w:r>
      <w:r w:rsidRPr="000B1866">
        <w:rPr>
          <w:vertAlign w:val="subscript"/>
          <w:lang w:val="fr-FR"/>
        </w:rPr>
        <w:t xml:space="preserve">ref </w:t>
      </w:r>
      <w:r w:rsidRPr="000B1866">
        <w:rPr>
          <w:lang w:val="fr-FR"/>
        </w:rPr>
        <w:t>est la masse en ordre de marche du motocycle augmentée d</w:t>
      </w:r>
      <w:r w:rsidR="007D3902">
        <w:rPr>
          <w:lang w:val="fr-FR"/>
        </w:rPr>
        <w:t>’</w:t>
      </w:r>
      <w:r w:rsidRPr="000B1866">
        <w:rPr>
          <w:lang w:val="fr-FR"/>
        </w:rPr>
        <w:t>une masse uniformisée de 75 kg, qui représente le poids d</w:t>
      </w:r>
      <w:r w:rsidR="007D3902">
        <w:rPr>
          <w:lang w:val="fr-FR"/>
        </w:rPr>
        <w:t>’</w:t>
      </w:r>
      <w:r w:rsidRPr="000B1866">
        <w:rPr>
          <w:lang w:val="fr-FR"/>
        </w:rPr>
        <w:t>un conducteur.</w:t>
      </w:r>
    </w:p>
    <w:p w14:paraId="5745A75D" w14:textId="77777777" w:rsidR="000B1866" w:rsidRPr="000B1866" w:rsidRDefault="000B1866" w:rsidP="000B1866">
      <w:pPr>
        <w:pStyle w:val="H23G"/>
        <w:rPr>
          <w:lang w:val="fr-FR"/>
        </w:rPr>
      </w:pPr>
      <w:r w:rsidRPr="000B1866">
        <w:rPr>
          <w:lang w:val="fr-FR"/>
        </w:rPr>
        <w:tab/>
        <w:t>2.</w:t>
      </w:r>
      <w:r w:rsidRPr="000B1866">
        <w:rPr>
          <w:lang w:val="fr-FR"/>
        </w:rPr>
        <w:tab/>
        <w:t>Véhicules à roues jumelées</w:t>
      </w:r>
    </w:p>
    <w:p w14:paraId="2632852F" w14:textId="0593856D" w:rsidR="000B1866" w:rsidRPr="000B1866" w:rsidRDefault="000B1866" w:rsidP="000B1866">
      <w:pPr>
        <w:pStyle w:val="SingleTxtG"/>
        <w:rPr>
          <w:lang w:val="fr-FR"/>
        </w:rPr>
      </w:pPr>
      <w:r w:rsidRPr="000B1866">
        <w:rPr>
          <w:lang w:val="fr-FR"/>
        </w:rPr>
        <w:t>40.</w:t>
      </w:r>
      <w:r w:rsidRPr="000B1866">
        <w:rPr>
          <w:lang w:val="fr-FR"/>
        </w:rPr>
        <w:tab/>
        <w:t>Les véhicules à roues jumelées étaient déjà pris en considération dans l</w:t>
      </w:r>
      <w:r w:rsidR="007D3902">
        <w:rPr>
          <w:lang w:val="fr-FR"/>
        </w:rPr>
        <w:t>’</w:t>
      </w:r>
      <w:r w:rsidRPr="000B1866">
        <w:rPr>
          <w:lang w:val="fr-FR"/>
        </w:rPr>
        <w:t>amendement</w:t>
      </w:r>
      <w:r w:rsidR="000316F2">
        <w:rPr>
          <w:lang w:val="fr-FR"/>
        </w:rPr>
        <w:t> </w:t>
      </w:r>
      <w:r w:rsidRPr="000B1866">
        <w:rPr>
          <w:lang w:val="fr-FR"/>
        </w:rPr>
        <w:t xml:space="preserve">4 au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comme l</w:t>
      </w:r>
      <w:r w:rsidR="007D3902">
        <w:rPr>
          <w:lang w:val="fr-FR"/>
        </w:rPr>
        <w:t>’</w:t>
      </w:r>
      <w:r w:rsidRPr="000B1866">
        <w:rPr>
          <w:lang w:val="fr-FR"/>
        </w:rPr>
        <w:t>a confirmé l</w:t>
      </w:r>
      <w:r w:rsidR="007D3902">
        <w:rPr>
          <w:lang w:val="fr-FR"/>
        </w:rPr>
        <w:t>’</w:t>
      </w:r>
      <w:r w:rsidRPr="000B1866">
        <w:rPr>
          <w:lang w:val="fr-FR"/>
        </w:rPr>
        <w:t>IMMA à la quarante et unième réunion du groupe de travail informel EPPR (janvier 2021).</w:t>
      </w:r>
    </w:p>
    <w:p w14:paraId="7B2C3336" w14:textId="38F8430E" w:rsidR="000B1866" w:rsidRPr="000B1866" w:rsidRDefault="000B1866" w:rsidP="000316F2">
      <w:pPr>
        <w:pStyle w:val="SingleTxtG"/>
        <w:ind w:firstLine="567"/>
        <w:rPr>
          <w:lang w:val="fr-FR"/>
        </w:rPr>
      </w:pPr>
      <w:r w:rsidRPr="000B1866">
        <w:rPr>
          <w:lang w:val="fr-FR"/>
        </w:rPr>
        <w:t>Cependant, étant donné que le texte ne contenait pas de définition des roues jumelées, pour éviter tout malentendu, l</w:t>
      </w:r>
      <w:r w:rsidR="007D3902">
        <w:rPr>
          <w:lang w:val="fr-FR"/>
        </w:rPr>
        <w:t>’</w:t>
      </w:r>
      <w:r w:rsidRPr="000B1866">
        <w:rPr>
          <w:lang w:val="fr-FR"/>
        </w:rPr>
        <w:t>IMMA a fait un exposé à la quarante-deuxième réunion du groupe de travail informel EPPR (février 2021) afin de préciser la différence entre « véhicules à roues jumelées » et « véhicules à trois roues » (voir le document EPPR-42-06r1).</w:t>
      </w:r>
    </w:p>
    <w:p w14:paraId="69B5A855" w14:textId="65F6888A" w:rsidR="000B1866" w:rsidRPr="000B1866" w:rsidRDefault="000B1866" w:rsidP="000316F2">
      <w:pPr>
        <w:pStyle w:val="SingleTxtG"/>
        <w:ind w:firstLine="567"/>
        <w:rPr>
          <w:lang w:val="fr-FR"/>
        </w:rPr>
      </w:pPr>
      <w:r w:rsidRPr="000B1866">
        <w:rPr>
          <w:lang w:val="fr-FR"/>
        </w:rPr>
        <w:t>Dans le document EPPR-43-02, l</w:t>
      </w:r>
      <w:r w:rsidR="007D3902">
        <w:rPr>
          <w:lang w:val="fr-FR"/>
        </w:rPr>
        <w:t>’</w:t>
      </w:r>
      <w:r w:rsidRPr="000B1866">
        <w:rPr>
          <w:lang w:val="fr-FR"/>
        </w:rPr>
        <w:t>IMMA a proposé que soit ajoutée une définition du terme « roues jumelées » afin d</w:t>
      </w:r>
      <w:r w:rsidR="007D3902">
        <w:rPr>
          <w:lang w:val="fr-FR"/>
        </w:rPr>
        <w:t>’</w:t>
      </w:r>
      <w:r w:rsidRPr="000B1866">
        <w:rPr>
          <w:lang w:val="fr-FR"/>
        </w:rPr>
        <w:t>harmoniser l</w:t>
      </w:r>
      <w:r w:rsidR="007D3902">
        <w:rPr>
          <w:lang w:val="fr-FR"/>
        </w:rPr>
        <w:t>’</w:t>
      </w:r>
      <w:r w:rsidRPr="000B1866">
        <w:rPr>
          <w:lang w:val="fr-FR"/>
        </w:rPr>
        <w:t xml:space="preserve">amendement 5 avec le règlement (UE)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134/2014.</w:t>
      </w:r>
    </w:p>
    <w:p w14:paraId="7907BFAF" w14:textId="4AD09AD2" w:rsidR="000B1866" w:rsidRPr="000B1866" w:rsidRDefault="000B1866" w:rsidP="000316F2">
      <w:pPr>
        <w:pStyle w:val="SingleTxtG"/>
        <w:ind w:firstLine="567"/>
        <w:rPr>
          <w:lang w:val="fr-FR"/>
        </w:rPr>
      </w:pPr>
      <w:r w:rsidRPr="000B1866">
        <w:rPr>
          <w:lang w:val="fr-FR"/>
        </w:rPr>
        <w:t>Dans le document EPPR-43-05, l</w:t>
      </w:r>
      <w:r w:rsidR="007D3902">
        <w:rPr>
          <w:lang w:val="fr-FR"/>
        </w:rPr>
        <w:t>’</w:t>
      </w:r>
      <w:r w:rsidRPr="000B1866">
        <w:rPr>
          <w:lang w:val="fr-FR"/>
        </w:rPr>
        <w:t>IMMA a proposé que soient ajoutées des précisions concernant la nécessité de concevoir</w:t>
      </w:r>
      <w:r w:rsidRPr="000B1866">
        <w:rPr>
          <w:b/>
          <w:bCs/>
          <w:lang w:val="fr-FR"/>
        </w:rPr>
        <w:t xml:space="preserve"> </w:t>
      </w:r>
      <w:r w:rsidRPr="000B1866">
        <w:rPr>
          <w:lang w:val="fr-FR"/>
        </w:rPr>
        <w:t>les roues jumelées de manière à ce qu</w:t>
      </w:r>
      <w:r w:rsidR="007D3902">
        <w:rPr>
          <w:lang w:val="fr-FR"/>
        </w:rPr>
        <w:t>’</w:t>
      </w:r>
      <w:r w:rsidRPr="000B1866">
        <w:rPr>
          <w:lang w:val="fr-FR"/>
        </w:rPr>
        <w:t>elles s</w:t>
      </w:r>
      <w:r w:rsidR="007D3902">
        <w:rPr>
          <w:lang w:val="fr-FR"/>
        </w:rPr>
        <w:t>’</w:t>
      </w:r>
      <w:r w:rsidRPr="000B1866">
        <w:rPr>
          <w:lang w:val="fr-FR"/>
        </w:rPr>
        <w:t>inclinent lorsque le véhicule vire. Cette proposition a fait l</w:t>
      </w:r>
      <w:r w:rsidR="007D3902">
        <w:rPr>
          <w:lang w:val="fr-FR"/>
        </w:rPr>
        <w:t>’</w:t>
      </w:r>
      <w:r w:rsidRPr="000B1866">
        <w:rPr>
          <w:lang w:val="fr-FR"/>
        </w:rPr>
        <w:t>objet d</w:t>
      </w:r>
      <w:r w:rsidR="007D3902">
        <w:rPr>
          <w:lang w:val="fr-FR"/>
        </w:rPr>
        <w:t>’</w:t>
      </w:r>
      <w:r w:rsidRPr="000B1866">
        <w:rPr>
          <w:lang w:val="fr-FR"/>
        </w:rPr>
        <w:t>un accord de principe après une modification du libellé</w:t>
      </w:r>
      <w:r w:rsidRPr="000B1866">
        <w:rPr>
          <w:b/>
          <w:bCs/>
          <w:lang w:val="fr-FR"/>
        </w:rPr>
        <w:t xml:space="preserve"> </w:t>
      </w:r>
      <w:r w:rsidRPr="000B1866">
        <w:rPr>
          <w:bCs/>
          <w:lang w:val="fr-FR"/>
        </w:rPr>
        <w:t>en employant</w:t>
      </w:r>
      <w:r w:rsidRPr="000B1866">
        <w:rPr>
          <w:lang w:val="fr-FR"/>
        </w:rPr>
        <w:t xml:space="preserve"> les expressions « cyclomoteurs à deux roues » et « motocycles à deux roues ».</w:t>
      </w:r>
    </w:p>
    <w:p w14:paraId="3951919D" w14:textId="77777777" w:rsidR="000B1866" w:rsidRPr="000B1866" w:rsidRDefault="000B1866" w:rsidP="000316F2">
      <w:pPr>
        <w:pStyle w:val="SingleTxtG"/>
        <w:ind w:firstLine="567"/>
        <w:rPr>
          <w:lang w:val="fr-FR"/>
        </w:rPr>
      </w:pPr>
      <w:r w:rsidRPr="000B1866">
        <w:rPr>
          <w:lang w:val="fr-FR"/>
        </w:rPr>
        <w:t>La proposition actualisée concernant les roues jumelées a été intégrée à la ligne</w:t>
      </w:r>
      <w:r w:rsidRPr="000B1866">
        <w:rPr>
          <w:b/>
          <w:bCs/>
          <w:lang w:val="fr-FR"/>
        </w:rPr>
        <w:t xml:space="preserve"> </w:t>
      </w:r>
      <w:r w:rsidRPr="000B1866">
        <w:rPr>
          <w:lang w:val="fr-FR"/>
        </w:rPr>
        <w:t>15 du document EPPR-43-10 :</w:t>
      </w:r>
    </w:p>
    <w:p w14:paraId="094C0363" w14:textId="0669A0AD" w:rsidR="000B1866" w:rsidRPr="000B1866" w:rsidRDefault="000B1866" w:rsidP="000316F2">
      <w:pPr>
        <w:pStyle w:val="SingleTxtG"/>
        <w:ind w:left="1701"/>
        <w:rPr>
          <w:lang w:val="fr-FR"/>
        </w:rPr>
      </w:pPr>
      <w:r w:rsidRPr="000B1866">
        <w:rPr>
          <w:lang w:val="fr-FR"/>
        </w:rPr>
        <w:t xml:space="preserve">« </w:t>
      </w:r>
      <w:r w:rsidRPr="000B1866">
        <w:t>“</w:t>
      </w:r>
      <w:r w:rsidRPr="000B1866">
        <w:rPr>
          <w:i/>
          <w:iCs/>
          <w:lang w:val="fr-FR"/>
        </w:rPr>
        <w:t>roues jumelées</w:t>
      </w:r>
      <w:r w:rsidRPr="000B1866">
        <w:t>”</w:t>
      </w:r>
      <w:r w:rsidRPr="000B1866">
        <w:rPr>
          <w:lang w:val="fr-FR"/>
        </w:rPr>
        <w:t>, deux roues qui, placées sur le même essieu, sont considérées comme une roue unique, la distance entre les centres de leurs zones de contact avec le sol étant égale ou inférieure à 460 mm.</w:t>
      </w:r>
    </w:p>
    <w:p w14:paraId="442AAE27" w14:textId="0304AF36" w:rsidR="000B1866" w:rsidRPr="000B1866" w:rsidRDefault="000B1866" w:rsidP="000316F2">
      <w:pPr>
        <w:pStyle w:val="SingleTxtG"/>
        <w:ind w:left="1701"/>
        <w:rPr>
          <w:lang w:val="fr-FR"/>
        </w:rPr>
      </w:pPr>
      <w:r w:rsidRPr="000B1866">
        <w:rPr>
          <w:lang w:val="fr-FR"/>
        </w:rPr>
        <w:t>Pour les cyclomoteurs et les motocycles à deux roues, si le véhicule est doté de roues jumelées, sa structure entière, ou une partie de celle-ci, s</w:t>
      </w:r>
      <w:r w:rsidR="007D3902">
        <w:rPr>
          <w:lang w:val="fr-FR"/>
        </w:rPr>
        <w:t>’</w:t>
      </w:r>
      <w:r w:rsidRPr="000B1866">
        <w:rPr>
          <w:lang w:val="fr-FR"/>
        </w:rPr>
        <w:t>incline lorsqu</w:t>
      </w:r>
      <w:r w:rsidR="007D3902">
        <w:rPr>
          <w:lang w:val="fr-FR"/>
        </w:rPr>
        <w:t>’</w:t>
      </w:r>
      <w:r w:rsidRPr="000B1866">
        <w:rPr>
          <w:lang w:val="fr-FR"/>
        </w:rPr>
        <w:t>il vire. »</w:t>
      </w:r>
      <w:r w:rsidR="00EB51BD">
        <w:rPr>
          <w:lang w:val="fr-FR"/>
        </w:rPr>
        <w:t>.</w:t>
      </w:r>
    </w:p>
    <w:p w14:paraId="3467E90F" w14:textId="77777777" w:rsidR="000B1866" w:rsidRPr="000B1866" w:rsidRDefault="000B1866" w:rsidP="00EB51BD">
      <w:pPr>
        <w:pStyle w:val="SingleTxtG"/>
        <w:ind w:firstLine="567"/>
        <w:rPr>
          <w:lang w:val="fr-FR"/>
        </w:rPr>
      </w:pPr>
      <w:r w:rsidRPr="000B1866">
        <w:rPr>
          <w:lang w:val="fr-FR"/>
        </w:rPr>
        <w:t>Le texte ci-dessus a été conservé dans le document EPPR-44-03 et dans le document officiel (GRPE/2022/6).</w:t>
      </w:r>
    </w:p>
    <w:p w14:paraId="1164A497" w14:textId="77777777" w:rsidR="000B1866" w:rsidRPr="000B1866" w:rsidRDefault="000B1866" w:rsidP="00EB51BD">
      <w:pPr>
        <w:pStyle w:val="H23G"/>
        <w:rPr>
          <w:lang w:val="fr-FR"/>
        </w:rPr>
      </w:pPr>
      <w:r w:rsidRPr="000B1866">
        <w:rPr>
          <w:lang w:val="fr-FR"/>
        </w:rPr>
        <w:tab/>
        <w:t>3.</w:t>
      </w:r>
      <w:r w:rsidRPr="000B1866">
        <w:rPr>
          <w:lang w:val="fr-FR"/>
        </w:rPr>
        <w:tab/>
        <w:t>Véhicules à trois roues</w:t>
      </w:r>
    </w:p>
    <w:p w14:paraId="5D0AFAE9" w14:textId="7C0E1955" w:rsidR="000B1866" w:rsidRPr="000B1866" w:rsidRDefault="000B1866" w:rsidP="000B1866">
      <w:pPr>
        <w:pStyle w:val="SingleTxtG"/>
        <w:rPr>
          <w:lang w:val="fr-FR"/>
        </w:rPr>
      </w:pPr>
      <w:r w:rsidRPr="000B1866">
        <w:rPr>
          <w:lang w:val="fr-FR"/>
        </w:rPr>
        <w:t>41.</w:t>
      </w:r>
      <w:r w:rsidRPr="000B1866">
        <w:rPr>
          <w:lang w:val="fr-FR"/>
        </w:rPr>
        <w:tab/>
        <w:t>En octobre 2020, à la trente-neuvième réunion du groupe de travail informel EPPR, l</w:t>
      </w:r>
      <w:r w:rsidR="007D3902">
        <w:rPr>
          <w:lang w:val="fr-FR"/>
        </w:rPr>
        <w:t>’</w:t>
      </w:r>
      <w:r w:rsidRPr="000B1866">
        <w:rPr>
          <w:lang w:val="fr-FR"/>
        </w:rPr>
        <w:t>IMMA a annoncé qu</w:t>
      </w:r>
      <w:r w:rsidR="007D3902">
        <w:rPr>
          <w:lang w:val="fr-FR"/>
        </w:rPr>
        <w:t>’</w:t>
      </w:r>
      <w:r w:rsidRPr="000B1866">
        <w:rPr>
          <w:lang w:val="fr-FR"/>
        </w:rPr>
        <w:t>elle entendait proposer l</w:t>
      </w:r>
      <w:r w:rsidR="007D3902">
        <w:rPr>
          <w:lang w:val="fr-FR"/>
        </w:rPr>
        <w:t>’</w:t>
      </w:r>
      <w:r w:rsidRPr="000B1866">
        <w:rPr>
          <w:lang w:val="fr-FR"/>
        </w:rPr>
        <w:t>inclusion des véhicules à trois roues dans l</w:t>
      </w:r>
      <w:r w:rsidR="007D3902">
        <w:rPr>
          <w:lang w:val="fr-FR"/>
        </w:rPr>
        <w:t>’</w:t>
      </w:r>
      <w:r w:rsidRPr="000B1866">
        <w:rPr>
          <w:lang w:val="fr-FR"/>
        </w:rPr>
        <w:t xml:space="preserve">amendement 5 au RTM ONU </w:t>
      </w:r>
      <w:r w:rsidR="002C19BD" w:rsidRPr="000B1866">
        <w:rPr>
          <w:rFonts w:eastAsia="MS Mincho"/>
          <w:szCs w:val="22"/>
          <w:lang w:val="fr-FR"/>
        </w:rPr>
        <w:t>n</w:t>
      </w:r>
      <w:r w:rsidR="002C19BD" w:rsidRPr="000B1866">
        <w:rPr>
          <w:rFonts w:eastAsia="MS Mincho"/>
          <w:szCs w:val="22"/>
          <w:vertAlign w:val="superscript"/>
          <w:lang w:val="fr-FR"/>
        </w:rPr>
        <w:t>o</w:t>
      </w:r>
      <w:r w:rsidR="002C19BD">
        <w:rPr>
          <w:lang w:val="fr-FR"/>
        </w:rPr>
        <w:t> </w:t>
      </w:r>
      <w:r w:rsidRPr="000B1866">
        <w:rPr>
          <w:lang w:val="fr-FR"/>
        </w:rPr>
        <w:t>2 ; les véhicules à trois roues n</w:t>
      </w:r>
      <w:r w:rsidR="007D3902">
        <w:rPr>
          <w:lang w:val="fr-FR"/>
        </w:rPr>
        <w:t>’</w:t>
      </w:r>
      <w:r w:rsidRPr="000B1866">
        <w:rPr>
          <w:lang w:val="fr-FR"/>
        </w:rPr>
        <w:t>avaient pas été inclus dans l</w:t>
      </w:r>
      <w:r w:rsidR="007D3902">
        <w:rPr>
          <w:lang w:val="fr-FR"/>
        </w:rPr>
        <w:t>’</w:t>
      </w:r>
      <w:r w:rsidRPr="000B1866">
        <w:rPr>
          <w:lang w:val="fr-FR"/>
        </w:rPr>
        <w:t>amendement 4 parce qu</w:t>
      </w:r>
      <w:r w:rsidR="007D3902">
        <w:rPr>
          <w:lang w:val="fr-FR"/>
        </w:rPr>
        <w:t>’</w:t>
      </w:r>
      <w:r w:rsidRPr="000B1866">
        <w:rPr>
          <w:lang w:val="fr-FR"/>
        </w:rPr>
        <w:t>il fallait simplifier à cause de la pression exercée par certains pays pour que les travaux sur cet amendement se terminent rapidement, afin que les obligations nationales soient remplies. Cependant, étant donné que le champ d</w:t>
      </w:r>
      <w:r w:rsidR="007D3902">
        <w:rPr>
          <w:lang w:val="fr-FR"/>
        </w:rPr>
        <w:t>’</w:t>
      </w:r>
      <w:r w:rsidRPr="000B1866">
        <w:rPr>
          <w:lang w:val="fr-FR"/>
        </w:rPr>
        <w:t>application du RTM ONU</w:t>
      </w:r>
      <w:r>
        <w:rPr>
          <w:lang w:val="fr-FR"/>
        </w:rPr>
        <w:t>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incluait précédemment les véhicules à trois roues, l</w:t>
      </w:r>
      <w:r w:rsidR="007D3902">
        <w:rPr>
          <w:lang w:val="fr-FR"/>
        </w:rPr>
        <w:t>’</w:t>
      </w:r>
      <w:r w:rsidRPr="000B1866">
        <w:rPr>
          <w:lang w:val="fr-FR"/>
        </w:rPr>
        <w:t>IMMA a proposé qu</w:t>
      </w:r>
      <w:r w:rsidR="007D3902">
        <w:rPr>
          <w:lang w:val="fr-FR"/>
        </w:rPr>
        <w:t>’</w:t>
      </w:r>
      <w:r w:rsidRPr="000B1866">
        <w:rPr>
          <w:lang w:val="fr-FR"/>
        </w:rPr>
        <w:t>ils y</w:t>
      </w:r>
      <w:r w:rsidR="002C19BD">
        <w:rPr>
          <w:lang w:val="fr-FR"/>
        </w:rPr>
        <w:t> </w:t>
      </w:r>
      <w:r w:rsidRPr="000B1866">
        <w:rPr>
          <w:lang w:val="fr-FR"/>
        </w:rPr>
        <w:t>soient réintégrés.</w:t>
      </w:r>
    </w:p>
    <w:p w14:paraId="0948B67B" w14:textId="30DE9700" w:rsidR="000B1866" w:rsidRPr="000B1866" w:rsidRDefault="000B1866" w:rsidP="002C19BD">
      <w:pPr>
        <w:pStyle w:val="SingleTxtG"/>
        <w:ind w:firstLine="567"/>
        <w:rPr>
          <w:lang w:val="fr-FR"/>
        </w:rPr>
      </w:pPr>
      <w:r w:rsidRPr="000B1866">
        <w:rPr>
          <w:lang w:val="fr-FR"/>
        </w:rPr>
        <w:t>À la même session, l</w:t>
      </w:r>
      <w:r w:rsidR="007D3902">
        <w:rPr>
          <w:lang w:val="fr-FR"/>
        </w:rPr>
        <w:t>’</w:t>
      </w:r>
      <w:r w:rsidRPr="000B1866">
        <w:rPr>
          <w:lang w:val="fr-FR"/>
        </w:rPr>
        <w:t>Agence de protection de l</w:t>
      </w:r>
      <w:r w:rsidR="007D3902">
        <w:rPr>
          <w:lang w:val="fr-FR"/>
        </w:rPr>
        <w:t>’</w:t>
      </w:r>
      <w:r w:rsidRPr="000B1866">
        <w:rPr>
          <w:lang w:val="fr-FR"/>
        </w:rPr>
        <w:t>environnement (EPA) a appuyé cette proposition.</w:t>
      </w:r>
    </w:p>
    <w:p w14:paraId="458D4D7F" w14:textId="5E589C2F" w:rsidR="000B1866" w:rsidRPr="000B1866" w:rsidRDefault="000B1866" w:rsidP="002C19BD">
      <w:pPr>
        <w:pStyle w:val="SingleTxtG"/>
        <w:ind w:firstLine="567"/>
        <w:rPr>
          <w:lang w:val="fr-FR"/>
        </w:rPr>
      </w:pPr>
      <w:r w:rsidRPr="000B1866">
        <w:rPr>
          <w:lang w:val="fr-FR"/>
        </w:rPr>
        <w:t>À sa quarante et unième réunion (janvier 2021), le groupe de travail informel EPPR a décidé d</w:t>
      </w:r>
      <w:r w:rsidR="007D3902">
        <w:rPr>
          <w:lang w:val="fr-FR"/>
        </w:rPr>
        <w:t>’</w:t>
      </w:r>
      <w:r w:rsidRPr="000B1866">
        <w:rPr>
          <w:lang w:val="fr-FR"/>
        </w:rPr>
        <w:t>étendre le champ d</w:t>
      </w:r>
      <w:r w:rsidR="007D3902">
        <w:rPr>
          <w:lang w:val="fr-FR"/>
        </w:rPr>
        <w:t>’</w:t>
      </w:r>
      <w:r w:rsidRPr="000B1866">
        <w:rPr>
          <w:lang w:val="fr-FR"/>
        </w:rPr>
        <w:t>application aux véhicules à trois roues. Par la suite, il a été décidé de ne pas inclure les véhicules à trois roues de faible puissance utilisés en Inde (voir ci-dessous).</w:t>
      </w:r>
    </w:p>
    <w:p w14:paraId="58E2DF8C" w14:textId="77777777" w:rsidR="000B1866" w:rsidRPr="000B1866" w:rsidRDefault="000B1866" w:rsidP="000B1866">
      <w:pPr>
        <w:pStyle w:val="H23G"/>
        <w:rPr>
          <w:lang w:val="fr-FR"/>
        </w:rPr>
      </w:pPr>
      <w:r w:rsidRPr="000B1866">
        <w:rPr>
          <w:lang w:val="fr-FR"/>
        </w:rPr>
        <w:tab/>
        <w:t>4.</w:t>
      </w:r>
      <w:r w:rsidRPr="000B1866">
        <w:rPr>
          <w:lang w:val="fr-FR"/>
        </w:rPr>
        <w:tab/>
        <w:t>Véhicules à trois roues propres au marché indien</w:t>
      </w:r>
    </w:p>
    <w:p w14:paraId="12A6D29B" w14:textId="5DB1A92A" w:rsidR="000B1866" w:rsidRPr="000B1866" w:rsidRDefault="000B1866" w:rsidP="000B1866">
      <w:pPr>
        <w:pStyle w:val="SingleTxtG"/>
        <w:rPr>
          <w:lang w:val="fr-FR"/>
        </w:rPr>
      </w:pPr>
      <w:r w:rsidRPr="000B1866">
        <w:rPr>
          <w:lang w:val="fr-FR"/>
        </w:rPr>
        <w:t>42.</w:t>
      </w:r>
      <w:r w:rsidRPr="000B1866">
        <w:rPr>
          <w:lang w:val="fr-FR"/>
        </w:rPr>
        <w:tab/>
        <w:t>Dans le document EPPR-41-02 (janvier 2021), l</w:t>
      </w:r>
      <w:r w:rsidR="007D3902">
        <w:rPr>
          <w:lang w:val="fr-FR"/>
        </w:rPr>
        <w:t>’</w:t>
      </w:r>
      <w:r w:rsidRPr="000B1866">
        <w:rPr>
          <w:lang w:val="fr-FR"/>
        </w:rPr>
        <w:t>Inde a dans un premier temps proposé que les véhicules à trois roues de faible puissance propres au marché indien soient ajoutés dans le champ d</w:t>
      </w:r>
      <w:r w:rsidR="007D3902">
        <w:rPr>
          <w:lang w:val="fr-FR"/>
        </w:rPr>
        <w:t>’</w:t>
      </w:r>
      <w:r w:rsidRPr="000B1866">
        <w:rPr>
          <w:lang w:val="fr-FR"/>
        </w:rPr>
        <w:t>application.</w:t>
      </w:r>
    </w:p>
    <w:p w14:paraId="24EA487F" w14:textId="089B72EC" w:rsidR="000B1866" w:rsidRPr="000B1866" w:rsidRDefault="000B1866" w:rsidP="002C19BD">
      <w:pPr>
        <w:pStyle w:val="SingleTxtG"/>
        <w:ind w:firstLine="567"/>
        <w:rPr>
          <w:lang w:val="fr-FR"/>
        </w:rPr>
      </w:pPr>
      <w:r w:rsidRPr="000B1866">
        <w:rPr>
          <w:lang w:val="fr-FR"/>
        </w:rPr>
        <w:t>Il a toutefois été relevé qu</w:t>
      </w:r>
      <w:r w:rsidR="007D3902">
        <w:rPr>
          <w:lang w:val="fr-FR"/>
        </w:rPr>
        <w:t>’</w:t>
      </w:r>
      <w:r w:rsidRPr="000B1866">
        <w:rPr>
          <w:lang w:val="fr-FR"/>
        </w:rPr>
        <w:t>en raison de leur faible rapport puissance/masse (RPM), la vitesse et l</w:t>
      </w:r>
      <w:r w:rsidR="007D3902">
        <w:rPr>
          <w:lang w:val="fr-FR"/>
        </w:rPr>
        <w:t>’</w:t>
      </w:r>
      <w:r w:rsidRPr="000B1866">
        <w:rPr>
          <w:lang w:val="fr-FR"/>
        </w:rPr>
        <w:t>accélération maximales de ces véhicules sont nettement inférieures à celles requises dans le cadre du cycle WMTC applicable.</w:t>
      </w:r>
    </w:p>
    <w:p w14:paraId="4AEBEEDA" w14:textId="77777777" w:rsidR="000B1866" w:rsidRPr="000B1866" w:rsidRDefault="000B1866" w:rsidP="002C19BD">
      <w:pPr>
        <w:pStyle w:val="SingleTxtG"/>
        <w:ind w:firstLine="567"/>
        <w:rPr>
          <w:lang w:val="fr-FR"/>
        </w:rPr>
      </w:pPr>
      <w:r w:rsidRPr="000B1866">
        <w:rPr>
          <w:lang w:val="fr-FR"/>
        </w:rPr>
        <w:t>En ce qui concerne les réglementations relatives aux émissions, en Inde, cette catégorie de véhicules est séparée des autres véhicules de la catégorie L, en raison de leur utilisation particulière.</w:t>
      </w:r>
    </w:p>
    <w:p w14:paraId="5836FC4F" w14:textId="12C6CB4E" w:rsidR="000B1866" w:rsidRPr="000B1866" w:rsidRDefault="000B1866" w:rsidP="000B1866">
      <w:pPr>
        <w:pStyle w:val="SingleTxtG"/>
        <w:rPr>
          <w:lang w:val="fr-FR"/>
        </w:rPr>
      </w:pPr>
      <w:r w:rsidRPr="000B1866">
        <w:rPr>
          <w:lang w:val="fr-FR"/>
        </w:rPr>
        <w:t>43.</w:t>
      </w:r>
      <w:r w:rsidRPr="000B1866">
        <w:rPr>
          <w:lang w:val="fr-FR"/>
        </w:rPr>
        <w:tab/>
        <w:t>En Inde, ce type de véhicule fait l</w:t>
      </w:r>
      <w:r w:rsidR="007D3902">
        <w:rPr>
          <w:lang w:val="fr-FR"/>
        </w:rPr>
        <w:t>’</w:t>
      </w:r>
      <w:r w:rsidRPr="000B1866">
        <w:rPr>
          <w:lang w:val="fr-FR"/>
        </w:rPr>
        <w:t>objet de normes particulières en matière d</w:t>
      </w:r>
      <w:r w:rsidR="007D3902">
        <w:rPr>
          <w:lang w:val="fr-FR"/>
        </w:rPr>
        <w:t>’</w:t>
      </w:r>
      <w:r w:rsidRPr="000B1866">
        <w:rPr>
          <w:lang w:val="fr-FR"/>
        </w:rPr>
        <w:t>émissions d</w:t>
      </w:r>
      <w:r w:rsidR="007D3902">
        <w:rPr>
          <w:lang w:val="fr-FR"/>
        </w:rPr>
        <w:t>’</w:t>
      </w:r>
      <w:r w:rsidRPr="000B1866">
        <w:rPr>
          <w:lang w:val="fr-FR"/>
        </w:rPr>
        <w:t>échappement,</w:t>
      </w:r>
      <w:r w:rsidRPr="000B1866">
        <w:rPr>
          <w:i/>
          <w:iCs/>
          <w:lang w:val="fr-FR"/>
        </w:rPr>
        <w:t xml:space="preserve"> </w:t>
      </w:r>
      <w:r w:rsidRPr="000B1866">
        <w:rPr>
          <w:lang w:val="fr-FR"/>
        </w:rPr>
        <w:t>en vigueur depuis avril 2020 conformément aux normes d</w:t>
      </w:r>
      <w:r w:rsidR="007D3902">
        <w:rPr>
          <w:lang w:val="fr-FR"/>
        </w:rPr>
        <w:t>’</w:t>
      </w:r>
      <w:r w:rsidRPr="000B1866">
        <w:rPr>
          <w:lang w:val="fr-FR"/>
        </w:rPr>
        <w:t>émissions Bharat phase VI (BS</w:t>
      </w:r>
      <w:r w:rsidR="002C19BD">
        <w:rPr>
          <w:lang w:val="fr-FR"/>
        </w:rPr>
        <w:t xml:space="preserve"> </w:t>
      </w:r>
      <w:r w:rsidRPr="000B1866">
        <w:rPr>
          <w:lang w:val="fr-FR"/>
        </w:rPr>
        <w:t>VI), dans le cadre du cycle d</w:t>
      </w:r>
      <w:r w:rsidR="007D3902">
        <w:rPr>
          <w:lang w:val="fr-FR"/>
        </w:rPr>
        <w:t>’</w:t>
      </w:r>
      <w:r w:rsidRPr="000B1866">
        <w:rPr>
          <w:lang w:val="fr-FR"/>
        </w:rPr>
        <w:t>essai indien, qui est différent du cycle d</w:t>
      </w:r>
      <w:r w:rsidR="007D3902">
        <w:rPr>
          <w:lang w:val="fr-FR"/>
        </w:rPr>
        <w:t>’</w:t>
      </w:r>
      <w:r w:rsidRPr="000B1866">
        <w:rPr>
          <w:lang w:val="fr-FR"/>
        </w:rPr>
        <w:t xml:space="preserve">essai du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w:t>
      </w:r>
    </w:p>
    <w:p w14:paraId="507A37BE" w14:textId="4827904A" w:rsidR="000B1866" w:rsidRPr="000B1866" w:rsidRDefault="000B1866" w:rsidP="000B1866">
      <w:pPr>
        <w:pStyle w:val="SingleTxtG"/>
        <w:rPr>
          <w:lang w:val="fr-FR"/>
        </w:rPr>
      </w:pPr>
      <w:r w:rsidRPr="000B1866">
        <w:rPr>
          <w:lang w:val="fr-FR"/>
        </w:rPr>
        <w:t>44.</w:t>
      </w:r>
      <w:r w:rsidRPr="000B1866">
        <w:rPr>
          <w:lang w:val="fr-FR"/>
        </w:rPr>
        <w:tab/>
        <w:t>Étant donné que l</w:t>
      </w:r>
      <w:r w:rsidR="007D3902">
        <w:rPr>
          <w:lang w:val="fr-FR"/>
        </w:rPr>
        <w:t>’</w:t>
      </w:r>
      <w:r w:rsidRPr="000B1866">
        <w:rPr>
          <w:lang w:val="fr-FR"/>
        </w:rPr>
        <w:t>Inde ne pouvait pas encore préciser si ce type de véhicules devait faire l</w:t>
      </w:r>
      <w:r w:rsidR="007D3902">
        <w:rPr>
          <w:lang w:val="fr-FR"/>
        </w:rPr>
        <w:t>’</w:t>
      </w:r>
      <w:r w:rsidRPr="000B1866">
        <w:rPr>
          <w:lang w:val="fr-FR"/>
        </w:rPr>
        <w:t>objet de cycles d</w:t>
      </w:r>
      <w:r w:rsidR="007D3902">
        <w:rPr>
          <w:lang w:val="fr-FR"/>
        </w:rPr>
        <w:t>’</w:t>
      </w:r>
      <w:r w:rsidRPr="000B1866">
        <w:rPr>
          <w:lang w:val="fr-FR"/>
        </w:rPr>
        <w:t xml:space="preserve">essai particuliers dans le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elle a appuyé, dans le document EPPR-42 (février 2021), le principe de l</w:t>
      </w:r>
      <w:r w:rsidR="007D3902">
        <w:rPr>
          <w:lang w:val="fr-FR"/>
        </w:rPr>
        <w:t>’</w:t>
      </w:r>
      <w:r w:rsidRPr="000B1866">
        <w:rPr>
          <w:lang w:val="fr-FR"/>
        </w:rPr>
        <w:t>inclusion dans l</w:t>
      </w:r>
      <w:r w:rsidR="007D3902">
        <w:rPr>
          <w:lang w:val="fr-FR"/>
        </w:rPr>
        <w:t>’</w:t>
      </w:r>
      <w:r w:rsidRPr="000B1866">
        <w:rPr>
          <w:lang w:val="fr-FR"/>
        </w:rPr>
        <w:t xml:space="preserve">amendement 5 </w:t>
      </w:r>
      <w:r w:rsidRPr="00963C74">
        <w:rPr>
          <w:lang w:val="fr-FR"/>
        </w:rPr>
        <w:t>à ce RTM</w:t>
      </w:r>
      <w:r w:rsidRPr="000B1866">
        <w:rPr>
          <w:lang w:val="fr-FR"/>
        </w:rPr>
        <w:t xml:space="preserve"> le type de véhicules à trois roues déjà intégrés dans l</w:t>
      </w:r>
      <w:r w:rsidR="007D3902">
        <w:rPr>
          <w:lang w:val="fr-FR"/>
        </w:rPr>
        <w:t>’</w:t>
      </w:r>
      <w:r w:rsidRPr="000B1866">
        <w:rPr>
          <w:lang w:val="fr-FR"/>
        </w:rPr>
        <w:t>Euro 5, mais en excluant à ce stade les véhicules de faible puissance typiques du marché indien, tout en envisageant qu</w:t>
      </w:r>
      <w:r w:rsidR="007D3902">
        <w:rPr>
          <w:lang w:val="fr-FR"/>
        </w:rPr>
        <w:t>’</w:t>
      </w:r>
      <w:r w:rsidRPr="000B1866">
        <w:rPr>
          <w:lang w:val="fr-FR"/>
        </w:rPr>
        <w:t>ils soient pris en considération dans les amendements futurs. Le groupe de travail informel EPPR a décidé d</w:t>
      </w:r>
      <w:r w:rsidR="007D3902">
        <w:rPr>
          <w:lang w:val="fr-FR"/>
        </w:rPr>
        <w:t>’</w:t>
      </w:r>
      <w:r w:rsidRPr="000B1866">
        <w:rPr>
          <w:lang w:val="fr-FR"/>
        </w:rPr>
        <w:t>ajouter une note explicative après le paragraphe1.1, pour préciser que les véhicules dont le RPM est ≤</w:t>
      </w:r>
      <w:r w:rsidR="002C19BD">
        <w:rPr>
          <w:lang w:val="fr-FR"/>
        </w:rPr>
        <w:t xml:space="preserve"> </w:t>
      </w:r>
      <w:r w:rsidRPr="000B1866">
        <w:rPr>
          <w:lang w:val="fr-FR"/>
        </w:rPr>
        <w:t>22</w:t>
      </w:r>
      <w:r w:rsidR="002C19BD">
        <w:rPr>
          <w:lang w:val="fr-FR"/>
        </w:rPr>
        <w:t xml:space="preserve"> </w:t>
      </w:r>
      <w:r w:rsidRPr="000B1866">
        <w:rPr>
          <w:lang w:val="fr-FR"/>
        </w:rPr>
        <w:t>W/kg et la vitesse maximale par construction est ≤</w:t>
      </w:r>
      <w:r w:rsidR="002C19BD">
        <w:rPr>
          <w:lang w:val="fr-FR"/>
        </w:rPr>
        <w:t xml:space="preserve"> </w:t>
      </w:r>
      <w:r w:rsidRPr="000B1866">
        <w:rPr>
          <w:lang w:val="fr-FR"/>
        </w:rPr>
        <w:t>70 km/h n</w:t>
      </w:r>
      <w:r w:rsidR="007D3902">
        <w:rPr>
          <w:lang w:val="fr-FR"/>
        </w:rPr>
        <w:t>’</w:t>
      </w:r>
      <w:r w:rsidRPr="000B1866">
        <w:rPr>
          <w:lang w:val="fr-FR"/>
        </w:rPr>
        <w:t>étaient pas inclus à ce stade dans l</w:t>
      </w:r>
      <w:r w:rsidR="007D3902">
        <w:rPr>
          <w:lang w:val="fr-FR"/>
        </w:rPr>
        <w:t>’</w:t>
      </w:r>
      <w:r w:rsidRPr="000B1866">
        <w:rPr>
          <w:lang w:val="fr-FR"/>
        </w:rPr>
        <w:t>amendement 5.</w:t>
      </w:r>
    </w:p>
    <w:p w14:paraId="7BB95414" w14:textId="52A625E0" w:rsidR="000B1866" w:rsidRPr="000B1866" w:rsidRDefault="000B1866" w:rsidP="000B1866">
      <w:pPr>
        <w:pStyle w:val="H23G"/>
        <w:rPr>
          <w:lang w:val="fr-FR"/>
        </w:rPr>
      </w:pPr>
      <w:r w:rsidRPr="000B1866">
        <w:rPr>
          <w:lang w:val="fr-FR"/>
        </w:rPr>
        <w:tab/>
        <w:t>5</w:t>
      </w:r>
      <w:r w:rsidR="001C5D84">
        <w:rPr>
          <w:lang w:val="fr-FR"/>
        </w:rPr>
        <w:t>.</w:t>
      </w:r>
      <w:r w:rsidRPr="000B1866">
        <w:rPr>
          <w:lang w:val="fr-FR"/>
        </w:rPr>
        <w:tab/>
        <w:t>Carburants de remplacement</w:t>
      </w:r>
    </w:p>
    <w:p w14:paraId="0FDB7E3A" w14:textId="30D7400C" w:rsidR="000B1866" w:rsidRPr="000B1866" w:rsidRDefault="000B1866" w:rsidP="000B1866">
      <w:pPr>
        <w:pStyle w:val="SingleTxtG"/>
        <w:rPr>
          <w:lang w:val="fr-FR"/>
        </w:rPr>
      </w:pPr>
      <w:r w:rsidRPr="000B1866">
        <w:rPr>
          <w:lang w:val="fr-FR"/>
        </w:rPr>
        <w:t>45.</w:t>
      </w:r>
      <w:r w:rsidRPr="000B1866">
        <w:rPr>
          <w:lang w:val="fr-FR"/>
        </w:rPr>
        <w:tab/>
        <w:t>Dans le document EPPR-41-02 (janvier 2021), l</w:t>
      </w:r>
      <w:r w:rsidR="007D3902">
        <w:rPr>
          <w:lang w:val="fr-FR"/>
        </w:rPr>
        <w:t>’</w:t>
      </w:r>
      <w:r w:rsidRPr="000B1866">
        <w:rPr>
          <w:lang w:val="fr-FR"/>
        </w:rPr>
        <w:t>Inde a proposé que les véhicules à trois roues fonctionnant au gaz soient inclus</w:t>
      </w:r>
      <w:r w:rsidRPr="000B1866">
        <w:rPr>
          <w:i/>
          <w:iCs/>
          <w:lang w:val="fr-FR"/>
        </w:rPr>
        <w:t xml:space="preserve"> </w:t>
      </w:r>
      <w:r w:rsidRPr="000B1866">
        <w:rPr>
          <w:lang w:val="fr-FR"/>
        </w:rPr>
        <w:t>dans le champ d</w:t>
      </w:r>
      <w:r w:rsidR="007D3902">
        <w:rPr>
          <w:lang w:val="fr-FR"/>
        </w:rPr>
        <w:t>’</w:t>
      </w:r>
      <w:r w:rsidRPr="000B1866">
        <w:rPr>
          <w:lang w:val="fr-FR"/>
        </w:rPr>
        <w:t xml:space="preserve">application du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notamment les véhicules à trois roues</w:t>
      </w:r>
      <w:r w:rsidRPr="000B1866">
        <w:rPr>
          <w:i/>
          <w:iCs/>
          <w:lang w:val="fr-FR"/>
        </w:rPr>
        <w:t xml:space="preserve"> </w:t>
      </w:r>
      <w:r w:rsidRPr="000B1866">
        <w:rPr>
          <w:lang w:val="fr-FR"/>
        </w:rPr>
        <w:t>fonctionnant au GNC et au GPL, et que pour cela soient apportées les modifications suivantes :</w:t>
      </w:r>
    </w:p>
    <w:p w14:paraId="72862D64" w14:textId="340689A7" w:rsidR="000B1866" w:rsidRPr="000B1866" w:rsidRDefault="000B1866" w:rsidP="000B1866">
      <w:pPr>
        <w:pStyle w:val="SingleTxtG"/>
        <w:ind w:left="1701"/>
        <w:rPr>
          <w:lang w:val="fr-FR"/>
        </w:rPr>
      </w:pPr>
      <w:r w:rsidRPr="000B1866">
        <w:rPr>
          <w:lang w:val="fr-FR"/>
        </w:rPr>
        <w:t>Ajouter le système d</w:t>
      </w:r>
      <w:r w:rsidR="007D3902">
        <w:rPr>
          <w:lang w:val="fr-FR"/>
        </w:rPr>
        <w:t>’</w:t>
      </w:r>
      <w:r w:rsidRPr="000B1866">
        <w:rPr>
          <w:lang w:val="fr-FR"/>
        </w:rPr>
        <w:t xml:space="preserve">alimentation en carburant en « mode dégradé » de fonctionnement dans le RTM ONU </w:t>
      </w:r>
      <w:r w:rsidRPr="000B1866">
        <w:rPr>
          <w:rFonts w:eastAsia="MS Mincho"/>
          <w:szCs w:val="22"/>
          <w:lang w:val="fr-FR"/>
        </w:rPr>
        <w:t>n</w:t>
      </w:r>
      <w:r w:rsidRPr="000B1866">
        <w:rPr>
          <w:rFonts w:eastAsia="MS Mincho"/>
          <w:szCs w:val="22"/>
          <w:vertAlign w:val="superscript"/>
          <w:lang w:val="fr-FR"/>
        </w:rPr>
        <w:t>o</w:t>
      </w:r>
      <w:r>
        <w:rPr>
          <w:lang w:val="fr-FR"/>
        </w:rPr>
        <w:t> </w:t>
      </w:r>
      <w:r w:rsidRPr="000B1866">
        <w:rPr>
          <w:lang w:val="fr-FR"/>
        </w:rPr>
        <w:t>2 pour les véhicules à trois roues fonctionnant au gaz ;</w:t>
      </w:r>
    </w:p>
    <w:p w14:paraId="2088499E" w14:textId="2ED1AD85" w:rsidR="000B1866" w:rsidRPr="000B1866" w:rsidRDefault="000B1866" w:rsidP="000B1866">
      <w:pPr>
        <w:pStyle w:val="SingleTxtG"/>
        <w:ind w:left="1701"/>
        <w:rPr>
          <w:lang w:val="fr-FR"/>
        </w:rPr>
      </w:pPr>
      <w:r w:rsidRPr="000B1866">
        <w:rPr>
          <w:lang w:val="fr-FR"/>
        </w:rPr>
        <w:t>Exclure le système d</w:t>
      </w:r>
      <w:r w:rsidR="007D3902">
        <w:rPr>
          <w:lang w:val="fr-FR"/>
        </w:rPr>
        <w:t>’</w:t>
      </w:r>
      <w:r w:rsidRPr="000B1866">
        <w:rPr>
          <w:lang w:val="fr-FR"/>
        </w:rPr>
        <w:t>alimentation en carburant en « mode dégradé » (mode essence) des essais d</w:t>
      </w:r>
      <w:r w:rsidR="007D3902">
        <w:rPr>
          <w:lang w:val="fr-FR"/>
        </w:rPr>
        <w:t>’</w:t>
      </w:r>
      <w:r w:rsidRPr="000B1866">
        <w:rPr>
          <w:lang w:val="fr-FR"/>
        </w:rPr>
        <w:t>émissions ;</w:t>
      </w:r>
    </w:p>
    <w:p w14:paraId="277D08A5" w14:textId="77777777" w:rsidR="000B1866" w:rsidRPr="000B1866" w:rsidRDefault="000B1866" w:rsidP="000B1866">
      <w:pPr>
        <w:pStyle w:val="SingleTxtG"/>
        <w:ind w:left="1701"/>
        <w:rPr>
          <w:lang w:val="fr-FR"/>
        </w:rPr>
      </w:pPr>
      <w:r w:rsidRPr="000B1866">
        <w:rPr>
          <w:lang w:val="fr-FR"/>
        </w:rPr>
        <w:t>Ajouter de nouvelles définitions relatives aux véhicules fonctionnant au gaz (véhicule monocarburant, véhicule monocarburant au gaz, mode dégradé).</w:t>
      </w:r>
    </w:p>
    <w:p w14:paraId="02C1580B" w14:textId="77777777" w:rsidR="000B1866" w:rsidRPr="000B1866" w:rsidRDefault="000B1866" w:rsidP="000B1866">
      <w:pPr>
        <w:pStyle w:val="SingleTxtG"/>
        <w:ind w:left="1701"/>
        <w:rPr>
          <w:lang w:val="fr-FR"/>
        </w:rPr>
      </w:pPr>
      <w:r w:rsidRPr="000B1866">
        <w:rPr>
          <w:lang w:val="fr-FR"/>
        </w:rPr>
        <w:t>Ajouter les spécifications relatives aux carburants de référence GNC et GPL.</w:t>
      </w:r>
    </w:p>
    <w:p w14:paraId="4E5B5704" w14:textId="625CFDB9" w:rsidR="000B1866" w:rsidRPr="000B1866" w:rsidRDefault="000B1866" w:rsidP="000B1866">
      <w:pPr>
        <w:pStyle w:val="SingleTxtG"/>
        <w:rPr>
          <w:lang w:val="fr-FR"/>
        </w:rPr>
      </w:pPr>
      <w:r w:rsidRPr="000B1866">
        <w:rPr>
          <w:lang w:val="fr-FR"/>
        </w:rPr>
        <w:t>46.</w:t>
      </w:r>
      <w:r w:rsidRPr="000B1866">
        <w:rPr>
          <w:lang w:val="fr-FR"/>
        </w:rPr>
        <w:tab/>
        <w:t>L</w:t>
      </w:r>
      <w:r w:rsidR="007D3902">
        <w:rPr>
          <w:lang w:val="fr-FR"/>
        </w:rPr>
        <w:t>’</w:t>
      </w:r>
      <w:r w:rsidRPr="000B1866">
        <w:rPr>
          <w:lang w:val="fr-FR"/>
        </w:rPr>
        <w:t>Inde a proposé que le champ d</w:t>
      </w:r>
      <w:r w:rsidR="007D3902">
        <w:rPr>
          <w:lang w:val="fr-FR"/>
        </w:rPr>
        <w:t>’</w:t>
      </w:r>
      <w:r w:rsidRPr="000B1866">
        <w:rPr>
          <w:lang w:val="fr-FR"/>
        </w:rPr>
        <w:t>application soit étendu aux véhicules fonctionnant au gaz</w:t>
      </w:r>
      <w:r w:rsidRPr="000B1866">
        <w:rPr>
          <w:i/>
          <w:iCs/>
          <w:lang w:val="fr-FR"/>
        </w:rPr>
        <w:t xml:space="preserve"> </w:t>
      </w:r>
      <w:r w:rsidRPr="000B1866">
        <w:rPr>
          <w:lang w:val="fr-FR"/>
        </w:rPr>
        <w:t>(pas seulement aux véhicules à trois roues), notamment avec l</w:t>
      </w:r>
      <w:r w:rsidR="007D3902">
        <w:rPr>
          <w:lang w:val="fr-FR"/>
        </w:rPr>
        <w:t>’</w:t>
      </w:r>
      <w:r w:rsidRPr="000B1866">
        <w:rPr>
          <w:lang w:val="fr-FR"/>
        </w:rPr>
        <w:t>ajout des véhicules fonctionnant au GNC et au GPL. Elle a dit préférer qu</w:t>
      </w:r>
      <w:r w:rsidR="007D3902">
        <w:rPr>
          <w:lang w:val="fr-FR"/>
        </w:rPr>
        <w:t>’</w:t>
      </w:r>
      <w:r w:rsidRPr="000B1866">
        <w:rPr>
          <w:lang w:val="fr-FR"/>
        </w:rPr>
        <w:t>ils figurent dans l</w:t>
      </w:r>
      <w:r w:rsidR="007D3902">
        <w:rPr>
          <w:lang w:val="fr-FR"/>
        </w:rPr>
        <w:t>’</w:t>
      </w:r>
      <w:r w:rsidRPr="000B1866">
        <w:rPr>
          <w:lang w:val="fr-FR"/>
        </w:rPr>
        <w:t>amendement 5, mais qu</w:t>
      </w:r>
      <w:r w:rsidR="007D3902">
        <w:rPr>
          <w:lang w:val="fr-FR"/>
        </w:rPr>
        <w:t>’</w:t>
      </w:r>
      <w:r w:rsidRPr="000B1866">
        <w:rPr>
          <w:lang w:val="fr-FR"/>
        </w:rPr>
        <w:t>elle était également disposée à envisager la possibilité d</w:t>
      </w:r>
      <w:r w:rsidR="007D3902">
        <w:rPr>
          <w:lang w:val="fr-FR"/>
        </w:rPr>
        <w:t>’</w:t>
      </w:r>
      <w:r w:rsidRPr="000B1866">
        <w:rPr>
          <w:lang w:val="fr-FR"/>
        </w:rPr>
        <w:t>un ajout dans un amendement ultérieur.</w:t>
      </w:r>
    </w:p>
    <w:p w14:paraId="21261710" w14:textId="7EA5D7EC" w:rsidR="000B1866" w:rsidRPr="000B1866" w:rsidRDefault="000B1866" w:rsidP="000F0D82">
      <w:pPr>
        <w:pStyle w:val="SingleTxtG"/>
        <w:ind w:firstLine="567"/>
        <w:rPr>
          <w:lang w:val="fr-FR"/>
        </w:rPr>
      </w:pPr>
      <w:r w:rsidRPr="000B1866">
        <w:rPr>
          <w:lang w:val="fr-FR"/>
        </w:rPr>
        <w:t>À sa quarante-quatrième réunion (avril 2021), le groupe de travail informel EPPR a décidé d</w:t>
      </w:r>
      <w:r w:rsidR="007D3902">
        <w:rPr>
          <w:lang w:val="fr-FR"/>
        </w:rPr>
        <w:t>’</w:t>
      </w:r>
      <w:r w:rsidRPr="000B1866">
        <w:rPr>
          <w:lang w:val="fr-FR"/>
        </w:rPr>
        <w:t>ajouter des carburants de remplacement comme l</w:t>
      </w:r>
      <w:r w:rsidR="007D3902">
        <w:rPr>
          <w:lang w:val="fr-FR"/>
        </w:rPr>
        <w:t>’</w:t>
      </w:r>
      <w:r w:rsidRPr="000B1866">
        <w:rPr>
          <w:lang w:val="fr-FR"/>
        </w:rPr>
        <w:t>avait proposé l</w:t>
      </w:r>
      <w:r w:rsidR="007D3902">
        <w:rPr>
          <w:lang w:val="fr-FR"/>
        </w:rPr>
        <w:t>’</w:t>
      </w:r>
      <w:r w:rsidRPr="000B1866">
        <w:rPr>
          <w:lang w:val="fr-FR"/>
        </w:rPr>
        <w:t>Inde dans le document EPPR-43-08.</w:t>
      </w:r>
    </w:p>
    <w:p w14:paraId="4D4F8CCA" w14:textId="3C518A41" w:rsidR="000B1866" w:rsidRPr="000B1866" w:rsidRDefault="000B1866" w:rsidP="000B1866">
      <w:pPr>
        <w:pStyle w:val="H23G"/>
        <w:rPr>
          <w:lang w:val="fr-FR"/>
        </w:rPr>
      </w:pPr>
      <w:r w:rsidRPr="000B1866">
        <w:rPr>
          <w:lang w:val="fr-FR"/>
        </w:rPr>
        <w:tab/>
        <w:t>6.</w:t>
      </w:r>
      <w:r w:rsidRPr="000B1866">
        <w:rPr>
          <w:lang w:val="fr-FR"/>
        </w:rPr>
        <w:tab/>
        <w:t>Définition d</w:t>
      </w:r>
      <w:r w:rsidR="007D3902">
        <w:rPr>
          <w:lang w:val="fr-FR"/>
        </w:rPr>
        <w:t>’</w:t>
      </w:r>
      <w:r w:rsidRPr="000B1866">
        <w:rPr>
          <w:lang w:val="fr-FR"/>
        </w:rPr>
        <w:t>un système d</w:t>
      </w:r>
      <w:r w:rsidR="007D3902">
        <w:rPr>
          <w:lang w:val="fr-FR"/>
        </w:rPr>
        <w:t>’</w:t>
      </w:r>
      <w:r w:rsidRPr="000B1866">
        <w:rPr>
          <w:lang w:val="fr-FR"/>
        </w:rPr>
        <w:t>alimentation en carburant en mode dégradé (essence)</w:t>
      </w:r>
    </w:p>
    <w:p w14:paraId="7FD90243" w14:textId="2FF98790" w:rsidR="000B1866" w:rsidRPr="000B1866" w:rsidRDefault="000B1866" w:rsidP="000B1866">
      <w:pPr>
        <w:pStyle w:val="SingleTxtG"/>
        <w:rPr>
          <w:lang w:val="fr-FR"/>
        </w:rPr>
      </w:pPr>
      <w:r w:rsidRPr="000B1866">
        <w:rPr>
          <w:lang w:val="fr-FR"/>
        </w:rPr>
        <w:t>47.</w:t>
      </w:r>
      <w:r w:rsidRPr="000B1866">
        <w:rPr>
          <w:lang w:val="fr-FR"/>
        </w:rPr>
        <w:tab/>
        <w:t>À la quarante-deuxième réunion du groupe de travail informel EPPR (février 2021), l</w:t>
      </w:r>
      <w:r w:rsidR="007D3902">
        <w:rPr>
          <w:lang w:val="fr-FR"/>
        </w:rPr>
        <w:t>’</w:t>
      </w:r>
      <w:r w:rsidRPr="000B1866">
        <w:rPr>
          <w:lang w:val="fr-FR"/>
        </w:rPr>
        <w:t>Inde a fourni à la demande de la présidence les précisions ci-après concernant le « système d</w:t>
      </w:r>
      <w:r w:rsidR="007D3902">
        <w:rPr>
          <w:lang w:val="fr-FR"/>
        </w:rPr>
        <w:t>’</w:t>
      </w:r>
      <w:r w:rsidRPr="000B1866">
        <w:rPr>
          <w:lang w:val="fr-FR"/>
        </w:rPr>
        <w:t>alimentation en carburant de type mode dégradé (essence) », qui n</w:t>
      </w:r>
      <w:r w:rsidR="007D3902">
        <w:rPr>
          <w:lang w:val="fr-FR"/>
        </w:rPr>
        <w:t>’</w:t>
      </w:r>
      <w:r w:rsidRPr="000B1866">
        <w:rPr>
          <w:lang w:val="fr-FR"/>
        </w:rPr>
        <w:t>est pas obligatoire.</w:t>
      </w:r>
    </w:p>
    <w:p w14:paraId="4338BF39" w14:textId="39FBED4F" w:rsidR="000B1866" w:rsidRPr="000B1866" w:rsidRDefault="000B1866" w:rsidP="000B1866">
      <w:pPr>
        <w:pStyle w:val="SingleTxtG"/>
        <w:rPr>
          <w:bCs/>
          <w:lang w:val="fr-FR"/>
        </w:rPr>
      </w:pPr>
      <w:r w:rsidRPr="000B1866">
        <w:rPr>
          <w:bCs/>
          <w:lang w:val="fr-FR"/>
        </w:rPr>
        <w:t>48.</w:t>
      </w:r>
      <w:r w:rsidRPr="000B1866">
        <w:rPr>
          <w:bCs/>
          <w:lang w:val="fr-FR"/>
        </w:rPr>
        <w:tab/>
        <w:t>Le système d</w:t>
      </w:r>
      <w:r w:rsidR="007D3902">
        <w:rPr>
          <w:bCs/>
          <w:lang w:val="fr-FR"/>
        </w:rPr>
        <w:t>’</w:t>
      </w:r>
      <w:r w:rsidRPr="000B1866">
        <w:rPr>
          <w:bCs/>
          <w:lang w:val="fr-FR"/>
        </w:rPr>
        <w:t>alimentation en carburant pour le mode dégradé (essence) peut être utilisé sur un véhicule monocarburant fonctionnant au GPL ou au gaz naturel (ou au biométhane). Ce système, qui est constitué d</w:t>
      </w:r>
      <w:r w:rsidR="007D3902">
        <w:rPr>
          <w:bCs/>
          <w:lang w:val="fr-FR"/>
        </w:rPr>
        <w:t>’</w:t>
      </w:r>
      <w:r w:rsidRPr="000B1866">
        <w:rPr>
          <w:bCs/>
          <w:lang w:val="fr-FR"/>
        </w:rPr>
        <w:t>un réservoir auxiliaire à essence d</w:t>
      </w:r>
      <w:r w:rsidR="007D3902">
        <w:rPr>
          <w:bCs/>
          <w:lang w:val="fr-FR"/>
        </w:rPr>
        <w:t>’</w:t>
      </w:r>
      <w:r w:rsidRPr="000B1866">
        <w:rPr>
          <w:bCs/>
          <w:lang w:val="fr-FR"/>
        </w:rPr>
        <w:t>une capacité limitée, est destiné au fonctionnement du véhicule en cas d</w:t>
      </w:r>
      <w:r w:rsidR="007D3902">
        <w:rPr>
          <w:bCs/>
          <w:lang w:val="fr-FR"/>
        </w:rPr>
        <w:t>’</w:t>
      </w:r>
      <w:r w:rsidRPr="000B1866">
        <w:rPr>
          <w:bCs/>
          <w:lang w:val="fr-FR"/>
        </w:rPr>
        <w:t>urgence. L</w:t>
      </w:r>
      <w:r w:rsidR="007D3902">
        <w:rPr>
          <w:bCs/>
          <w:lang w:val="fr-FR"/>
        </w:rPr>
        <w:t>’</w:t>
      </w:r>
      <w:r w:rsidRPr="000B1866">
        <w:rPr>
          <w:bCs/>
          <w:lang w:val="fr-FR"/>
        </w:rPr>
        <w:t>idée est de permettre au conducteur de rouler jusqu</w:t>
      </w:r>
      <w:r w:rsidR="007D3902">
        <w:rPr>
          <w:bCs/>
          <w:lang w:val="fr-FR"/>
        </w:rPr>
        <w:t>’</w:t>
      </w:r>
      <w:r w:rsidRPr="000B1866">
        <w:rPr>
          <w:bCs/>
          <w:lang w:val="fr-FR"/>
        </w:rPr>
        <w:t>à la prochaine pompe à essence ou station-service en cas d</w:t>
      </w:r>
      <w:r w:rsidR="007D3902">
        <w:rPr>
          <w:bCs/>
          <w:lang w:val="fr-FR"/>
        </w:rPr>
        <w:t>’</w:t>
      </w:r>
      <w:r w:rsidRPr="000B1866">
        <w:rPr>
          <w:bCs/>
          <w:lang w:val="fr-FR"/>
        </w:rPr>
        <w:t>urgence.</w:t>
      </w:r>
    </w:p>
    <w:p w14:paraId="730CC359" w14:textId="2D3F78DA" w:rsidR="000B1866" w:rsidRPr="000B1866" w:rsidRDefault="000B1866" w:rsidP="005D5F87">
      <w:pPr>
        <w:pStyle w:val="SingleTxtG"/>
        <w:ind w:firstLine="567"/>
        <w:rPr>
          <w:bCs/>
          <w:lang w:val="fr-FR"/>
        </w:rPr>
      </w:pPr>
      <w:r w:rsidRPr="000B1866">
        <w:rPr>
          <w:bCs/>
          <w:lang w:val="fr-FR"/>
        </w:rPr>
        <w:t>Pour un tel système, la contenance du réservoir d</w:t>
      </w:r>
      <w:r w:rsidR="007D3902">
        <w:rPr>
          <w:bCs/>
          <w:lang w:val="fr-FR"/>
        </w:rPr>
        <w:t>’</w:t>
      </w:r>
      <w:r w:rsidRPr="000B1866">
        <w:rPr>
          <w:bCs/>
          <w:lang w:val="fr-FR"/>
        </w:rPr>
        <w:t>essence ne doit pas dépasser deux litres dans le cas des motocycles à deux roues et des motocycles équipés d</w:t>
      </w:r>
      <w:r w:rsidR="007D3902">
        <w:rPr>
          <w:bCs/>
          <w:lang w:val="fr-FR"/>
        </w:rPr>
        <w:t>’</w:t>
      </w:r>
      <w:r w:rsidRPr="000B1866">
        <w:rPr>
          <w:bCs/>
          <w:lang w:val="fr-FR"/>
        </w:rPr>
        <w:t xml:space="preserve">un side-car, ou ne doit trois litres dans le cas des véhicules à trois roues, conformément aux RTM ONU </w:t>
      </w:r>
      <w:r w:rsidRPr="000B1866">
        <w:rPr>
          <w:rFonts w:eastAsia="MS Mincho"/>
          <w:bCs/>
          <w:szCs w:val="22"/>
          <w:lang w:val="fr-FR"/>
        </w:rPr>
        <w:t>n</w:t>
      </w:r>
      <w:r w:rsidRPr="000B1866">
        <w:rPr>
          <w:rFonts w:eastAsia="MS Mincho"/>
          <w:bCs/>
          <w:szCs w:val="22"/>
          <w:vertAlign w:val="superscript"/>
          <w:lang w:val="fr-FR"/>
        </w:rPr>
        <w:t>o</w:t>
      </w:r>
      <w:r>
        <w:rPr>
          <w:rFonts w:eastAsia="MS Mincho"/>
          <w:bCs/>
          <w:szCs w:val="22"/>
          <w:vertAlign w:val="superscript"/>
          <w:lang w:val="fr-FR"/>
        </w:rPr>
        <w:t>s</w:t>
      </w:r>
      <w:r>
        <w:rPr>
          <w:bCs/>
          <w:lang w:val="fr-FR"/>
        </w:rPr>
        <w:t> </w:t>
      </w:r>
      <w:r w:rsidRPr="000B1866">
        <w:rPr>
          <w:bCs/>
          <w:lang w:val="fr-FR"/>
        </w:rPr>
        <w:t>17 et 18, afin que le véhicule ne puisse pas fonctionner à l</w:t>
      </w:r>
      <w:r w:rsidR="007D3902">
        <w:rPr>
          <w:bCs/>
          <w:lang w:val="fr-FR"/>
        </w:rPr>
        <w:t>’</w:t>
      </w:r>
      <w:r w:rsidRPr="000B1866">
        <w:rPr>
          <w:bCs/>
          <w:lang w:val="fr-FR"/>
        </w:rPr>
        <w:t>essence dans d</w:t>
      </w:r>
      <w:r w:rsidR="007D3902">
        <w:rPr>
          <w:bCs/>
          <w:lang w:val="fr-FR"/>
        </w:rPr>
        <w:t>’</w:t>
      </w:r>
      <w:r w:rsidRPr="000B1866">
        <w:rPr>
          <w:bCs/>
          <w:lang w:val="fr-FR"/>
        </w:rPr>
        <w:t>autres situations que les urgences.</w:t>
      </w:r>
    </w:p>
    <w:p w14:paraId="4BAF1EC6" w14:textId="225BE6A4" w:rsidR="000B1866" w:rsidRPr="000B1866" w:rsidRDefault="000B1866" w:rsidP="005D5F87">
      <w:pPr>
        <w:pStyle w:val="SingleTxtG"/>
        <w:ind w:firstLine="567"/>
        <w:rPr>
          <w:bCs/>
          <w:lang w:val="fr-FR"/>
        </w:rPr>
      </w:pPr>
      <w:r w:rsidRPr="000B1866">
        <w:rPr>
          <w:bCs/>
          <w:lang w:val="fr-FR"/>
        </w:rPr>
        <w:t>Les prescriptions en matière de performance</w:t>
      </w:r>
      <w:r w:rsidRPr="000B1866">
        <w:rPr>
          <w:bCs/>
          <w:i/>
          <w:iCs/>
          <w:lang w:val="fr-FR"/>
        </w:rPr>
        <w:t xml:space="preserve"> </w:t>
      </w:r>
      <w:r w:rsidRPr="000B1866">
        <w:rPr>
          <w:bCs/>
          <w:lang w:val="fr-FR"/>
        </w:rPr>
        <w:t>et les émissions des types I, II et VII ne doivent pas être mesurées lorsque le véhicule fonctionne à l</w:t>
      </w:r>
      <w:r w:rsidR="007D3902">
        <w:rPr>
          <w:bCs/>
          <w:lang w:val="fr-FR"/>
        </w:rPr>
        <w:t>’</w:t>
      </w:r>
      <w:r w:rsidRPr="000B1866">
        <w:rPr>
          <w:bCs/>
          <w:lang w:val="fr-FR"/>
        </w:rPr>
        <w:t>essence.</w:t>
      </w:r>
    </w:p>
    <w:p w14:paraId="183C6C12" w14:textId="6DAEC508" w:rsidR="000B1866" w:rsidRPr="000B1866" w:rsidRDefault="000B1866" w:rsidP="000B1866">
      <w:pPr>
        <w:pStyle w:val="H23G"/>
        <w:rPr>
          <w:lang w:val="fr-FR"/>
        </w:rPr>
      </w:pPr>
      <w:r w:rsidRPr="000B1866">
        <w:rPr>
          <w:lang w:val="fr-FR"/>
        </w:rPr>
        <w:tab/>
        <w:t>7.</w:t>
      </w:r>
      <w:r w:rsidRPr="000B1866">
        <w:rPr>
          <w:lang w:val="fr-FR"/>
        </w:rPr>
        <w:tab/>
        <w:t>Cycle d</w:t>
      </w:r>
      <w:r w:rsidR="007D3902">
        <w:rPr>
          <w:lang w:val="fr-FR"/>
        </w:rPr>
        <w:t>’</w:t>
      </w:r>
      <w:r w:rsidRPr="000B1866">
        <w:rPr>
          <w:lang w:val="fr-FR"/>
        </w:rPr>
        <w:t xml:space="preserve">essai mondial harmonisé de mesure des émissions des motocycles </w:t>
      </w:r>
      <w:r>
        <w:rPr>
          <w:lang w:val="fr-FR"/>
        </w:rPr>
        <w:br/>
      </w:r>
      <w:r w:rsidRPr="000B1866">
        <w:rPr>
          <w:lang w:val="fr-FR"/>
        </w:rPr>
        <w:t>pour la sous-classe 0-2</w:t>
      </w:r>
    </w:p>
    <w:p w14:paraId="610AB5B8" w14:textId="28059F7F" w:rsidR="000B1866" w:rsidRPr="000B1866" w:rsidRDefault="000B1866" w:rsidP="000B1866">
      <w:pPr>
        <w:pStyle w:val="SingleTxtG"/>
        <w:rPr>
          <w:lang w:val="fr-FR"/>
        </w:rPr>
      </w:pPr>
      <w:r w:rsidRPr="000B1866">
        <w:rPr>
          <w:lang w:val="fr-FR"/>
        </w:rPr>
        <w:t>49.</w:t>
      </w:r>
      <w:r w:rsidRPr="000B1866">
        <w:rPr>
          <w:lang w:val="fr-FR"/>
        </w:rPr>
        <w:tab/>
        <w:t>Le groupe de travail informel EPPR a précisé que les parties suivantes du WTMC s</w:t>
      </w:r>
      <w:r w:rsidR="007D3902">
        <w:rPr>
          <w:lang w:val="fr-FR"/>
        </w:rPr>
        <w:t>’</w:t>
      </w:r>
      <w:r w:rsidRPr="000B1866">
        <w:rPr>
          <w:lang w:val="fr-FR"/>
        </w:rPr>
        <w:t>appliquaient à la sous-classe 0-2 :</w:t>
      </w:r>
    </w:p>
    <w:tbl>
      <w:tblPr>
        <w:tblW w:w="7370" w:type="dxa"/>
        <w:tblInd w:w="1134" w:type="dxa"/>
        <w:tblLayout w:type="fixed"/>
        <w:tblCellMar>
          <w:left w:w="0" w:type="dxa"/>
          <w:right w:w="0" w:type="dxa"/>
        </w:tblCellMar>
        <w:tblLook w:val="04A0" w:firstRow="1" w:lastRow="0" w:firstColumn="1" w:lastColumn="0" w:noHBand="0" w:noVBand="1"/>
      </w:tblPr>
      <w:tblGrid>
        <w:gridCol w:w="3089"/>
        <w:gridCol w:w="4281"/>
      </w:tblGrid>
      <w:tr w:rsidR="00327E7D" w:rsidRPr="00327E7D" w14:paraId="23CA3661" w14:textId="77777777" w:rsidTr="00327E7D">
        <w:tc>
          <w:tcPr>
            <w:tcW w:w="3089" w:type="dxa"/>
            <w:tcBorders>
              <w:top w:val="single" w:sz="4" w:space="0" w:color="auto"/>
            </w:tcBorders>
            <w:shd w:val="clear" w:color="auto" w:fill="auto"/>
          </w:tcPr>
          <w:p w14:paraId="37C0E74F" w14:textId="42F35264" w:rsidR="00327E7D" w:rsidRPr="00327E7D" w:rsidRDefault="00327E7D" w:rsidP="00327E7D">
            <w:pPr>
              <w:spacing w:before="40" w:after="120"/>
              <w:ind w:right="113"/>
            </w:pPr>
            <w:bookmarkStart w:id="2" w:name="_Hlk89160096"/>
            <w:r w:rsidRPr="00327E7D">
              <w:rPr>
                <w:lang w:val="fr-FR"/>
              </w:rPr>
              <w:t>Sous-classe 0-1</w:t>
            </w:r>
          </w:p>
        </w:tc>
        <w:tc>
          <w:tcPr>
            <w:tcW w:w="4281" w:type="dxa"/>
            <w:tcBorders>
              <w:top w:val="single" w:sz="4" w:space="0" w:color="auto"/>
            </w:tcBorders>
            <w:shd w:val="clear" w:color="auto" w:fill="auto"/>
          </w:tcPr>
          <w:p w14:paraId="7E76849B" w14:textId="36A43929" w:rsidR="00327E7D" w:rsidRPr="00327E7D" w:rsidRDefault="00327E7D" w:rsidP="00327E7D">
            <w:pPr>
              <w:spacing w:before="40" w:after="120"/>
              <w:rPr>
                <w:lang w:val="fr-FR"/>
              </w:rPr>
            </w:pPr>
            <w:r w:rsidRPr="00327E7D">
              <w:rPr>
                <w:lang w:val="fr-FR"/>
              </w:rPr>
              <w:t>partie 1, RST25</w:t>
            </w:r>
            <w:r w:rsidR="00963C74">
              <w:rPr>
                <w:lang w:val="fr-FR"/>
              </w:rPr>
              <w:t>,</w:t>
            </w:r>
            <w:r w:rsidRPr="00327E7D">
              <w:rPr>
                <w:lang w:val="fr-FR"/>
              </w:rPr>
              <w:t xml:space="preserve"> à froid, suivie de la partie 1, RST25</w:t>
            </w:r>
            <w:r w:rsidR="00963C74">
              <w:rPr>
                <w:lang w:val="fr-FR"/>
              </w:rPr>
              <w:t>,</w:t>
            </w:r>
            <w:r w:rsidRPr="00327E7D">
              <w:rPr>
                <w:lang w:val="fr-FR"/>
              </w:rPr>
              <w:t xml:space="preserve"> à chaud</w:t>
            </w:r>
          </w:p>
        </w:tc>
      </w:tr>
      <w:tr w:rsidR="000B1866" w:rsidRPr="00327E7D" w14:paraId="5AE95A82" w14:textId="77777777" w:rsidTr="00327E7D">
        <w:tc>
          <w:tcPr>
            <w:tcW w:w="3089" w:type="dxa"/>
            <w:shd w:val="clear" w:color="auto" w:fill="auto"/>
          </w:tcPr>
          <w:p w14:paraId="12EF7203" w14:textId="77777777" w:rsidR="000B1866" w:rsidRPr="00327E7D" w:rsidRDefault="000B1866" w:rsidP="00327E7D">
            <w:pPr>
              <w:spacing w:before="40" w:after="120"/>
              <w:ind w:right="113"/>
              <w:rPr>
                <w:lang w:val="fr-FR"/>
              </w:rPr>
            </w:pPr>
            <w:r w:rsidRPr="00327E7D">
              <w:rPr>
                <w:lang w:val="fr-FR"/>
              </w:rPr>
              <w:t>Sous-classe 0-2</w:t>
            </w:r>
          </w:p>
        </w:tc>
        <w:tc>
          <w:tcPr>
            <w:tcW w:w="4281" w:type="dxa"/>
            <w:shd w:val="clear" w:color="auto" w:fill="auto"/>
          </w:tcPr>
          <w:p w14:paraId="06F59F1B" w14:textId="6E2EEDE1" w:rsidR="000B1866" w:rsidRPr="00327E7D" w:rsidRDefault="000B1866" w:rsidP="00327E7D">
            <w:pPr>
              <w:spacing w:before="40" w:after="120"/>
              <w:rPr>
                <w:lang w:val="fr-FR"/>
              </w:rPr>
            </w:pPr>
            <w:r w:rsidRPr="00963C74">
              <w:rPr>
                <w:lang w:val="fr-FR"/>
              </w:rPr>
              <w:t>partie 1, vitesse réduite</w:t>
            </w:r>
            <w:r w:rsidR="00963C74" w:rsidRPr="00963C74">
              <w:rPr>
                <w:lang w:val="fr-FR"/>
              </w:rPr>
              <w:t>,</w:t>
            </w:r>
            <w:r w:rsidRPr="00963C74">
              <w:rPr>
                <w:lang w:val="fr-FR"/>
              </w:rPr>
              <w:t xml:space="preserve"> à froid, suivie de la partie 1, vitesse réduite</w:t>
            </w:r>
            <w:r w:rsidR="00963C74" w:rsidRPr="00963C74">
              <w:rPr>
                <w:lang w:val="fr-FR"/>
              </w:rPr>
              <w:t>,</w:t>
            </w:r>
            <w:r w:rsidRPr="00963C74">
              <w:rPr>
                <w:lang w:val="fr-FR"/>
              </w:rPr>
              <w:t xml:space="preserve"> à chaud</w:t>
            </w:r>
            <w:r w:rsidR="00963C74" w:rsidRPr="00963C74">
              <w:rPr>
                <w:lang w:val="fr-FR"/>
              </w:rPr>
              <w:t>, si</w:t>
            </w:r>
            <w:r w:rsidR="00963C74">
              <w:rPr>
                <w:lang w:val="fr-FR"/>
              </w:rPr>
              <w:t xml:space="preserve"> la vitesse maximale par construction est de 50 km/h</w:t>
            </w:r>
          </w:p>
          <w:p w14:paraId="17E58343" w14:textId="0C40D8E8" w:rsidR="000B1866" w:rsidRPr="00327E7D" w:rsidRDefault="000B1866" w:rsidP="00327E7D">
            <w:pPr>
              <w:spacing w:before="40" w:after="120"/>
              <w:rPr>
                <w:lang w:val="fr-FR"/>
              </w:rPr>
            </w:pPr>
            <w:r w:rsidRPr="00327E7D">
              <w:rPr>
                <w:lang w:val="fr-FR"/>
              </w:rPr>
              <w:t>partie 1, RST45</w:t>
            </w:r>
            <w:r w:rsidR="00963C74">
              <w:rPr>
                <w:lang w:val="fr-FR"/>
              </w:rPr>
              <w:t>,</w:t>
            </w:r>
            <w:r w:rsidRPr="00327E7D">
              <w:rPr>
                <w:lang w:val="fr-FR"/>
              </w:rPr>
              <w:t xml:space="preserve"> à froid, suivie de la partie 1, RST45</w:t>
            </w:r>
            <w:r w:rsidR="00963C74">
              <w:rPr>
                <w:lang w:val="fr-FR"/>
              </w:rPr>
              <w:t>,</w:t>
            </w:r>
            <w:r w:rsidRPr="00327E7D">
              <w:rPr>
                <w:lang w:val="fr-FR"/>
              </w:rPr>
              <w:t xml:space="preserve"> à chaud, si la vitesse maximale par construction est de 45 km/h</w:t>
            </w:r>
          </w:p>
        </w:tc>
      </w:tr>
      <w:tr w:rsidR="000B1866" w:rsidRPr="00327E7D" w14:paraId="15E9FB18" w14:textId="77777777" w:rsidTr="00327E7D">
        <w:tc>
          <w:tcPr>
            <w:tcW w:w="3089" w:type="dxa"/>
            <w:tcBorders>
              <w:bottom w:val="single" w:sz="12" w:space="0" w:color="auto"/>
            </w:tcBorders>
            <w:shd w:val="clear" w:color="auto" w:fill="auto"/>
          </w:tcPr>
          <w:p w14:paraId="45421DC5" w14:textId="77777777" w:rsidR="000B1866" w:rsidRPr="00327E7D" w:rsidRDefault="000B1866" w:rsidP="00327E7D">
            <w:pPr>
              <w:spacing w:before="40" w:after="120"/>
              <w:ind w:right="113"/>
              <w:rPr>
                <w:lang w:val="fr-FR"/>
              </w:rPr>
            </w:pPr>
            <w:r w:rsidRPr="00327E7D">
              <w:rPr>
                <w:lang w:val="fr-FR"/>
              </w:rPr>
              <w:t>Classe 1</w:t>
            </w:r>
          </w:p>
        </w:tc>
        <w:tc>
          <w:tcPr>
            <w:tcW w:w="4281" w:type="dxa"/>
            <w:tcBorders>
              <w:bottom w:val="single" w:sz="12" w:space="0" w:color="auto"/>
            </w:tcBorders>
            <w:shd w:val="clear" w:color="auto" w:fill="auto"/>
          </w:tcPr>
          <w:p w14:paraId="147CE1AA" w14:textId="2DCFB303" w:rsidR="000B1866" w:rsidRPr="00327E7D" w:rsidRDefault="000B1866" w:rsidP="00327E7D">
            <w:pPr>
              <w:spacing w:before="40" w:after="120"/>
              <w:rPr>
                <w:lang w:val="fr-FR"/>
              </w:rPr>
            </w:pPr>
            <w:r w:rsidRPr="00327E7D">
              <w:rPr>
                <w:lang w:val="fr-FR"/>
              </w:rPr>
              <w:t>partie 1, vitesse réduite</w:t>
            </w:r>
            <w:r w:rsidR="00963C74">
              <w:rPr>
                <w:lang w:val="fr-FR"/>
              </w:rPr>
              <w:t>,</w:t>
            </w:r>
            <w:r w:rsidRPr="00327E7D">
              <w:rPr>
                <w:lang w:val="fr-FR"/>
              </w:rPr>
              <w:t xml:space="preserve"> à froid, suivie de la partie 1, vitesse réduite</w:t>
            </w:r>
            <w:r w:rsidR="00963C74">
              <w:rPr>
                <w:lang w:val="fr-FR"/>
              </w:rPr>
              <w:t>,</w:t>
            </w:r>
            <w:r w:rsidRPr="00327E7D">
              <w:rPr>
                <w:lang w:val="fr-FR"/>
              </w:rPr>
              <w:t xml:space="preserve"> à chaud</w:t>
            </w:r>
          </w:p>
        </w:tc>
      </w:tr>
    </w:tbl>
    <w:bookmarkEnd w:id="2"/>
    <w:p w14:paraId="4C52945F" w14:textId="3B9AD0CC" w:rsidR="000B1866" w:rsidRPr="000B1866" w:rsidRDefault="000B1866" w:rsidP="00327E7D">
      <w:pPr>
        <w:pStyle w:val="SingleTxtG"/>
        <w:spacing w:before="120"/>
        <w:rPr>
          <w:lang w:val="fr-FR"/>
        </w:rPr>
      </w:pPr>
      <w:r w:rsidRPr="000B1866">
        <w:rPr>
          <w:lang w:val="fr-FR"/>
        </w:rPr>
        <w:t>50.</w:t>
      </w:r>
      <w:r w:rsidRPr="000B1866">
        <w:rPr>
          <w:lang w:val="fr-FR"/>
        </w:rPr>
        <w:tab/>
        <w:t>En d</w:t>
      </w:r>
      <w:r w:rsidR="007D3902">
        <w:rPr>
          <w:lang w:val="fr-FR"/>
        </w:rPr>
        <w:t>’</w:t>
      </w:r>
      <w:r w:rsidRPr="000B1866">
        <w:rPr>
          <w:lang w:val="fr-FR"/>
        </w:rPr>
        <w:t>autres termes, le groupe de travail informel EPPR a précisé que les véhicules de la sous-classe 0-2 dont la vitesse maximale par construction est de 50 km/h auraient la même courbe WMTC que ceux de la classe 1. Cette clarification a été ajoutée aux spécifications qui figuraient déjà dans l</w:t>
      </w:r>
      <w:r w:rsidR="007D3902">
        <w:rPr>
          <w:lang w:val="fr-FR"/>
        </w:rPr>
        <w:t>’</w:t>
      </w:r>
      <w:r w:rsidRPr="000B1866">
        <w:rPr>
          <w:lang w:val="fr-FR"/>
        </w:rPr>
        <w:t>amendement 4.</w:t>
      </w:r>
      <w:bookmarkStart w:id="3" w:name="_Hlk89160072"/>
      <w:bookmarkEnd w:id="3"/>
    </w:p>
    <w:p w14:paraId="1712D363" w14:textId="31A64597" w:rsidR="000B1866" w:rsidRPr="000B1866" w:rsidRDefault="000B1866" w:rsidP="000B1866">
      <w:pPr>
        <w:pStyle w:val="SingleTxtG"/>
        <w:rPr>
          <w:lang w:val="fr-FR"/>
        </w:rPr>
      </w:pPr>
      <w:r w:rsidRPr="000B1866">
        <w:rPr>
          <w:lang w:val="fr-FR"/>
        </w:rPr>
        <w:t>51.</w:t>
      </w:r>
      <w:r w:rsidRPr="000B1866">
        <w:rPr>
          <w:lang w:val="fr-FR"/>
        </w:rPr>
        <w:tab/>
        <w:t>Cela a fait l</w:t>
      </w:r>
      <w:r w:rsidR="007D3902">
        <w:rPr>
          <w:lang w:val="fr-FR"/>
        </w:rPr>
        <w:t>’</w:t>
      </w:r>
      <w:r w:rsidRPr="000B1866">
        <w:rPr>
          <w:lang w:val="fr-FR"/>
        </w:rPr>
        <w:t>objet de longs débats, qui sont résumés ci-dessous.</w:t>
      </w:r>
    </w:p>
    <w:p w14:paraId="48442C65" w14:textId="02F08A3F" w:rsidR="000B1866" w:rsidRPr="000B1866" w:rsidRDefault="000B1866" w:rsidP="00CB3C23">
      <w:pPr>
        <w:pStyle w:val="SingleTxtG"/>
        <w:ind w:firstLine="567"/>
        <w:rPr>
          <w:spacing w:val="-1"/>
          <w:lang w:val="fr-FR"/>
        </w:rPr>
      </w:pPr>
      <w:r w:rsidRPr="000B1866">
        <w:rPr>
          <w:spacing w:val="-1"/>
          <w:lang w:val="fr-FR"/>
        </w:rPr>
        <w:t>Comme dans l</w:t>
      </w:r>
      <w:r w:rsidR="007D3902" w:rsidRPr="0091227B">
        <w:rPr>
          <w:spacing w:val="-1"/>
          <w:lang w:val="fr-FR"/>
        </w:rPr>
        <w:t>’</w:t>
      </w:r>
      <w:r w:rsidRPr="000B1866">
        <w:rPr>
          <w:spacing w:val="-1"/>
          <w:lang w:val="fr-FR"/>
        </w:rPr>
        <w:t>amendement 4, la sous-classe 0-2 a été définie comme suit : « Cylindrée ≤</w:t>
      </w:r>
      <w:r w:rsidR="00CB3C23" w:rsidRPr="0091227B">
        <w:rPr>
          <w:spacing w:val="-1"/>
          <w:lang w:val="fr-FR"/>
        </w:rPr>
        <w:t xml:space="preserve"> </w:t>
      </w:r>
      <w:r w:rsidRPr="000B1866">
        <w:rPr>
          <w:spacing w:val="-1"/>
          <w:lang w:val="fr-FR"/>
        </w:rPr>
        <w:t>50</w:t>
      </w:r>
      <w:r w:rsidR="00327E7D" w:rsidRPr="0091227B">
        <w:rPr>
          <w:spacing w:val="-1"/>
          <w:lang w:val="fr-FR"/>
        </w:rPr>
        <w:t> </w:t>
      </w:r>
      <w:r w:rsidRPr="000B1866">
        <w:rPr>
          <w:spacing w:val="-1"/>
          <w:lang w:val="fr-FR"/>
        </w:rPr>
        <w:t>cm</w:t>
      </w:r>
      <w:r w:rsidRPr="000B1866">
        <w:rPr>
          <w:spacing w:val="-1"/>
          <w:vertAlign w:val="superscript"/>
          <w:lang w:val="fr-FR"/>
        </w:rPr>
        <w:t>3</w:t>
      </w:r>
      <w:r w:rsidRPr="000B1866">
        <w:rPr>
          <w:spacing w:val="-1"/>
          <w:lang w:val="fr-FR"/>
        </w:rPr>
        <w:t xml:space="preserve"> et 25 km/h &lt; v</w:t>
      </w:r>
      <w:r w:rsidRPr="00963C74">
        <w:rPr>
          <w:spacing w:val="-1"/>
          <w:vertAlign w:val="subscript"/>
          <w:lang w:val="fr-FR"/>
        </w:rPr>
        <w:t>max</w:t>
      </w:r>
      <w:r w:rsidRPr="000B1866">
        <w:rPr>
          <w:spacing w:val="-1"/>
          <w:lang w:val="fr-FR"/>
        </w:rPr>
        <w:t xml:space="preserve"> ≤ 50 km/h ». Cette classe a été définie de la même manière dans le RTM ONU </w:t>
      </w:r>
      <w:r w:rsidR="00F5167E" w:rsidRPr="0091227B">
        <w:rPr>
          <w:rFonts w:eastAsia="MS Mincho"/>
          <w:spacing w:val="-1"/>
          <w:szCs w:val="22"/>
          <w:lang w:val="fr-FR"/>
        </w:rPr>
        <w:t>n</w:t>
      </w:r>
      <w:r w:rsidR="00F5167E" w:rsidRPr="0091227B">
        <w:rPr>
          <w:rFonts w:eastAsia="MS Mincho"/>
          <w:spacing w:val="-1"/>
          <w:szCs w:val="22"/>
          <w:vertAlign w:val="superscript"/>
          <w:lang w:val="fr-FR"/>
        </w:rPr>
        <w:t>o</w:t>
      </w:r>
      <w:r w:rsidR="00F5167E" w:rsidRPr="0091227B">
        <w:rPr>
          <w:spacing w:val="-1"/>
          <w:lang w:val="fr-FR"/>
        </w:rPr>
        <w:t> </w:t>
      </w:r>
      <w:r w:rsidRPr="000B1866">
        <w:rPr>
          <w:spacing w:val="-1"/>
          <w:lang w:val="fr-FR"/>
        </w:rPr>
        <w:t xml:space="preserve">2, en Chine et dans les normes ISO. En mars 2021, </w:t>
      </w:r>
      <w:r w:rsidRPr="000B1866">
        <w:rPr>
          <w:spacing w:val="-2"/>
          <w:lang w:val="fr-FR"/>
        </w:rPr>
        <w:t>le document EPPR</w:t>
      </w:r>
      <w:r w:rsidR="0091227B">
        <w:rPr>
          <w:spacing w:val="-2"/>
          <w:lang w:val="fr-FR"/>
        </w:rPr>
        <w:noBreakHyphen/>
      </w:r>
      <w:r w:rsidRPr="000B1866">
        <w:rPr>
          <w:spacing w:val="-2"/>
          <w:lang w:val="fr-FR"/>
        </w:rPr>
        <w:t>43</w:t>
      </w:r>
      <w:r w:rsidR="0091227B">
        <w:rPr>
          <w:spacing w:val="-2"/>
          <w:lang w:val="fr-FR"/>
        </w:rPr>
        <w:noBreakHyphen/>
      </w:r>
      <w:r w:rsidRPr="000B1866">
        <w:rPr>
          <w:spacing w:val="-2"/>
          <w:lang w:val="fr-FR"/>
        </w:rPr>
        <w:t>03</w:t>
      </w:r>
      <w:r w:rsidR="0091227B">
        <w:rPr>
          <w:spacing w:val="-2"/>
          <w:lang w:val="fr-FR"/>
        </w:rPr>
        <w:noBreakHyphen/>
      </w:r>
      <w:r w:rsidRPr="000B1866">
        <w:rPr>
          <w:spacing w:val="-2"/>
          <w:lang w:val="fr-FR"/>
        </w:rPr>
        <w:t>r1</w:t>
      </w:r>
      <w:r w:rsidRPr="000B1866">
        <w:rPr>
          <w:spacing w:val="-1"/>
          <w:lang w:val="fr-FR"/>
        </w:rPr>
        <w:t xml:space="preserve"> a été présenté par la représentante de la Chine, M</w:t>
      </w:r>
      <w:r w:rsidRPr="000B1866">
        <w:rPr>
          <w:spacing w:val="-1"/>
          <w:vertAlign w:val="superscript"/>
          <w:lang w:val="fr-FR"/>
        </w:rPr>
        <w:t>me</w:t>
      </w:r>
      <w:r w:rsidR="00F5167E" w:rsidRPr="0091227B">
        <w:rPr>
          <w:spacing w:val="-1"/>
          <w:lang w:val="fr-FR"/>
        </w:rPr>
        <w:t> </w:t>
      </w:r>
      <w:r w:rsidRPr="000B1866">
        <w:rPr>
          <w:spacing w:val="-1"/>
          <w:lang w:val="fr-FR"/>
        </w:rPr>
        <w:t>Wang, qui a proposé :</w:t>
      </w:r>
    </w:p>
    <w:p w14:paraId="7A67F7B4" w14:textId="540C3B7D" w:rsidR="000B1866" w:rsidRPr="000B1866" w:rsidRDefault="000B1866" w:rsidP="00327E7D">
      <w:pPr>
        <w:pStyle w:val="SingleTxtG"/>
        <w:ind w:firstLine="567"/>
        <w:rPr>
          <w:lang w:val="fr-FR"/>
        </w:rPr>
      </w:pPr>
      <w:r w:rsidRPr="000B1866">
        <w:rPr>
          <w:lang w:val="fr-FR"/>
        </w:rPr>
        <w:t>a)</w:t>
      </w:r>
      <w:r w:rsidRPr="000B1866">
        <w:rPr>
          <w:lang w:val="fr-FR"/>
        </w:rPr>
        <w:tab/>
        <w:t>Une clarification concernant les parties du WMTC applicables à la sous</w:t>
      </w:r>
      <w:r w:rsidR="00327E7D">
        <w:rPr>
          <w:lang w:val="fr-FR"/>
        </w:rPr>
        <w:noBreakHyphen/>
      </w:r>
      <w:r w:rsidRPr="000B1866">
        <w:rPr>
          <w:lang w:val="fr-FR"/>
        </w:rPr>
        <w:t>classe</w:t>
      </w:r>
      <w:r w:rsidR="00327E7D">
        <w:rPr>
          <w:lang w:val="fr-FR"/>
        </w:rPr>
        <w:t> </w:t>
      </w:r>
      <w:r w:rsidRPr="000B1866">
        <w:rPr>
          <w:lang w:val="fr-FR"/>
        </w:rPr>
        <w:t>0-2 ;</w:t>
      </w:r>
    </w:p>
    <w:p w14:paraId="0196AC81" w14:textId="77777777" w:rsidR="000B1866" w:rsidRPr="000B1866" w:rsidRDefault="000B1866" w:rsidP="00327E7D">
      <w:pPr>
        <w:pStyle w:val="SingleTxtG"/>
        <w:ind w:firstLine="567"/>
        <w:rPr>
          <w:lang w:val="fr-FR"/>
        </w:rPr>
      </w:pPr>
      <w:r w:rsidRPr="000B1866">
        <w:rPr>
          <w:lang w:val="fr-FR"/>
        </w:rPr>
        <w:t>b)</w:t>
      </w:r>
      <w:r w:rsidRPr="000B1866">
        <w:rPr>
          <w:lang w:val="fr-FR"/>
        </w:rPr>
        <w:tab/>
        <w:t>La modification en conséquence de la description pour les tableaux concernant les</w:t>
      </w:r>
      <w:r w:rsidRPr="000B1866">
        <w:rPr>
          <w:b/>
          <w:bCs/>
          <w:lang w:val="fr-FR"/>
        </w:rPr>
        <w:t xml:space="preserve"> </w:t>
      </w:r>
      <w:r w:rsidRPr="000B1866">
        <w:rPr>
          <w:lang w:val="fr-FR"/>
        </w:rPr>
        <w:t>cycles.</w:t>
      </w:r>
    </w:p>
    <w:p w14:paraId="0C648AF0" w14:textId="04193FF8" w:rsidR="000B1866" w:rsidRPr="000B1866" w:rsidRDefault="000B1866" w:rsidP="000B1866">
      <w:pPr>
        <w:pStyle w:val="SingleTxtG"/>
        <w:rPr>
          <w:lang w:val="fr-FR"/>
        </w:rPr>
      </w:pPr>
      <w:r w:rsidRPr="000B1866">
        <w:rPr>
          <w:lang w:val="fr-FR"/>
        </w:rPr>
        <w:t>52.</w:t>
      </w:r>
      <w:r w:rsidRPr="000B1866">
        <w:rPr>
          <w:lang w:val="fr-FR"/>
        </w:rPr>
        <w:tab/>
        <w:t xml:space="preserve">Le problème est que pour la sous-classe 0-2, le RTM ONU </w:t>
      </w:r>
      <w:r w:rsidR="00327E7D" w:rsidRPr="00327E7D">
        <w:rPr>
          <w:rFonts w:eastAsia="MS Mincho"/>
          <w:szCs w:val="22"/>
          <w:lang w:val="fr-FR"/>
        </w:rPr>
        <w:t>n</w:t>
      </w:r>
      <w:r w:rsidR="00327E7D" w:rsidRPr="00327E7D">
        <w:rPr>
          <w:rFonts w:eastAsia="MS Mincho"/>
          <w:szCs w:val="22"/>
          <w:vertAlign w:val="superscript"/>
          <w:lang w:val="fr-FR"/>
        </w:rPr>
        <w:t>o</w:t>
      </w:r>
      <w:r w:rsidR="00327E7D">
        <w:rPr>
          <w:lang w:val="fr-FR"/>
        </w:rPr>
        <w:t> </w:t>
      </w:r>
      <w:r w:rsidRPr="000B1866">
        <w:rPr>
          <w:lang w:val="fr-FR"/>
        </w:rPr>
        <w:t>2 définit une vitesse maximale par construction de 50 km/h. Cependant, dans le tableau A1/1, seule la vitesse d</w:t>
      </w:r>
      <w:r w:rsidR="007D3902">
        <w:rPr>
          <w:lang w:val="fr-FR"/>
        </w:rPr>
        <w:t>’</w:t>
      </w:r>
      <w:r w:rsidRPr="000B1866">
        <w:rPr>
          <w:lang w:val="fr-FR"/>
        </w:rPr>
        <w:t>essai</w:t>
      </w:r>
      <w:r w:rsidRPr="000B1866">
        <w:rPr>
          <w:i/>
          <w:iCs/>
          <w:lang w:val="fr-FR"/>
        </w:rPr>
        <w:t xml:space="preserve"> </w:t>
      </w:r>
      <w:r w:rsidRPr="000B1866">
        <w:rPr>
          <w:lang w:val="fr-FR"/>
        </w:rPr>
        <w:t xml:space="preserve">maximale de 45 km/h est définie </w:t>
      </w:r>
      <w:r w:rsidR="00327E7D">
        <w:rPr>
          <w:lang w:val="fr-FR"/>
        </w:rPr>
        <w:t>−</w:t>
      </w:r>
      <w:r w:rsidRPr="000B1866">
        <w:rPr>
          <w:lang w:val="fr-FR"/>
        </w:rPr>
        <w:t xml:space="preserve"> ce qui s</w:t>
      </w:r>
      <w:r w:rsidR="007D3902">
        <w:rPr>
          <w:lang w:val="fr-FR"/>
        </w:rPr>
        <w:t>’</w:t>
      </w:r>
      <w:r w:rsidRPr="000B1866">
        <w:rPr>
          <w:lang w:val="fr-FR"/>
        </w:rPr>
        <w:t>applique aux véhicules dont la vitesse maximale par construction ne dépasse pas 45 km/h. Cela pourrait prêter à confusion si cela n</w:t>
      </w:r>
      <w:r w:rsidR="007D3902">
        <w:rPr>
          <w:lang w:val="fr-FR"/>
        </w:rPr>
        <w:t>’</w:t>
      </w:r>
      <w:r w:rsidRPr="000B1866">
        <w:rPr>
          <w:lang w:val="fr-FR"/>
        </w:rPr>
        <w:t>est pas précisé de manière appropriée.</w:t>
      </w:r>
    </w:p>
    <w:p w14:paraId="0832C3E7" w14:textId="0538BBD7" w:rsidR="000B1866" w:rsidRPr="000B1866" w:rsidRDefault="000B1866" w:rsidP="000B1866">
      <w:pPr>
        <w:pStyle w:val="SingleTxtG"/>
        <w:rPr>
          <w:lang w:val="fr-FR"/>
        </w:rPr>
      </w:pPr>
      <w:r w:rsidRPr="000B1866">
        <w:rPr>
          <w:lang w:val="fr-FR"/>
        </w:rPr>
        <w:t>53.</w:t>
      </w:r>
      <w:r w:rsidRPr="000B1866">
        <w:rPr>
          <w:lang w:val="fr-FR"/>
        </w:rPr>
        <w:tab/>
        <w:t>Afin d</w:t>
      </w:r>
      <w:r w:rsidR="007D3902">
        <w:rPr>
          <w:lang w:val="fr-FR"/>
        </w:rPr>
        <w:t>’</w:t>
      </w:r>
      <w:r w:rsidRPr="000B1866">
        <w:rPr>
          <w:lang w:val="fr-FR"/>
        </w:rPr>
        <w:t>éviter toute interprétation erronée, la Chine a proposé que la description de l</w:t>
      </w:r>
      <w:r w:rsidR="007D3902">
        <w:rPr>
          <w:lang w:val="fr-FR"/>
        </w:rPr>
        <w:t>’</w:t>
      </w:r>
      <w:r w:rsidRPr="000B1866">
        <w:rPr>
          <w:lang w:val="fr-FR"/>
        </w:rPr>
        <w:t>essai pour la sous-classe 0-2 soit subdivisée en deux cas :</w:t>
      </w:r>
    </w:p>
    <w:p w14:paraId="1E922211" w14:textId="457A9C4F" w:rsidR="000B1866" w:rsidRPr="000B1866" w:rsidRDefault="000B1866" w:rsidP="000B1866">
      <w:pPr>
        <w:pStyle w:val="SingleTxtG"/>
        <w:rPr>
          <w:lang w:val="fr-FR"/>
        </w:rPr>
      </w:pPr>
      <w:r w:rsidRPr="000B1866">
        <w:rPr>
          <w:lang w:val="fr-FR"/>
        </w:rPr>
        <w:t>54.</w:t>
      </w:r>
      <w:r w:rsidRPr="000B1866">
        <w:rPr>
          <w:lang w:val="fr-FR"/>
        </w:rPr>
        <w:tab/>
        <w:t>Le premier cas concerne les véhicules « ordinaires » de la sous-classe 0-2, dont la vitesse maximale par construction est de 50 km/h. La Chine a proposé que soit appliqué dans ce cas le même cycle d</w:t>
      </w:r>
      <w:r w:rsidR="007D3902">
        <w:rPr>
          <w:lang w:val="fr-FR"/>
        </w:rPr>
        <w:t>’</w:t>
      </w:r>
      <w:r w:rsidRPr="000B1866">
        <w:rPr>
          <w:lang w:val="fr-FR"/>
        </w:rPr>
        <w:t>essai que celui prévu pour la catégorie 1. Ce cas n</w:t>
      </w:r>
      <w:r w:rsidR="007D3902">
        <w:rPr>
          <w:lang w:val="fr-FR"/>
        </w:rPr>
        <w:t>’</w:t>
      </w:r>
      <w:r w:rsidRPr="000B1866">
        <w:rPr>
          <w:lang w:val="fr-FR"/>
        </w:rPr>
        <w:t>était pas pris en considération dans les anciens tableaux A1/1 et A1/2, devenus ensuite respectivement les figures A4.App12/5 et A4.App12/6.</w:t>
      </w:r>
    </w:p>
    <w:p w14:paraId="6731974A" w14:textId="15086AB9" w:rsidR="000B1866" w:rsidRPr="000B1866" w:rsidRDefault="000B1866" w:rsidP="000B1866">
      <w:pPr>
        <w:pStyle w:val="SingleTxtG"/>
        <w:rPr>
          <w:lang w:val="fr-FR"/>
        </w:rPr>
      </w:pPr>
      <w:r w:rsidRPr="000B1866">
        <w:rPr>
          <w:lang w:val="fr-FR"/>
        </w:rPr>
        <w:t>55.</w:t>
      </w:r>
      <w:r w:rsidRPr="000B1866">
        <w:rPr>
          <w:lang w:val="fr-FR"/>
        </w:rPr>
        <w:tab/>
        <w:t>Le second cas concerne les véhicules dont la vitesse maximale par construction est de 45 km/h. La Chine a proposé qu</w:t>
      </w:r>
      <w:r w:rsidR="007D3902">
        <w:rPr>
          <w:lang w:val="fr-FR"/>
        </w:rPr>
        <w:t>’</w:t>
      </w:r>
      <w:r w:rsidRPr="000B1866">
        <w:rPr>
          <w:lang w:val="fr-FR"/>
        </w:rPr>
        <w:t>aucune modification ne soit apportée à l</w:t>
      </w:r>
      <w:r w:rsidR="007D3902">
        <w:rPr>
          <w:lang w:val="fr-FR"/>
        </w:rPr>
        <w:t>’</w:t>
      </w:r>
      <w:r w:rsidRPr="000B1866">
        <w:rPr>
          <w:lang w:val="fr-FR"/>
        </w:rPr>
        <w:t>essai dans ce cas, c</w:t>
      </w:r>
      <w:r w:rsidR="007D3902">
        <w:rPr>
          <w:lang w:val="fr-FR"/>
        </w:rPr>
        <w:t>’</w:t>
      </w:r>
      <w:r w:rsidRPr="000B1866">
        <w:rPr>
          <w:lang w:val="fr-FR"/>
        </w:rPr>
        <w:t>est-à-dire que la vitesse d</w:t>
      </w:r>
      <w:r w:rsidR="007D3902">
        <w:rPr>
          <w:lang w:val="fr-FR"/>
        </w:rPr>
        <w:t>’</w:t>
      </w:r>
      <w:r w:rsidRPr="000B1866">
        <w:rPr>
          <w:lang w:val="fr-FR"/>
        </w:rPr>
        <w:t>essai soit limitée à 45 km/h. Ce cas était mentionné dans le tableau A1/1.</w:t>
      </w:r>
    </w:p>
    <w:p w14:paraId="7485E169" w14:textId="77777777" w:rsidR="000B1866" w:rsidRPr="000B1866" w:rsidRDefault="000B1866" w:rsidP="0091227B">
      <w:pPr>
        <w:pStyle w:val="SingleTxtG"/>
        <w:ind w:firstLine="567"/>
        <w:rPr>
          <w:lang w:val="fr-FR"/>
        </w:rPr>
      </w:pPr>
      <w:r w:rsidRPr="000B1866">
        <w:rPr>
          <w:lang w:val="fr-FR"/>
        </w:rPr>
        <w:t>Lorsque la proposition ci-dessus a été approuvée, il a également été décidé de modifier en conséquence la note de bas de page sous le tableau A1/1 :</w:t>
      </w:r>
    </w:p>
    <w:p w14:paraId="4F25747A" w14:textId="4C871589" w:rsidR="000B1866" w:rsidRPr="000B1866" w:rsidRDefault="000B1866" w:rsidP="000B1866">
      <w:pPr>
        <w:pStyle w:val="SingleTxtG"/>
        <w:rPr>
          <w:lang w:val="fr-FR"/>
        </w:rPr>
      </w:pPr>
      <w:r w:rsidRPr="000B1866">
        <w:rPr>
          <w:lang w:val="fr-FR"/>
        </w:rPr>
        <w:t>56.</w:t>
      </w:r>
      <w:r w:rsidRPr="000B1866">
        <w:rPr>
          <w:lang w:val="fr-FR"/>
        </w:rPr>
        <w:tab/>
        <w:t>La deuxième partie de la note de bas de page concernant les 50 km/h a été supprimée, car elle n</w:t>
      </w:r>
      <w:r w:rsidR="007D3902">
        <w:rPr>
          <w:lang w:val="fr-FR"/>
        </w:rPr>
        <w:t>’</w:t>
      </w:r>
      <w:r w:rsidRPr="000B1866">
        <w:rPr>
          <w:lang w:val="fr-FR"/>
        </w:rPr>
        <w:t>était pas correcte.</w:t>
      </w:r>
    </w:p>
    <w:p w14:paraId="6AF2458F" w14:textId="77777777" w:rsidR="000B1866" w:rsidRPr="000B1866" w:rsidRDefault="000B1866" w:rsidP="0091227B">
      <w:pPr>
        <w:pStyle w:val="SingleTxtG"/>
        <w:ind w:firstLine="567"/>
        <w:rPr>
          <w:lang w:val="fr-FR"/>
        </w:rPr>
      </w:pPr>
      <w:r w:rsidRPr="000B1866">
        <w:rPr>
          <w:lang w:val="fr-FR"/>
        </w:rPr>
        <w:t>La première partie de la note de bas de page a été améliorée de façon à mieux décrire la ligne bleue et la ligne rouge concernant RST45.</w:t>
      </w:r>
    </w:p>
    <w:p w14:paraId="6B636599" w14:textId="632593FE" w:rsidR="000B1866" w:rsidRPr="000B1866" w:rsidRDefault="000B1866" w:rsidP="000B1866">
      <w:pPr>
        <w:pStyle w:val="SingleTxtG"/>
        <w:rPr>
          <w:lang w:val="fr-FR"/>
        </w:rPr>
      </w:pPr>
      <w:r w:rsidRPr="000B1866">
        <w:rPr>
          <w:lang w:val="fr-FR"/>
        </w:rPr>
        <w:t>57.</w:t>
      </w:r>
      <w:r w:rsidRPr="000B1866">
        <w:rPr>
          <w:lang w:val="fr-FR"/>
        </w:rPr>
        <w:tab/>
        <w:t>À sa quarante-troisième réunion, le groupe de travail informel EPPR a également confirmé la procédure à suivre lorsque la capacité d</w:t>
      </w:r>
      <w:r w:rsidR="007D3902">
        <w:rPr>
          <w:lang w:val="fr-FR"/>
        </w:rPr>
        <w:t>’</w:t>
      </w:r>
      <w:r w:rsidRPr="000B1866">
        <w:rPr>
          <w:lang w:val="fr-FR"/>
        </w:rPr>
        <w:t>accélération du véhicule n</w:t>
      </w:r>
      <w:r w:rsidR="007D3902">
        <w:rPr>
          <w:lang w:val="fr-FR"/>
        </w:rPr>
        <w:t>’</w:t>
      </w:r>
      <w:r w:rsidRPr="000B1866">
        <w:rPr>
          <w:lang w:val="fr-FR"/>
        </w:rPr>
        <w:t>est pas suffisante pour permettre les phases d</w:t>
      </w:r>
      <w:r w:rsidR="007D3902">
        <w:rPr>
          <w:lang w:val="fr-FR"/>
        </w:rPr>
        <w:t>’</w:t>
      </w:r>
      <w:r w:rsidRPr="000B1866">
        <w:rPr>
          <w:lang w:val="fr-FR"/>
        </w:rPr>
        <w:t>accélération ou lorsque la vitesse maximale par construction du véhicule est inférieure à la vitesse de croisière prescrite. Dans ce cas, il a été confirmé que l</w:t>
      </w:r>
      <w:r w:rsidR="007D3902">
        <w:rPr>
          <w:lang w:val="fr-FR"/>
        </w:rPr>
        <w:t>’</w:t>
      </w:r>
      <w:r w:rsidRPr="000B1866">
        <w:rPr>
          <w:lang w:val="fr-FR"/>
        </w:rPr>
        <w:t>annexe 1 de l</w:t>
      </w:r>
      <w:r w:rsidR="007D3902">
        <w:rPr>
          <w:lang w:val="fr-FR"/>
        </w:rPr>
        <w:t>’</w:t>
      </w:r>
      <w:r w:rsidRPr="000B1866">
        <w:rPr>
          <w:lang w:val="fr-FR"/>
        </w:rPr>
        <w:t xml:space="preserve">amendement 4 au RTM ONU </w:t>
      </w:r>
      <w:r w:rsidR="0091227B" w:rsidRPr="0091227B">
        <w:rPr>
          <w:rFonts w:eastAsia="MS Mincho"/>
          <w:szCs w:val="22"/>
          <w:lang w:val="fr-FR"/>
        </w:rPr>
        <w:t>n</w:t>
      </w:r>
      <w:r w:rsidR="0091227B" w:rsidRPr="0091227B">
        <w:rPr>
          <w:rFonts w:eastAsia="MS Mincho"/>
          <w:szCs w:val="22"/>
          <w:vertAlign w:val="superscript"/>
          <w:lang w:val="fr-FR"/>
        </w:rPr>
        <w:t>o</w:t>
      </w:r>
      <w:r w:rsidR="0091227B">
        <w:rPr>
          <w:lang w:val="fr-FR"/>
        </w:rPr>
        <w:t> </w:t>
      </w:r>
      <w:r w:rsidRPr="000B1866">
        <w:rPr>
          <w:lang w:val="fr-FR"/>
        </w:rPr>
        <w:t xml:space="preserve">2 était fondée sur la procédure définie dans le règlement (UE) </w:t>
      </w:r>
      <w:r w:rsidR="00327E7D" w:rsidRPr="00327E7D">
        <w:rPr>
          <w:rFonts w:eastAsia="MS Mincho"/>
          <w:szCs w:val="22"/>
          <w:lang w:val="fr-FR"/>
        </w:rPr>
        <w:t>n</w:t>
      </w:r>
      <w:r w:rsidR="00327E7D" w:rsidRPr="00327E7D">
        <w:rPr>
          <w:rFonts w:eastAsia="MS Mincho"/>
          <w:szCs w:val="22"/>
          <w:vertAlign w:val="superscript"/>
          <w:lang w:val="fr-FR"/>
        </w:rPr>
        <w:t>o</w:t>
      </w:r>
      <w:r w:rsidR="00327E7D">
        <w:rPr>
          <w:lang w:val="fr-FR"/>
        </w:rPr>
        <w:t> </w:t>
      </w:r>
      <w:r w:rsidRPr="000B1866">
        <w:rPr>
          <w:lang w:val="fr-FR"/>
        </w:rPr>
        <w:t>134/2014 (</w:t>
      </w:r>
      <w:r w:rsidR="0091227B">
        <w:rPr>
          <w:lang w:val="fr-FR"/>
        </w:rPr>
        <w:t>annexe I</w:t>
      </w:r>
      <w:r w:rsidRPr="000B1866">
        <w:rPr>
          <w:lang w:val="fr-FR"/>
        </w:rPr>
        <w:t>I (E</w:t>
      </w:r>
      <w:r w:rsidR="0091227B">
        <w:rPr>
          <w:lang w:val="fr-FR"/>
        </w:rPr>
        <w:t xml:space="preserve">uro </w:t>
      </w:r>
      <w:r w:rsidRPr="000B1866">
        <w:rPr>
          <w:lang w:val="fr-FR"/>
        </w:rPr>
        <w:t>5)).</w:t>
      </w:r>
    </w:p>
    <w:p w14:paraId="5F3D9917" w14:textId="2C9B88D1" w:rsidR="000B1866" w:rsidRPr="000B1866" w:rsidRDefault="000B1866" w:rsidP="000B1866">
      <w:pPr>
        <w:pStyle w:val="SingleTxtG"/>
        <w:rPr>
          <w:lang w:val="fr-FR"/>
        </w:rPr>
      </w:pPr>
      <w:r w:rsidRPr="000B1866">
        <w:rPr>
          <w:lang w:val="fr-FR"/>
        </w:rPr>
        <w:t>58.</w:t>
      </w:r>
      <w:r w:rsidRPr="000B1866">
        <w:rPr>
          <w:lang w:val="fr-FR"/>
        </w:rPr>
        <w:tab/>
        <w:t>À la quarante-quatrième réunion du groupe de travail informel EPPR (avril 2021), le Président a demandé que soit également évaluée une proposition différente qu</w:t>
      </w:r>
      <w:r w:rsidR="007D3902">
        <w:rPr>
          <w:lang w:val="fr-FR"/>
        </w:rPr>
        <w:t>’</w:t>
      </w:r>
      <w:r w:rsidRPr="000B1866">
        <w:rPr>
          <w:lang w:val="fr-FR"/>
        </w:rPr>
        <w:t>il avait soumise :</w:t>
      </w:r>
    </w:p>
    <w:p w14:paraId="5926E098" w14:textId="63EE26E6" w:rsidR="000B1866" w:rsidRPr="000B1866" w:rsidRDefault="000B1866" w:rsidP="0091227B">
      <w:pPr>
        <w:pStyle w:val="SingleTxtG"/>
        <w:ind w:firstLine="567"/>
        <w:rPr>
          <w:lang w:val="fr-FR"/>
        </w:rPr>
      </w:pPr>
      <w:r w:rsidRPr="000B1866">
        <w:rPr>
          <w:lang w:val="fr-FR"/>
        </w:rPr>
        <w:t>S</w:t>
      </w:r>
      <w:r w:rsidR="007D3902">
        <w:rPr>
          <w:lang w:val="fr-FR"/>
        </w:rPr>
        <w:t>’</w:t>
      </w:r>
      <w:r w:rsidRPr="000B1866">
        <w:rPr>
          <w:lang w:val="fr-FR"/>
        </w:rPr>
        <w:t>il s</w:t>
      </w:r>
      <w:r w:rsidR="007D3902">
        <w:rPr>
          <w:lang w:val="fr-FR"/>
        </w:rPr>
        <w:t>’</w:t>
      </w:r>
      <w:r w:rsidRPr="000B1866">
        <w:rPr>
          <w:lang w:val="fr-FR"/>
        </w:rPr>
        <w:t>agit d</w:t>
      </w:r>
      <w:r w:rsidR="007D3902">
        <w:rPr>
          <w:lang w:val="fr-FR"/>
        </w:rPr>
        <w:t>’</w:t>
      </w:r>
      <w:r w:rsidRPr="000B1866">
        <w:rPr>
          <w:lang w:val="fr-FR"/>
        </w:rPr>
        <w:t>un véhicule dont la vitesse maximale par construction est de 50 km/h, il doit être soumis au cycle d</w:t>
      </w:r>
      <w:r w:rsidR="007D3902">
        <w:rPr>
          <w:lang w:val="fr-FR"/>
        </w:rPr>
        <w:t>’</w:t>
      </w:r>
      <w:r w:rsidRPr="000B1866">
        <w:rPr>
          <w:lang w:val="fr-FR"/>
        </w:rPr>
        <w:t>essai WMTC jusqu</w:t>
      </w:r>
      <w:r w:rsidR="007D3902">
        <w:rPr>
          <w:lang w:val="fr-FR"/>
        </w:rPr>
        <w:t>’</w:t>
      </w:r>
      <w:r w:rsidRPr="000B1866">
        <w:rPr>
          <w:lang w:val="fr-FR"/>
        </w:rPr>
        <w:t>à une vitesse maximum de 45</w:t>
      </w:r>
      <w:r w:rsidR="0091227B">
        <w:rPr>
          <w:lang w:val="fr-FR"/>
        </w:rPr>
        <w:t xml:space="preserve"> </w:t>
      </w:r>
      <w:r w:rsidRPr="000B1866">
        <w:rPr>
          <w:lang w:val="fr-FR"/>
        </w:rPr>
        <w:t>km/h. L</w:t>
      </w:r>
      <w:r w:rsidR="007D3902">
        <w:rPr>
          <w:lang w:val="fr-FR"/>
        </w:rPr>
        <w:t>’</w:t>
      </w:r>
      <w:r w:rsidRPr="000B1866">
        <w:rPr>
          <w:lang w:val="fr-FR"/>
        </w:rPr>
        <w:t>EPA a appuyé la proposition du Président et proposé une autre formulation (voir le document EPPR-44</w:t>
      </w:r>
      <w:r w:rsidR="00327E7D">
        <w:rPr>
          <w:lang w:val="fr-FR"/>
        </w:rPr>
        <w:noBreakHyphen/>
      </w:r>
      <w:r w:rsidRPr="000B1866">
        <w:rPr>
          <w:lang w:val="fr-FR"/>
        </w:rPr>
        <w:t>07).</w:t>
      </w:r>
    </w:p>
    <w:p w14:paraId="43830DDF" w14:textId="77777777" w:rsidR="000B1866" w:rsidRPr="000B1866" w:rsidRDefault="000B1866" w:rsidP="000B1866">
      <w:pPr>
        <w:pStyle w:val="SingleTxtG"/>
        <w:rPr>
          <w:lang w:val="fr-FR"/>
        </w:rPr>
      </w:pPr>
      <w:r w:rsidRPr="000B1866">
        <w:rPr>
          <w:lang w:val="fr-FR"/>
        </w:rPr>
        <w:t>59.</w:t>
      </w:r>
      <w:r w:rsidRPr="000B1866">
        <w:rPr>
          <w:lang w:val="fr-FR"/>
        </w:rPr>
        <w:tab/>
        <w:t>Le groupe de travail informel EPPR a été invité à évaluer les options décrites ci-dessus et le document EPPR-44-07 en vue de leur examen le lendemain.</w:t>
      </w:r>
    </w:p>
    <w:p w14:paraId="15B7F802" w14:textId="07B4EE66" w:rsidR="000B1866" w:rsidRPr="000B1866" w:rsidRDefault="000B1866" w:rsidP="0091227B">
      <w:pPr>
        <w:pStyle w:val="SingleTxtG"/>
        <w:ind w:firstLine="567"/>
        <w:rPr>
          <w:lang w:val="fr-FR"/>
        </w:rPr>
      </w:pPr>
      <w:r w:rsidRPr="000B1866">
        <w:rPr>
          <w:lang w:val="fr-FR"/>
        </w:rPr>
        <w:t>Le secrétariat du groupe de travail informel EPPR a rappelé les différentes positions présentées la veille et invité le groupe de travail à préciser non seulement la note mais aussi les éléments permettant de comprendre le cycle d</w:t>
      </w:r>
      <w:r w:rsidR="007D3902">
        <w:rPr>
          <w:lang w:val="fr-FR"/>
        </w:rPr>
        <w:t>’</w:t>
      </w:r>
      <w:r w:rsidRPr="000B1866">
        <w:rPr>
          <w:lang w:val="fr-FR"/>
        </w:rPr>
        <w:t>essai pour la sous-classe 0-2.</w:t>
      </w:r>
    </w:p>
    <w:p w14:paraId="4DB22FF4" w14:textId="521B254E" w:rsidR="000B1866" w:rsidRPr="000B1866" w:rsidRDefault="000B1866" w:rsidP="000B1866">
      <w:pPr>
        <w:pStyle w:val="SingleTxtG"/>
        <w:rPr>
          <w:lang w:val="fr-FR"/>
        </w:rPr>
      </w:pPr>
      <w:r w:rsidRPr="000B1866">
        <w:rPr>
          <w:lang w:val="fr-FR"/>
        </w:rPr>
        <w:t>60.</w:t>
      </w:r>
      <w:r w:rsidRPr="000B1866">
        <w:rPr>
          <w:lang w:val="fr-FR"/>
        </w:rPr>
        <w:tab/>
        <w:t>Le Président a fait observer que pour la courbe de la sous-classe 0-2, la vitesse d</w:t>
      </w:r>
      <w:r w:rsidR="007D3902">
        <w:rPr>
          <w:lang w:val="fr-FR"/>
        </w:rPr>
        <w:t>’</w:t>
      </w:r>
      <w:r w:rsidRPr="000B1866">
        <w:rPr>
          <w:lang w:val="fr-FR"/>
        </w:rPr>
        <w:t>essai maximale définie était de 45 km/h. Il a proposé qu</w:t>
      </w:r>
      <w:r w:rsidR="007D3902">
        <w:rPr>
          <w:lang w:val="fr-FR"/>
        </w:rPr>
        <w:t>’</w:t>
      </w:r>
      <w:r w:rsidRPr="000B1866">
        <w:rPr>
          <w:lang w:val="fr-FR"/>
        </w:rPr>
        <w:t>elle soit portée à 50 km/h et que la vitesse d</w:t>
      </w:r>
      <w:r w:rsidR="007D3902">
        <w:rPr>
          <w:lang w:val="fr-FR"/>
        </w:rPr>
        <w:t>’</w:t>
      </w:r>
      <w:r w:rsidRPr="000B1866">
        <w:rPr>
          <w:lang w:val="fr-FR"/>
        </w:rPr>
        <w:t>essai soit augmentée en conséquence dans le tableau A4.App12/30, comme suit :</w:t>
      </w:r>
    </w:p>
    <w:p w14:paraId="47E68B91" w14:textId="30BC7492" w:rsidR="000B1866" w:rsidRPr="000B1866" w:rsidRDefault="000B1866" w:rsidP="0091227B">
      <w:pPr>
        <w:pStyle w:val="SingleTxtG"/>
        <w:ind w:left="2552" w:hanging="851"/>
        <w:rPr>
          <w:lang w:val="en-US"/>
        </w:rPr>
      </w:pPr>
      <w:r w:rsidRPr="000B1866">
        <w:rPr>
          <w:lang w:val="en-US"/>
        </w:rPr>
        <w:t>199 s</w:t>
      </w:r>
      <w:r w:rsidR="0091227B">
        <w:rPr>
          <w:lang w:val="en-US"/>
        </w:rPr>
        <w:tab/>
      </w:r>
      <w:r w:rsidRPr="000B1866">
        <w:rPr>
          <w:lang w:val="en-US"/>
        </w:rPr>
        <w:t>43,3 km/h</w:t>
      </w:r>
    </w:p>
    <w:p w14:paraId="7285110A" w14:textId="51026F3D" w:rsidR="000B1866" w:rsidRPr="000B1866" w:rsidRDefault="000B1866" w:rsidP="0091227B">
      <w:pPr>
        <w:pStyle w:val="SingleTxtG"/>
        <w:tabs>
          <w:tab w:val="left" w:pos="2552"/>
        </w:tabs>
        <w:ind w:left="2552" w:hanging="851"/>
        <w:rPr>
          <w:lang w:val="en-US"/>
        </w:rPr>
      </w:pPr>
      <w:r w:rsidRPr="000B1866">
        <w:rPr>
          <w:lang w:val="en-US"/>
        </w:rPr>
        <w:t xml:space="preserve">200 s </w:t>
      </w:r>
      <w:r w:rsidRPr="000B1866">
        <w:rPr>
          <w:lang w:val="en-US"/>
        </w:rPr>
        <w:tab/>
        <w:t>45 km/h</w:t>
      </w:r>
    </w:p>
    <w:p w14:paraId="75EBA4E4" w14:textId="657244DC" w:rsidR="000B1866" w:rsidRPr="000B1866" w:rsidRDefault="000B1866" w:rsidP="0091227B">
      <w:pPr>
        <w:pStyle w:val="SingleTxtG"/>
        <w:tabs>
          <w:tab w:val="left" w:pos="2552"/>
        </w:tabs>
        <w:ind w:left="2552" w:hanging="851"/>
        <w:rPr>
          <w:lang w:val="en-US"/>
        </w:rPr>
      </w:pPr>
      <w:r w:rsidRPr="000B1866">
        <w:rPr>
          <w:lang w:val="en-US"/>
        </w:rPr>
        <w:t xml:space="preserve">201 s </w:t>
      </w:r>
      <w:r w:rsidRPr="000B1866">
        <w:rPr>
          <w:lang w:val="en-US"/>
        </w:rPr>
        <w:tab/>
        <w:t>50 km/h</w:t>
      </w:r>
    </w:p>
    <w:p w14:paraId="6C21AD32" w14:textId="10302273" w:rsidR="000B1866" w:rsidRPr="000B1866" w:rsidRDefault="000B1866" w:rsidP="000B1866">
      <w:pPr>
        <w:pStyle w:val="SingleTxtG"/>
        <w:rPr>
          <w:lang w:val="fr-FR"/>
        </w:rPr>
      </w:pPr>
      <w:r w:rsidRPr="000B1866">
        <w:rPr>
          <w:lang w:val="fr-FR"/>
        </w:rPr>
        <w:t>61.</w:t>
      </w:r>
      <w:r w:rsidRPr="000B1866">
        <w:rPr>
          <w:lang w:val="fr-FR"/>
        </w:rPr>
        <w:tab/>
        <w:t>Le Président a toutefois posé la question de savoir s</w:t>
      </w:r>
      <w:r w:rsidR="007D3902">
        <w:rPr>
          <w:lang w:val="fr-FR"/>
        </w:rPr>
        <w:t>’</w:t>
      </w:r>
      <w:r w:rsidRPr="000B1866">
        <w:rPr>
          <w:lang w:val="fr-FR"/>
        </w:rPr>
        <w:t>il était techniquement possible pour ces types de véhicules de produire une accélération de 1,86 m/s^2 (soit presque 2m/s^2) de manière à passer de 45 à 50 km/h en 1 s, en comparaison avec l</w:t>
      </w:r>
      <w:r w:rsidR="007D3902">
        <w:rPr>
          <w:lang w:val="fr-FR"/>
        </w:rPr>
        <w:t>’</w:t>
      </w:r>
      <w:r w:rsidRPr="000B1866">
        <w:rPr>
          <w:lang w:val="fr-FR"/>
        </w:rPr>
        <w:t>accélération de 0,47 m/s2 nécessaire pour passer de 43,3 à 45 km/h, car cette accélération serait alors environ quatre fois plus rapide.</w:t>
      </w:r>
    </w:p>
    <w:p w14:paraId="62FE466E" w14:textId="77777777" w:rsidR="000B1866" w:rsidRPr="000B1866" w:rsidRDefault="000B1866" w:rsidP="000B1866">
      <w:pPr>
        <w:pStyle w:val="SingleTxtG"/>
        <w:rPr>
          <w:lang w:val="fr-FR"/>
        </w:rPr>
      </w:pPr>
      <w:r w:rsidRPr="000B1866">
        <w:rPr>
          <w:lang w:val="fr-FR"/>
        </w:rPr>
        <w:t>62.</w:t>
      </w:r>
      <w:r w:rsidRPr="000B1866">
        <w:rPr>
          <w:lang w:val="fr-FR"/>
        </w:rPr>
        <w:tab/>
        <w:t>MECA</w:t>
      </w:r>
      <w:r w:rsidRPr="000B1866">
        <w:rPr>
          <w:b/>
          <w:bCs/>
          <w:lang w:val="fr-FR"/>
        </w:rPr>
        <w:t xml:space="preserve"> </w:t>
      </w:r>
      <w:r w:rsidRPr="000B1866">
        <w:rPr>
          <w:lang w:val="fr-FR"/>
        </w:rPr>
        <w:t>a proposé que cette vitesse soit augmentée de manière plus progressive, comme suit :</w:t>
      </w:r>
    </w:p>
    <w:p w14:paraId="4FE0E01F" w14:textId="2192DB88" w:rsidR="000B1866" w:rsidRPr="000B1866" w:rsidRDefault="000B1866" w:rsidP="0091227B">
      <w:pPr>
        <w:pStyle w:val="SingleTxtG"/>
        <w:ind w:left="2552" w:hanging="851"/>
        <w:rPr>
          <w:lang w:val="en-US"/>
        </w:rPr>
      </w:pPr>
      <w:r w:rsidRPr="000B1866">
        <w:rPr>
          <w:lang w:val="en-US"/>
        </w:rPr>
        <w:t>199 s</w:t>
      </w:r>
      <w:r w:rsidRPr="000B1866">
        <w:rPr>
          <w:lang w:val="en-US"/>
        </w:rPr>
        <w:tab/>
        <w:t>43,3 km/h</w:t>
      </w:r>
    </w:p>
    <w:p w14:paraId="0102F043" w14:textId="19FCAE4D" w:rsidR="000B1866" w:rsidRPr="000B1866" w:rsidRDefault="000B1866" w:rsidP="0091227B">
      <w:pPr>
        <w:pStyle w:val="SingleTxtG"/>
        <w:ind w:left="2552" w:hanging="851"/>
        <w:rPr>
          <w:lang w:val="en-US"/>
        </w:rPr>
      </w:pPr>
      <w:r w:rsidRPr="000B1866">
        <w:rPr>
          <w:lang w:val="en-US"/>
        </w:rPr>
        <w:t>200 s</w:t>
      </w:r>
      <w:r w:rsidRPr="000B1866">
        <w:rPr>
          <w:lang w:val="en-US"/>
        </w:rPr>
        <w:tab/>
        <w:t>45 km/h</w:t>
      </w:r>
    </w:p>
    <w:p w14:paraId="68C7FC80" w14:textId="0DB774CD" w:rsidR="000B1866" w:rsidRPr="000B1866" w:rsidRDefault="000B1866" w:rsidP="0091227B">
      <w:pPr>
        <w:pStyle w:val="SingleTxtG"/>
        <w:ind w:left="2552" w:hanging="851"/>
        <w:rPr>
          <w:lang w:val="en-US"/>
        </w:rPr>
      </w:pPr>
      <w:r w:rsidRPr="000B1866">
        <w:rPr>
          <w:lang w:val="en-US"/>
        </w:rPr>
        <w:t>201 s</w:t>
      </w:r>
      <w:r w:rsidRPr="000B1866">
        <w:rPr>
          <w:lang w:val="en-US"/>
        </w:rPr>
        <w:tab/>
        <w:t>46 km/h</w:t>
      </w:r>
    </w:p>
    <w:p w14:paraId="5B2EA340" w14:textId="5208921F" w:rsidR="000B1866" w:rsidRPr="000B1866" w:rsidRDefault="000B1866" w:rsidP="0091227B">
      <w:pPr>
        <w:pStyle w:val="SingleTxtG"/>
        <w:ind w:left="2552" w:hanging="851"/>
        <w:rPr>
          <w:lang w:val="en-US"/>
        </w:rPr>
      </w:pPr>
      <w:r w:rsidRPr="000B1866">
        <w:rPr>
          <w:lang w:val="en-US"/>
        </w:rPr>
        <w:t>202 s</w:t>
      </w:r>
      <w:r w:rsidRPr="000B1866">
        <w:rPr>
          <w:lang w:val="en-US"/>
        </w:rPr>
        <w:tab/>
        <w:t>47 km/h</w:t>
      </w:r>
    </w:p>
    <w:p w14:paraId="2739B102" w14:textId="24184EBF" w:rsidR="000B1866" w:rsidRPr="000B1866" w:rsidRDefault="000B1866" w:rsidP="0091227B">
      <w:pPr>
        <w:pStyle w:val="SingleTxtG"/>
        <w:ind w:left="2552" w:hanging="851"/>
        <w:rPr>
          <w:lang w:val="en-US"/>
        </w:rPr>
      </w:pPr>
      <w:r w:rsidRPr="000B1866">
        <w:rPr>
          <w:lang w:val="en-US"/>
        </w:rPr>
        <w:t>203 s</w:t>
      </w:r>
      <w:r w:rsidRPr="000B1866">
        <w:rPr>
          <w:lang w:val="en-US"/>
        </w:rPr>
        <w:tab/>
        <w:t>48 km/h</w:t>
      </w:r>
    </w:p>
    <w:p w14:paraId="6B485CA3" w14:textId="2DDA8B33" w:rsidR="000B1866" w:rsidRPr="00963C74" w:rsidRDefault="000B1866" w:rsidP="0091227B">
      <w:pPr>
        <w:pStyle w:val="SingleTxtG"/>
        <w:ind w:left="2552" w:hanging="851"/>
        <w:rPr>
          <w:lang w:val="en-US"/>
        </w:rPr>
      </w:pPr>
      <w:r w:rsidRPr="00963C74">
        <w:rPr>
          <w:lang w:val="en-US"/>
        </w:rPr>
        <w:t>204 s</w:t>
      </w:r>
      <w:r w:rsidRPr="00963C74">
        <w:rPr>
          <w:lang w:val="en-US"/>
        </w:rPr>
        <w:tab/>
        <w:t>49 km/h</w:t>
      </w:r>
    </w:p>
    <w:p w14:paraId="5216BAEC" w14:textId="44884CB9" w:rsidR="000B1866" w:rsidRPr="000B1866" w:rsidRDefault="000B1866" w:rsidP="0091227B">
      <w:pPr>
        <w:pStyle w:val="SingleTxtG"/>
        <w:ind w:left="2552" w:hanging="851"/>
      </w:pPr>
      <w:r w:rsidRPr="000B1866">
        <w:t>205 s</w:t>
      </w:r>
      <w:r w:rsidRPr="000B1866">
        <w:tab/>
        <w:t>50 km/h</w:t>
      </w:r>
    </w:p>
    <w:p w14:paraId="4D0DC42E" w14:textId="60F44FF4" w:rsidR="000B1866" w:rsidRPr="000B1866" w:rsidRDefault="000B1866" w:rsidP="000B1866">
      <w:pPr>
        <w:pStyle w:val="SingleTxtG"/>
        <w:rPr>
          <w:lang w:val="fr-FR"/>
        </w:rPr>
      </w:pPr>
      <w:r w:rsidRPr="000B1866">
        <w:rPr>
          <w:lang w:val="fr-FR"/>
        </w:rPr>
        <w:t>63.</w:t>
      </w:r>
      <w:r w:rsidRPr="000B1866">
        <w:rPr>
          <w:lang w:val="fr-FR"/>
        </w:rPr>
        <w:tab/>
        <w:t>L</w:t>
      </w:r>
      <w:r w:rsidR="007D3902">
        <w:rPr>
          <w:lang w:val="fr-FR"/>
        </w:rPr>
        <w:t>’</w:t>
      </w:r>
      <w:r w:rsidRPr="000B1866">
        <w:rPr>
          <w:lang w:val="fr-FR"/>
        </w:rPr>
        <w:t>Association for Emissions Control by Catalyst (AECC) a demandé que l</w:t>
      </w:r>
      <w:r w:rsidR="007D3902">
        <w:rPr>
          <w:lang w:val="fr-FR"/>
        </w:rPr>
        <w:t>’</w:t>
      </w:r>
      <w:r w:rsidRPr="000B1866">
        <w:rPr>
          <w:lang w:val="fr-FR"/>
        </w:rPr>
        <w:t>on précise si un changement des cycles du WMTC entraînerait un changement similaire des cycles européens, ce qui nécessiterait des travaux importants.</w:t>
      </w:r>
    </w:p>
    <w:p w14:paraId="242BE763" w14:textId="412A7DE7" w:rsidR="000B1866" w:rsidRPr="000B1866" w:rsidRDefault="000B1866" w:rsidP="000B1866">
      <w:pPr>
        <w:pStyle w:val="SingleTxtG"/>
        <w:rPr>
          <w:lang w:val="fr-FR"/>
        </w:rPr>
      </w:pPr>
      <w:r w:rsidRPr="000B1866">
        <w:rPr>
          <w:lang w:val="fr-FR"/>
        </w:rPr>
        <w:t>64.</w:t>
      </w:r>
      <w:r w:rsidRPr="000B1866">
        <w:rPr>
          <w:lang w:val="fr-FR"/>
        </w:rPr>
        <w:tab/>
        <w:t>Afin d</w:t>
      </w:r>
      <w:r w:rsidR="007D3902">
        <w:rPr>
          <w:lang w:val="fr-FR"/>
        </w:rPr>
        <w:t>’</w:t>
      </w:r>
      <w:r w:rsidRPr="000B1866">
        <w:rPr>
          <w:lang w:val="fr-FR"/>
        </w:rPr>
        <w:t>éviter de modifier les cycles européens, le Président a proposé que la courbe ne soit pas modifiée pour les véhicules dont la vitesse maximale par construction était de 45</w:t>
      </w:r>
      <w:r w:rsidR="0091227B">
        <w:rPr>
          <w:lang w:val="fr-FR"/>
        </w:rPr>
        <w:t> </w:t>
      </w:r>
      <w:r w:rsidRPr="000B1866">
        <w:rPr>
          <w:lang w:val="fr-FR"/>
        </w:rPr>
        <w:t>km/h (comme dans l</w:t>
      </w:r>
      <w:r w:rsidR="007D3902">
        <w:rPr>
          <w:lang w:val="fr-FR"/>
        </w:rPr>
        <w:t>’</w:t>
      </w:r>
      <w:r w:rsidRPr="000B1866">
        <w:rPr>
          <w:lang w:val="fr-FR"/>
        </w:rPr>
        <w:t>UE), mais que cette modification soit faite pour les véhicules dont la vitesse maximale par construction était de 50 km/h (principalement en dehors de l</w:t>
      </w:r>
      <w:r w:rsidR="007D3902">
        <w:rPr>
          <w:lang w:val="fr-FR"/>
        </w:rPr>
        <w:t>’</w:t>
      </w:r>
      <w:r w:rsidRPr="000B1866">
        <w:rPr>
          <w:lang w:val="fr-FR"/>
        </w:rPr>
        <w:t>UE). Il estimait naturellement qu</w:t>
      </w:r>
      <w:r w:rsidR="007D3902">
        <w:rPr>
          <w:lang w:val="fr-FR"/>
        </w:rPr>
        <w:t>’</w:t>
      </w:r>
      <w:r w:rsidRPr="000B1866">
        <w:rPr>
          <w:lang w:val="fr-FR"/>
        </w:rPr>
        <w:t>il était plus facile de ne rien changer.</w:t>
      </w:r>
    </w:p>
    <w:p w14:paraId="4358902A" w14:textId="258825D9" w:rsidR="000B1866" w:rsidRPr="000B1866" w:rsidRDefault="000B1866" w:rsidP="000B1866">
      <w:pPr>
        <w:pStyle w:val="SingleTxtG"/>
        <w:rPr>
          <w:lang w:val="fr-FR"/>
        </w:rPr>
      </w:pPr>
      <w:r w:rsidRPr="000B1866">
        <w:rPr>
          <w:lang w:val="fr-FR"/>
        </w:rPr>
        <w:t>65.</w:t>
      </w:r>
      <w:r w:rsidRPr="000B1866">
        <w:rPr>
          <w:lang w:val="fr-FR"/>
        </w:rPr>
        <w:tab/>
        <w:t>Le Président a ensuite expliqué son idée consistant à porter le plateau de 45 à 50 km/h (voir fig</w:t>
      </w:r>
      <w:r w:rsidR="00327E7D">
        <w:rPr>
          <w:lang w:val="fr-FR"/>
        </w:rPr>
        <w:t>. </w:t>
      </w:r>
      <w:r w:rsidRPr="000B1866">
        <w:rPr>
          <w:lang w:val="fr-FR"/>
        </w:rPr>
        <w:t>A4.App12/5).</w:t>
      </w:r>
    </w:p>
    <w:p w14:paraId="379F74DF" w14:textId="048BD227" w:rsidR="000B1866" w:rsidRPr="000B1866" w:rsidRDefault="000B1866" w:rsidP="000B1866">
      <w:pPr>
        <w:pStyle w:val="SingleTxtG"/>
        <w:rPr>
          <w:lang w:val="fr-FR"/>
        </w:rPr>
      </w:pPr>
      <w:r w:rsidRPr="000B1866">
        <w:rPr>
          <w:lang w:val="fr-FR"/>
        </w:rPr>
        <w:t>66.</w:t>
      </w:r>
      <w:r w:rsidRPr="000B1866">
        <w:rPr>
          <w:lang w:val="fr-FR"/>
        </w:rPr>
        <w:tab/>
        <w:t>La Chine a présenté à nouveau sa précédente proposition figurant dans le document EPPR-43-03-rev</w:t>
      </w:r>
      <w:r w:rsidR="0008446C">
        <w:rPr>
          <w:lang w:val="fr-FR"/>
        </w:rPr>
        <w:t>.</w:t>
      </w:r>
      <w:r w:rsidRPr="000B1866">
        <w:rPr>
          <w:lang w:val="fr-FR"/>
        </w:rPr>
        <w:t>1, dans laquelle elle demandait :</w:t>
      </w:r>
    </w:p>
    <w:p w14:paraId="7B537223" w14:textId="5637504E" w:rsidR="000B1866" w:rsidRPr="000B1866" w:rsidRDefault="000B1866" w:rsidP="0008446C">
      <w:pPr>
        <w:pStyle w:val="SingleTxtG"/>
        <w:ind w:firstLine="567"/>
        <w:rPr>
          <w:lang w:val="fr-FR"/>
        </w:rPr>
      </w:pPr>
      <w:r w:rsidRPr="000B1866">
        <w:rPr>
          <w:lang w:val="fr-FR"/>
        </w:rPr>
        <w:t>a)</w:t>
      </w:r>
      <w:r w:rsidRPr="000B1866">
        <w:rPr>
          <w:lang w:val="fr-FR"/>
        </w:rPr>
        <w:tab/>
        <w:t>Que la description du WMTC pour la sous-classe 0-2 soit modifiée, notamment en subdivisant la description de l</w:t>
      </w:r>
      <w:r w:rsidR="007D3902">
        <w:rPr>
          <w:lang w:val="fr-FR"/>
        </w:rPr>
        <w:t>’</w:t>
      </w:r>
      <w:r w:rsidRPr="000B1866">
        <w:rPr>
          <w:lang w:val="fr-FR"/>
        </w:rPr>
        <w:t>essai pour cette sous-classe en deux cas :</w:t>
      </w:r>
    </w:p>
    <w:p w14:paraId="4B4EB4D5" w14:textId="4E2E4B12" w:rsidR="000B1866" w:rsidRPr="000B1866" w:rsidRDefault="000B1866" w:rsidP="0008446C">
      <w:pPr>
        <w:pStyle w:val="SingleTxtG"/>
        <w:ind w:left="1701"/>
        <w:rPr>
          <w:lang w:val="fr-FR"/>
        </w:rPr>
      </w:pPr>
      <w:r w:rsidRPr="000B1866">
        <w:rPr>
          <w:lang w:val="fr-FR"/>
        </w:rPr>
        <w:t>Le premier cas concernant les véhicules « ordinaires » de la sous-classe 0-2, dont la vitesse maximale par construction est de 50 km/h. La Chine a proposé que soit appliqué dans ce cas le même cycle d</w:t>
      </w:r>
      <w:r w:rsidR="007D3902">
        <w:rPr>
          <w:lang w:val="fr-FR"/>
        </w:rPr>
        <w:t>’</w:t>
      </w:r>
      <w:r w:rsidRPr="000B1866">
        <w:rPr>
          <w:lang w:val="fr-FR"/>
        </w:rPr>
        <w:t>essai que celui prévu pour la catégorie 1 ;</w:t>
      </w:r>
    </w:p>
    <w:p w14:paraId="257C1CA2" w14:textId="1F176D8F" w:rsidR="000B1866" w:rsidRPr="000B1866" w:rsidRDefault="000B1866" w:rsidP="0008446C">
      <w:pPr>
        <w:pStyle w:val="SingleTxtG"/>
        <w:ind w:left="1701"/>
        <w:rPr>
          <w:lang w:val="fr-FR"/>
        </w:rPr>
      </w:pPr>
      <w:r w:rsidRPr="000B1866">
        <w:rPr>
          <w:lang w:val="fr-FR"/>
        </w:rPr>
        <w:t>Le second cas concernant les véhicules « européens » de la sous-classe 0-2 dont la vitesse maximale par construction est de 45 km/h. La Chine a proposé qu</w:t>
      </w:r>
      <w:r w:rsidR="007D3902">
        <w:rPr>
          <w:lang w:val="fr-FR"/>
        </w:rPr>
        <w:t>’</w:t>
      </w:r>
      <w:r w:rsidRPr="000B1866">
        <w:rPr>
          <w:lang w:val="fr-FR"/>
        </w:rPr>
        <w:t>aucune modification ne soit apportée à l</w:t>
      </w:r>
      <w:r w:rsidR="007D3902">
        <w:rPr>
          <w:lang w:val="fr-FR"/>
        </w:rPr>
        <w:t>’</w:t>
      </w:r>
      <w:r w:rsidRPr="000B1866">
        <w:rPr>
          <w:lang w:val="fr-FR"/>
        </w:rPr>
        <w:t>essai dans ce cas, et donc que la vitesse d</w:t>
      </w:r>
      <w:r w:rsidR="007D3902">
        <w:rPr>
          <w:lang w:val="fr-FR"/>
        </w:rPr>
        <w:t>’</w:t>
      </w:r>
      <w:r w:rsidRPr="000B1866">
        <w:rPr>
          <w:lang w:val="fr-FR"/>
        </w:rPr>
        <w:t>essai soit limitée à 45 km/h. Ce cas était mentionné dans le tableau A1/1 ;</w:t>
      </w:r>
    </w:p>
    <w:p w14:paraId="256330BF" w14:textId="77777777" w:rsidR="000B1866" w:rsidRPr="000B1866" w:rsidRDefault="000B1866" w:rsidP="00327E7D">
      <w:pPr>
        <w:pStyle w:val="SingleTxtG"/>
        <w:ind w:left="2268" w:hanging="567"/>
        <w:rPr>
          <w:lang w:val="fr-FR"/>
        </w:rPr>
      </w:pPr>
      <w:r w:rsidRPr="000B1866">
        <w:rPr>
          <w:lang w:val="fr-FR"/>
        </w:rPr>
        <w:t>b)</w:t>
      </w:r>
      <w:r w:rsidRPr="000B1866">
        <w:rPr>
          <w:lang w:val="fr-FR"/>
        </w:rPr>
        <w:tab/>
        <w:t>Que la note soit précisée.</w:t>
      </w:r>
    </w:p>
    <w:p w14:paraId="6951C435" w14:textId="18E0D659" w:rsidR="000B1866" w:rsidRPr="000B1866" w:rsidRDefault="000B1866" w:rsidP="000B1866">
      <w:pPr>
        <w:pStyle w:val="SingleTxtG"/>
        <w:rPr>
          <w:lang w:val="fr-FR"/>
        </w:rPr>
      </w:pPr>
      <w:r w:rsidRPr="000B1866">
        <w:rPr>
          <w:lang w:val="fr-FR"/>
        </w:rPr>
        <w:t>67.</w:t>
      </w:r>
      <w:r w:rsidRPr="000B1866">
        <w:rPr>
          <w:lang w:val="fr-FR"/>
        </w:rPr>
        <w:tab/>
        <w:t>Le Président s</w:t>
      </w:r>
      <w:r w:rsidR="007D3902">
        <w:rPr>
          <w:lang w:val="fr-FR"/>
        </w:rPr>
        <w:t>’</w:t>
      </w:r>
      <w:r w:rsidRPr="000B1866">
        <w:rPr>
          <w:lang w:val="fr-FR"/>
        </w:rPr>
        <w:t>est dit préoccupé du fait que la modification de la courbe nécessiterait des changements importants dans le texte du RTM ONU, mais cette inquiétude s</w:t>
      </w:r>
      <w:r w:rsidR="007D3902">
        <w:rPr>
          <w:lang w:val="fr-FR"/>
        </w:rPr>
        <w:t>’</w:t>
      </w:r>
      <w:r w:rsidRPr="000B1866">
        <w:rPr>
          <w:lang w:val="fr-FR"/>
        </w:rPr>
        <w:t>est dissipée après un débat à ce sujet.</w:t>
      </w:r>
    </w:p>
    <w:p w14:paraId="00E127A2" w14:textId="68D2C902" w:rsidR="000B1866" w:rsidRPr="000B1866" w:rsidRDefault="000B1866" w:rsidP="000B1866">
      <w:pPr>
        <w:pStyle w:val="SingleTxtG"/>
        <w:rPr>
          <w:lang w:val="fr-FR"/>
        </w:rPr>
      </w:pPr>
      <w:r w:rsidRPr="000B1866">
        <w:rPr>
          <w:lang w:val="fr-FR"/>
        </w:rPr>
        <w:t>68.</w:t>
      </w:r>
      <w:r w:rsidRPr="000B1866">
        <w:rPr>
          <w:lang w:val="fr-FR"/>
        </w:rPr>
        <w:tab/>
        <w:t>Après des échanges approfondis entre le Président et la Chine, l</w:t>
      </w:r>
      <w:r w:rsidR="007D3902">
        <w:rPr>
          <w:lang w:val="fr-FR"/>
        </w:rPr>
        <w:t>’</w:t>
      </w:r>
      <w:r w:rsidRPr="000B1866">
        <w:rPr>
          <w:lang w:val="fr-FR"/>
        </w:rPr>
        <w:t>accord ci-après a été trouvé par le groupe de travail informel EPPR.</w:t>
      </w:r>
    </w:p>
    <w:p w14:paraId="58BA276D" w14:textId="2C2B0454" w:rsidR="000B1866" w:rsidRPr="000B1866" w:rsidRDefault="000B1866" w:rsidP="000B1866">
      <w:pPr>
        <w:pStyle w:val="SingleTxtG"/>
        <w:rPr>
          <w:lang w:val="fr-FR"/>
        </w:rPr>
      </w:pPr>
      <w:r w:rsidRPr="000B1866">
        <w:rPr>
          <w:lang w:val="fr-FR"/>
        </w:rPr>
        <w:t>69.</w:t>
      </w:r>
      <w:r w:rsidRPr="000B1866">
        <w:rPr>
          <w:lang w:val="fr-FR"/>
        </w:rPr>
        <w:tab/>
        <w:t>La proposition de la Chine figurant dans le document EPPR-43-03-rev.1 a été acceptée moyennant l</w:t>
      </w:r>
      <w:r w:rsidR="007D3902">
        <w:rPr>
          <w:lang w:val="fr-FR"/>
        </w:rPr>
        <w:t>’</w:t>
      </w:r>
      <w:r w:rsidRPr="000B1866">
        <w:rPr>
          <w:lang w:val="fr-FR"/>
        </w:rPr>
        <w:t>ajout d</w:t>
      </w:r>
      <w:r w:rsidR="007D3902">
        <w:rPr>
          <w:lang w:val="fr-FR"/>
        </w:rPr>
        <w:t>’</w:t>
      </w:r>
      <w:r w:rsidRPr="000B1866">
        <w:rPr>
          <w:lang w:val="fr-FR"/>
        </w:rPr>
        <w:t>une phrase explicative, comme indiqué dans le tableau A1/1.</w:t>
      </w:r>
    </w:p>
    <w:p w14:paraId="78875590" w14:textId="77777777" w:rsidR="000B1866" w:rsidRPr="000B1866" w:rsidRDefault="000B1866" w:rsidP="000B1866">
      <w:pPr>
        <w:pStyle w:val="SingleTxtG"/>
        <w:rPr>
          <w:lang w:val="fr-FR"/>
        </w:rPr>
      </w:pPr>
      <w:r w:rsidRPr="000B1866">
        <w:rPr>
          <w:lang w:val="fr-FR"/>
        </w:rPr>
        <w:t>70.</w:t>
      </w:r>
      <w:r w:rsidRPr="000B1866">
        <w:rPr>
          <w:lang w:val="fr-FR"/>
        </w:rPr>
        <w:tab/>
        <w:t>Il a été décidé de supprimer la dernière partie de la note des figures A4.App12/5 et A4.App12/6.</w:t>
      </w:r>
    </w:p>
    <w:p w14:paraId="7AEA803A" w14:textId="77777777" w:rsidR="000B1866" w:rsidRPr="000B1866" w:rsidRDefault="000B1866" w:rsidP="00327E7D">
      <w:pPr>
        <w:pStyle w:val="H1G"/>
        <w:rPr>
          <w:lang w:val="fr-FR"/>
        </w:rPr>
      </w:pPr>
      <w:r w:rsidRPr="000B1866">
        <w:rPr>
          <w:lang w:val="fr-FR"/>
        </w:rPr>
        <w:tab/>
        <w:t>D.</w:t>
      </w:r>
      <w:r w:rsidRPr="000B1866">
        <w:rPr>
          <w:lang w:val="fr-FR"/>
        </w:rPr>
        <w:tab/>
        <w:t>Normes</w:t>
      </w:r>
    </w:p>
    <w:p w14:paraId="11462849" w14:textId="77777777" w:rsidR="000B1866" w:rsidRPr="000B1866" w:rsidRDefault="000B1866" w:rsidP="00327E7D">
      <w:pPr>
        <w:pStyle w:val="H23G"/>
        <w:rPr>
          <w:lang w:val="fr-FR"/>
        </w:rPr>
      </w:pPr>
      <w:r w:rsidRPr="000B1866">
        <w:rPr>
          <w:lang w:val="fr-FR"/>
        </w:rPr>
        <w:tab/>
        <w:t>1.</w:t>
      </w:r>
      <w:r w:rsidRPr="000B1866">
        <w:rPr>
          <w:lang w:val="fr-FR"/>
        </w:rPr>
        <w:tab/>
        <w:t>Normes chinoises</w:t>
      </w:r>
    </w:p>
    <w:p w14:paraId="4B842BB2" w14:textId="48411717" w:rsidR="000B1866" w:rsidRPr="00F54C37" w:rsidRDefault="000B1866" w:rsidP="000B1866">
      <w:pPr>
        <w:pStyle w:val="SingleTxtG"/>
        <w:rPr>
          <w:lang w:val="fr-FR"/>
        </w:rPr>
      </w:pPr>
      <w:r w:rsidRPr="000B1866">
        <w:rPr>
          <w:lang w:val="fr-FR"/>
        </w:rPr>
        <w:t>71.</w:t>
      </w:r>
      <w:r w:rsidRPr="000B1866">
        <w:rPr>
          <w:lang w:val="fr-FR"/>
        </w:rPr>
        <w:tab/>
        <w:t xml:space="preserve">À la quarantième réunion du groupe de travail informel EPPR (décembre 2020), la Chine a demandé que ses normes figurent </w:t>
      </w:r>
      <w:r w:rsidRPr="00F54C37">
        <w:rPr>
          <w:lang w:val="fr-FR"/>
        </w:rPr>
        <w:t>dans la liste des normes examinées lors de l</w:t>
      </w:r>
      <w:r w:rsidR="007D3902" w:rsidRPr="00F54C37">
        <w:rPr>
          <w:lang w:val="fr-FR"/>
        </w:rPr>
        <w:t>’</w:t>
      </w:r>
      <w:r w:rsidRPr="00F54C37">
        <w:rPr>
          <w:lang w:val="fr-FR"/>
        </w:rPr>
        <w:t>élaboration des RTM ONU, en particulier du RTM n</w:t>
      </w:r>
      <w:r w:rsidRPr="00F54C37">
        <w:rPr>
          <w:vertAlign w:val="superscript"/>
          <w:lang w:val="fr-FR"/>
        </w:rPr>
        <w:t>o</w:t>
      </w:r>
      <w:r w:rsidRPr="00F54C37">
        <w:rPr>
          <w:lang w:val="fr-FR"/>
        </w:rPr>
        <w:t> 2, sans qu</w:t>
      </w:r>
      <w:r w:rsidR="007D3902" w:rsidRPr="00F54C37">
        <w:rPr>
          <w:lang w:val="fr-FR"/>
        </w:rPr>
        <w:t>’</w:t>
      </w:r>
      <w:r w:rsidRPr="00F54C37">
        <w:rPr>
          <w:lang w:val="fr-FR"/>
        </w:rPr>
        <w:t>il soit nécessaire de rouvrir un débat technique à ce sujet (voir le document EPPR-40-05).</w:t>
      </w:r>
    </w:p>
    <w:p w14:paraId="05AB7B1E" w14:textId="76FB2069" w:rsidR="000B1866" w:rsidRDefault="000B1866" w:rsidP="000B1866">
      <w:pPr>
        <w:pStyle w:val="SingleTxtG"/>
        <w:rPr>
          <w:bCs/>
          <w:lang w:val="fr-FR"/>
        </w:rPr>
      </w:pPr>
      <w:r w:rsidRPr="00F54C37">
        <w:rPr>
          <w:bCs/>
          <w:lang w:val="fr-FR"/>
        </w:rPr>
        <w:t>72.</w:t>
      </w:r>
      <w:r w:rsidRPr="00F54C37">
        <w:rPr>
          <w:bCs/>
          <w:lang w:val="fr-FR"/>
        </w:rPr>
        <w:tab/>
        <w:t xml:space="preserve">Le Président du groupe de travail informel EPPR ayant apporté des éclaircissements et le groupe de travail ayant donné son accord, les normes chinoises ont été ajoutées dans la première partie (concernant la justification) du RTM </w:t>
      </w:r>
      <w:r w:rsidR="00327E7D" w:rsidRPr="00F54C37">
        <w:rPr>
          <w:rFonts w:eastAsia="MS Mincho"/>
          <w:szCs w:val="22"/>
          <w:lang w:val="fr-FR"/>
        </w:rPr>
        <w:t>n</w:t>
      </w:r>
      <w:r w:rsidR="00327E7D" w:rsidRPr="00F54C37">
        <w:rPr>
          <w:rFonts w:eastAsia="MS Mincho"/>
          <w:szCs w:val="22"/>
          <w:vertAlign w:val="superscript"/>
          <w:lang w:val="fr-FR"/>
        </w:rPr>
        <w:t>o</w:t>
      </w:r>
      <w:r w:rsidR="00327E7D" w:rsidRPr="00F54C37">
        <w:rPr>
          <w:lang w:val="fr-FR"/>
        </w:rPr>
        <w:t> </w:t>
      </w:r>
      <w:r w:rsidRPr="00F54C37">
        <w:rPr>
          <w:bCs/>
          <w:lang w:val="fr-FR"/>
        </w:rPr>
        <w:t>2 et</w:t>
      </w:r>
      <w:r w:rsidRPr="000B1866">
        <w:rPr>
          <w:bCs/>
          <w:lang w:val="fr-FR"/>
        </w:rPr>
        <w:t xml:space="preserve"> dans la section C.1 du présent</w:t>
      </w:r>
      <w:r w:rsidRPr="000B1866">
        <w:rPr>
          <w:b/>
          <w:bCs/>
          <w:lang w:val="fr-FR"/>
        </w:rPr>
        <w:t xml:space="preserve"> </w:t>
      </w:r>
      <w:r w:rsidRPr="000B1866">
        <w:rPr>
          <w:bCs/>
          <w:lang w:val="fr-FR"/>
        </w:rPr>
        <w:t>rapport technique.</w:t>
      </w:r>
    </w:p>
    <w:p w14:paraId="1B176424" w14:textId="1DCED314" w:rsidR="00327E7D" w:rsidRPr="00327E7D" w:rsidRDefault="00327E7D" w:rsidP="00327E7D">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27E7D" w:rsidRPr="00327E7D" w:rsidSect="00F8579C">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1C07" w14:textId="77777777" w:rsidR="000E78B4" w:rsidRDefault="000E78B4" w:rsidP="00F95C08">
      <w:pPr>
        <w:spacing w:line="240" w:lineRule="auto"/>
      </w:pPr>
    </w:p>
  </w:endnote>
  <w:endnote w:type="continuationSeparator" w:id="0">
    <w:p w14:paraId="131CFBD5" w14:textId="77777777" w:rsidR="000E78B4" w:rsidRPr="00AC3823" w:rsidRDefault="000E78B4" w:rsidP="00AC3823">
      <w:pPr>
        <w:pStyle w:val="Pieddepage"/>
      </w:pPr>
    </w:p>
  </w:endnote>
  <w:endnote w:type="continuationNotice" w:id="1">
    <w:p w14:paraId="478229BD" w14:textId="77777777" w:rsidR="000E78B4" w:rsidRDefault="000E78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E540" w14:textId="523CDF10" w:rsidR="00F8579C" w:rsidRPr="00F8579C" w:rsidRDefault="00F8579C" w:rsidP="00F8579C">
    <w:pPr>
      <w:pStyle w:val="Pieddepage"/>
      <w:tabs>
        <w:tab w:val="right" w:pos="9638"/>
      </w:tabs>
    </w:pPr>
    <w:r w:rsidRPr="00F8579C">
      <w:rPr>
        <w:b/>
        <w:sz w:val="18"/>
      </w:rPr>
      <w:fldChar w:fldCharType="begin"/>
    </w:r>
    <w:r w:rsidRPr="00F8579C">
      <w:rPr>
        <w:b/>
        <w:sz w:val="18"/>
      </w:rPr>
      <w:instrText xml:space="preserve"> PAGE  \* MERGEFORMAT </w:instrText>
    </w:r>
    <w:r w:rsidRPr="00F8579C">
      <w:rPr>
        <w:b/>
        <w:sz w:val="18"/>
      </w:rPr>
      <w:fldChar w:fldCharType="separate"/>
    </w:r>
    <w:r w:rsidRPr="00F8579C">
      <w:rPr>
        <w:b/>
        <w:noProof/>
        <w:sz w:val="18"/>
      </w:rPr>
      <w:t>2</w:t>
    </w:r>
    <w:r w:rsidRPr="00F8579C">
      <w:rPr>
        <w:b/>
        <w:sz w:val="18"/>
      </w:rPr>
      <w:fldChar w:fldCharType="end"/>
    </w:r>
    <w:r>
      <w:rPr>
        <w:b/>
        <w:sz w:val="18"/>
      </w:rPr>
      <w:tab/>
    </w:r>
    <w:r>
      <w:t>GE.22-05212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EE0" w14:textId="029875C1" w:rsidR="00F8579C" w:rsidRPr="00F8579C" w:rsidRDefault="00F8579C" w:rsidP="00F8579C">
    <w:pPr>
      <w:pStyle w:val="Pieddepage"/>
      <w:tabs>
        <w:tab w:val="right" w:pos="9638"/>
      </w:tabs>
      <w:rPr>
        <w:b/>
        <w:sz w:val="18"/>
      </w:rPr>
    </w:pPr>
    <w:r>
      <w:t>GE.22-05212</w:t>
    </w:r>
    <w:r>
      <w:tab/>
    </w:r>
    <w:r w:rsidRPr="00F8579C">
      <w:rPr>
        <w:b/>
        <w:sz w:val="18"/>
      </w:rPr>
      <w:fldChar w:fldCharType="begin"/>
    </w:r>
    <w:r w:rsidRPr="00F8579C">
      <w:rPr>
        <w:b/>
        <w:sz w:val="18"/>
      </w:rPr>
      <w:instrText xml:space="preserve"> PAGE  \* MERGEFORMAT </w:instrText>
    </w:r>
    <w:r w:rsidRPr="00F8579C">
      <w:rPr>
        <w:b/>
        <w:sz w:val="18"/>
      </w:rPr>
      <w:fldChar w:fldCharType="separate"/>
    </w:r>
    <w:r w:rsidRPr="00F8579C">
      <w:rPr>
        <w:b/>
        <w:noProof/>
        <w:sz w:val="18"/>
      </w:rPr>
      <w:t>3</w:t>
    </w:r>
    <w:r w:rsidRPr="00F857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25DF" w14:textId="2569DA6E" w:rsidR="007F20FA" w:rsidRPr="00F8579C" w:rsidRDefault="00F8579C" w:rsidP="00F8579C">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37468B8" wp14:editId="5310A9F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22-05212  (F)</w:t>
    </w:r>
    <w:r>
      <w:rPr>
        <w:noProof/>
        <w:sz w:val="20"/>
      </w:rPr>
      <w:drawing>
        <wp:anchor distT="0" distB="0" distL="114300" distR="114300" simplePos="0" relativeHeight="251660288" behindDoc="0" locked="0" layoutInCell="1" allowOverlap="1" wp14:anchorId="43B1E80F" wp14:editId="3809D57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w:t>
    </w:r>
    <w:r w:rsidR="00327E7D">
      <w:rPr>
        <w:sz w:val="20"/>
      </w:rPr>
      <w:t>0</w:t>
    </w:r>
    <w:r w:rsidR="00963C74">
      <w:rPr>
        <w:sz w:val="20"/>
      </w:rPr>
      <w:t>9</w:t>
    </w:r>
    <w:r w:rsidR="00327E7D">
      <w:rPr>
        <w:sz w:val="20"/>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7264" w14:textId="77777777" w:rsidR="000E78B4" w:rsidRPr="00AC3823" w:rsidRDefault="000E78B4" w:rsidP="00AC3823">
      <w:pPr>
        <w:pStyle w:val="Pieddepage"/>
        <w:tabs>
          <w:tab w:val="right" w:pos="2155"/>
        </w:tabs>
        <w:spacing w:after="80" w:line="240" w:lineRule="atLeast"/>
        <w:ind w:left="680"/>
        <w:rPr>
          <w:u w:val="single"/>
        </w:rPr>
      </w:pPr>
      <w:r>
        <w:rPr>
          <w:u w:val="single"/>
        </w:rPr>
        <w:tab/>
      </w:r>
    </w:p>
  </w:footnote>
  <w:footnote w:type="continuationSeparator" w:id="0">
    <w:p w14:paraId="53165AF1" w14:textId="77777777" w:rsidR="000E78B4" w:rsidRPr="00AC3823" w:rsidRDefault="000E78B4" w:rsidP="00AC3823">
      <w:pPr>
        <w:pStyle w:val="Pieddepage"/>
        <w:tabs>
          <w:tab w:val="right" w:pos="2155"/>
        </w:tabs>
        <w:spacing w:after="80" w:line="240" w:lineRule="atLeast"/>
        <w:ind w:left="680"/>
        <w:rPr>
          <w:u w:val="single"/>
        </w:rPr>
      </w:pPr>
      <w:r>
        <w:rPr>
          <w:u w:val="single"/>
        </w:rPr>
        <w:tab/>
      </w:r>
    </w:p>
  </w:footnote>
  <w:footnote w:type="continuationNotice" w:id="1">
    <w:p w14:paraId="264B9372" w14:textId="77777777" w:rsidR="000E78B4" w:rsidRPr="00AC3823" w:rsidRDefault="000E78B4">
      <w:pPr>
        <w:spacing w:line="240" w:lineRule="auto"/>
        <w:rPr>
          <w:sz w:val="2"/>
          <w:szCs w:val="2"/>
        </w:rPr>
      </w:pPr>
    </w:p>
  </w:footnote>
  <w:footnote w:id="2">
    <w:p w14:paraId="32C03674" w14:textId="77777777" w:rsidR="00F8579C" w:rsidRPr="00300E08" w:rsidRDefault="00F8579C" w:rsidP="00F8579C">
      <w:pPr>
        <w:pStyle w:val="Notedebasdepage"/>
        <w:rPr>
          <w:lang w:val="fr-FR"/>
        </w:rPr>
      </w:pPr>
      <w:r>
        <w:rPr>
          <w:lang w:val="fr-FR"/>
        </w:rPr>
        <w:tab/>
      </w:r>
      <w:r w:rsidRPr="00C64995">
        <w:rPr>
          <w:sz w:val="20"/>
          <w:lang w:val="fr-FR"/>
        </w:rPr>
        <w:t>*</w:t>
      </w:r>
      <w:r>
        <w:rPr>
          <w:lang w:val="fr-FR"/>
        </w:rPr>
        <w:tab/>
        <w:t>Conformément au programme de travail du Comité des transports intérieurs pour 2022 tel qu’il figure dans le projet de budget-programme pour 2022 (A/76/6 (Sect.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D003" w14:textId="234BF543" w:rsidR="00F8579C" w:rsidRPr="00F8579C" w:rsidRDefault="001C5D84">
    <w:pPr>
      <w:pStyle w:val="En-tte"/>
    </w:pPr>
    <w:r>
      <w:fldChar w:fldCharType="begin"/>
    </w:r>
    <w:r>
      <w:instrText xml:space="preserve"> TITLE  \* MERGEFORMAT </w:instrText>
    </w:r>
    <w:r>
      <w:fldChar w:fldCharType="separate"/>
    </w:r>
    <w:r w:rsidR="00AF3FE4">
      <w:t>ECE/TRANS/WP.29/2022/109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22E4" w14:textId="6AD58901" w:rsidR="00F8579C" w:rsidRPr="00F8579C" w:rsidRDefault="001C5D84" w:rsidP="00F8579C">
    <w:pPr>
      <w:pStyle w:val="En-tte"/>
      <w:jc w:val="right"/>
    </w:pPr>
    <w:r>
      <w:fldChar w:fldCharType="begin"/>
    </w:r>
    <w:r>
      <w:instrText xml:space="preserve"> TITLE  \* MERGEFORMAT </w:instrText>
    </w:r>
    <w:r>
      <w:fldChar w:fldCharType="separate"/>
    </w:r>
    <w:r w:rsidR="00AF3FE4">
      <w:t>ECE/TRANS/WP.29/2022/109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7F717EC"/>
    <w:multiLevelType w:val="multilevel"/>
    <w:tmpl w:val="91E47E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ansinterligne"/>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B4"/>
    <w:rsid w:val="00003928"/>
    <w:rsid w:val="00017F94"/>
    <w:rsid w:val="00023842"/>
    <w:rsid w:val="000316F2"/>
    <w:rsid w:val="000334F9"/>
    <w:rsid w:val="00045FEB"/>
    <w:rsid w:val="0007796D"/>
    <w:rsid w:val="0008446C"/>
    <w:rsid w:val="00085B9D"/>
    <w:rsid w:val="000B1866"/>
    <w:rsid w:val="000B7790"/>
    <w:rsid w:val="000E78B4"/>
    <w:rsid w:val="000F0D82"/>
    <w:rsid w:val="00111F2F"/>
    <w:rsid w:val="00122A92"/>
    <w:rsid w:val="0014365E"/>
    <w:rsid w:val="00143C66"/>
    <w:rsid w:val="00176178"/>
    <w:rsid w:val="001C5D84"/>
    <w:rsid w:val="001F525A"/>
    <w:rsid w:val="00201148"/>
    <w:rsid w:val="00223272"/>
    <w:rsid w:val="0024779E"/>
    <w:rsid w:val="00257168"/>
    <w:rsid w:val="002744B8"/>
    <w:rsid w:val="002832AC"/>
    <w:rsid w:val="002C19BD"/>
    <w:rsid w:val="002D7C93"/>
    <w:rsid w:val="00305801"/>
    <w:rsid w:val="00327E7D"/>
    <w:rsid w:val="003916DE"/>
    <w:rsid w:val="003F2FF8"/>
    <w:rsid w:val="00421996"/>
    <w:rsid w:val="00441C3B"/>
    <w:rsid w:val="00446FE5"/>
    <w:rsid w:val="00452396"/>
    <w:rsid w:val="00477EB2"/>
    <w:rsid w:val="004837D8"/>
    <w:rsid w:val="004E2EED"/>
    <w:rsid w:val="004E468C"/>
    <w:rsid w:val="005505B7"/>
    <w:rsid w:val="00570DC0"/>
    <w:rsid w:val="00573BE5"/>
    <w:rsid w:val="00586ED3"/>
    <w:rsid w:val="00596AA9"/>
    <w:rsid w:val="005B38BE"/>
    <w:rsid w:val="005D5F87"/>
    <w:rsid w:val="00673D3D"/>
    <w:rsid w:val="006A2A95"/>
    <w:rsid w:val="006D5DA0"/>
    <w:rsid w:val="0070184B"/>
    <w:rsid w:val="0071601D"/>
    <w:rsid w:val="007A62E6"/>
    <w:rsid w:val="007D3902"/>
    <w:rsid w:val="007F20FA"/>
    <w:rsid w:val="0080684C"/>
    <w:rsid w:val="00871C75"/>
    <w:rsid w:val="008776DC"/>
    <w:rsid w:val="00896C6F"/>
    <w:rsid w:val="008D5EF9"/>
    <w:rsid w:val="0091227B"/>
    <w:rsid w:val="009446C0"/>
    <w:rsid w:val="00963C74"/>
    <w:rsid w:val="009705C8"/>
    <w:rsid w:val="00974C56"/>
    <w:rsid w:val="009C1CF4"/>
    <w:rsid w:val="009D0736"/>
    <w:rsid w:val="009F6B74"/>
    <w:rsid w:val="00A3029F"/>
    <w:rsid w:val="00A30353"/>
    <w:rsid w:val="00AC3823"/>
    <w:rsid w:val="00AE323C"/>
    <w:rsid w:val="00AF0CB5"/>
    <w:rsid w:val="00AF3FE4"/>
    <w:rsid w:val="00B00181"/>
    <w:rsid w:val="00B00B0D"/>
    <w:rsid w:val="00B45F2E"/>
    <w:rsid w:val="00B765F7"/>
    <w:rsid w:val="00B77993"/>
    <w:rsid w:val="00BA0CA9"/>
    <w:rsid w:val="00BD1791"/>
    <w:rsid w:val="00C02897"/>
    <w:rsid w:val="00C234E9"/>
    <w:rsid w:val="00C64995"/>
    <w:rsid w:val="00C909CA"/>
    <w:rsid w:val="00C97039"/>
    <w:rsid w:val="00CB3C23"/>
    <w:rsid w:val="00D3439C"/>
    <w:rsid w:val="00D7622E"/>
    <w:rsid w:val="00DB1831"/>
    <w:rsid w:val="00DD3BFD"/>
    <w:rsid w:val="00DF6678"/>
    <w:rsid w:val="00E0299A"/>
    <w:rsid w:val="00E85C74"/>
    <w:rsid w:val="00E860AC"/>
    <w:rsid w:val="00EA6547"/>
    <w:rsid w:val="00EB51BD"/>
    <w:rsid w:val="00ED7237"/>
    <w:rsid w:val="00EF2E22"/>
    <w:rsid w:val="00F35BAF"/>
    <w:rsid w:val="00F5167E"/>
    <w:rsid w:val="00F54C37"/>
    <w:rsid w:val="00F660DF"/>
    <w:rsid w:val="00F8579C"/>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E1899"/>
  <w15:docId w15:val="{493B2A7D-9B20-417E-8944-38C373CF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F8579C"/>
    <w:rPr>
      <w:rFonts w:ascii="Times New Roman" w:eastAsiaTheme="minorHAnsi" w:hAnsi="Times New Roman" w:cs="Times New Roman"/>
      <w:b/>
      <w:sz w:val="28"/>
      <w:szCs w:val="20"/>
      <w:lang w:eastAsia="en-US"/>
    </w:rPr>
  </w:style>
  <w:style w:type="paragraph" w:styleId="Sansinterligne">
    <w:name w:val="No Spacing"/>
    <w:basedOn w:val="Normal"/>
    <w:uiPriority w:val="1"/>
    <w:rsid w:val="005B38BE"/>
    <w:pPr>
      <w:numPr>
        <w:ilvl w:val="2"/>
        <w:numId w:val="17"/>
      </w:numPr>
      <w:suppressAutoHyphens w:val="0"/>
      <w:kinsoku/>
      <w:overflowPunct/>
      <w:autoSpaceDE/>
      <w:autoSpaceDN/>
      <w:adjustRightInd/>
      <w:snapToGrid/>
      <w:spacing w:before="120" w:after="120" w:line="240" w:lineRule="auto"/>
    </w:pPr>
    <w:rPr>
      <w:rFonts w:eastAsia="MS Mincho"/>
      <w:color w:val="000000"/>
      <w:lang w:val="en-GB" w:eastAsia="ja-JP"/>
    </w:rPr>
  </w:style>
  <w:style w:type="paragraph" w:customStyle="1" w:styleId="bullettIII">
    <w:name w:val="bullett III"/>
    <w:basedOn w:val="Normal"/>
    <w:rsid w:val="005B38BE"/>
    <w:pPr>
      <w:suppressAutoHyphens w:val="0"/>
      <w:kinsoku/>
      <w:overflowPunct/>
      <w:autoSpaceDE/>
      <w:autoSpaceDN/>
      <w:adjustRightInd/>
      <w:snapToGrid/>
      <w:spacing w:line="240" w:lineRule="auto"/>
      <w:ind w:left="1134" w:hanging="425"/>
    </w:pPr>
    <w:rPr>
      <w:rFonts w:eastAsia="MS Mincho"/>
      <w:color w:val="000000"/>
      <w:lang w:val="en-GB" w:eastAsia="ja-JP"/>
    </w:rPr>
  </w:style>
  <w:style w:type="paragraph" w:styleId="Paragraphedeliste">
    <w:name w:val="List Paragraph"/>
    <w:basedOn w:val="Normal"/>
    <w:uiPriority w:val="34"/>
    <w:rsid w:val="009D0736"/>
    <w:pPr>
      <w:suppressAutoHyphens w:val="0"/>
      <w:kinsoku/>
      <w:overflowPunct/>
      <w:autoSpaceDE/>
      <w:autoSpaceDN/>
      <w:adjustRightInd/>
      <w:snapToGrid/>
      <w:spacing w:line="240" w:lineRule="auto"/>
      <w:ind w:left="720"/>
      <w:contextualSpacing/>
    </w:pPr>
    <w:rPr>
      <w:rFonts w:eastAsia="Times New Roman"/>
      <w:sz w:val="24"/>
      <w:szCs w:val="24"/>
      <w:lang w:val="en-GB"/>
    </w:rPr>
  </w:style>
  <w:style w:type="paragraph" w:styleId="NormalWeb">
    <w:name w:val="Normal (Web)"/>
    <w:basedOn w:val="Normal"/>
    <w:link w:val="NormalWebCar"/>
    <w:uiPriority w:val="99"/>
    <w:unhideWhenUsed/>
    <w:rsid w:val="00003928"/>
    <w:pPr>
      <w:suppressAutoHyphens w:val="0"/>
      <w:kinsoku/>
      <w:overflowPunct/>
      <w:autoSpaceDE/>
      <w:autoSpaceDN/>
      <w:adjustRightInd/>
      <w:snapToGrid/>
      <w:spacing w:line="240" w:lineRule="auto"/>
    </w:pPr>
    <w:rPr>
      <w:rFonts w:eastAsia="Yu Mincho"/>
      <w:bCs/>
      <w:sz w:val="24"/>
      <w:szCs w:val="24"/>
      <w:lang w:val="en-GB"/>
    </w:rPr>
  </w:style>
  <w:style w:type="character" w:customStyle="1" w:styleId="NormalWebCar">
    <w:name w:val="Normal (Web) Car"/>
    <w:link w:val="NormalWeb"/>
    <w:uiPriority w:val="99"/>
    <w:rsid w:val="00003928"/>
    <w:rPr>
      <w:rFonts w:ascii="Times New Roman" w:eastAsia="Yu Mincho" w:hAnsi="Times New Roman" w:cs="Times New Roman"/>
      <w:bCs/>
      <w:sz w:val="24"/>
      <w:szCs w:val="24"/>
      <w:lang w:val="en-GB" w:eastAsia="en-US"/>
    </w:rPr>
  </w:style>
  <w:style w:type="character" w:styleId="Mentionnonrsolue">
    <w:name w:val="Unresolved Mention"/>
    <w:basedOn w:val="Policepardfaut"/>
    <w:uiPriority w:val="99"/>
    <w:semiHidden/>
    <w:unhideWhenUsed/>
    <w:rsid w:val="00E8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76E14B2-A5B1-4E3F-BEBC-01A800D43557}">
  <ds:schemaRefs>
    <ds:schemaRef ds:uri="http://schemas.openxmlformats.org/officeDocument/2006/bibliography"/>
  </ds:schemaRefs>
</ds:datastoreItem>
</file>

<file path=customXml/itemProps2.xml><?xml version="1.0" encoding="utf-8"?>
<ds:datastoreItem xmlns:ds="http://schemas.openxmlformats.org/officeDocument/2006/customXml" ds:itemID="{E44C56F2-BA05-49D8-8EA0-D9A4D68955DD}"/>
</file>

<file path=customXml/itemProps3.xml><?xml version="1.0" encoding="utf-8"?>
<ds:datastoreItem xmlns:ds="http://schemas.openxmlformats.org/officeDocument/2006/customXml" ds:itemID="{6E13452F-927D-4CA9-BBFB-0B5FEEF51973}"/>
</file>

<file path=customXml/itemProps4.xml><?xml version="1.0" encoding="utf-8"?>
<ds:datastoreItem xmlns:ds="http://schemas.openxmlformats.org/officeDocument/2006/customXml" ds:itemID="{FDB9C7BD-6E7A-4D12-AC23-B3053A2D50CD}"/>
</file>

<file path=docProps/app.xml><?xml version="1.0" encoding="utf-8"?>
<Properties xmlns="http://schemas.openxmlformats.org/officeDocument/2006/extended-properties" xmlns:vt="http://schemas.openxmlformats.org/officeDocument/2006/docPropsVTypes">
  <Template>ECE_TRANS.dotm</Template>
  <TotalTime>5</TotalTime>
  <Pages>15</Pages>
  <Words>6226</Words>
  <Characters>35494</Characters>
  <Application>Microsoft Office Word</Application>
  <DocSecurity>0</DocSecurity>
  <Lines>295</Lines>
  <Paragraphs>83</Paragraphs>
  <ScaleCrop>false</ScaleCrop>
  <HeadingPairs>
    <vt:vector size="4" baseType="variant">
      <vt:variant>
        <vt:lpstr>Titre</vt:lpstr>
      </vt:variant>
      <vt:variant>
        <vt:i4>1</vt:i4>
      </vt:variant>
      <vt:variant>
        <vt:lpstr>Titres</vt:lpstr>
      </vt:variant>
      <vt:variant>
        <vt:i4>18</vt:i4>
      </vt:variant>
    </vt:vector>
  </HeadingPairs>
  <TitlesOfParts>
    <vt:vector size="19" baseType="lpstr">
      <vt:lpstr>ECE/TRANS/WP.29/2022/109</vt:lpstr>
      <vt:lpstr>    Proposition de rapport technique sur l’élaboration de l’amendement 5 au RTM ON</vt:lpstr>
      <vt:lpstr>        Communication du Groupe de travail de la pollution et de l’énergie*</vt:lpstr>
      <vt:lpstr>    Rapport technique sur l’élaboration de l’amendement 5  au RTM ONU no 2 (méthod</vt:lpstr>
      <vt:lpstr>    I.	Mandat</vt:lpstr>
      <vt:lpstr>    II.	Objectifs</vt:lpstr>
      <vt:lpstr>    III.	Argumentation et justification techniques</vt:lpstr>
      <vt:lpstr>        A.	Introduction</vt:lpstr>
      <vt:lpstr>        B.	Historique</vt:lpstr>
      <vt:lpstr>        C.	Règlements et normes internationales volontaires cités en référence</vt:lpstr>
      <vt:lpstr>    IV.	Élaboration de l’amendement 5</vt:lpstr>
      <vt:lpstr>        A.	Corrections générales</vt:lpstr>
      <vt:lpstr>        B.	Harmonisation avec la procédure WLTP</vt:lpstr>
      <vt:lpstr>Figure A1/7</vt:lpstr>
      <vt:lpstr>Diagramme de décision relatif au nombre d’essais du type I à réaliser</vt:lpstr>
      <vt:lpstr>Figure A1/7</vt:lpstr>
      <vt:lpstr>Diagramme de décision relatif au nombre d’essais du type I à réaliser</vt:lpstr>
      <vt:lpstr>        C.	Corrections techniques</vt:lpstr>
      <vt:lpstr>        D.	Normes</vt:lpstr>
    </vt:vector>
  </TitlesOfParts>
  <Company>DCM</Company>
  <LinksUpToDate>false</LinksUpToDate>
  <CharactersWithSpaces>41637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ECE/TRANS/WP.29/2022/109</dc:title>
  <dc:subject/>
  <dc:creator>Corinne ROBERT</dc:creator>
  <cp:keywords/>
  <cp:lastModifiedBy>Corinne Robert</cp:lastModifiedBy>
  <cp:revision>3</cp:revision>
  <cp:lastPrinted>2022-05-09T06:02:00Z</cp:lastPrinted>
  <dcterms:created xsi:type="dcterms:W3CDTF">2022-05-09T06:02:00Z</dcterms:created>
  <dcterms:modified xsi:type="dcterms:W3CDTF">2022-05-09T06:10:00Z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