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03A233C8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E392A8D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2221C9E" w14:textId="77777777" w:rsidR="001433FD" w:rsidRPr="00DB58B5" w:rsidRDefault="001433FD" w:rsidP="008D2A43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1B0B87B" w14:textId="46CD3574" w:rsidR="001433FD" w:rsidRPr="003911F8" w:rsidRDefault="003911F8" w:rsidP="003911F8">
            <w:pPr>
              <w:jc w:val="right"/>
            </w:pPr>
            <w:r w:rsidRPr="003911F8">
              <w:rPr>
                <w:sz w:val="40"/>
              </w:rPr>
              <w:t>ECE</w:t>
            </w:r>
            <w:r>
              <w:t>/TRANS/WP.15/AC.2/2022/44</w:t>
            </w:r>
          </w:p>
        </w:tc>
      </w:tr>
      <w:tr w:rsidR="001433FD" w:rsidRPr="00DB58B5" w14:paraId="2F7DC4F5" w14:textId="77777777" w:rsidTr="008D2A43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0A9451E" w14:textId="77777777" w:rsidR="001433FD" w:rsidRPr="00DB58B5" w:rsidRDefault="001433FD" w:rsidP="008D2A43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40D6628" wp14:editId="0114C93A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CD51FB" w14:textId="77777777" w:rsidR="001433FD" w:rsidRPr="00740562" w:rsidRDefault="001433FD" w:rsidP="008D2A43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7CF1254" w14:textId="77777777" w:rsidR="0001207F" w:rsidRDefault="00CC3F2B" w:rsidP="00CC3F2B">
            <w:pPr>
              <w:spacing w:before="240" w:line="240" w:lineRule="exact"/>
            </w:pPr>
            <w:r>
              <w:t>Distr. générale</w:t>
            </w:r>
          </w:p>
          <w:p w14:paraId="5DFF078A" w14:textId="1ABE72E5" w:rsidR="00CC3F2B" w:rsidRDefault="000763E9" w:rsidP="00CC3F2B">
            <w:pPr>
              <w:spacing w:line="240" w:lineRule="exact"/>
            </w:pPr>
            <w:r>
              <w:t>9</w:t>
            </w:r>
            <w:r w:rsidR="00CC3F2B">
              <w:t xml:space="preserve"> </w:t>
            </w:r>
            <w:r w:rsidR="007D675D">
              <w:t>juin</w:t>
            </w:r>
            <w:r w:rsidR="00CC3F2B">
              <w:t xml:space="preserve"> 2022</w:t>
            </w:r>
          </w:p>
          <w:p w14:paraId="1BD1300C" w14:textId="77777777" w:rsidR="00CC3F2B" w:rsidRDefault="00CC3F2B" w:rsidP="00CC3F2B">
            <w:pPr>
              <w:spacing w:line="240" w:lineRule="exact"/>
            </w:pPr>
          </w:p>
          <w:p w14:paraId="432CF9F3" w14:textId="5DAD00D4" w:rsidR="00CC3F2B" w:rsidRPr="00DB58B5" w:rsidRDefault="00CC3F2B" w:rsidP="00CC3F2B">
            <w:pPr>
              <w:spacing w:line="240" w:lineRule="exact"/>
            </w:pPr>
            <w:r>
              <w:t xml:space="preserve">Original : </w:t>
            </w:r>
            <w:r w:rsidR="00AC3E70">
              <w:t xml:space="preserve">anglais et </w:t>
            </w:r>
            <w:r>
              <w:t>français</w:t>
            </w:r>
          </w:p>
        </w:tc>
      </w:tr>
    </w:tbl>
    <w:p w14:paraId="06F9B124" w14:textId="4E7B05EF" w:rsidR="00564657" w:rsidRDefault="00564657" w:rsidP="00CC3F2B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0EABF58" w14:textId="77777777" w:rsidR="00CC3F2B" w:rsidRDefault="00CC3F2B" w:rsidP="00CC3F2B">
      <w:pPr>
        <w:spacing w:before="120"/>
        <w:rPr>
          <w:b/>
          <w:sz w:val="24"/>
          <w:szCs w:val="24"/>
        </w:rPr>
      </w:pPr>
      <w:r w:rsidRPr="00685843">
        <w:rPr>
          <w:sz w:val="28"/>
          <w:szCs w:val="28"/>
        </w:rPr>
        <w:t>Comité des transports intérieurs</w:t>
      </w:r>
      <w:r w:rsidRPr="00673C2A">
        <w:rPr>
          <w:b/>
          <w:sz w:val="24"/>
          <w:szCs w:val="24"/>
        </w:rPr>
        <w:t xml:space="preserve"> </w:t>
      </w:r>
    </w:p>
    <w:p w14:paraId="28BB6F82" w14:textId="77777777" w:rsidR="00CC3F2B" w:rsidRPr="00B128F0" w:rsidRDefault="00CC3F2B" w:rsidP="00CC3F2B">
      <w:pPr>
        <w:spacing w:before="120"/>
        <w:rPr>
          <w:b/>
          <w:sz w:val="24"/>
          <w:szCs w:val="24"/>
        </w:rPr>
      </w:pPr>
      <w:r w:rsidRPr="00B128F0">
        <w:rPr>
          <w:b/>
          <w:sz w:val="24"/>
          <w:szCs w:val="24"/>
        </w:rPr>
        <w:t>Groupe de travail des transports de marchandises dangereuses</w:t>
      </w:r>
    </w:p>
    <w:p w14:paraId="39B18E37" w14:textId="77777777" w:rsidR="00CC3F2B" w:rsidRDefault="00CC3F2B" w:rsidP="00CC3F2B">
      <w:pPr>
        <w:spacing w:before="120"/>
        <w:rPr>
          <w:b/>
        </w:rPr>
      </w:pPr>
      <w:r w:rsidRPr="009550EF">
        <w:rPr>
          <w:b/>
        </w:rPr>
        <w:t>Réunion commune d</w:t>
      </w:r>
      <w:r>
        <w:rPr>
          <w:b/>
        </w:rPr>
        <w:t>’</w:t>
      </w:r>
      <w:r w:rsidRPr="009550EF">
        <w:rPr>
          <w:b/>
        </w:rPr>
        <w:t>experts du Règlement annexé à</w:t>
      </w:r>
      <w:r w:rsidRPr="00565882">
        <w:rPr>
          <w:b/>
        </w:rPr>
        <w:t xml:space="preserve"> </w:t>
      </w:r>
      <w:r w:rsidRPr="009550EF">
        <w:rPr>
          <w:b/>
        </w:rPr>
        <w:t>l</w:t>
      </w:r>
      <w:r>
        <w:rPr>
          <w:b/>
        </w:rPr>
        <w:t>’</w:t>
      </w:r>
      <w:r w:rsidRPr="009550EF">
        <w:rPr>
          <w:b/>
        </w:rPr>
        <w:t>Accord</w:t>
      </w:r>
      <w:bookmarkStart w:id="0" w:name="_Hlk57122394"/>
      <w:r>
        <w:rPr>
          <w:b/>
        </w:rPr>
        <w:t xml:space="preserve"> </w:t>
      </w:r>
      <w:r w:rsidRPr="009550EF">
        <w:rPr>
          <w:b/>
        </w:rPr>
        <w:br/>
      </w:r>
      <w:bookmarkEnd w:id="0"/>
      <w:r w:rsidRPr="009550EF">
        <w:rPr>
          <w:b/>
        </w:rPr>
        <w:t>européen relatif au transport international des marchandises</w:t>
      </w:r>
      <w:r>
        <w:rPr>
          <w:b/>
        </w:rPr>
        <w:t xml:space="preserve"> </w:t>
      </w:r>
      <w:r w:rsidRPr="009550EF">
        <w:rPr>
          <w:b/>
        </w:rPr>
        <w:br/>
        <w:t xml:space="preserve">dangereuses par voies de navigation intérieures (ADN) </w:t>
      </w:r>
      <w:r w:rsidRPr="009550EF">
        <w:rPr>
          <w:b/>
        </w:rPr>
        <w:br/>
        <w:t>(Comité de sécurité de l</w:t>
      </w:r>
      <w:r>
        <w:rPr>
          <w:b/>
        </w:rPr>
        <w:t>’</w:t>
      </w:r>
      <w:r w:rsidRPr="009550EF">
        <w:rPr>
          <w:b/>
        </w:rPr>
        <w:t>ADN)</w:t>
      </w:r>
    </w:p>
    <w:p w14:paraId="6BA9B276" w14:textId="77777777" w:rsidR="00CC3F2B" w:rsidRPr="003D48C7" w:rsidRDefault="00CC3F2B" w:rsidP="00CC3F2B">
      <w:pPr>
        <w:spacing w:before="120"/>
        <w:rPr>
          <w:b/>
        </w:rPr>
      </w:pPr>
      <w:r>
        <w:rPr>
          <w:b/>
        </w:rPr>
        <w:t xml:space="preserve">Quarantième </w:t>
      </w:r>
      <w:r w:rsidRPr="00484AB5">
        <w:rPr>
          <w:b/>
        </w:rPr>
        <w:t>session</w:t>
      </w:r>
    </w:p>
    <w:p w14:paraId="68305AF1" w14:textId="77777777" w:rsidR="00CC3F2B" w:rsidRPr="003D48C7" w:rsidRDefault="00CC3F2B" w:rsidP="00CC3F2B">
      <w:r w:rsidRPr="003D48C7">
        <w:t>Genève, 2</w:t>
      </w:r>
      <w:r>
        <w:t>2-</w:t>
      </w:r>
      <w:r w:rsidRPr="003D48C7">
        <w:t>2</w:t>
      </w:r>
      <w:r>
        <w:t>6</w:t>
      </w:r>
      <w:r w:rsidRPr="003D48C7">
        <w:t xml:space="preserve"> </w:t>
      </w:r>
      <w:r w:rsidRPr="000D70F9">
        <w:t>août</w:t>
      </w:r>
      <w:r w:rsidRPr="003D48C7">
        <w:t xml:space="preserve"> 202</w:t>
      </w:r>
      <w:r>
        <w:t>2</w:t>
      </w:r>
    </w:p>
    <w:p w14:paraId="221DB5FB" w14:textId="00EA7AAA" w:rsidR="00CC3F2B" w:rsidRDefault="00CC3F2B" w:rsidP="00CC3F2B">
      <w:r w:rsidRPr="00501791">
        <w:t xml:space="preserve">Point </w:t>
      </w:r>
      <w:r>
        <w:t xml:space="preserve">4 </w:t>
      </w:r>
      <w:r w:rsidR="00431FF2">
        <w:t>a</w:t>
      </w:r>
      <w:r>
        <w:t>)</w:t>
      </w:r>
      <w:r w:rsidRPr="00501791">
        <w:t xml:space="preserve"> de l’ordre du jour provisoire</w:t>
      </w:r>
    </w:p>
    <w:p w14:paraId="68DB1D45" w14:textId="00B11750" w:rsidR="00CC3F2B" w:rsidRPr="000F37A8" w:rsidRDefault="00CC3F2B" w:rsidP="00CC3F2B">
      <w:pPr>
        <w:rPr>
          <w:b/>
          <w:lang w:val="fr-FR"/>
        </w:rPr>
      </w:pPr>
      <w:r w:rsidRPr="000F37A8">
        <w:rPr>
          <w:b/>
          <w:lang w:val="fr-FR"/>
        </w:rPr>
        <w:t>Propositions d’amendements au Règlement annexé à l’ADN :</w:t>
      </w:r>
    </w:p>
    <w:p w14:paraId="38FEDE06" w14:textId="3E707040" w:rsidR="00CC3F2B" w:rsidRPr="00D10349" w:rsidRDefault="00431FF2" w:rsidP="00CC3F2B">
      <w:pPr>
        <w:rPr>
          <w:b/>
          <w:lang w:val="en-GB"/>
        </w:rPr>
      </w:pPr>
      <w:r w:rsidRPr="00D10349">
        <w:rPr>
          <w:b/>
          <w:bCs/>
          <w:lang w:val="en-GB"/>
        </w:rPr>
        <w:t>work of the RID/ADR/ADN Joint Meeting</w:t>
      </w:r>
    </w:p>
    <w:p w14:paraId="081EBD71" w14:textId="3AD5218B" w:rsidR="00CC15C9" w:rsidRPr="00EA0C87" w:rsidRDefault="00CC15C9" w:rsidP="00CC15C9">
      <w:pPr>
        <w:pStyle w:val="HChG"/>
      </w:pPr>
      <w:r w:rsidRPr="00A207DD">
        <w:rPr>
          <w:lang w:val="en-GB"/>
        </w:rPr>
        <w:tab/>
      </w:r>
      <w:r w:rsidRPr="00A207DD">
        <w:rPr>
          <w:lang w:val="en-GB"/>
        </w:rPr>
        <w:tab/>
      </w:r>
      <w:r>
        <w:rPr>
          <w:lang w:val="fr-FR"/>
        </w:rPr>
        <w:t xml:space="preserve">Accord européen relatif au transport </w:t>
      </w:r>
      <w:r w:rsidRPr="002B61F2">
        <w:t>international</w:t>
      </w:r>
      <w:r>
        <w:rPr>
          <w:lang w:val="fr-FR"/>
        </w:rPr>
        <w:t xml:space="preserve"> des marchandises dangereuses par voies de navigation intérieures </w:t>
      </w:r>
      <w:r w:rsidRPr="00502CA8">
        <w:t>(ADN)</w:t>
      </w:r>
    </w:p>
    <w:p w14:paraId="78291F88" w14:textId="1E5640D0" w:rsidR="00CC3F2B" w:rsidRPr="00600EEC" w:rsidRDefault="00CC15C9" w:rsidP="00CC15C9">
      <w:pPr>
        <w:pStyle w:val="HChG"/>
        <w:rPr>
          <w:lang w:val="fr-FR"/>
        </w:rPr>
      </w:pPr>
      <w:r w:rsidRPr="00EA0C87">
        <w:tab/>
      </w:r>
      <w:r w:rsidRPr="00EA0C87">
        <w:tab/>
      </w:r>
      <w:r>
        <w:rPr>
          <w:lang w:val="fr-FR"/>
        </w:rPr>
        <w:t xml:space="preserve">Projet </w:t>
      </w:r>
      <w:r>
        <w:t>d'amendements</w:t>
      </w:r>
      <w:r>
        <w:rPr>
          <w:lang w:val="fr-FR"/>
        </w:rPr>
        <w:t xml:space="preserve"> au </w:t>
      </w:r>
      <w:r w:rsidRPr="002B61F2">
        <w:t>Règlement</w:t>
      </w:r>
      <w:r>
        <w:rPr>
          <w:lang w:val="fr-FR"/>
        </w:rPr>
        <w:t xml:space="preserve"> annexé à l'ADN</w:t>
      </w:r>
    </w:p>
    <w:p w14:paraId="5CABA0B6" w14:textId="376D6519" w:rsidR="00CC3F2B" w:rsidRPr="00600EEC" w:rsidRDefault="00CC3F2B" w:rsidP="00CC3F2B">
      <w:pPr>
        <w:pStyle w:val="H1G"/>
        <w:rPr>
          <w:lang w:val="fr-FR"/>
        </w:rPr>
      </w:pPr>
      <w:r w:rsidRPr="00600EEC">
        <w:rPr>
          <w:lang w:val="fr-FR"/>
        </w:rPr>
        <w:tab/>
      </w:r>
      <w:r w:rsidRPr="00600EEC">
        <w:rPr>
          <w:lang w:val="fr-FR"/>
        </w:rPr>
        <w:tab/>
      </w:r>
      <w:r w:rsidR="00162F13" w:rsidRPr="00502CA8">
        <w:t xml:space="preserve">Note </w:t>
      </w:r>
      <w:r w:rsidR="00162F13">
        <w:t>du</w:t>
      </w:r>
      <w:r w:rsidR="00162F13" w:rsidRPr="00502CA8">
        <w:t xml:space="preserve"> secrétariat</w:t>
      </w:r>
      <w:r w:rsidRPr="00600EEC">
        <w:rPr>
          <w:rFonts w:eastAsia="Calibri"/>
          <w:lang w:val="fr-FR"/>
        </w:rPr>
        <w:footnoteReference w:customMarkFollows="1" w:id="2"/>
        <w:t>*</w:t>
      </w:r>
      <w:r w:rsidRPr="00600EEC">
        <w:rPr>
          <w:rFonts w:eastAsia="Calibri"/>
          <w:vertAlign w:val="superscript"/>
          <w:lang w:val="fr-FR"/>
        </w:rPr>
        <w:t xml:space="preserve">, </w:t>
      </w:r>
      <w:r w:rsidRPr="00600EEC">
        <w:rPr>
          <w:rFonts w:eastAsia="Calibri"/>
          <w:lang w:val="fr-FR"/>
        </w:rPr>
        <w:footnoteReference w:customMarkFollows="1" w:id="3"/>
        <w:t>**</w:t>
      </w:r>
    </w:p>
    <w:p w14:paraId="3F414D25" w14:textId="77777777" w:rsidR="00CC3F2B" w:rsidRPr="00600EEC" w:rsidRDefault="00CC3F2B" w:rsidP="00CC3F2B">
      <w:pPr>
        <w:pStyle w:val="HChG"/>
        <w:rPr>
          <w:lang w:val="fr-FR"/>
        </w:rPr>
      </w:pPr>
      <w:r w:rsidRPr="00600EEC">
        <w:rPr>
          <w:lang w:val="fr-FR"/>
        </w:rPr>
        <w:tab/>
      </w:r>
      <w:r w:rsidRPr="00600EEC">
        <w:rPr>
          <w:lang w:val="fr-FR"/>
        </w:rPr>
        <w:tab/>
        <w:t>Introduction</w:t>
      </w:r>
    </w:p>
    <w:p w14:paraId="5882F795" w14:textId="6C31A845" w:rsidR="00334630" w:rsidRPr="0041433B" w:rsidRDefault="00334630" w:rsidP="00334630">
      <w:pPr>
        <w:pStyle w:val="SingleTxtG"/>
      </w:pPr>
      <w:r w:rsidRPr="0041433B">
        <w:t>1.</w:t>
      </w:r>
      <w:r w:rsidRPr="0041433B">
        <w:tab/>
      </w:r>
      <w:r>
        <w:t xml:space="preserve">Le Comité de sécurité souhaitera peut-être examiner les travaux réalisés par la Réunion commune RID/ADR/ADN à sa session de printemps 2022 </w:t>
      </w:r>
      <w:r w:rsidRPr="0041433B">
        <w:t>(ECE/TR</w:t>
      </w:r>
      <w:r>
        <w:t>ANS/WP.15/AC.1/1</w:t>
      </w:r>
      <w:r w:rsidR="00DA79F0">
        <w:t>64</w:t>
      </w:r>
      <w:r>
        <w:t>).</w:t>
      </w:r>
    </w:p>
    <w:p w14:paraId="3360F7E1" w14:textId="5A9B1934" w:rsidR="00334630" w:rsidRPr="000B1105" w:rsidRDefault="00334630" w:rsidP="00334630">
      <w:pPr>
        <w:pStyle w:val="SingleTxtG"/>
      </w:pPr>
      <w:r w:rsidRPr="000B1105">
        <w:t>2.</w:t>
      </w:r>
      <w:r w:rsidRPr="000B1105">
        <w:tab/>
        <w:t xml:space="preserve">À sa </w:t>
      </w:r>
      <w:r w:rsidR="00DA79F0">
        <w:t>111</w:t>
      </w:r>
      <w:r>
        <w:t>e</w:t>
      </w:r>
      <w:r>
        <w:rPr>
          <w:lang w:val="fr-FR"/>
        </w:rPr>
        <w:t xml:space="preserve"> session en mai 20</w:t>
      </w:r>
      <w:r w:rsidR="00DA79F0">
        <w:rPr>
          <w:lang w:val="fr-FR"/>
        </w:rPr>
        <w:t>22</w:t>
      </w:r>
      <w:r>
        <w:rPr>
          <w:lang w:val="fr-FR"/>
        </w:rPr>
        <w:t>, le Groupe de travail des transports de marchandises dangereuses (WP.15) a adopté</w:t>
      </w:r>
      <w:r>
        <w:t xml:space="preserve"> </w:t>
      </w:r>
      <w:r>
        <w:rPr>
          <w:lang w:val="fr-FR"/>
        </w:rPr>
        <w:t xml:space="preserve">une liste supplémentaire d'amendements à l'ADR </w:t>
      </w:r>
      <w:r>
        <w:t>dont l’entrée en vigueur est prévue le 1er janvier 20</w:t>
      </w:r>
      <w:r w:rsidR="00DA79F0">
        <w:t>23</w:t>
      </w:r>
      <w:r>
        <w:t xml:space="preserve"> </w:t>
      </w:r>
      <w:r w:rsidRPr="004D630E">
        <w:t>(ECE/TRANS/WP.15/</w:t>
      </w:r>
      <w:r>
        <w:t>2</w:t>
      </w:r>
      <w:r w:rsidR="00D466F5">
        <w:t>56</w:t>
      </w:r>
      <w:r w:rsidRPr="004D630E">
        <w:t>/Add.1)</w:t>
      </w:r>
      <w:r>
        <w:t>.</w:t>
      </w:r>
    </w:p>
    <w:p w14:paraId="2A124A08" w14:textId="77777777" w:rsidR="00334630" w:rsidRPr="000B1105" w:rsidRDefault="00334630" w:rsidP="00334630">
      <w:pPr>
        <w:pStyle w:val="SingleTxtG"/>
      </w:pPr>
      <w:r w:rsidRPr="004D630E">
        <w:t>3.</w:t>
      </w:r>
      <w:r w:rsidRPr="004D630E">
        <w:tab/>
      </w:r>
      <w:r>
        <w:rPr>
          <w:bCs/>
          <w:lang w:val="fr-FR"/>
        </w:rPr>
        <w:t>Le présent document contient les amendements qui sont aussi pertinents pour l'ADN.</w:t>
      </w:r>
    </w:p>
    <w:p w14:paraId="305DE928" w14:textId="790B5165" w:rsidR="00E216AD" w:rsidRPr="00E216AD" w:rsidRDefault="00E216AD" w:rsidP="007F02B5">
      <w:pPr>
        <w:pStyle w:val="HChG"/>
        <w:pageBreakBefore/>
        <w:tabs>
          <w:tab w:val="left" w:pos="1134"/>
          <w:tab w:val="left" w:pos="1701"/>
          <w:tab w:val="left" w:pos="2268"/>
          <w:tab w:val="right" w:pos="8504"/>
        </w:tabs>
        <w:rPr>
          <w:sz w:val="24"/>
          <w:szCs w:val="24"/>
          <w:lang w:val="fr-FR"/>
        </w:rPr>
      </w:pPr>
      <w:r w:rsidRPr="00E216AD">
        <w:rPr>
          <w:sz w:val="24"/>
          <w:szCs w:val="24"/>
          <w:lang w:val="fr-FR"/>
        </w:rPr>
        <w:lastRenderedPageBreak/>
        <w:tab/>
      </w:r>
      <w:r w:rsidRPr="00E216AD">
        <w:rPr>
          <w:sz w:val="24"/>
          <w:szCs w:val="24"/>
          <w:lang w:val="fr-FR"/>
        </w:rPr>
        <w:tab/>
        <w:t>Chapitre 1.2</w:t>
      </w:r>
      <w:r w:rsidR="007F02B5">
        <w:rPr>
          <w:sz w:val="24"/>
          <w:szCs w:val="24"/>
          <w:lang w:val="fr-FR"/>
        </w:rPr>
        <w:tab/>
      </w:r>
    </w:p>
    <w:p w14:paraId="1DC66CE3" w14:textId="77777777" w:rsidR="00E216AD" w:rsidRPr="000712C1" w:rsidRDefault="00E216AD" w:rsidP="00D45B73">
      <w:pPr>
        <w:tabs>
          <w:tab w:val="left" w:pos="2268"/>
        </w:tabs>
        <w:kinsoku/>
        <w:overflowPunct/>
        <w:autoSpaceDE/>
        <w:autoSpaceDN/>
        <w:adjustRightInd/>
        <w:snapToGrid/>
        <w:spacing w:after="120"/>
        <w:ind w:left="2268" w:right="1133" w:hanging="1134"/>
        <w:jc w:val="both"/>
        <w:rPr>
          <w:bCs/>
          <w:lang w:val="fr-FR"/>
        </w:rPr>
      </w:pPr>
      <w:r w:rsidRPr="000712C1">
        <w:rPr>
          <w:bCs/>
          <w:lang w:val="fr-FR"/>
        </w:rPr>
        <w:t>1.2.1</w:t>
      </w:r>
      <w:r w:rsidRPr="000712C1">
        <w:rPr>
          <w:bCs/>
          <w:lang w:val="fr-FR"/>
        </w:rPr>
        <w:tab/>
      </w:r>
      <w:r w:rsidRPr="000712C1">
        <w:rPr>
          <w:bCs/>
          <w:lang w:val="fr-FR"/>
        </w:rPr>
        <w:tab/>
        <w:t>Sous la définition de « conteneur-citerne », insérer :</w:t>
      </w:r>
    </w:p>
    <w:p w14:paraId="604C13A2" w14:textId="77777777" w:rsidR="00E216AD" w:rsidRPr="000712C1" w:rsidRDefault="00E216AD" w:rsidP="00E216AD">
      <w:pPr>
        <w:spacing w:after="120"/>
        <w:ind w:left="1134" w:right="1133"/>
        <w:jc w:val="both"/>
        <w:rPr>
          <w:bCs/>
          <w:lang w:val="fr-FR"/>
        </w:rPr>
      </w:pPr>
      <w:r w:rsidRPr="000712C1">
        <w:rPr>
          <w:bCs/>
          <w:lang w:val="fr-FR"/>
        </w:rPr>
        <w:t>« En outre, on entend par :</w:t>
      </w:r>
    </w:p>
    <w:p w14:paraId="619A1F84" w14:textId="77777777" w:rsidR="00E216AD" w:rsidRPr="000712C1" w:rsidRDefault="00E216AD" w:rsidP="00E216AD">
      <w:pPr>
        <w:spacing w:after="120"/>
        <w:ind w:left="2268" w:right="1133"/>
        <w:jc w:val="both"/>
        <w:rPr>
          <w:bCs/>
          <w:lang w:val="fr-FR"/>
        </w:rPr>
      </w:pPr>
      <w:r w:rsidRPr="000712C1">
        <w:rPr>
          <w:bCs/>
          <w:i/>
          <w:iCs/>
          <w:lang w:val="fr-FR"/>
        </w:rPr>
        <w:t>"Très grand conteneur-citerne"</w:t>
      </w:r>
      <w:r w:rsidRPr="000712C1">
        <w:rPr>
          <w:bCs/>
          <w:lang w:val="fr-FR"/>
        </w:rPr>
        <w:t>, un conteneur-citerne d’une capacité supérieure à 40 000 litres ; »</w:t>
      </w:r>
    </w:p>
    <w:p w14:paraId="70B7F9D8" w14:textId="77777777" w:rsidR="00E216AD" w:rsidRPr="00E216AD" w:rsidRDefault="00E216AD" w:rsidP="00E216AD">
      <w:pPr>
        <w:pStyle w:val="HChG"/>
        <w:rPr>
          <w:sz w:val="24"/>
          <w:szCs w:val="24"/>
          <w:lang w:val="fr-FR"/>
        </w:rPr>
      </w:pPr>
      <w:r w:rsidRPr="00E216AD">
        <w:rPr>
          <w:sz w:val="24"/>
          <w:szCs w:val="24"/>
          <w:lang w:val="fr-FR"/>
        </w:rPr>
        <w:tab/>
      </w:r>
      <w:r w:rsidRPr="00E216AD">
        <w:rPr>
          <w:sz w:val="24"/>
          <w:szCs w:val="24"/>
          <w:lang w:val="fr-FR"/>
        </w:rPr>
        <w:tab/>
        <w:t>Chapitre 1.6</w:t>
      </w:r>
    </w:p>
    <w:p w14:paraId="5CF8CD13" w14:textId="77777777" w:rsidR="00E216AD" w:rsidRPr="000712C1" w:rsidRDefault="00E216AD" w:rsidP="00E216AD">
      <w:pPr>
        <w:tabs>
          <w:tab w:val="left" w:pos="2268"/>
        </w:tabs>
        <w:kinsoku/>
        <w:overflowPunct/>
        <w:autoSpaceDE/>
        <w:autoSpaceDN/>
        <w:adjustRightInd/>
        <w:snapToGrid/>
        <w:spacing w:after="120"/>
        <w:ind w:left="2268" w:right="1133" w:hanging="1134"/>
        <w:jc w:val="both"/>
        <w:rPr>
          <w:bCs/>
          <w:lang w:val="fr-FR"/>
        </w:rPr>
      </w:pPr>
      <w:r w:rsidRPr="000712C1">
        <w:rPr>
          <w:bCs/>
          <w:lang w:val="fr-FR" w:eastAsia="en-US"/>
        </w:rPr>
        <w:t>1.6.1</w:t>
      </w:r>
      <w:r w:rsidRPr="000712C1">
        <w:rPr>
          <w:bCs/>
          <w:lang w:val="fr-FR" w:eastAsia="en-US"/>
        </w:rPr>
        <w:tab/>
        <w:t>Ajouter les nouvelles mesures transitoires suivantes :</w:t>
      </w:r>
    </w:p>
    <w:p w14:paraId="4FE04A9C" w14:textId="36A8C581" w:rsidR="00E216AD" w:rsidRPr="000712C1" w:rsidRDefault="00E216AD" w:rsidP="00E216AD">
      <w:pPr>
        <w:tabs>
          <w:tab w:val="left" w:pos="2268"/>
        </w:tabs>
        <w:kinsoku/>
        <w:overflowPunct/>
        <w:autoSpaceDE/>
        <w:autoSpaceDN/>
        <w:adjustRightInd/>
        <w:snapToGrid/>
        <w:spacing w:after="120"/>
        <w:ind w:left="2268" w:right="1133" w:hanging="1134"/>
        <w:jc w:val="both"/>
        <w:rPr>
          <w:bCs/>
          <w:lang w:val="fr-FR" w:eastAsia="en-US"/>
        </w:rPr>
      </w:pPr>
      <w:r w:rsidRPr="000712C1">
        <w:rPr>
          <w:bCs/>
          <w:lang w:val="fr-FR" w:eastAsia="en-US"/>
        </w:rPr>
        <w:t>« 1.6.1.52</w:t>
      </w:r>
      <w:r w:rsidRPr="000712C1">
        <w:rPr>
          <w:bCs/>
          <w:lang w:val="fr-FR" w:eastAsia="en-US"/>
        </w:rPr>
        <w:tab/>
        <w:t>Les récipients intérieurs des GRV composites qui ont été fabriqués avant le 1</w:t>
      </w:r>
      <w:r w:rsidRPr="000712C1">
        <w:rPr>
          <w:bCs/>
          <w:vertAlign w:val="superscript"/>
          <w:lang w:val="fr-FR" w:eastAsia="en-US"/>
        </w:rPr>
        <w:t>er</w:t>
      </w:r>
      <w:r w:rsidRPr="000712C1">
        <w:rPr>
          <w:bCs/>
          <w:lang w:val="fr-FR" w:eastAsia="en-US"/>
        </w:rPr>
        <w:t> juillet 2021 conformément aux prescriptions du 6.5.2.2.4</w:t>
      </w:r>
      <w:r>
        <w:rPr>
          <w:bCs/>
          <w:lang w:val="fr-FR" w:eastAsia="en-US"/>
        </w:rPr>
        <w:t xml:space="preserve"> de l</w:t>
      </w:r>
      <w:r w:rsidR="00912D24">
        <w:rPr>
          <w:bCs/>
          <w:lang w:val="fr-FR" w:eastAsia="en-US"/>
        </w:rPr>
        <w:t>’ADR</w:t>
      </w:r>
      <w:r w:rsidRPr="000712C1">
        <w:rPr>
          <w:bCs/>
          <w:lang w:val="fr-FR" w:eastAsia="en-US"/>
        </w:rPr>
        <w:t xml:space="preserve"> applicables jusqu’au 31 décembre 2020 mais qui ne sont pas conformes aux prescriptions du 6.5.2.2.4</w:t>
      </w:r>
      <w:r w:rsidR="00912D24">
        <w:rPr>
          <w:bCs/>
          <w:lang w:val="fr-FR" w:eastAsia="en-US"/>
        </w:rPr>
        <w:t xml:space="preserve"> de l’ADR</w:t>
      </w:r>
      <w:r w:rsidRPr="000712C1">
        <w:rPr>
          <w:bCs/>
          <w:lang w:val="fr-FR" w:eastAsia="en-US"/>
        </w:rPr>
        <w:t xml:space="preserve"> concernant les marques sur les récipients intérieurs qui ne sont pas facilement accessibles pour l’inspection en raison du </w:t>
      </w:r>
      <w:r w:rsidRPr="008D2A43">
        <w:rPr>
          <w:bCs/>
          <w:lang w:val="fr-FR" w:eastAsia="en-US"/>
        </w:rPr>
        <w:t>modèle</w:t>
      </w:r>
      <w:r w:rsidRPr="000712C1">
        <w:rPr>
          <w:bCs/>
          <w:lang w:val="fr-FR" w:eastAsia="en-US"/>
        </w:rPr>
        <w:t xml:space="preserve"> de l’enveloppe extérieure applicables à partir du 1</w:t>
      </w:r>
      <w:r w:rsidRPr="000712C1">
        <w:rPr>
          <w:bCs/>
          <w:vertAlign w:val="superscript"/>
          <w:lang w:val="fr-FR" w:eastAsia="en-US"/>
        </w:rPr>
        <w:t>er</w:t>
      </w:r>
      <w:r w:rsidRPr="000712C1">
        <w:rPr>
          <w:bCs/>
          <w:lang w:val="fr-FR" w:eastAsia="en-US"/>
        </w:rPr>
        <w:t> janvier 2021 peuvent encore être utilisés jusqu’à l’expiration de leur durée d’utilisation déterminée au 4.1.1.15</w:t>
      </w:r>
      <w:r w:rsidR="00912D24">
        <w:rPr>
          <w:bCs/>
          <w:lang w:val="fr-FR" w:eastAsia="en-US"/>
        </w:rPr>
        <w:t xml:space="preserve"> de l’ADR</w:t>
      </w:r>
      <w:r w:rsidRPr="000712C1">
        <w:rPr>
          <w:bCs/>
          <w:lang w:val="fr-FR" w:eastAsia="en-US"/>
        </w:rPr>
        <w:t>. »</w:t>
      </w:r>
    </w:p>
    <w:p w14:paraId="6A9B3469" w14:textId="19BF87D6" w:rsidR="00E216AD" w:rsidRDefault="00E216AD" w:rsidP="00E216AD">
      <w:pPr>
        <w:pStyle w:val="SingleTxtG"/>
        <w:ind w:left="2268" w:hanging="1134"/>
        <w:rPr>
          <w:lang w:val="fr-FR"/>
        </w:rPr>
      </w:pPr>
      <w:r w:rsidRPr="000712C1">
        <w:rPr>
          <w:lang w:val="fr-FR"/>
        </w:rPr>
        <w:t>« 1.6.1.53</w:t>
      </w:r>
      <w:r w:rsidRPr="000712C1">
        <w:rPr>
          <w:lang w:val="fr-FR"/>
        </w:rPr>
        <w:tab/>
      </w:r>
      <w:r w:rsidR="00912D24" w:rsidRPr="00912D24">
        <w:rPr>
          <w:i/>
          <w:iCs/>
          <w:lang w:val="fr-FR"/>
        </w:rPr>
        <w:t>(Réservé)</w:t>
      </w:r>
      <w:r w:rsidRPr="000712C1">
        <w:rPr>
          <w:lang w:val="fr-FR"/>
        </w:rPr>
        <w:t> »</w:t>
      </w:r>
    </w:p>
    <w:p w14:paraId="2C51F0BE" w14:textId="77777777" w:rsidR="00E85403" w:rsidRPr="00B06C7E" w:rsidRDefault="00E85403" w:rsidP="00E85403">
      <w:pPr>
        <w:pStyle w:val="HChG"/>
        <w:rPr>
          <w:sz w:val="24"/>
          <w:szCs w:val="24"/>
          <w:lang w:val="fr-FR"/>
        </w:rPr>
      </w:pPr>
      <w:r w:rsidRPr="00B06C7E">
        <w:rPr>
          <w:sz w:val="24"/>
          <w:szCs w:val="24"/>
          <w:lang w:val="fr-FR"/>
        </w:rPr>
        <w:tab/>
      </w:r>
      <w:r w:rsidRPr="00B06C7E">
        <w:rPr>
          <w:sz w:val="24"/>
          <w:szCs w:val="24"/>
          <w:lang w:val="fr-FR"/>
        </w:rPr>
        <w:tab/>
        <w:t>Chapitre 1.8</w:t>
      </w:r>
    </w:p>
    <w:p w14:paraId="5E8D6FD4" w14:textId="77777777" w:rsidR="00E85403" w:rsidRPr="000712C1" w:rsidRDefault="00E85403" w:rsidP="00E85403">
      <w:pPr>
        <w:spacing w:after="120"/>
        <w:ind w:left="2268" w:right="1134" w:hanging="1134"/>
        <w:jc w:val="both"/>
        <w:rPr>
          <w:lang w:val="fr-FR"/>
        </w:rPr>
      </w:pPr>
      <w:r w:rsidRPr="000712C1">
        <w:rPr>
          <w:lang w:val="fr-FR"/>
        </w:rPr>
        <w:t>1.8.5.4</w:t>
      </w:r>
      <w:r w:rsidRPr="000712C1">
        <w:rPr>
          <w:lang w:val="fr-FR"/>
        </w:rPr>
        <w:tab/>
        <w:t>Dans le « Modèle de rapport sur des événements survenus pendant le transport de marchandises dangereuses », section 6, dans la note (3), ajouter en fin de liste la nouvelle rubrique suivante « 18 Très grand conteneur-citerne ».</w:t>
      </w:r>
      <w:r>
        <w:rPr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R</w:t>
      </w:r>
      <w:r w:rsidRPr="007D417E">
        <w:rPr>
          <w:rFonts w:asciiTheme="majorBidi" w:hAnsiTheme="majorBidi" w:cstheme="majorBidi"/>
          <w:lang w:val="fr-FR"/>
        </w:rPr>
        <w:t>enuméroter en conséquence les numéros restantes.</w:t>
      </w:r>
    </w:p>
    <w:p w14:paraId="417B9A20" w14:textId="00250E6D" w:rsidR="00E9039D" w:rsidRPr="00E9039D" w:rsidRDefault="00E9039D" w:rsidP="00E9039D">
      <w:pPr>
        <w:pStyle w:val="HChG"/>
        <w:rPr>
          <w:sz w:val="24"/>
          <w:szCs w:val="24"/>
          <w:lang w:val="fr-FR"/>
        </w:rPr>
      </w:pPr>
      <w:r w:rsidRPr="00E9039D">
        <w:rPr>
          <w:sz w:val="24"/>
          <w:szCs w:val="24"/>
          <w:lang w:val="fr-FR"/>
        </w:rPr>
        <w:tab/>
      </w:r>
      <w:r w:rsidRPr="00E9039D">
        <w:rPr>
          <w:sz w:val="24"/>
          <w:szCs w:val="24"/>
          <w:lang w:val="fr-FR"/>
        </w:rPr>
        <w:tab/>
        <w:t>Chapitre 1.10</w:t>
      </w:r>
    </w:p>
    <w:p w14:paraId="3DD48961" w14:textId="01378163" w:rsidR="00E9039D" w:rsidRPr="000B06F6" w:rsidRDefault="00E9039D" w:rsidP="00E9039D">
      <w:pPr>
        <w:pStyle w:val="SingleTxtG"/>
        <w:ind w:left="2268" w:hanging="1134"/>
        <w:rPr>
          <w:lang w:val="fr-FR"/>
        </w:rPr>
      </w:pPr>
      <w:r w:rsidRPr="000B06F6">
        <w:rPr>
          <w:lang w:val="fr-FR"/>
        </w:rPr>
        <w:t>1.10.4</w:t>
      </w:r>
      <w:r w:rsidRPr="000B06F6">
        <w:rPr>
          <w:lang w:val="fr-FR"/>
        </w:rPr>
        <w:tab/>
        <w:t xml:space="preserve">Supprimer la première phrase. Dans la deuxième phrase, remplacer « En outre, </w:t>
      </w:r>
      <w:r w:rsidR="000B06F6" w:rsidRPr="000B06F6">
        <w:rPr>
          <w:lang w:val="fr-FR"/>
        </w:rPr>
        <w:t>les dispositions</w:t>
      </w:r>
      <w:r w:rsidRPr="000B06F6">
        <w:rPr>
          <w:lang w:val="fr-FR"/>
        </w:rPr>
        <w:t xml:space="preserve"> » par « Les </w:t>
      </w:r>
      <w:r w:rsidR="000B06F6" w:rsidRPr="000B06F6">
        <w:rPr>
          <w:lang w:val="fr-FR"/>
        </w:rPr>
        <w:t>dispositions</w:t>
      </w:r>
      <w:r w:rsidRPr="000B06F6">
        <w:rPr>
          <w:lang w:val="fr-FR"/>
        </w:rPr>
        <w:t> ».</w:t>
      </w:r>
    </w:p>
    <w:p w14:paraId="3F081783" w14:textId="0DEF96F5" w:rsidR="0092217B" w:rsidRPr="0092217B" w:rsidRDefault="0092217B" w:rsidP="0092217B">
      <w:pPr>
        <w:pStyle w:val="HChG"/>
        <w:rPr>
          <w:sz w:val="24"/>
          <w:szCs w:val="24"/>
          <w:lang w:val="fr-FR"/>
        </w:rPr>
      </w:pPr>
      <w:r w:rsidRPr="0092217B">
        <w:rPr>
          <w:sz w:val="24"/>
          <w:szCs w:val="24"/>
          <w:lang w:val="fr-FR"/>
        </w:rPr>
        <w:tab/>
      </w:r>
      <w:r w:rsidRPr="0092217B">
        <w:rPr>
          <w:sz w:val="24"/>
          <w:szCs w:val="24"/>
          <w:lang w:val="fr-FR"/>
        </w:rPr>
        <w:tab/>
        <w:t>Chapitre 5.4</w:t>
      </w:r>
    </w:p>
    <w:p w14:paraId="347AC8DE" w14:textId="77777777" w:rsidR="0092217B" w:rsidRPr="000712C1" w:rsidRDefault="0092217B" w:rsidP="0092217B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 w:eastAsia="en-US"/>
        </w:rPr>
      </w:pPr>
      <w:r w:rsidRPr="000712C1">
        <w:rPr>
          <w:bCs/>
          <w:lang w:val="fr-FR" w:eastAsia="en-US"/>
        </w:rPr>
        <w:t>5.4.2</w:t>
      </w:r>
      <w:r w:rsidRPr="000712C1">
        <w:rPr>
          <w:lang w:val="fr-FR" w:eastAsia="en-US"/>
        </w:rPr>
        <w:tab/>
        <w:t>Dans la note de bas de page 6, première phrase, remplacer “Amendement 39-18” by “Amendement 40-20”.</w:t>
      </w:r>
    </w:p>
    <w:p w14:paraId="6578C30A" w14:textId="77777777" w:rsidR="0092217B" w:rsidRPr="000712C1" w:rsidRDefault="0092217B" w:rsidP="0092217B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 w:eastAsia="en-US"/>
        </w:rPr>
      </w:pPr>
      <w:r w:rsidRPr="000712C1">
        <w:rPr>
          <w:lang w:val="fr-FR" w:eastAsia="en-US"/>
        </w:rPr>
        <w:tab/>
        <w:t>Dans la note de bas de page 6, dans le texte reproduisant la section 5.4.2 du code IMDG :</w:t>
      </w:r>
    </w:p>
    <w:p w14:paraId="64DF4107" w14:textId="2205E313" w:rsidR="0092217B" w:rsidRPr="000712C1" w:rsidRDefault="0092217B" w:rsidP="0092217B">
      <w:pPr>
        <w:kinsoku/>
        <w:overflowPunct/>
        <w:autoSpaceDE/>
        <w:autoSpaceDN/>
        <w:adjustRightInd/>
        <w:snapToGrid/>
        <w:spacing w:after="120"/>
        <w:ind w:left="3402" w:right="1134" w:hanging="1134"/>
        <w:jc w:val="both"/>
        <w:rPr>
          <w:lang w:val="fr-FR" w:eastAsia="en-US"/>
        </w:rPr>
      </w:pPr>
      <w:r w:rsidRPr="000712C1">
        <w:rPr>
          <w:lang w:val="fr-FR" w:eastAsia="en-US"/>
        </w:rPr>
        <w:t>5.4.2.2</w:t>
      </w:r>
      <w:r w:rsidRPr="000712C1">
        <w:rPr>
          <w:lang w:val="fr-FR" w:eastAsia="en-US"/>
        </w:rPr>
        <w:tab/>
        <w:t>Dans la première phrase, à la fin, supprimer « les uns aux autres »</w:t>
      </w:r>
      <w:r w:rsidR="005A24EC">
        <w:rPr>
          <w:lang w:val="fr-FR" w:eastAsia="en-US"/>
        </w:rPr>
        <w:t> ;</w:t>
      </w:r>
    </w:p>
    <w:p w14:paraId="63CEA70C" w14:textId="2B606AAB" w:rsidR="0092217B" w:rsidRPr="000712C1" w:rsidRDefault="0092217B" w:rsidP="0092217B">
      <w:pPr>
        <w:kinsoku/>
        <w:overflowPunct/>
        <w:autoSpaceDE/>
        <w:autoSpaceDN/>
        <w:adjustRightInd/>
        <w:snapToGrid/>
        <w:spacing w:after="120"/>
        <w:ind w:left="3402" w:right="1134" w:hanging="1134"/>
        <w:jc w:val="both"/>
        <w:rPr>
          <w:lang w:val="fr-FR" w:eastAsia="en-US"/>
        </w:rPr>
      </w:pPr>
      <w:r w:rsidRPr="000712C1">
        <w:rPr>
          <w:lang w:val="fr-FR" w:eastAsia="en-US"/>
        </w:rPr>
        <w:t>5.4.2.3</w:t>
      </w:r>
      <w:r w:rsidRPr="000712C1">
        <w:rPr>
          <w:lang w:val="fr-FR" w:eastAsia="en-US"/>
        </w:rPr>
        <w:tab/>
        <w:t>Remplacer « présenté » par « fourni »</w:t>
      </w:r>
      <w:r w:rsidR="005A24EC">
        <w:rPr>
          <w:lang w:val="fr-FR" w:eastAsia="en-US"/>
        </w:rPr>
        <w:t> ;</w:t>
      </w:r>
    </w:p>
    <w:p w14:paraId="09EB5AB8" w14:textId="77777777" w:rsidR="0092217B" w:rsidRPr="000712C1" w:rsidRDefault="0092217B" w:rsidP="0092217B">
      <w:pPr>
        <w:kinsoku/>
        <w:overflowPunct/>
        <w:autoSpaceDE/>
        <w:autoSpaceDN/>
        <w:adjustRightInd/>
        <w:snapToGrid/>
        <w:spacing w:after="120"/>
        <w:ind w:left="3402" w:right="1134" w:hanging="1134"/>
        <w:jc w:val="both"/>
        <w:rPr>
          <w:lang w:val="fr-FR" w:eastAsia="en-US"/>
        </w:rPr>
      </w:pPr>
      <w:r w:rsidRPr="000712C1">
        <w:rPr>
          <w:lang w:val="fr-FR" w:eastAsia="en-US"/>
        </w:rPr>
        <w:t>5.4.2.4</w:t>
      </w:r>
      <w:r w:rsidRPr="000712C1">
        <w:rPr>
          <w:lang w:val="fr-FR" w:eastAsia="en-US"/>
        </w:rPr>
        <w:tab/>
        <w:t>Remplacer « les informations relatives au transport de marchandises dangereuses sont fournies » par « le certificat d'empotage du conteneur ou du véhicule est fourni ».</w:t>
      </w:r>
    </w:p>
    <w:p w14:paraId="609F78D0" w14:textId="1FDE3837" w:rsidR="00CC3F2B" w:rsidRPr="00CC3F2B" w:rsidRDefault="00CC3F2B" w:rsidP="00CC3F2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3F2B" w:rsidRPr="00CC3F2B" w:rsidSect="00CC3F2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EF96" w14:textId="77777777" w:rsidR="00316BE8" w:rsidRDefault="00316BE8" w:rsidP="00F95C08">
      <w:pPr>
        <w:spacing w:line="240" w:lineRule="auto"/>
      </w:pPr>
    </w:p>
  </w:endnote>
  <w:endnote w:type="continuationSeparator" w:id="0">
    <w:p w14:paraId="6145618D" w14:textId="77777777" w:rsidR="00316BE8" w:rsidRPr="00AC3823" w:rsidRDefault="00316BE8" w:rsidP="00AC3823">
      <w:pPr>
        <w:pStyle w:val="Pieddepage"/>
      </w:pPr>
    </w:p>
  </w:endnote>
  <w:endnote w:type="continuationNotice" w:id="1">
    <w:p w14:paraId="7B7A100E" w14:textId="77777777" w:rsidR="00316BE8" w:rsidRDefault="00316B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5494" w14:textId="77777777" w:rsidR="00CC3F2B" w:rsidRPr="00CC3F2B" w:rsidRDefault="00CC3F2B" w:rsidP="00CC3F2B">
    <w:pPr>
      <w:pStyle w:val="Pieddepage"/>
      <w:tabs>
        <w:tab w:val="right" w:pos="9638"/>
      </w:tabs>
      <w:rPr>
        <w:sz w:val="18"/>
      </w:rPr>
    </w:pPr>
    <w:r w:rsidRPr="00CC3F2B">
      <w:rPr>
        <w:b/>
        <w:sz w:val="18"/>
      </w:rPr>
      <w:fldChar w:fldCharType="begin"/>
    </w:r>
    <w:r w:rsidRPr="00CC3F2B">
      <w:rPr>
        <w:b/>
        <w:sz w:val="18"/>
      </w:rPr>
      <w:instrText xml:space="preserve"> PAGE  \* MERGEFORMAT </w:instrText>
    </w:r>
    <w:r w:rsidRPr="00CC3F2B">
      <w:rPr>
        <w:b/>
        <w:sz w:val="18"/>
      </w:rPr>
      <w:fldChar w:fldCharType="separate"/>
    </w:r>
    <w:r w:rsidRPr="00CC3F2B">
      <w:rPr>
        <w:b/>
        <w:noProof/>
        <w:sz w:val="18"/>
      </w:rPr>
      <w:t>2</w:t>
    </w:r>
    <w:r w:rsidRPr="00CC3F2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7E90" w14:textId="77777777" w:rsidR="00CC3F2B" w:rsidRPr="00CC3F2B" w:rsidRDefault="00CC3F2B" w:rsidP="00CC3F2B">
    <w:pPr>
      <w:pStyle w:val="Pieddepage"/>
      <w:tabs>
        <w:tab w:val="right" w:pos="9638"/>
      </w:tabs>
      <w:rPr>
        <w:b/>
        <w:sz w:val="18"/>
      </w:rPr>
    </w:pPr>
    <w:r>
      <w:tab/>
    </w:r>
    <w:r w:rsidRPr="00CC3F2B">
      <w:rPr>
        <w:b/>
        <w:sz w:val="18"/>
      </w:rPr>
      <w:fldChar w:fldCharType="begin"/>
    </w:r>
    <w:r w:rsidRPr="00CC3F2B">
      <w:rPr>
        <w:b/>
        <w:sz w:val="18"/>
      </w:rPr>
      <w:instrText xml:space="preserve"> PAGE  \* MERGEFORMAT </w:instrText>
    </w:r>
    <w:r w:rsidRPr="00CC3F2B">
      <w:rPr>
        <w:b/>
        <w:sz w:val="18"/>
      </w:rPr>
      <w:fldChar w:fldCharType="separate"/>
    </w:r>
    <w:r w:rsidRPr="00CC3F2B">
      <w:rPr>
        <w:b/>
        <w:noProof/>
        <w:sz w:val="18"/>
      </w:rPr>
      <w:t>3</w:t>
    </w:r>
    <w:r w:rsidRPr="00CC3F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2118" w14:textId="05D94E02" w:rsidR="000D3EE9" w:rsidRPr="003911F8" w:rsidRDefault="003911F8" w:rsidP="003911F8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GE.22-08895  (F)</w:t>
    </w:r>
    <w:bookmarkStart w:id="1" w:name="_GoBack"/>
    <w:bookmarkEnd w:id="1"/>
    <w:r>
      <w:rPr>
        <w:sz w:val="20"/>
      </w:rPr>
      <w:tab/>
    </w:r>
    <w:r w:rsidRPr="003911F8">
      <w:rPr>
        <w:noProof/>
        <w:sz w:val="20"/>
        <w:lang w:eastAsia="fr-CH"/>
      </w:rPr>
      <w:drawing>
        <wp:inline distT="0" distB="0" distL="0" distR="0" wp14:anchorId="3F68960F" wp14:editId="2A518D8D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653445AF" wp14:editId="615B9C79">
          <wp:extent cx="637540" cy="6375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A9F8" w14:textId="77777777" w:rsidR="00316BE8" w:rsidRPr="00AC3823" w:rsidRDefault="00316BE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9F9F72" w14:textId="77777777" w:rsidR="00316BE8" w:rsidRPr="00AC3823" w:rsidRDefault="00316BE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825B99" w14:textId="77777777" w:rsidR="00316BE8" w:rsidRPr="00AC3823" w:rsidRDefault="00316BE8">
      <w:pPr>
        <w:spacing w:line="240" w:lineRule="auto"/>
        <w:rPr>
          <w:sz w:val="2"/>
          <w:szCs w:val="2"/>
        </w:rPr>
      </w:pPr>
    </w:p>
  </w:footnote>
  <w:footnote w:id="2">
    <w:p w14:paraId="69B76ED8" w14:textId="384C84AF" w:rsidR="00CC3F2B" w:rsidRPr="000763E9" w:rsidRDefault="00CC3F2B" w:rsidP="00CC3F2B">
      <w:pPr>
        <w:pStyle w:val="Notedebasdepage"/>
      </w:pPr>
      <w:r w:rsidRPr="00600EEC">
        <w:rPr>
          <w:rStyle w:val="Appelnotedebasdep"/>
          <w:lang w:val="fr-FR"/>
        </w:rPr>
        <w:tab/>
      </w:r>
      <w:r w:rsidRPr="00600EEC">
        <w:rPr>
          <w:rStyle w:val="Appelnotedebasdep"/>
          <w:sz w:val="20"/>
          <w:lang w:val="fr-FR"/>
        </w:rPr>
        <w:t>*</w:t>
      </w:r>
      <w:r w:rsidRPr="00600EEC">
        <w:rPr>
          <w:rStyle w:val="Appelnotedebasdep"/>
          <w:sz w:val="20"/>
          <w:lang w:val="fr-FR"/>
        </w:rPr>
        <w:tab/>
      </w:r>
      <w:r w:rsidRPr="000763E9">
        <w:t>Diffusée en langue allemande par la Commission centrale pour la navigation du Rhin sous la cote CCNR-ZKR/ADN/WP.15/AC.2/2022/</w:t>
      </w:r>
      <w:r w:rsidR="00CC15C9" w:rsidRPr="000763E9">
        <w:t>44</w:t>
      </w:r>
    </w:p>
  </w:footnote>
  <w:footnote w:id="3">
    <w:p w14:paraId="3D24411E" w14:textId="11969402" w:rsidR="00CC3F2B" w:rsidRPr="00600EEC" w:rsidRDefault="00CC3F2B" w:rsidP="00CC3F2B">
      <w:pPr>
        <w:pStyle w:val="Notedebasdepage"/>
        <w:rPr>
          <w:sz w:val="16"/>
          <w:szCs w:val="16"/>
          <w:lang w:val="fr-FR"/>
        </w:rPr>
      </w:pPr>
      <w:r w:rsidRPr="00600EEC">
        <w:rPr>
          <w:rStyle w:val="Appelnotedebasdep"/>
          <w:lang w:val="fr-FR"/>
        </w:rPr>
        <w:tab/>
      </w:r>
      <w:r w:rsidRPr="00600EEC">
        <w:rPr>
          <w:rStyle w:val="Appelnotedebasdep"/>
          <w:sz w:val="20"/>
          <w:lang w:val="fr-FR"/>
        </w:rPr>
        <w:t>**</w:t>
      </w:r>
      <w:r w:rsidRPr="00600EEC">
        <w:rPr>
          <w:rStyle w:val="Appelnotedebasdep"/>
          <w:sz w:val="20"/>
          <w:lang w:val="fr-FR"/>
        </w:rPr>
        <w:tab/>
      </w:r>
      <w:r w:rsidR="002F5C90">
        <w:t>A/76/6 (Sect.20),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15AA" w14:textId="7903AC47" w:rsidR="00CC3F2B" w:rsidRPr="00CC3F2B" w:rsidRDefault="009259B9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0B125E">
      <w:t>ECE/TRANS/WP.15/AC.2/2022/</w:t>
    </w:r>
    <w:r w:rsidR="00162F13">
      <w:t>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0701" w14:textId="35F5A3B4" w:rsidR="00CC3F2B" w:rsidRPr="00CC3F2B" w:rsidRDefault="009259B9" w:rsidP="00CC3F2B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B125E">
      <w:t>ECE/TRANS/WP.15/AC.2/2022/36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2B"/>
    <w:rsid w:val="00003672"/>
    <w:rsid w:val="0001207F"/>
    <w:rsid w:val="00017F94"/>
    <w:rsid w:val="00023842"/>
    <w:rsid w:val="000334F9"/>
    <w:rsid w:val="00043A6E"/>
    <w:rsid w:val="000763E9"/>
    <w:rsid w:val="0007796D"/>
    <w:rsid w:val="000942EE"/>
    <w:rsid w:val="000A52BF"/>
    <w:rsid w:val="000B06F6"/>
    <w:rsid w:val="000B125E"/>
    <w:rsid w:val="000B7790"/>
    <w:rsid w:val="000D3EE9"/>
    <w:rsid w:val="000D62F3"/>
    <w:rsid w:val="000F5B2F"/>
    <w:rsid w:val="00111F2F"/>
    <w:rsid w:val="00113995"/>
    <w:rsid w:val="001433FD"/>
    <w:rsid w:val="0014365E"/>
    <w:rsid w:val="001541D3"/>
    <w:rsid w:val="00162F13"/>
    <w:rsid w:val="00176178"/>
    <w:rsid w:val="001A064B"/>
    <w:rsid w:val="001D400F"/>
    <w:rsid w:val="001F525A"/>
    <w:rsid w:val="00223272"/>
    <w:rsid w:val="00240333"/>
    <w:rsid w:val="00244F13"/>
    <w:rsid w:val="0024779E"/>
    <w:rsid w:val="00276E1A"/>
    <w:rsid w:val="002832AC"/>
    <w:rsid w:val="002834A0"/>
    <w:rsid w:val="00290850"/>
    <w:rsid w:val="002D7C93"/>
    <w:rsid w:val="002E6A17"/>
    <w:rsid w:val="002F5C90"/>
    <w:rsid w:val="0030660E"/>
    <w:rsid w:val="00316BE8"/>
    <w:rsid w:val="003318E6"/>
    <w:rsid w:val="00334630"/>
    <w:rsid w:val="00343829"/>
    <w:rsid w:val="0037241C"/>
    <w:rsid w:val="003911F8"/>
    <w:rsid w:val="00431FF2"/>
    <w:rsid w:val="00441C3B"/>
    <w:rsid w:val="00446B0A"/>
    <w:rsid w:val="00446FE5"/>
    <w:rsid w:val="00452396"/>
    <w:rsid w:val="004C2077"/>
    <w:rsid w:val="004E468C"/>
    <w:rsid w:val="004F2920"/>
    <w:rsid w:val="00516EC4"/>
    <w:rsid w:val="005316B0"/>
    <w:rsid w:val="005505B7"/>
    <w:rsid w:val="00564657"/>
    <w:rsid w:val="00570647"/>
    <w:rsid w:val="00573BE5"/>
    <w:rsid w:val="00586ED3"/>
    <w:rsid w:val="00596AA9"/>
    <w:rsid w:val="005A24EC"/>
    <w:rsid w:val="00697C14"/>
    <w:rsid w:val="006E2F73"/>
    <w:rsid w:val="00703D0F"/>
    <w:rsid w:val="00706363"/>
    <w:rsid w:val="0071601D"/>
    <w:rsid w:val="00734641"/>
    <w:rsid w:val="00777943"/>
    <w:rsid w:val="007A62E6"/>
    <w:rsid w:val="007D675D"/>
    <w:rsid w:val="007F02B5"/>
    <w:rsid w:val="0080684C"/>
    <w:rsid w:val="008204DA"/>
    <w:rsid w:val="0083123A"/>
    <w:rsid w:val="00831EB4"/>
    <w:rsid w:val="00856BE5"/>
    <w:rsid w:val="00871C75"/>
    <w:rsid w:val="008767E8"/>
    <w:rsid w:val="008776DC"/>
    <w:rsid w:val="008D2A43"/>
    <w:rsid w:val="00912D24"/>
    <w:rsid w:val="00915979"/>
    <w:rsid w:val="0092217B"/>
    <w:rsid w:val="009259B9"/>
    <w:rsid w:val="009705C8"/>
    <w:rsid w:val="009C1CF4"/>
    <w:rsid w:val="009F02C9"/>
    <w:rsid w:val="00A207DD"/>
    <w:rsid w:val="00A30353"/>
    <w:rsid w:val="00A62D91"/>
    <w:rsid w:val="00A713CE"/>
    <w:rsid w:val="00A90D54"/>
    <w:rsid w:val="00AA113A"/>
    <w:rsid w:val="00AC3823"/>
    <w:rsid w:val="00AC3E70"/>
    <w:rsid w:val="00AE323C"/>
    <w:rsid w:val="00AF39A2"/>
    <w:rsid w:val="00B00181"/>
    <w:rsid w:val="00B00B0D"/>
    <w:rsid w:val="00B06C7E"/>
    <w:rsid w:val="00B07F65"/>
    <w:rsid w:val="00B16E44"/>
    <w:rsid w:val="00B265F5"/>
    <w:rsid w:val="00B30069"/>
    <w:rsid w:val="00B50E25"/>
    <w:rsid w:val="00B64918"/>
    <w:rsid w:val="00B765F7"/>
    <w:rsid w:val="00BA0CA9"/>
    <w:rsid w:val="00C01659"/>
    <w:rsid w:val="00C02897"/>
    <w:rsid w:val="00C22639"/>
    <w:rsid w:val="00C7616F"/>
    <w:rsid w:val="00CB16B5"/>
    <w:rsid w:val="00CC15C9"/>
    <w:rsid w:val="00CC3F2B"/>
    <w:rsid w:val="00CE0542"/>
    <w:rsid w:val="00CE0608"/>
    <w:rsid w:val="00D10349"/>
    <w:rsid w:val="00D21A70"/>
    <w:rsid w:val="00D3439C"/>
    <w:rsid w:val="00D44CF3"/>
    <w:rsid w:val="00D45B73"/>
    <w:rsid w:val="00D466F5"/>
    <w:rsid w:val="00D70306"/>
    <w:rsid w:val="00D762D9"/>
    <w:rsid w:val="00DA6C5E"/>
    <w:rsid w:val="00DA79F0"/>
    <w:rsid w:val="00DB1831"/>
    <w:rsid w:val="00DC7351"/>
    <w:rsid w:val="00DD3BFD"/>
    <w:rsid w:val="00DF431C"/>
    <w:rsid w:val="00DF6678"/>
    <w:rsid w:val="00E216AD"/>
    <w:rsid w:val="00E64F0B"/>
    <w:rsid w:val="00E779D9"/>
    <w:rsid w:val="00E85403"/>
    <w:rsid w:val="00E9039D"/>
    <w:rsid w:val="00E930D0"/>
    <w:rsid w:val="00E939CE"/>
    <w:rsid w:val="00EF2E22"/>
    <w:rsid w:val="00F0592C"/>
    <w:rsid w:val="00F13C56"/>
    <w:rsid w:val="00F43289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B72F8"/>
  <w15:docId w15:val="{8ACB836B-9DB6-4244-B015-75CDD45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C20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207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C207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20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2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DD4FD-ADB3-4242-B91D-327E81172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58B90-40D2-4C5E-91BA-0744A333678E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C5F6AB4E-DCEB-4B2E-A713-956B277B1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2731</Characters>
  <Application>Microsoft Office Word</Application>
  <DocSecurity>0</DocSecurity>
  <Lines>71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ECE/TRANS/WP.15/AC.2/2022/36</vt:lpstr>
      <vt:lpstr/>
    </vt:vector>
  </TitlesOfParts>
  <Company>DCM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ECE/TRANS/WP.15/AC.2/2022/44</dc:title>
  <dc:subject>FINAL</dc:subject>
  <dc:creator>ND</dc:creator>
  <cp:keywords/>
  <dc:description/>
  <cp:lastModifiedBy>Sandrine Clere</cp:lastModifiedBy>
  <cp:revision>2</cp:revision>
  <cp:lastPrinted>2022-05-24T01:42:00Z</cp:lastPrinted>
  <dcterms:created xsi:type="dcterms:W3CDTF">2022-06-13T05:59:00Z</dcterms:created>
  <dcterms:modified xsi:type="dcterms:W3CDTF">2022-06-13T05:59:00Z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