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92903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65C6B8B" w14:textId="77777777" w:rsidR="002D5AAC" w:rsidRDefault="002D5AAC" w:rsidP="00D304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968E2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4D88C7D" w14:textId="77777777" w:rsidR="002D5AAC" w:rsidRDefault="00D304F1" w:rsidP="00D304F1">
            <w:pPr>
              <w:jc w:val="right"/>
            </w:pPr>
            <w:r w:rsidRPr="00D304F1">
              <w:rPr>
                <w:sz w:val="40"/>
              </w:rPr>
              <w:t>ECE</w:t>
            </w:r>
            <w:r>
              <w:t>/TRANS/WP.15/AC.2/2022/34</w:t>
            </w:r>
          </w:p>
        </w:tc>
      </w:tr>
      <w:tr w:rsidR="002D5AAC" w14:paraId="71867C9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B2B78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A8921F" wp14:editId="30FAAE6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37054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D1D207" w14:textId="77777777" w:rsidR="002D5AAC" w:rsidRDefault="00D304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732598" w14:textId="77777777" w:rsidR="00D304F1" w:rsidRDefault="00D304F1" w:rsidP="00D304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May 2022</w:t>
            </w:r>
          </w:p>
          <w:p w14:paraId="23761AE7" w14:textId="77777777" w:rsidR="00D304F1" w:rsidRDefault="00D304F1" w:rsidP="00D304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4F2CBF1" w14:textId="77777777" w:rsidR="00D304F1" w:rsidRPr="008D53B6" w:rsidRDefault="00D304F1" w:rsidP="00D304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F67AFB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7CCABC3" w14:textId="77777777" w:rsidR="00D304F1" w:rsidRPr="001439A8" w:rsidRDefault="00D304F1" w:rsidP="00D304F1">
      <w:pPr>
        <w:spacing w:before="120"/>
        <w:rPr>
          <w:b/>
          <w:sz w:val="28"/>
          <w:szCs w:val="28"/>
        </w:rPr>
      </w:pPr>
      <w:r w:rsidRPr="001439A8">
        <w:rPr>
          <w:sz w:val="28"/>
          <w:szCs w:val="28"/>
        </w:rPr>
        <w:t>Комитет по внутреннему транспорту</w:t>
      </w:r>
    </w:p>
    <w:p w14:paraId="61E63F17" w14:textId="77777777" w:rsidR="00D304F1" w:rsidRPr="001439A8" w:rsidRDefault="00D304F1" w:rsidP="00D304F1">
      <w:pPr>
        <w:spacing w:before="120"/>
        <w:rPr>
          <w:b/>
          <w:sz w:val="24"/>
          <w:szCs w:val="24"/>
        </w:rPr>
      </w:pPr>
      <w:r w:rsidRPr="001439A8">
        <w:rPr>
          <w:b/>
          <w:bCs/>
          <w:sz w:val="24"/>
          <w:szCs w:val="24"/>
        </w:rPr>
        <w:t>Рабочая группа по перевозкам опасных грузов</w:t>
      </w:r>
    </w:p>
    <w:p w14:paraId="590F3ABB" w14:textId="77777777" w:rsidR="00D304F1" w:rsidRPr="004D79FB" w:rsidRDefault="00D304F1" w:rsidP="00D304F1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  <w:bookmarkStart w:id="0" w:name="_Hlk57122394"/>
      <w:bookmarkEnd w:id="0"/>
    </w:p>
    <w:p w14:paraId="384D0EEC" w14:textId="77777777" w:rsidR="00D304F1" w:rsidRPr="004D79FB" w:rsidRDefault="00D304F1" w:rsidP="00D304F1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7F42384A" w14:textId="77777777" w:rsidR="00D304F1" w:rsidRPr="004D79FB" w:rsidRDefault="00D304F1" w:rsidP="00D304F1">
      <w:r>
        <w:t>Женева, 22‒26 августа 2022 года</w:t>
      </w:r>
    </w:p>
    <w:p w14:paraId="2A7676CE" w14:textId="77777777" w:rsidR="00D304F1" w:rsidRPr="004D79FB" w:rsidRDefault="00D304F1" w:rsidP="00D304F1">
      <w:r>
        <w:t>Пункт 3 с) предварительной повестки дня</w:t>
      </w:r>
    </w:p>
    <w:p w14:paraId="1DB8837F" w14:textId="77777777" w:rsidR="00D304F1" w:rsidRPr="004D79FB" w:rsidRDefault="00D304F1" w:rsidP="00D304F1">
      <w:pPr>
        <w:rPr>
          <w:b/>
        </w:rPr>
      </w:pPr>
      <w:r>
        <w:rPr>
          <w:b/>
          <w:bCs/>
        </w:rPr>
        <w:t xml:space="preserve">Применение Европейского соглашения о международной </w:t>
      </w:r>
      <w:r>
        <w:rPr>
          <w:b/>
          <w:bCs/>
        </w:rPr>
        <w:br/>
      </w:r>
      <w:r>
        <w:rPr>
          <w:b/>
          <w:bCs/>
        </w:rPr>
        <w:t xml:space="preserve">перевозке опасных грузов по внутренним водным </w:t>
      </w:r>
      <w:r>
        <w:rPr>
          <w:b/>
          <w:bCs/>
        </w:rPr>
        <w:br/>
      </w:r>
      <w:r>
        <w:rPr>
          <w:b/>
          <w:bCs/>
        </w:rPr>
        <w:t>путям (ВОПОГ): подготовка экспертов</w:t>
      </w:r>
    </w:p>
    <w:p w14:paraId="4A995DA0" w14:textId="77777777" w:rsidR="00D304F1" w:rsidRPr="004D79FB" w:rsidRDefault="00D304F1" w:rsidP="00D304F1">
      <w:pPr>
        <w:pStyle w:val="HChG"/>
      </w:pPr>
      <w:r>
        <w:tab/>
      </w:r>
      <w:r>
        <w:tab/>
      </w:r>
      <w:r>
        <w:rPr>
          <w:bCs/>
        </w:rPr>
        <w:t>Доклад о работе двадцать второго совещания неофициальной рабочей группы по подготовке экспертов</w:t>
      </w:r>
      <w:bookmarkStart w:id="1" w:name="_Hlk102115996"/>
    </w:p>
    <w:bookmarkEnd w:id="1"/>
    <w:p w14:paraId="78A9AFB1" w14:textId="77777777" w:rsidR="00D304F1" w:rsidRPr="004D79FB" w:rsidRDefault="00D304F1" w:rsidP="00D304F1">
      <w:pPr>
        <w:pStyle w:val="H1G"/>
      </w:pPr>
      <w:r>
        <w:tab/>
      </w:r>
      <w:r>
        <w:tab/>
      </w:r>
      <w:r>
        <w:rPr>
          <w:bCs/>
        </w:rPr>
        <w:t xml:space="preserve">Передано Центральной комиссией судоходства </w:t>
      </w:r>
      <w:r>
        <w:rPr>
          <w:bCs/>
        </w:rPr>
        <w:br/>
      </w:r>
      <w:r>
        <w:rPr>
          <w:bCs/>
        </w:rPr>
        <w:t>по Рейну (ЦКСР)</w:t>
      </w:r>
      <w:r w:rsidRPr="00D304F1">
        <w:rPr>
          <w:rStyle w:val="aa"/>
          <w:b w:val="0"/>
          <w:bCs/>
          <w:sz w:val="20"/>
          <w:vertAlign w:val="baseline"/>
          <w:lang w:eastAsia="fr-FR"/>
        </w:rPr>
        <w:footnoteReference w:customMarkFollows="1" w:id="1"/>
        <w:t>*</w:t>
      </w:r>
      <w:r w:rsidRPr="00D304F1">
        <w:rPr>
          <w:szCs w:val="24"/>
          <w:lang w:eastAsia="fr-FR"/>
        </w:rPr>
        <w:t xml:space="preserve"> </w:t>
      </w:r>
      <w:r w:rsidRPr="00D304F1">
        <w:rPr>
          <w:rStyle w:val="aa"/>
          <w:b w:val="0"/>
          <w:bCs/>
          <w:sz w:val="20"/>
          <w:vertAlign w:val="baseline"/>
          <w:lang w:eastAsia="fr-FR"/>
        </w:rPr>
        <w:footnoteReference w:customMarkFollows="1" w:id="2"/>
        <w:t>**</w:t>
      </w:r>
    </w:p>
    <w:p w14:paraId="20C62113" w14:textId="77777777" w:rsidR="00D304F1" w:rsidRPr="004D79FB" w:rsidRDefault="00D304F1" w:rsidP="00D304F1">
      <w:pPr>
        <w:pStyle w:val="SingleTxtG"/>
      </w:pPr>
      <w:r>
        <w:t>1.</w:t>
      </w:r>
      <w:r>
        <w:tab/>
        <w:t xml:space="preserve">Неофициальная рабочая группа по подготовке экспертов провела свое двадцать второе совещание 29 и 30 марта 2022 года в Страсбурге под председательством </w:t>
      </w:r>
      <w:r w:rsidR="007D0506">
        <w:br/>
      </w:r>
      <w:r>
        <w:t xml:space="preserve">г-на Бёлькера (Германия). В работе совещания приняли участие представители следующих государств: Германии (онлайн), Нидерландов (онлайн) и Швейцарии (очно). Были представлены следующие неправительственные ассоциации и организации по профессиональной подготовке: Европейский союз речного судоходства (ЕСРС), Европейская организация судоводителей (ЕОС), Binnenschiffer-Ausbildungs-Zentrum (B.A.Z. </w:t>
      </w:r>
      <w:r w:rsidRPr="00D304F1">
        <w:t>—</w:t>
      </w:r>
      <w:r>
        <w:t xml:space="preserve"> Центр подготовки работников водного транспорта, занятых на внутренних водных путях), HGK Ship Management (учебный центр) и GUSPAF GmbH.</w:t>
      </w:r>
    </w:p>
    <w:p w14:paraId="6BEF8E79" w14:textId="77777777" w:rsidR="00D304F1" w:rsidRPr="004D79FB" w:rsidRDefault="00D304F1" w:rsidP="00D304F1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Утверждение повестки дня</w:t>
      </w:r>
    </w:p>
    <w:p w14:paraId="6039971D" w14:textId="77777777" w:rsidR="00D304F1" w:rsidRPr="004D79FB" w:rsidRDefault="00D304F1" w:rsidP="00D304F1">
      <w:pPr>
        <w:pStyle w:val="SingleTxtG"/>
      </w:pPr>
      <w:r>
        <w:t>CCNR-ZKR/ADN/WG/CQ/2022/2a (Повестка дня)</w:t>
      </w:r>
    </w:p>
    <w:p w14:paraId="1C6727C0" w14:textId="77777777" w:rsidR="00D304F1" w:rsidRPr="004D79FB" w:rsidRDefault="00D304F1" w:rsidP="00D304F1">
      <w:pPr>
        <w:pStyle w:val="SingleTxtG"/>
      </w:pPr>
      <w:r>
        <w:t>2.</w:t>
      </w:r>
      <w:r>
        <w:tab/>
        <w:t>Неофициальная рабочая группа утвердила повестку дня без изменений.</w:t>
      </w:r>
    </w:p>
    <w:p w14:paraId="3C6CC006" w14:textId="77777777" w:rsidR="00D304F1" w:rsidRPr="004D79FB" w:rsidRDefault="00D304F1" w:rsidP="00D304F1">
      <w:pPr>
        <w:pStyle w:val="SingleTxtG"/>
      </w:pPr>
      <w:r>
        <w:lastRenderedPageBreak/>
        <w:t>3.</w:t>
      </w:r>
      <w:r>
        <w:tab/>
        <w:t>Председатель сообщил, что последнее совещание было проведено в режиме онлайн 8–10 декабря 2020 года.</w:t>
      </w:r>
    </w:p>
    <w:p w14:paraId="330F86C3" w14:textId="77777777" w:rsidR="00D304F1" w:rsidRPr="004D79FB" w:rsidRDefault="00D304F1" w:rsidP="00D304F1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График работы</w:t>
      </w:r>
    </w:p>
    <w:p w14:paraId="75B1C5D9" w14:textId="77777777" w:rsidR="00D304F1" w:rsidRPr="004D79FB" w:rsidRDefault="00D304F1" w:rsidP="00F96614">
      <w:pPr>
        <w:pStyle w:val="SingleTxtG"/>
        <w:jc w:val="left"/>
      </w:pPr>
      <w:r>
        <w:t>CCNR-ZKR/ADN/WG/CQ/2022/6 (График работы)</w:t>
      </w:r>
    </w:p>
    <w:p w14:paraId="3FFFFBF6" w14:textId="77777777" w:rsidR="00D304F1" w:rsidRPr="004D79FB" w:rsidRDefault="00D304F1" w:rsidP="00F96614">
      <w:pPr>
        <w:pStyle w:val="SingleTxtG"/>
        <w:jc w:val="left"/>
      </w:pPr>
      <w:r>
        <w:t>Неофициальный документ INF.10 тридцать пятой сессии</w:t>
      </w:r>
    </w:p>
    <w:p w14:paraId="5A71D605" w14:textId="77777777" w:rsidR="00D304F1" w:rsidRPr="004D79FB" w:rsidRDefault="00D304F1" w:rsidP="00D304F1">
      <w:pPr>
        <w:pStyle w:val="SingleTxtG"/>
      </w:pPr>
      <w:r>
        <w:t>4.</w:t>
      </w:r>
      <w:r>
        <w:tab/>
        <w:t>Предыдущая программа работы охватывала период 2019–2020 годов. Во время пандемии COVID-19 не было разработано никаких новых вариантов. Следующий вариант будет подготовлен на основе ВОПОГ 2023 года.</w:t>
      </w:r>
    </w:p>
    <w:p w14:paraId="5C2C6CDC" w14:textId="77777777" w:rsidR="00D304F1" w:rsidRPr="004D79FB" w:rsidRDefault="00D304F1" w:rsidP="00D304F1">
      <w:pPr>
        <w:pStyle w:val="SingleTxtG"/>
      </w:pPr>
      <w:r>
        <w:t>5.</w:t>
      </w:r>
      <w:r>
        <w:tab/>
        <w:t xml:space="preserve">Неофициальная рабочая группа определила постоянные задачи (№ 2 </w:t>
      </w:r>
      <w:r w:rsidR="00F96614" w:rsidRPr="00F96614">
        <w:t>—</w:t>
      </w:r>
      <w:r>
        <w:t xml:space="preserve"> Вопросы Комитета по вопросам безопасности ВОПОГ и № 3 </w:t>
      </w:r>
      <w:r w:rsidR="00F96614" w:rsidRPr="00F96614">
        <w:t>—</w:t>
      </w:r>
      <w:r>
        <w:t xml:space="preserve"> Уточнение общих вопросов, касающихся подготовки) и установила приоритеты в отношении остальных задач. Было решено использовать недавно разработанный Европейский стандарт квалификации в области внутреннего судоходства (ЕС-КВС) в качестве основы для необходимого пересмотра вопросов оказания первой помощи.</w:t>
      </w:r>
      <w:bookmarkStart w:id="2" w:name="_Hlk99714364"/>
      <w:bookmarkEnd w:id="2"/>
    </w:p>
    <w:p w14:paraId="2F59151B" w14:textId="77777777" w:rsidR="00D304F1" w:rsidRPr="004D79FB" w:rsidRDefault="00D304F1" w:rsidP="00D304F1">
      <w:pPr>
        <w:pStyle w:val="SingleTxtG"/>
      </w:pPr>
      <w:r>
        <w:t>6.</w:t>
      </w:r>
      <w:r>
        <w:tab/>
        <w:t>Завершена работа по пунктам, касающимся спасательных лебедок (1.3.2), огня и незащищенного света (1.3.3), шестимесячного срока для специализированных курсов (2.2) и формата статистических данных о сдаче экзаменов (2.4.2).</w:t>
      </w:r>
    </w:p>
    <w:p w14:paraId="078B76D7" w14:textId="77777777" w:rsidR="00D304F1" w:rsidRPr="004D79FB" w:rsidRDefault="00D304F1" w:rsidP="00D304F1">
      <w:pPr>
        <w:pStyle w:val="SingleTxtG"/>
        <w:rPr>
          <w:b/>
        </w:rPr>
      </w:pPr>
      <w:r>
        <w:t>7.</w:t>
      </w:r>
      <w:r>
        <w:tab/>
        <w:t>В программу работы добавлен новый пункт (3.1): «Разрешенная документация для экзаменов по газам и химическим продуктам».</w:t>
      </w:r>
    </w:p>
    <w:p w14:paraId="0C5ADB45" w14:textId="77777777" w:rsidR="00D304F1" w:rsidRPr="004D79FB" w:rsidRDefault="00D304F1" w:rsidP="00D304F1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Постоянное адаптирование каталога вопросов по</w:t>
      </w:r>
      <w:r w:rsidR="00F96614">
        <w:rPr>
          <w:bCs/>
          <w:lang w:val="en-US"/>
        </w:rPr>
        <w:t> </w:t>
      </w:r>
      <w:r>
        <w:rPr>
          <w:bCs/>
        </w:rPr>
        <w:t>ВОПОГ 2021 года</w:t>
      </w:r>
    </w:p>
    <w:p w14:paraId="149A8C48" w14:textId="77777777" w:rsidR="00D304F1" w:rsidRPr="004D79FB" w:rsidRDefault="00D304F1" w:rsidP="00F96614">
      <w:pPr>
        <w:pStyle w:val="SingleTxtG"/>
        <w:jc w:val="left"/>
      </w:pPr>
      <w:r>
        <w:t>(пункт 1 графика работы)</w:t>
      </w:r>
    </w:p>
    <w:p w14:paraId="08047210" w14:textId="77777777" w:rsidR="00D304F1" w:rsidRPr="004D79FB" w:rsidRDefault="00D304F1" w:rsidP="00F96614">
      <w:pPr>
        <w:pStyle w:val="SingleTxtG"/>
        <w:jc w:val="left"/>
      </w:pPr>
      <w:bookmarkStart w:id="3" w:name="_Hlk98425784"/>
      <w:bookmarkStart w:id="4" w:name="_Hlk57985923"/>
      <w:r>
        <w:t>ECE/TRANS/WP.15/AC.2/2021/13 (Общие вопросы)</w:t>
      </w:r>
      <w:bookmarkEnd w:id="3"/>
    </w:p>
    <w:bookmarkEnd w:id="4"/>
    <w:p w14:paraId="2D98835D" w14:textId="77777777" w:rsidR="00D304F1" w:rsidRPr="004D79FB" w:rsidRDefault="00D304F1" w:rsidP="00F96614">
      <w:pPr>
        <w:pStyle w:val="SingleTxtG"/>
        <w:jc w:val="left"/>
      </w:pPr>
      <w:r>
        <w:t>ECE/TRANS/WP.15/AC.2/2021/11 (Химические продукты)</w:t>
      </w:r>
    </w:p>
    <w:p w14:paraId="4EF45F6D" w14:textId="77777777" w:rsidR="00D304F1" w:rsidRPr="004D79FB" w:rsidRDefault="00D304F1" w:rsidP="00F96614">
      <w:pPr>
        <w:pStyle w:val="SingleTxtG"/>
        <w:jc w:val="left"/>
        <w:rPr>
          <w:lang w:val="en-US"/>
        </w:rPr>
      </w:pPr>
      <w:r w:rsidRPr="004D79FB">
        <w:rPr>
          <w:lang w:val="en-US"/>
        </w:rPr>
        <w:t>ECE/TRANS/WP.15/AC.2/2021/12 (</w:t>
      </w:r>
      <w:r>
        <w:t>Газы</w:t>
      </w:r>
      <w:r w:rsidRPr="004D79FB">
        <w:rPr>
          <w:lang w:val="en-US"/>
        </w:rPr>
        <w:t>)</w:t>
      </w:r>
    </w:p>
    <w:p w14:paraId="0FFDADDF" w14:textId="77777777" w:rsidR="00D304F1" w:rsidRPr="004D79FB" w:rsidRDefault="00D304F1" w:rsidP="00F96614">
      <w:pPr>
        <w:pStyle w:val="SingleTxtG"/>
        <w:jc w:val="left"/>
      </w:pPr>
      <w:r>
        <w:t xml:space="preserve">ECE/TRANS/WP.15/AC.2/2011/4-17 </w:t>
      </w:r>
      <w:r w:rsidR="00F96614" w:rsidRPr="00F96614">
        <w:t>—</w:t>
      </w:r>
      <w:r>
        <w:t xml:space="preserve"> передано секретариатом (конфиденциальные документы, вопросы существа по ВОПОГ 2011 года)</w:t>
      </w:r>
    </w:p>
    <w:p w14:paraId="1203EC40" w14:textId="77777777" w:rsidR="00D304F1" w:rsidRPr="004D79FB" w:rsidRDefault="00D304F1" w:rsidP="00F96614">
      <w:pPr>
        <w:pStyle w:val="SingleTxtG"/>
        <w:jc w:val="left"/>
      </w:pPr>
      <w:r>
        <w:t>Вопросы существа по газам (сервер BSCW)</w:t>
      </w:r>
    </w:p>
    <w:p w14:paraId="3B8B1B7B" w14:textId="77777777" w:rsidR="00D304F1" w:rsidRPr="004D79FB" w:rsidRDefault="00D304F1" w:rsidP="00F96614">
      <w:pPr>
        <w:pStyle w:val="SingleTxtG"/>
        <w:jc w:val="left"/>
      </w:pPr>
      <w:bookmarkStart w:id="5" w:name="_Hlk25240586"/>
      <w:r>
        <w:t>ECE/ADN/2022/1 (Предлагаемые поправки к Правилам, прилагаемым к ВОПОГ, для вступления в силу 1 января 2023 года)</w:t>
      </w:r>
      <w:bookmarkEnd w:id="5"/>
    </w:p>
    <w:p w14:paraId="62AA1B6B" w14:textId="77777777" w:rsidR="00D304F1" w:rsidRPr="004D79FB" w:rsidRDefault="00D304F1" w:rsidP="00F96614">
      <w:pPr>
        <w:pStyle w:val="SingleTxtG"/>
        <w:jc w:val="left"/>
      </w:pPr>
      <w:r>
        <w:t>ECE/TRANS/WP.15/AC.2/80 (Доклад о работе тридцать девятой сессии Комитета по вопросам безопасности ВОПОГ, приложение I «Предлагаемые поправки к Правилам, прилагаемым к ВОПОГ, для вступления в силу 1 января 2023 года»)</w:t>
      </w:r>
      <w:bookmarkStart w:id="6" w:name="_Toc410743246"/>
      <w:bookmarkStart w:id="7" w:name="_Toc428948781"/>
      <w:bookmarkStart w:id="8" w:name="_Toc442372095"/>
      <w:bookmarkStart w:id="9" w:name="_Toc505688398"/>
      <w:bookmarkEnd w:id="6"/>
      <w:bookmarkEnd w:id="7"/>
      <w:bookmarkEnd w:id="8"/>
      <w:bookmarkEnd w:id="9"/>
    </w:p>
    <w:p w14:paraId="32EABAA1" w14:textId="77777777" w:rsidR="00D304F1" w:rsidRPr="004D79FB" w:rsidRDefault="00D304F1" w:rsidP="00D304F1">
      <w:pPr>
        <w:pStyle w:val="SingleTxtG"/>
      </w:pPr>
      <w:r>
        <w:t>8.</w:t>
      </w:r>
      <w:r>
        <w:tab/>
        <w:t>Было решено, что вопросы существа будут проверены на двусторонней основе различными экспертами и представлены неофициальной рабочей группе на ее следующем совещании.</w:t>
      </w:r>
    </w:p>
    <w:p w14:paraId="72067566" w14:textId="77777777" w:rsidR="00D304F1" w:rsidRPr="004D79FB" w:rsidRDefault="00D304F1" w:rsidP="00D304F1">
      <w:pPr>
        <w:pStyle w:val="H23G"/>
      </w:pPr>
      <w:bookmarkStart w:id="10" w:name="_Hlk99638309"/>
      <w:r>
        <w:rPr>
          <w:bCs/>
        </w:rPr>
        <w:tab/>
        <w:t>1.</w:t>
      </w:r>
      <w:r>
        <w:tab/>
      </w:r>
      <w:r>
        <w:rPr>
          <w:bCs/>
        </w:rPr>
        <w:t>Издание ВОПОГ 2023 года</w:t>
      </w:r>
    </w:p>
    <w:bookmarkEnd w:id="10"/>
    <w:p w14:paraId="7CD2ABC2" w14:textId="77777777" w:rsidR="00D304F1" w:rsidRPr="004D79FB" w:rsidRDefault="00D304F1" w:rsidP="00D304F1">
      <w:pPr>
        <w:pStyle w:val="SingleTxtG"/>
      </w:pPr>
      <w:r>
        <w:t>(пункт 1.3 графика работы)</w:t>
      </w:r>
    </w:p>
    <w:p w14:paraId="39142C49" w14:textId="77777777" w:rsidR="00D304F1" w:rsidRPr="004D79FB" w:rsidRDefault="00D304F1" w:rsidP="00D304F1">
      <w:pPr>
        <w:pStyle w:val="SingleTxtG"/>
      </w:pPr>
      <w:r>
        <w:t>9.</w:t>
      </w:r>
      <w:r>
        <w:tab/>
        <w:t>Секретариат ЦКСР распространит проект варианта ВОПОГ 2023 года на немецком языке в июне 2022 года (используя режим «отслеживания изменений»).</w:t>
      </w:r>
    </w:p>
    <w:p w14:paraId="55F3BB45" w14:textId="77777777" w:rsidR="00D304F1" w:rsidRPr="004D79FB" w:rsidRDefault="00D304F1" w:rsidP="00D304F1">
      <w:pPr>
        <w:pStyle w:val="SingleTxtG"/>
      </w:pPr>
      <w:r>
        <w:t>10.</w:t>
      </w:r>
      <w:r>
        <w:tab/>
        <w:t xml:space="preserve">Было принято решение о распределении работы по обновлению каталога вопросов по ВОПОГ 2023 года. (Примечание: измененные вопросы должны быть направлены г-ну Бёлькеру, а также в секретариат ЦКСР для информации до конца </w:t>
      </w:r>
      <w:r>
        <w:lastRenderedPageBreak/>
        <w:t>июля. Г-н Бёлькер соберет изменения и распространит обновленные каталоги вопросов через секретариат ЦКСР до сентябрьского совещания в Страсбурге).</w:t>
      </w:r>
    </w:p>
    <w:p w14:paraId="02641C3D" w14:textId="77777777" w:rsidR="00D304F1" w:rsidRPr="004D79FB" w:rsidRDefault="00D304F1" w:rsidP="00D304F1">
      <w:pPr>
        <w:pStyle w:val="SingleTxtG"/>
      </w:pPr>
      <w:r>
        <w:t>11.</w:t>
      </w:r>
      <w:r>
        <w:tab/>
        <w:t>Что касается каталога вопросов по ВОПОГ 2025 года, было предложено перераспределить темы между участниками, чтобы избежать того, чтобы одни и те же лица/группы лиц всегда занимались одними и теми же экзаменационными вопросами.</w:t>
      </w:r>
    </w:p>
    <w:p w14:paraId="559BFF4A" w14:textId="77777777" w:rsidR="00D304F1" w:rsidRPr="004D79FB" w:rsidRDefault="00D304F1" w:rsidP="00D304F1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Адаптирование директивы по использованию каталога вопросов для экзаменования экспертов в области ВОПОГ</w:t>
      </w:r>
    </w:p>
    <w:p w14:paraId="5C9D9D63" w14:textId="77777777" w:rsidR="00D304F1" w:rsidRPr="004D79FB" w:rsidRDefault="00D304F1" w:rsidP="00D304F1">
      <w:pPr>
        <w:pStyle w:val="SingleTxtG"/>
      </w:pPr>
      <w:bookmarkStart w:id="11" w:name="_Hlk99635912"/>
      <w:r>
        <w:t>(пункт 2.1 графика работы)</w:t>
      </w:r>
    </w:p>
    <w:p w14:paraId="25ABD833" w14:textId="77777777" w:rsidR="00D304F1" w:rsidRPr="004D79FB" w:rsidRDefault="00D304F1" w:rsidP="00F96614">
      <w:pPr>
        <w:pStyle w:val="SingleTxtG"/>
        <w:jc w:val="left"/>
      </w:pPr>
      <w:bookmarkStart w:id="12" w:name="_Hlk99637501"/>
      <w:bookmarkEnd w:id="11"/>
      <w:r>
        <w:t>CCNR-ZKR/ADN/WG/CQ/2022/9 (Распределение работы над каталогом вопросов по ВОПОГ 2023 года)</w:t>
      </w:r>
      <w:bookmarkEnd w:id="12"/>
    </w:p>
    <w:p w14:paraId="4C91F252" w14:textId="77777777" w:rsidR="00D304F1" w:rsidRPr="004D79FB" w:rsidRDefault="00D304F1" w:rsidP="00D304F1">
      <w:pPr>
        <w:pStyle w:val="SingleTxtG"/>
      </w:pPr>
      <w:r>
        <w:t>12.</w:t>
      </w:r>
      <w:r>
        <w:tab/>
        <w:t>Неофициальная рабочая группа обсудила и обновила директиву по использованию каталога вопросов для экзаменования экспертов в области ВОПОГ.</w:t>
      </w:r>
    </w:p>
    <w:p w14:paraId="160A0CCF" w14:textId="77777777" w:rsidR="00D304F1" w:rsidRPr="004D79FB" w:rsidRDefault="00D304F1" w:rsidP="00D304F1">
      <w:pPr>
        <w:pStyle w:val="SingleTxtG"/>
      </w:pPr>
      <w:r>
        <w:t>13.</w:t>
      </w:r>
      <w:r>
        <w:tab/>
        <w:t>В вариантах ВОПОГ на французском и немецком языках в разделе</w:t>
      </w:r>
      <w:r w:rsidR="00F96614">
        <w:rPr>
          <w:lang w:val="en-US"/>
        </w:rPr>
        <w:t> </w:t>
      </w:r>
      <w:r>
        <w:t>8.2 используются термины «TEST» и «PRÜFUNG» («тест»). В варианте на английском языке оба термина переведены как «examination» («экзамен»). Предлагается проверить этот перевод в варианте на английском языке и, при необходимости, адаптировать его с учетом вариантов на немецком и французском языках.</w:t>
      </w:r>
    </w:p>
    <w:p w14:paraId="1A9A0C96" w14:textId="77777777" w:rsidR="00D304F1" w:rsidRPr="004D79FB" w:rsidRDefault="00D304F1" w:rsidP="00D304F1">
      <w:pPr>
        <w:pStyle w:val="SingleTxtG"/>
      </w:pPr>
      <w:r>
        <w:t>14.</w:t>
      </w:r>
      <w:r>
        <w:tab/>
        <w:t>Председатель предложил секретариату повторно представить документ CCNR-CNR/ADN/WG/CQ/2022/9 в режиме «отслеживания изменений» для следующего совещания неофициальной рабочей группы.</w:t>
      </w:r>
    </w:p>
    <w:p w14:paraId="22E1907D" w14:textId="77777777" w:rsidR="00D304F1" w:rsidRPr="004D79FB" w:rsidRDefault="00D304F1" w:rsidP="00D304F1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Обучение и экзаменование экспертов в области ВОПОГ</w:t>
      </w:r>
    </w:p>
    <w:p w14:paraId="4270D584" w14:textId="77777777" w:rsidR="00D304F1" w:rsidRPr="004D79FB" w:rsidRDefault="00D304F1" w:rsidP="00D304F1">
      <w:pPr>
        <w:pStyle w:val="SingleTxtG"/>
      </w:pPr>
      <w:r>
        <w:t>(пункт 2 графика работы)</w:t>
      </w:r>
    </w:p>
    <w:p w14:paraId="7DBBF514" w14:textId="77777777" w:rsidR="00D304F1" w:rsidRPr="004D79FB" w:rsidRDefault="00D304F1" w:rsidP="00D304F1">
      <w:pPr>
        <w:pStyle w:val="H23G"/>
      </w:pPr>
      <w:bookmarkStart w:id="13" w:name="_Hlk99640314"/>
      <w:r>
        <w:rPr>
          <w:bCs/>
        </w:rPr>
        <w:tab/>
        <w:t>1.</w:t>
      </w:r>
      <w:r>
        <w:tab/>
      </w:r>
      <w:r>
        <w:rPr>
          <w:bCs/>
        </w:rPr>
        <w:t>Проведение курсов подготовки, указанных в главе 8.2</w:t>
      </w:r>
      <w:bookmarkEnd w:id="13"/>
    </w:p>
    <w:p w14:paraId="2EB5EF16" w14:textId="77777777" w:rsidR="00D304F1" w:rsidRPr="004D79FB" w:rsidRDefault="00D304F1" w:rsidP="00D304F1">
      <w:pPr>
        <w:pStyle w:val="SingleTxtG"/>
      </w:pPr>
      <w:r>
        <w:t>15.</w:t>
      </w:r>
      <w:r>
        <w:tab/>
        <w:t>Представитель учебных институтов предложил прерывать обучение на курсах по ВОПОГ в выходные дни, чтобы участники могли уезжать домой на выходные. Это отвечает пожеланиям участников курсов о более оптимальном совмещении профессиональной и личной жизни и способствует социальной устойчивости внутреннего водного транспорта. Неофициальная рабочая группа обменялась мнениями по поводу этой ситуации и пришла к выводу, что ничто не препятствует тому, чтобы не проводить занятия в выходные дни.</w:t>
      </w:r>
    </w:p>
    <w:p w14:paraId="14A1EB59" w14:textId="77777777" w:rsidR="00D304F1" w:rsidRPr="004D79FB" w:rsidRDefault="00D304F1" w:rsidP="00D304F1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Гармонизация главы 8.2 «Предписания, касающиеся подготовки» с моделью электронного обучения согласно ДОПОГ</w:t>
      </w:r>
    </w:p>
    <w:p w14:paraId="22CE6C55" w14:textId="77777777" w:rsidR="00D304F1" w:rsidRPr="004D79FB" w:rsidRDefault="00D304F1" w:rsidP="00D304F1">
      <w:pPr>
        <w:pStyle w:val="SingleTxtG"/>
      </w:pPr>
      <w:r>
        <w:t>16.</w:t>
      </w:r>
      <w:r>
        <w:tab/>
        <w:t xml:space="preserve">Для этой цели была создана новая неофициальная рабочая группа Совместного совещания МПОГ/ДОПОГ/ВОПОГ по электронному обучению. Представителям неправительственных организаций в Комитете по вопросам безопасности было предложено участвовать в совещаниях данной неофициальной рабочей группы. Эта деятельность также соответствует Мангеймской декларации министров транспорта государств </w:t>
      </w:r>
      <w:r w:rsidR="00F10E08" w:rsidRPr="00F10E08">
        <w:t>—</w:t>
      </w:r>
      <w:r>
        <w:t xml:space="preserve"> членов ЦКСР, в пункте 5 которой содержится призыв к ЦКСР активно продолжать внедрение цифровых технологий, автоматизации и других современных технологий.</w:t>
      </w:r>
    </w:p>
    <w:p w14:paraId="641EB8CA" w14:textId="77777777" w:rsidR="00D304F1" w:rsidRPr="004D79FB" w:rsidRDefault="00D304F1" w:rsidP="00D304F1">
      <w:pPr>
        <w:pStyle w:val="SingleTxtG"/>
      </w:pPr>
      <w:r>
        <w:t>17.</w:t>
      </w:r>
      <w:r>
        <w:tab/>
        <w:t>Первое совещание этой рабочей группы состоится 17 мая 2022 года. Задачи неофициальной рабочей группы состоят, в частности, в следующем:</w:t>
      </w:r>
    </w:p>
    <w:p w14:paraId="09A41B44" w14:textId="77777777" w:rsidR="00D304F1" w:rsidRPr="004D79FB" w:rsidRDefault="00D304F1" w:rsidP="00D304F1">
      <w:pPr>
        <w:pStyle w:val="SingleTxtG"/>
        <w:ind w:firstLine="567"/>
      </w:pPr>
      <w:r>
        <w:t>a)</w:t>
      </w:r>
      <w:r>
        <w:tab/>
        <w:t>изучить, какие форматы электронного обучения гарантируют качество, сравнимое с качеством традиционных курсов;</w:t>
      </w:r>
    </w:p>
    <w:p w14:paraId="77B6B92C" w14:textId="77777777" w:rsidR="00D304F1" w:rsidRPr="004D79FB" w:rsidRDefault="00D304F1" w:rsidP="00D304F1">
      <w:pPr>
        <w:pStyle w:val="SingleTxtG"/>
        <w:ind w:firstLine="567"/>
      </w:pPr>
      <w:r>
        <w:t>b)</w:t>
      </w:r>
      <w:r>
        <w:tab/>
        <w:t>определить, какие изменения необходимо внести для этой цели в ВОПОГ/ДОПОГ; и</w:t>
      </w:r>
    </w:p>
    <w:p w14:paraId="37EAB30A" w14:textId="77777777" w:rsidR="00D304F1" w:rsidRPr="004D79FB" w:rsidRDefault="00D304F1" w:rsidP="00D304F1">
      <w:pPr>
        <w:pStyle w:val="SingleTxtG"/>
        <w:ind w:firstLine="567"/>
      </w:pPr>
      <w:r>
        <w:lastRenderedPageBreak/>
        <w:t>c)</w:t>
      </w:r>
      <w:r>
        <w:tab/>
        <w:t>изучить, как практические занятия, упомянутые в подразделах 8.2.2.4 и</w:t>
      </w:r>
      <w:r>
        <w:rPr>
          <w:lang w:val="en-US"/>
        </w:rPr>
        <w:t> </w:t>
      </w:r>
      <w:r>
        <w:t>8.2.2.5 ВОПОГ, могут быть интегрированы в концепцию электронного обучения.</w:t>
      </w:r>
    </w:p>
    <w:p w14:paraId="41E34965" w14:textId="77777777" w:rsidR="00D304F1" w:rsidRPr="004D79FB" w:rsidRDefault="00D304F1" w:rsidP="00D304F1">
      <w:pPr>
        <w:pStyle w:val="SingleTxtG"/>
      </w:pPr>
      <w:r>
        <w:t>18.</w:t>
      </w:r>
      <w:r>
        <w:tab/>
        <w:t>Представитель Германии предложил сначала поработать над предложением о дистанционном обучении для основных курсов подготовки и специализированных курсов подготовки.</w:t>
      </w:r>
    </w:p>
    <w:p w14:paraId="47837B76" w14:textId="77777777" w:rsidR="00D304F1" w:rsidRPr="004D79FB" w:rsidRDefault="00D304F1" w:rsidP="00D304F1">
      <w:pPr>
        <w:pStyle w:val="SingleTxtG"/>
      </w:pPr>
      <w:r>
        <w:t>19.</w:t>
      </w:r>
      <w:r>
        <w:tab/>
        <w:t>На следующем совещании секретариат представит доклад о положениях Правил в отношении персонала, используемого в судоходстве на Рейне, которые касаются дистанционного обучения.</w:t>
      </w:r>
    </w:p>
    <w:p w14:paraId="1A243A8E" w14:textId="77777777" w:rsidR="00D304F1" w:rsidRPr="004D79FB" w:rsidRDefault="00D304F1" w:rsidP="00D304F1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Анализ статистических данных о сдаче экзаменов</w:t>
      </w:r>
    </w:p>
    <w:p w14:paraId="7AE72782" w14:textId="77777777" w:rsidR="00D304F1" w:rsidRPr="004D79FB" w:rsidRDefault="00D304F1" w:rsidP="00F10E08">
      <w:pPr>
        <w:pStyle w:val="SingleTxtG"/>
        <w:jc w:val="left"/>
      </w:pPr>
      <w:r>
        <w:t>CCNR-ZKR/ADN/WG/CQ/2022/7 (Таблица статистических данных о сдаче экзаменов)</w:t>
      </w:r>
    </w:p>
    <w:p w14:paraId="10E3A2D6" w14:textId="77777777" w:rsidR="00D304F1" w:rsidRPr="004D79FB" w:rsidRDefault="00D304F1" w:rsidP="00D304F1">
      <w:pPr>
        <w:pStyle w:val="SingleTxtG"/>
      </w:pPr>
      <w:r>
        <w:t>20.</w:t>
      </w:r>
      <w:r>
        <w:tab/>
        <w:t>Председатель представил статистические данные о сдаче экзаменов по основным курсам подготовки и специализированным курсам подготовки.</w:t>
      </w:r>
    </w:p>
    <w:p w14:paraId="07EAA1EB" w14:textId="77777777" w:rsidR="00D304F1" w:rsidRPr="004D79FB" w:rsidRDefault="00D304F1" w:rsidP="00D304F1">
      <w:pPr>
        <w:pStyle w:val="SingleTxtG"/>
      </w:pPr>
      <w:r>
        <w:t>21.</w:t>
      </w:r>
      <w:r>
        <w:tab/>
        <w:t xml:space="preserve">Неофициальная рабочая группа отметила, что статистические данные о сдаче экзаменов собираются </w:t>
      </w:r>
      <w:bookmarkStart w:id="14" w:name="_GoBack"/>
      <w:bookmarkEnd w:id="14"/>
      <w:r>
        <w:t>и регистрируются разрозненно. В частности, по-прежнему отсутствуют данные, касающиеся курсов переподготовки. Всем договаривающимся сторонам ВОПОГ было предложено предоставить результаты экзаменов неофициальной рабочей группе.</w:t>
      </w:r>
    </w:p>
    <w:p w14:paraId="4F52745C" w14:textId="77777777" w:rsidR="00D304F1" w:rsidRPr="004D79FB" w:rsidRDefault="00D304F1" w:rsidP="00D304F1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>Общие вопросы по каталогу вопросов</w:t>
      </w:r>
      <w:bookmarkStart w:id="15" w:name="_Hlk99643666"/>
    </w:p>
    <w:bookmarkEnd w:id="15"/>
    <w:p w14:paraId="2946CBE8" w14:textId="77777777" w:rsidR="00D304F1" w:rsidRPr="004D79FB" w:rsidRDefault="00D304F1" w:rsidP="00D304F1">
      <w:pPr>
        <w:pStyle w:val="SingleTxtG"/>
        <w:keepNext/>
        <w:keepLines/>
        <w:rPr>
          <w:rStyle w:val="SingleTxtGChar"/>
        </w:rPr>
      </w:pPr>
      <w:r>
        <w:t>(пункт 3 графика работы)</w:t>
      </w:r>
    </w:p>
    <w:p w14:paraId="1C095EFF" w14:textId="77777777" w:rsidR="00D304F1" w:rsidRPr="004D79FB" w:rsidRDefault="00D304F1" w:rsidP="00D304F1">
      <w:pPr>
        <w:pStyle w:val="SingleTxtG"/>
      </w:pPr>
      <w:r>
        <w:t>22.</w:t>
      </w:r>
      <w:r>
        <w:tab/>
        <w:t>Неофициальная рабочая группа обсудила предложение ЕСРС/ЕОС об увеличении продолжительности тестов с 60 до 75 минут. Были рассмотрены три подхода к адаптации тестов:</w:t>
      </w:r>
    </w:p>
    <w:p w14:paraId="2E8E1CB4" w14:textId="77777777" w:rsidR="00D304F1" w:rsidRPr="004D79FB" w:rsidRDefault="00D304F1" w:rsidP="00D304F1">
      <w:pPr>
        <w:pStyle w:val="SingleTxtG"/>
        <w:ind w:firstLine="567"/>
      </w:pPr>
      <w:r>
        <w:t>a)</w:t>
      </w:r>
      <w:r>
        <w:tab/>
        <w:t>увеличение продолжительности с 60 до 75 минут;</w:t>
      </w:r>
    </w:p>
    <w:p w14:paraId="1CEFE47C" w14:textId="77777777" w:rsidR="00D304F1" w:rsidRPr="004D79FB" w:rsidRDefault="00D304F1" w:rsidP="00D304F1">
      <w:pPr>
        <w:pStyle w:val="SingleTxtG"/>
        <w:ind w:firstLine="567"/>
      </w:pPr>
      <w:r>
        <w:t>b)</w:t>
      </w:r>
      <w:r>
        <w:tab/>
        <w:t>упрощение формулировок вопросов; и</w:t>
      </w:r>
    </w:p>
    <w:p w14:paraId="3A1D1A47" w14:textId="77777777" w:rsidR="00D304F1" w:rsidRPr="004D79FB" w:rsidRDefault="00D304F1" w:rsidP="00D304F1">
      <w:pPr>
        <w:pStyle w:val="SingleTxtG"/>
        <w:ind w:firstLine="567"/>
      </w:pPr>
      <w:r>
        <w:t>c)</w:t>
      </w:r>
      <w:r>
        <w:tab/>
        <w:t>сокращение количества ответов с четырех до трех.</w:t>
      </w:r>
    </w:p>
    <w:p w14:paraId="0985D63C" w14:textId="77777777" w:rsidR="00D304F1" w:rsidRPr="004D79FB" w:rsidRDefault="00D304F1" w:rsidP="00D304F1">
      <w:pPr>
        <w:pStyle w:val="SingleTxtG"/>
      </w:pPr>
      <w:r>
        <w:t>Неофициальная рабочая группа единодушно согласилась с тем, что уровень экзамена не должен быть снижен.</w:t>
      </w:r>
    </w:p>
    <w:p w14:paraId="6E78775D" w14:textId="77777777" w:rsidR="00D304F1" w:rsidRPr="004D79FB" w:rsidRDefault="00D304F1" w:rsidP="00D304F1">
      <w:pPr>
        <w:pStyle w:val="SingleTxtG"/>
      </w:pPr>
      <w:r>
        <w:t>23.</w:t>
      </w:r>
      <w:r>
        <w:tab/>
        <w:t xml:space="preserve">Кандидаты должны владеть языком экзамена на уровне не ниже B1. В Германии предлагаются только экзамены на немецком языке, а в Нидерландах </w:t>
      </w:r>
      <w:r w:rsidR="00F10E08" w:rsidRPr="003F5617">
        <w:t>—</w:t>
      </w:r>
      <w:r>
        <w:t xml:space="preserve"> только на нидерландском языке.</w:t>
      </w:r>
    </w:p>
    <w:p w14:paraId="1E881423" w14:textId="77777777" w:rsidR="00D304F1" w:rsidRPr="004D79FB" w:rsidRDefault="00D304F1" w:rsidP="00D304F1">
      <w:pPr>
        <w:pStyle w:val="SingleTxtG"/>
      </w:pPr>
      <w:r>
        <w:t>24.</w:t>
      </w:r>
      <w:r>
        <w:tab/>
        <w:t>Неофициальная рабочая группа решила в качестве первого шага сократить и упростить формулировки вопросов и ответов. Если этого окажется недостаточно, возможным вторым шагом будет соответствующее увеличение продолжительности экзамена или сокращение количества ответов с четырех до трех.</w:t>
      </w:r>
    </w:p>
    <w:p w14:paraId="6579452D" w14:textId="77777777" w:rsidR="00D304F1" w:rsidRPr="004D79FB" w:rsidRDefault="00D304F1" w:rsidP="00D304F1">
      <w:pPr>
        <w:pStyle w:val="HChG"/>
      </w:pPr>
      <w:bookmarkStart w:id="16" w:name="_Hlk99645366"/>
      <w:r>
        <w:rPr>
          <w:bCs/>
        </w:rPr>
        <w:tab/>
        <w:t>VI.</w:t>
      </w:r>
      <w:r>
        <w:tab/>
      </w:r>
      <w:r>
        <w:rPr>
          <w:bCs/>
        </w:rPr>
        <w:t>Прочие вопросы</w:t>
      </w:r>
    </w:p>
    <w:bookmarkEnd w:id="16"/>
    <w:p w14:paraId="785FAD9B" w14:textId="77777777" w:rsidR="00D304F1" w:rsidRPr="004D79FB" w:rsidRDefault="00D304F1" w:rsidP="00D304F1">
      <w:pPr>
        <w:pStyle w:val="SingleTxtG"/>
      </w:pPr>
      <w:r>
        <w:t>25.</w:t>
      </w:r>
      <w:r>
        <w:tab/>
        <w:t>Неофициальная рабочая группа провела обмен мнениями относительно рассмотрения вопросов существа по темам «ГАЗЫ» и «ХИМИЧЕСКИЕ ПРОДУКТЫ» и решила, что они могут быть обсуждены на двусторонней основе делегациями Германии и Нидерландов. Представители ЕСРС/ЕОС, GUSPAF и B.A.Z предложили свою поддержку в этом вопросе. Вопросы регистрируются на сервере BSCW.</w:t>
      </w:r>
    </w:p>
    <w:p w14:paraId="0994007C" w14:textId="77777777" w:rsidR="00D304F1" w:rsidRPr="004D79FB" w:rsidRDefault="00D304F1" w:rsidP="00D304F1">
      <w:pPr>
        <w:pStyle w:val="SingleTxtG"/>
      </w:pPr>
      <w:r>
        <w:t>26.</w:t>
      </w:r>
      <w:r>
        <w:tab/>
        <w:t>Секретариат ЦКСР направит обновленные или новые вопросы существа неофициальной рабочей группе. Председатель подчеркнул, что вопросы существа должны рассматриваться на конфиденциальной основе.</w:t>
      </w:r>
    </w:p>
    <w:p w14:paraId="0DE33B30" w14:textId="77777777" w:rsidR="00D304F1" w:rsidRPr="004D79FB" w:rsidRDefault="00D304F1" w:rsidP="00D304F1">
      <w:pPr>
        <w:pStyle w:val="HChG"/>
        <w:pageBreakBefore/>
      </w:pPr>
      <w:r>
        <w:rPr>
          <w:bCs/>
        </w:rPr>
        <w:lastRenderedPageBreak/>
        <w:tab/>
        <w:t>VII.</w:t>
      </w:r>
      <w:r>
        <w:tab/>
      </w:r>
      <w:r>
        <w:rPr>
          <w:bCs/>
        </w:rPr>
        <w:t>График работы</w:t>
      </w:r>
    </w:p>
    <w:p w14:paraId="6162655F" w14:textId="77777777" w:rsidR="00D304F1" w:rsidRPr="004D79FB" w:rsidRDefault="00D304F1" w:rsidP="00D304F1">
      <w:pPr>
        <w:pStyle w:val="SingleTxtG"/>
      </w:pPr>
      <w:r>
        <w:t>27.</w:t>
      </w:r>
      <w:r>
        <w:tab/>
        <w:t>Следующее совещание рабочей группы планируется провести с 20 сентября (14</w:t>
      </w:r>
      <w:r>
        <w:rPr>
          <w:lang w:val="en-US"/>
        </w:rPr>
        <w:t> </w:t>
      </w:r>
      <w:r>
        <w:t>ч 00 мин) по 22 сентября 2022 года (14 ч 00 мин) в Страсбурге.</w:t>
      </w:r>
    </w:p>
    <w:p w14:paraId="16D7CB8D" w14:textId="77777777" w:rsidR="00E12C5F" w:rsidRPr="008D53B6" w:rsidRDefault="00D304F1" w:rsidP="00D304F1">
      <w:pPr>
        <w:spacing w:before="240"/>
        <w:jc w:val="center"/>
      </w:pPr>
      <w:r w:rsidRPr="004D79FB">
        <w:rPr>
          <w:u w:val="single"/>
        </w:rPr>
        <w:tab/>
      </w:r>
      <w:r w:rsidRPr="004D79FB">
        <w:rPr>
          <w:u w:val="single"/>
        </w:rPr>
        <w:tab/>
      </w:r>
      <w:r w:rsidRPr="004D79FB">
        <w:rPr>
          <w:u w:val="single"/>
        </w:rPr>
        <w:tab/>
      </w:r>
    </w:p>
    <w:sectPr w:rsidR="00E12C5F" w:rsidRPr="008D53B6" w:rsidSect="00D30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007E9" w14:textId="77777777" w:rsidR="00433241" w:rsidRPr="00A312BC" w:rsidRDefault="00433241" w:rsidP="00A312BC"/>
  </w:endnote>
  <w:endnote w:type="continuationSeparator" w:id="0">
    <w:p w14:paraId="62E52959" w14:textId="77777777" w:rsidR="00433241" w:rsidRPr="00A312BC" w:rsidRDefault="004332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97D1" w14:textId="77777777" w:rsidR="00D304F1" w:rsidRPr="00D304F1" w:rsidRDefault="00D304F1">
    <w:pPr>
      <w:pStyle w:val="a8"/>
    </w:pPr>
    <w:r w:rsidRPr="00D304F1">
      <w:rPr>
        <w:b/>
        <w:sz w:val="18"/>
      </w:rPr>
      <w:fldChar w:fldCharType="begin"/>
    </w:r>
    <w:r w:rsidRPr="00D304F1">
      <w:rPr>
        <w:b/>
        <w:sz w:val="18"/>
      </w:rPr>
      <w:instrText xml:space="preserve"> PAGE  \* MERGEFORMAT </w:instrText>
    </w:r>
    <w:r w:rsidRPr="00D304F1">
      <w:rPr>
        <w:b/>
        <w:sz w:val="18"/>
      </w:rPr>
      <w:fldChar w:fldCharType="separate"/>
    </w:r>
    <w:r w:rsidRPr="00D304F1">
      <w:rPr>
        <w:b/>
        <w:noProof/>
        <w:sz w:val="18"/>
      </w:rPr>
      <w:t>2</w:t>
    </w:r>
    <w:r w:rsidRPr="00D304F1">
      <w:rPr>
        <w:b/>
        <w:sz w:val="18"/>
      </w:rPr>
      <w:fldChar w:fldCharType="end"/>
    </w:r>
    <w:r>
      <w:rPr>
        <w:b/>
        <w:sz w:val="18"/>
      </w:rPr>
      <w:tab/>
    </w:r>
    <w:r>
      <w:t>GE.22-07705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897E" w14:textId="77777777" w:rsidR="00D304F1" w:rsidRPr="00D304F1" w:rsidRDefault="00D304F1" w:rsidP="00D304F1">
    <w:pPr>
      <w:pStyle w:val="a8"/>
      <w:tabs>
        <w:tab w:val="clear" w:pos="9639"/>
        <w:tab w:val="right" w:pos="9638"/>
      </w:tabs>
      <w:rPr>
        <w:b/>
        <w:sz w:val="18"/>
      </w:rPr>
    </w:pPr>
    <w:r>
      <w:t>GE.22-07705</w:t>
    </w:r>
    <w:r>
      <w:tab/>
    </w:r>
    <w:r w:rsidRPr="00D304F1">
      <w:rPr>
        <w:b/>
        <w:sz w:val="18"/>
      </w:rPr>
      <w:fldChar w:fldCharType="begin"/>
    </w:r>
    <w:r w:rsidRPr="00D304F1">
      <w:rPr>
        <w:b/>
        <w:sz w:val="18"/>
      </w:rPr>
      <w:instrText xml:space="preserve"> PAGE  \* MERGEFORMAT </w:instrText>
    </w:r>
    <w:r w:rsidRPr="00D304F1">
      <w:rPr>
        <w:b/>
        <w:sz w:val="18"/>
      </w:rPr>
      <w:fldChar w:fldCharType="separate"/>
    </w:r>
    <w:r w:rsidRPr="00D304F1">
      <w:rPr>
        <w:b/>
        <w:noProof/>
        <w:sz w:val="18"/>
      </w:rPr>
      <w:t>3</w:t>
    </w:r>
    <w:r w:rsidRPr="00D304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4227" w14:textId="77777777" w:rsidR="00042B72" w:rsidRPr="00D304F1" w:rsidRDefault="00D304F1" w:rsidP="00D304F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674010" wp14:editId="4F118A8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22-07705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96A186" wp14:editId="51BF7A3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250522  020622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37F83" w14:textId="77777777" w:rsidR="00433241" w:rsidRPr="001075E9" w:rsidRDefault="004332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163849" w14:textId="77777777" w:rsidR="00433241" w:rsidRDefault="004332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C005B7" w14:textId="77777777" w:rsidR="00D304F1" w:rsidRPr="004D79FB" w:rsidRDefault="00D304F1" w:rsidP="00D304F1">
      <w:pPr>
        <w:pStyle w:val="ad"/>
      </w:pPr>
      <w:r>
        <w:tab/>
      </w:r>
      <w:r w:rsidRPr="00D304F1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CCNR-ZKR/ADN/WP.15/AC.2/2022/34.</w:t>
      </w:r>
    </w:p>
  </w:footnote>
  <w:footnote w:id="2">
    <w:p w14:paraId="16A81BBE" w14:textId="77777777" w:rsidR="00D304F1" w:rsidRPr="0048578A" w:rsidRDefault="00D304F1" w:rsidP="00D304F1">
      <w:pPr>
        <w:pStyle w:val="ad"/>
      </w:pPr>
      <w:r>
        <w:tab/>
      </w:r>
      <w:r w:rsidRPr="00D304F1">
        <w:rPr>
          <w:sz w:val="20"/>
        </w:rPr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D4DB" w14:textId="74BE1549" w:rsidR="00D304F1" w:rsidRPr="00D304F1" w:rsidRDefault="00D304F1">
    <w:pPr>
      <w:pStyle w:val="a5"/>
    </w:pPr>
    <w:fldSimple w:instr=" TITLE  \* MERGEFORMAT ">
      <w:r w:rsidR="00F369D8">
        <w:t>ECE/TRANS/WP.15/AC.2/2022/34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59D0" w14:textId="28574DAF" w:rsidR="00D304F1" w:rsidRPr="00D304F1" w:rsidRDefault="00D304F1" w:rsidP="00D304F1">
    <w:pPr>
      <w:pStyle w:val="a5"/>
      <w:jc w:val="right"/>
    </w:pPr>
    <w:fldSimple w:instr=" TITLE  \* MERGEFORMAT ">
      <w:r w:rsidR="00F369D8">
        <w:t>ECE/TRANS/WP.15/AC.2/2022/34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5A35" w14:textId="77777777" w:rsidR="00D304F1" w:rsidRDefault="00D304F1" w:rsidP="00D304F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4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5617"/>
    <w:rsid w:val="00407B78"/>
    <w:rsid w:val="00424203"/>
    <w:rsid w:val="00433241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5610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6FBD"/>
    <w:rsid w:val="00792497"/>
    <w:rsid w:val="007D050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2C9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62B6"/>
    <w:rsid w:val="00CA1679"/>
    <w:rsid w:val="00CB151C"/>
    <w:rsid w:val="00CE5A1A"/>
    <w:rsid w:val="00CF55F6"/>
    <w:rsid w:val="00D304F1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0E08"/>
    <w:rsid w:val="00F2523A"/>
    <w:rsid w:val="00F369D8"/>
    <w:rsid w:val="00F43903"/>
    <w:rsid w:val="00F94155"/>
    <w:rsid w:val="00F96614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626619"/>
  <w15:docId w15:val="{C5A89B98-BD58-441C-AFF4-DA27A468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304F1"/>
    <w:rPr>
      <w:lang w:val="ru-RU" w:eastAsia="en-US"/>
    </w:rPr>
  </w:style>
  <w:style w:type="character" w:customStyle="1" w:styleId="HChGChar">
    <w:name w:val="_ H _Ch_G Char"/>
    <w:link w:val="HChG"/>
    <w:rsid w:val="00D304F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B599143-157F-4E10-B119-5D91124E2C4A}"/>
</file>

<file path=customXml/itemProps2.xml><?xml version="1.0" encoding="utf-8"?>
<ds:datastoreItem xmlns:ds="http://schemas.openxmlformats.org/officeDocument/2006/customXml" ds:itemID="{8CDA949A-0D5E-4CED-9062-558E191B8AC9}"/>
</file>

<file path=customXml/itemProps3.xml><?xml version="1.0" encoding="utf-8"?>
<ds:datastoreItem xmlns:ds="http://schemas.openxmlformats.org/officeDocument/2006/customXml" ds:itemID="{870A5C90-8FE9-40B1-8BFE-5E02E8805F1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1242</Words>
  <Characters>8621</Characters>
  <Application>Microsoft Office Word</Application>
  <DocSecurity>0</DocSecurity>
  <Lines>783</Lines>
  <Paragraphs>328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ECE/TRANS/WP.15/AC.2/2022/34</vt:lpstr>
      <vt:lpstr>A/</vt:lpstr>
      <vt:lpstr>A/</vt:lpstr>
    </vt:vector>
  </TitlesOfParts>
  <Company>DCM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ECE/TRANS/WP.15/AC.2/2022/34</dc:title>
  <dc:subject/>
  <dc:creator>Olga OVTCHINNIKOVA</dc:creator>
  <cp:keywords/>
  <cp:lastModifiedBy>Olga Ovchinnikova</cp:lastModifiedBy>
  <cp:revision>3</cp:revision>
  <cp:lastPrinted>2022-06-02T13:11:00Z</cp:lastPrinted>
  <dcterms:created xsi:type="dcterms:W3CDTF">2022-06-02T13:11:00Z</dcterms:created>
  <dcterms:modified xsi:type="dcterms:W3CDTF">2022-06-02T13:12:00Z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