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2812031" w14:textId="77777777" w:rsidTr="00C97039">
        <w:trPr>
          <w:trHeight w:hRule="exact" w:val="851"/>
        </w:trPr>
        <w:tc>
          <w:tcPr>
            <w:tcW w:w="1276" w:type="dxa"/>
            <w:tcBorders>
              <w:bottom w:val="single" w:sz="4" w:space="0" w:color="auto"/>
            </w:tcBorders>
          </w:tcPr>
          <w:p w14:paraId="6A711223" w14:textId="77777777" w:rsidR="00F35BAF" w:rsidRPr="00DB58B5" w:rsidRDefault="00F35BAF" w:rsidP="00F03997"/>
        </w:tc>
        <w:tc>
          <w:tcPr>
            <w:tcW w:w="2268" w:type="dxa"/>
            <w:tcBorders>
              <w:bottom w:val="single" w:sz="4" w:space="0" w:color="auto"/>
            </w:tcBorders>
            <w:vAlign w:val="bottom"/>
          </w:tcPr>
          <w:p w14:paraId="0ED1C0D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DF3F03" w14:textId="130D6E8F" w:rsidR="00F35BAF" w:rsidRPr="00DB58B5" w:rsidRDefault="00F03997" w:rsidP="00F03997">
            <w:pPr>
              <w:jc w:val="right"/>
            </w:pPr>
            <w:r w:rsidRPr="00F03997">
              <w:rPr>
                <w:sz w:val="40"/>
              </w:rPr>
              <w:t>ECE</w:t>
            </w:r>
            <w:r>
              <w:t>/TRANS/WP.15/AC.2/2022/29</w:t>
            </w:r>
          </w:p>
        </w:tc>
      </w:tr>
      <w:tr w:rsidR="00F35BAF" w:rsidRPr="00DB58B5" w14:paraId="4AE486AA" w14:textId="77777777" w:rsidTr="00C97039">
        <w:trPr>
          <w:trHeight w:hRule="exact" w:val="2835"/>
        </w:trPr>
        <w:tc>
          <w:tcPr>
            <w:tcW w:w="1276" w:type="dxa"/>
            <w:tcBorders>
              <w:top w:val="single" w:sz="4" w:space="0" w:color="auto"/>
              <w:bottom w:val="single" w:sz="12" w:space="0" w:color="auto"/>
            </w:tcBorders>
          </w:tcPr>
          <w:p w14:paraId="3EBCEA4B" w14:textId="77777777" w:rsidR="00F35BAF" w:rsidRPr="00DB58B5" w:rsidRDefault="00F35BAF" w:rsidP="00C97039">
            <w:pPr>
              <w:spacing w:before="120"/>
              <w:jc w:val="center"/>
            </w:pPr>
            <w:r>
              <w:rPr>
                <w:noProof/>
                <w:lang w:eastAsia="fr-CH"/>
              </w:rPr>
              <w:drawing>
                <wp:inline distT="0" distB="0" distL="0" distR="0" wp14:anchorId="5E85E64C" wp14:editId="51E0D5D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7507B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F26EA9B" w14:textId="77777777" w:rsidR="00F35BAF" w:rsidRDefault="00F03997" w:rsidP="00C97039">
            <w:pPr>
              <w:spacing w:before="240"/>
            </w:pPr>
            <w:r>
              <w:t>Distr. générale</w:t>
            </w:r>
          </w:p>
          <w:p w14:paraId="57A36705" w14:textId="77777777" w:rsidR="00F03997" w:rsidRDefault="00F03997" w:rsidP="00F03997">
            <w:pPr>
              <w:spacing w:line="240" w:lineRule="exact"/>
            </w:pPr>
            <w:r>
              <w:t>24 mai 2022</w:t>
            </w:r>
          </w:p>
          <w:p w14:paraId="6EC5D64A" w14:textId="77777777" w:rsidR="00F03997" w:rsidRDefault="00F03997" w:rsidP="00F03997">
            <w:pPr>
              <w:spacing w:line="240" w:lineRule="exact"/>
            </w:pPr>
            <w:r>
              <w:t>Français</w:t>
            </w:r>
          </w:p>
          <w:p w14:paraId="54B550AB" w14:textId="3953D5BE" w:rsidR="00F03997" w:rsidRPr="00DB58B5" w:rsidRDefault="00F03997" w:rsidP="00F03997">
            <w:pPr>
              <w:spacing w:line="240" w:lineRule="exact"/>
            </w:pPr>
            <w:r>
              <w:t>Original : anglais</w:t>
            </w:r>
          </w:p>
        </w:tc>
      </w:tr>
    </w:tbl>
    <w:p w14:paraId="3C0EF9BB" w14:textId="77777777" w:rsidR="007F20FA" w:rsidRPr="000312C0" w:rsidRDefault="007F20FA" w:rsidP="007F20FA">
      <w:pPr>
        <w:spacing w:before="120"/>
        <w:rPr>
          <w:b/>
          <w:sz w:val="28"/>
          <w:szCs w:val="28"/>
        </w:rPr>
      </w:pPr>
      <w:r w:rsidRPr="000312C0">
        <w:rPr>
          <w:b/>
          <w:sz w:val="28"/>
          <w:szCs w:val="28"/>
        </w:rPr>
        <w:t>Commission économique pour l’Europe</w:t>
      </w:r>
    </w:p>
    <w:p w14:paraId="258F49D6" w14:textId="77777777" w:rsidR="007F20FA" w:rsidRDefault="007F20FA" w:rsidP="007F20FA">
      <w:pPr>
        <w:spacing w:before="120"/>
        <w:rPr>
          <w:sz w:val="28"/>
          <w:szCs w:val="28"/>
        </w:rPr>
      </w:pPr>
      <w:r w:rsidRPr="00685843">
        <w:rPr>
          <w:sz w:val="28"/>
          <w:szCs w:val="28"/>
        </w:rPr>
        <w:t>Comité des transports intérieurs</w:t>
      </w:r>
    </w:p>
    <w:p w14:paraId="1C0605A9" w14:textId="77777777" w:rsidR="00F03997" w:rsidRPr="009E01B8" w:rsidRDefault="00F03997" w:rsidP="00AF0CB5">
      <w:pPr>
        <w:spacing w:before="120"/>
        <w:rPr>
          <w:b/>
          <w:sz w:val="24"/>
          <w:szCs w:val="24"/>
        </w:rPr>
      </w:pPr>
      <w:r w:rsidRPr="009E01B8">
        <w:rPr>
          <w:b/>
          <w:sz w:val="24"/>
          <w:szCs w:val="24"/>
        </w:rPr>
        <w:t>Groupe de travail des transports de marchandises dangereuses</w:t>
      </w:r>
    </w:p>
    <w:p w14:paraId="2E13E74F" w14:textId="2EB881B5" w:rsidR="00F03997" w:rsidRPr="00926E87" w:rsidRDefault="00F03997" w:rsidP="00AF0CB5">
      <w:pPr>
        <w:spacing w:before="120"/>
        <w:rPr>
          <w:b/>
        </w:rPr>
      </w:pPr>
      <w:r>
        <w:rPr>
          <w:b/>
          <w:bCs/>
          <w:lang w:val="fr-FR"/>
        </w:rPr>
        <w:t xml:space="preserve">Réunion commune d’experts du Règlement annexé à l’Accord européen </w:t>
      </w:r>
      <w:r>
        <w:rPr>
          <w:b/>
          <w:bCs/>
          <w:lang w:val="fr-FR"/>
        </w:rPr>
        <w:br/>
      </w:r>
      <w:r>
        <w:rPr>
          <w:b/>
          <w:bCs/>
          <w:lang w:val="fr-FR"/>
        </w:rPr>
        <w:t xml:space="preserve">relatif au transport international des marchandises dangereuses </w:t>
      </w:r>
      <w:r>
        <w:rPr>
          <w:b/>
          <w:bCs/>
          <w:lang w:val="fr-FR"/>
        </w:rPr>
        <w:br/>
      </w:r>
      <w:r>
        <w:rPr>
          <w:b/>
          <w:bCs/>
          <w:lang w:val="fr-FR"/>
        </w:rPr>
        <w:t>par voies de navigation intérieures (ADN)</w:t>
      </w:r>
      <w:r>
        <w:rPr>
          <w:b/>
          <w:bCs/>
          <w:lang w:val="fr-FR"/>
        </w:rPr>
        <w:t xml:space="preserve"> </w:t>
      </w:r>
      <w:r>
        <w:rPr>
          <w:b/>
          <w:bCs/>
          <w:lang w:val="fr-FR"/>
        </w:rPr>
        <w:br/>
      </w:r>
      <w:r>
        <w:rPr>
          <w:b/>
          <w:bCs/>
          <w:lang w:val="fr-FR"/>
        </w:rPr>
        <w:t>(Comité de sécurité de l’ADN)</w:t>
      </w:r>
    </w:p>
    <w:p w14:paraId="30F6E717" w14:textId="77777777" w:rsidR="00F03997" w:rsidRPr="00C747DB" w:rsidRDefault="00F03997" w:rsidP="00F03997">
      <w:pPr>
        <w:spacing w:before="120"/>
        <w:rPr>
          <w:b/>
        </w:rPr>
      </w:pPr>
      <w:r>
        <w:rPr>
          <w:b/>
          <w:bCs/>
          <w:lang w:val="fr-FR"/>
        </w:rPr>
        <w:t>Quarantième session</w:t>
      </w:r>
    </w:p>
    <w:p w14:paraId="0B0C2404" w14:textId="77777777" w:rsidR="00F03997" w:rsidRPr="00C747DB" w:rsidRDefault="00F03997" w:rsidP="00F03997">
      <w:r>
        <w:rPr>
          <w:lang w:val="fr-FR"/>
        </w:rPr>
        <w:t>Genève, 22-26 août 2022</w:t>
      </w:r>
    </w:p>
    <w:p w14:paraId="6BCE6BF1" w14:textId="77777777" w:rsidR="00F03997" w:rsidRPr="00C747DB" w:rsidRDefault="00F03997" w:rsidP="00F03997">
      <w:r>
        <w:rPr>
          <w:lang w:val="fr-FR"/>
        </w:rPr>
        <w:t>Point 3 c) de l’ordre du jour provisoire</w:t>
      </w:r>
    </w:p>
    <w:p w14:paraId="226F2BBF" w14:textId="3A078CAD" w:rsidR="00F03997" w:rsidRPr="00C747DB" w:rsidRDefault="00F03997" w:rsidP="00F03997">
      <w:pPr>
        <w:rPr>
          <w:b/>
          <w:bCs/>
        </w:rPr>
      </w:pPr>
      <w:r>
        <w:rPr>
          <w:b/>
          <w:bCs/>
          <w:lang w:val="fr-FR"/>
        </w:rPr>
        <w:t xml:space="preserve">Mise en œuvre de l’Accord européen relatif au transport </w:t>
      </w:r>
      <w:r>
        <w:rPr>
          <w:b/>
          <w:bCs/>
          <w:lang w:val="fr-FR"/>
        </w:rPr>
        <w:br/>
        <w:t xml:space="preserve">international des marchandises dangereuses </w:t>
      </w:r>
      <w:r>
        <w:rPr>
          <w:b/>
          <w:bCs/>
          <w:lang w:val="fr-FR"/>
        </w:rPr>
        <w:br/>
      </w:r>
      <w:r>
        <w:rPr>
          <w:b/>
          <w:bCs/>
          <w:lang w:val="fr-FR"/>
        </w:rPr>
        <w:t>par voies de navigation intérieures (ADN)</w:t>
      </w:r>
      <w:r>
        <w:rPr>
          <w:b/>
          <w:bCs/>
          <w:lang w:val="fr-FR"/>
        </w:rPr>
        <w:t> </w:t>
      </w:r>
      <w:r>
        <w:rPr>
          <w:b/>
          <w:bCs/>
          <w:lang w:val="fr-FR"/>
        </w:rPr>
        <w:t xml:space="preserve">: </w:t>
      </w:r>
      <w:r>
        <w:rPr>
          <w:b/>
          <w:bCs/>
          <w:lang w:val="fr-FR"/>
        </w:rPr>
        <w:br/>
      </w:r>
      <w:r>
        <w:rPr>
          <w:b/>
          <w:bCs/>
          <w:lang w:val="fr-FR"/>
        </w:rPr>
        <w:t>interprétation du Règlement annexé à l’ADN</w:t>
      </w:r>
    </w:p>
    <w:p w14:paraId="1DEDFDEE" w14:textId="77777777" w:rsidR="00F03997" w:rsidRPr="00C747DB" w:rsidRDefault="00F03997" w:rsidP="00F03997">
      <w:pPr>
        <w:pStyle w:val="HChG"/>
      </w:pPr>
      <w:r>
        <w:rPr>
          <w:lang w:val="fr-FR"/>
        </w:rPr>
        <w:tab/>
      </w:r>
      <w:r>
        <w:rPr>
          <w:lang w:val="fr-FR"/>
        </w:rPr>
        <w:tab/>
        <w:t>Liste des interprétations des sociétés de classification</w:t>
      </w:r>
    </w:p>
    <w:p w14:paraId="4E334823" w14:textId="23FFFE63" w:rsidR="00F03997" w:rsidRPr="00C747DB" w:rsidRDefault="00F03997" w:rsidP="00F03997">
      <w:pPr>
        <w:pStyle w:val="H1G"/>
      </w:pPr>
      <w:r>
        <w:rPr>
          <w:lang w:val="fr-FR"/>
        </w:rPr>
        <w:tab/>
      </w:r>
      <w:r>
        <w:rPr>
          <w:lang w:val="fr-FR"/>
        </w:rPr>
        <w:tab/>
        <w:t xml:space="preserve">Communication du groupe de travail informel des sociétés </w:t>
      </w:r>
      <w:r>
        <w:rPr>
          <w:lang w:val="fr-FR"/>
        </w:rPr>
        <w:br/>
      </w:r>
      <w:r>
        <w:rPr>
          <w:lang w:val="fr-FR"/>
        </w:rPr>
        <w:t>de classification ADN recommandées</w:t>
      </w:r>
      <w:r w:rsidRPr="00F03997">
        <w:rPr>
          <w:b w:val="0"/>
          <w:bCs/>
          <w:sz w:val="20"/>
          <w:lang w:val="fr-FR"/>
        </w:rPr>
        <w:t>*</w:t>
      </w:r>
      <w:r w:rsidRPr="00F03997">
        <w:rPr>
          <w:b w:val="0"/>
          <w:bCs/>
          <w:sz w:val="20"/>
          <w:vertAlign w:val="superscript"/>
          <w:lang w:val="fr-FR"/>
        </w:rPr>
        <w:t>,</w:t>
      </w:r>
      <w:r>
        <w:rPr>
          <w:b w:val="0"/>
          <w:bCs/>
          <w:sz w:val="20"/>
          <w:lang w:val="fr-FR"/>
        </w:rPr>
        <w:t xml:space="preserve"> </w:t>
      </w:r>
      <w:r w:rsidRPr="00F03997">
        <w:rPr>
          <w:b w:val="0"/>
          <w:bCs/>
          <w:sz w:val="20"/>
          <w:lang w:val="fr-FR"/>
        </w:rPr>
        <w:footnoteReference w:customMarkFollows="1" w:id="2"/>
        <w:t>**</w:t>
      </w:r>
    </w:p>
    <w:p w14:paraId="206334CB" w14:textId="2DCE5E85" w:rsidR="00F03997" w:rsidRPr="00C747DB" w:rsidRDefault="00F03997" w:rsidP="00F03997">
      <w:pPr>
        <w:pStyle w:val="HChG"/>
      </w:pPr>
      <w:r>
        <w:rPr>
          <w:lang w:val="fr-FR"/>
        </w:rPr>
        <w:tab/>
        <w:t>I.</w:t>
      </w:r>
      <w:r>
        <w:rPr>
          <w:lang w:val="fr-FR"/>
        </w:rPr>
        <w:tab/>
        <w:t>Introduction</w:t>
      </w:r>
    </w:p>
    <w:p w14:paraId="18ED0D91" w14:textId="77777777" w:rsidR="00F03997" w:rsidRPr="00C747DB" w:rsidRDefault="00F03997" w:rsidP="00F03997">
      <w:pPr>
        <w:pStyle w:val="SingleTxtG"/>
      </w:pPr>
      <w:r>
        <w:rPr>
          <w:lang w:val="fr-FR"/>
        </w:rPr>
        <w:t>1.</w:t>
      </w:r>
      <w:r>
        <w:rPr>
          <w:lang w:val="fr-FR"/>
        </w:rPr>
        <w:tab/>
        <w:t>À sa trente-neuvième session, le Comité de sécurité de l’ADN a demandé aux sociétés de classification de fournir au secrétariat de la CEE une liste des interprétations qui ont été examinées lors de réunions précédentes, afin de les publier sur le site Web de la Commission. Les interprétations suivantes ont été examinées par les sociétés de classification lors de leurs réunions régulières.</w:t>
      </w:r>
    </w:p>
    <w:p w14:paraId="592E2188" w14:textId="77777777" w:rsidR="00F03997" w:rsidRPr="00C747DB" w:rsidRDefault="00F03997" w:rsidP="00F03997">
      <w:pPr>
        <w:pStyle w:val="SingleTxtG"/>
      </w:pPr>
      <w:r>
        <w:rPr>
          <w:lang w:val="fr-FR"/>
        </w:rPr>
        <w:t>2.</w:t>
      </w:r>
      <w:r>
        <w:rPr>
          <w:lang w:val="fr-FR"/>
        </w:rPr>
        <w:tab/>
        <w:t>Le Comité de sécurité de l’ADN est invité à souscrire à ces interprétations et à les afficher sur le site Internet de la CEE-ONU.</w:t>
      </w:r>
    </w:p>
    <w:p w14:paraId="59C93E8A" w14:textId="5E04A2D9" w:rsidR="00F03997" w:rsidRPr="00C747DB" w:rsidRDefault="00F03997" w:rsidP="00F03997">
      <w:pPr>
        <w:pStyle w:val="HChG"/>
      </w:pPr>
      <w:r>
        <w:rPr>
          <w:lang w:val="fr-FR"/>
        </w:rPr>
        <w:tab/>
      </w:r>
      <w:r>
        <w:rPr>
          <w:lang w:val="fr-FR"/>
        </w:rPr>
        <w:t>II.</w:t>
      </w:r>
      <w:r>
        <w:rPr>
          <w:lang w:val="fr-FR"/>
        </w:rPr>
        <w:tab/>
        <w:t>Information</w:t>
      </w:r>
    </w:p>
    <w:p w14:paraId="18710FB3" w14:textId="53769D46" w:rsidR="00F03997" w:rsidRPr="00C747DB" w:rsidRDefault="00F03997" w:rsidP="00F03997">
      <w:pPr>
        <w:pStyle w:val="H23G"/>
      </w:pPr>
      <w:r>
        <w:rPr>
          <w:lang w:val="fr-FR"/>
        </w:rPr>
        <w:tab/>
      </w:r>
      <w:r>
        <w:rPr>
          <w:lang w:val="fr-FR"/>
        </w:rPr>
        <w:tab/>
      </w:r>
      <w:r>
        <w:rPr>
          <w:lang w:val="fr-FR"/>
        </w:rPr>
        <w:t>1.6.7.2.2.2</w:t>
      </w:r>
    </w:p>
    <w:p w14:paraId="4473F828" w14:textId="77777777" w:rsidR="00F03997" w:rsidRPr="00C747DB" w:rsidRDefault="00F03997" w:rsidP="00F03997">
      <w:pPr>
        <w:pStyle w:val="SingleTxtG"/>
      </w:pPr>
      <w:r>
        <w:rPr>
          <w:lang w:val="fr-FR"/>
        </w:rPr>
        <w:t>3.</w:t>
      </w:r>
      <w:r>
        <w:rPr>
          <w:lang w:val="fr-FR"/>
        </w:rPr>
        <w:tab/>
        <w:t xml:space="preserve">Dans les dispositions transitoires du 9.3.x.40.2, plusieurs espaces du bateau sont mentionnés, alors que la disposition transitoire 1.6.7.2.2.2 ne fait référence qu’à la salle des </w:t>
      </w:r>
      <w:r>
        <w:rPr>
          <w:lang w:val="fr-FR"/>
        </w:rPr>
        <w:lastRenderedPageBreak/>
        <w:t>machines. L’interprétation commune des sociétés de classification est que la disposition transitoire du 1.6.7.2.2.2 s’applique également aux autres espaces mentionnés au 9.3.x.40.2.</w:t>
      </w:r>
    </w:p>
    <w:p w14:paraId="3003DDDD" w14:textId="339419D1" w:rsidR="00F03997" w:rsidRPr="00C747DB" w:rsidRDefault="00F03997" w:rsidP="00F03997">
      <w:pPr>
        <w:pStyle w:val="H23G"/>
      </w:pPr>
      <w:r>
        <w:rPr>
          <w:lang w:val="fr-FR"/>
        </w:rPr>
        <w:tab/>
      </w:r>
      <w:r>
        <w:rPr>
          <w:lang w:val="fr-FR"/>
        </w:rPr>
        <w:tab/>
      </w:r>
      <w:r>
        <w:rPr>
          <w:lang w:val="fr-FR"/>
        </w:rPr>
        <w:t>9.3.2.11.8</w:t>
      </w:r>
    </w:p>
    <w:p w14:paraId="1F633E21" w14:textId="77777777" w:rsidR="00F03997" w:rsidRPr="00C747DB" w:rsidRDefault="00F03997" w:rsidP="00F03997">
      <w:pPr>
        <w:pStyle w:val="SingleTxtG"/>
      </w:pPr>
      <w:r>
        <w:rPr>
          <w:lang w:val="fr-FR"/>
        </w:rPr>
        <w:t>4.</w:t>
      </w:r>
      <w:r>
        <w:rPr>
          <w:lang w:val="fr-FR"/>
        </w:rPr>
        <w:tab/>
        <w:t>Au 9.3.2.11.8, la situation des citernes indépendantes est mentionnée. Dans ce cas, les renforts supplémentaires prescrits au 9.3.2.11.7 ne sont plus nécessaires puisque la prescription relative à une distance de 80 cm est déjà satisfaite. Cette interprétation est l’interprétation commune des sociétés de classification.</w:t>
      </w:r>
    </w:p>
    <w:p w14:paraId="3D533F78" w14:textId="75FD3C21" w:rsidR="00F03997" w:rsidRPr="00C747DB" w:rsidRDefault="00F03997" w:rsidP="00F03997">
      <w:pPr>
        <w:pStyle w:val="H23G"/>
      </w:pPr>
      <w:r>
        <w:rPr>
          <w:lang w:val="fr-FR"/>
        </w:rPr>
        <w:tab/>
      </w:r>
      <w:r>
        <w:rPr>
          <w:lang w:val="fr-FR"/>
        </w:rPr>
        <w:tab/>
      </w:r>
      <w:r>
        <w:rPr>
          <w:lang w:val="fr-FR"/>
        </w:rPr>
        <w:t>9.3.4.1.1</w:t>
      </w:r>
    </w:p>
    <w:p w14:paraId="3DB6C35F" w14:textId="75100D4A" w:rsidR="00F03997" w:rsidRPr="00C747DB" w:rsidRDefault="00F03997" w:rsidP="00F03997">
      <w:pPr>
        <w:pStyle w:val="SingleTxtG"/>
      </w:pPr>
      <w:r>
        <w:rPr>
          <w:lang w:val="fr-FR"/>
        </w:rPr>
        <w:t>5.</w:t>
      </w:r>
      <w:r>
        <w:rPr>
          <w:lang w:val="fr-FR"/>
        </w:rPr>
        <w:tab/>
        <w:t>Au 9.3.4.1.1, il est dit que la contenance maximale admissible de la citerne peut dépasser les valeurs indiquées au 9.3.x.11.1 et que les distances minimum indiquées au 9.3.1.11.2</w:t>
      </w:r>
      <w:r>
        <w:rPr>
          <w:lang w:val="fr-FR"/>
        </w:rPr>
        <w:t xml:space="preserve"> </w:t>
      </w:r>
      <w:r>
        <w:rPr>
          <w:lang w:val="fr-FR"/>
        </w:rPr>
        <w:t>a) et au 9.3.2.11.7 peuvent être différentes pour autant que les dispositions du 9.3.4 soient respectées. L’interprétation commune des sociétés de classification est que les calculs mentionnés au 9.3.4.1.1 peuvent être utilisés pour toutes les tailles de bateaux.</w:t>
      </w:r>
    </w:p>
    <w:p w14:paraId="2771F91E" w14:textId="77777777" w:rsidR="00F03997" w:rsidRPr="00C747DB" w:rsidRDefault="00F03997" w:rsidP="00F03997">
      <w:pPr>
        <w:spacing w:before="240"/>
        <w:jc w:val="center"/>
        <w:rPr>
          <w:u w:val="single"/>
        </w:rPr>
      </w:pPr>
      <w:r w:rsidRPr="00C747DB">
        <w:rPr>
          <w:u w:val="single"/>
        </w:rPr>
        <w:tab/>
      </w:r>
      <w:r w:rsidRPr="00C747DB">
        <w:rPr>
          <w:u w:val="single"/>
        </w:rPr>
        <w:tab/>
      </w:r>
      <w:r w:rsidRPr="00C747DB">
        <w:rPr>
          <w:u w:val="single"/>
        </w:rPr>
        <w:tab/>
      </w:r>
    </w:p>
    <w:p w14:paraId="67151C1F" w14:textId="77777777" w:rsidR="00F9573C" w:rsidRDefault="00F9573C" w:rsidP="00F03997">
      <w:pPr>
        <w:spacing w:before="120"/>
      </w:pPr>
    </w:p>
    <w:sectPr w:rsidR="00F9573C" w:rsidSect="00F0399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D91D" w14:textId="77777777" w:rsidR="00BE4DE6" w:rsidRDefault="00BE4DE6" w:rsidP="00F95C08">
      <w:pPr>
        <w:spacing w:line="240" w:lineRule="auto"/>
      </w:pPr>
    </w:p>
  </w:endnote>
  <w:endnote w:type="continuationSeparator" w:id="0">
    <w:p w14:paraId="5B8A6463" w14:textId="77777777" w:rsidR="00BE4DE6" w:rsidRPr="00AC3823" w:rsidRDefault="00BE4DE6" w:rsidP="00AC3823">
      <w:pPr>
        <w:pStyle w:val="Pieddepage"/>
      </w:pPr>
    </w:p>
  </w:endnote>
  <w:endnote w:type="continuationNotice" w:id="1">
    <w:p w14:paraId="3A292B0F" w14:textId="77777777" w:rsidR="00BE4DE6" w:rsidRDefault="00BE4D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AC71" w14:textId="4D8471B7" w:rsidR="00F03997" w:rsidRPr="00F03997" w:rsidRDefault="00F03997" w:rsidP="00F03997">
    <w:pPr>
      <w:pStyle w:val="Pieddepage"/>
      <w:tabs>
        <w:tab w:val="right" w:pos="9638"/>
      </w:tabs>
    </w:pPr>
    <w:r w:rsidRPr="00F03997">
      <w:rPr>
        <w:b/>
        <w:sz w:val="18"/>
      </w:rPr>
      <w:fldChar w:fldCharType="begin"/>
    </w:r>
    <w:r w:rsidRPr="00F03997">
      <w:rPr>
        <w:b/>
        <w:sz w:val="18"/>
      </w:rPr>
      <w:instrText xml:space="preserve"> PAGE  \* MERGEFORMAT </w:instrText>
    </w:r>
    <w:r w:rsidRPr="00F03997">
      <w:rPr>
        <w:b/>
        <w:sz w:val="18"/>
      </w:rPr>
      <w:fldChar w:fldCharType="separate"/>
    </w:r>
    <w:r w:rsidRPr="00F03997">
      <w:rPr>
        <w:b/>
        <w:noProof/>
        <w:sz w:val="18"/>
      </w:rPr>
      <w:t>2</w:t>
    </w:r>
    <w:r w:rsidRPr="00F03997">
      <w:rPr>
        <w:b/>
        <w:sz w:val="18"/>
      </w:rPr>
      <w:fldChar w:fldCharType="end"/>
    </w:r>
    <w:r>
      <w:rPr>
        <w:b/>
        <w:sz w:val="18"/>
      </w:rPr>
      <w:tab/>
    </w:r>
    <w:r>
      <w:t>GE.22-07844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6280" w14:textId="57176A70" w:rsidR="00F03997" w:rsidRPr="00F03997" w:rsidRDefault="00F03997" w:rsidP="00F03997">
    <w:pPr>
      <w:pStyle w:val="Pieddepage"/>
      <w:tabs>
        <w:tab w:val="right" w:pos="9638"/>
      </w:tabs>
      <w:rPr>
        <w:b/>
        <w:sz w:val="18"/>
      </w:rPr>
    </w:pPr>
    <w:r>
      <w:t>GE.22-07844</w:t>
    </w:r>
    <w:r>
      <w:tab/>
    </w:r>
    <w:r w:rsidRPr="00F03997">
      <w:rPr>
        <w:b/>
        <w:sz w:val="18"/>
      </w:rPr>
      <w:fldChar w:fldCharType="begin"/>
    </w:r>
    <w:r w:rsidRPr="00F03997">
      <w:rPr>
        <w:b/>
        <w:sz w:val="18"/>
      </w:rPr>
      <w:instrText xml:space="preserve"> PAGE  \* MERGEFORMAT </w:instrText>
    </w:r>
    <w:r w:rsidRPr="00F03997">
      <w:rPr>
        <w:b/>
        <w:sz w:val="18"/>
      </w:rPr>
      <w:fldChar w:fldCharType="separate"/>
    </w:r>
    <w:r w:rsidRPr="00F03997">
      <w:rPr>
        <w:b/>
        <w:noProof/>
        <w:sz w:val="18"/>
      </w:rPr>
      <w:t>3</w:t>
    </w:r>
    <w:r w:rsidRPr="00F039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2B3B" w14:textId="0D7FA8E2" w:rsidR="007F20FA" w:rsidRPr="00F03997" w:rsidRDefault="00F03997" w:rsidP="00F0399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B6FE958" wp14:editId="799797B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22-07844  (F)</w:t>
    </w:r>
    <w:r>
      <w:rPr>
        <w:noProof/>
        <w:sz w:val="20"/>
      </w:rPr>
      <w:drawing>
        <wp:anchor distT="0" distB="0" distL="114300" distR="114300" simplePos="0" relativeHeight="251660288" behindDoc="0" locked="0" layoutInCell="1" allowOverlap="1" wp14:anchorId="2E266CBF" wp14:editId="6C51D4D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070622    070622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5A79" w14:textId="77777777" w:rsidR="00BE4DE6" w:rsidRPr="00AC3823" w:rsidRDefault="00BE4DE6" w:rsidP="00AC3823">
      <w:pPr>
        <w:pStyle w:val="Pieddepage"/>
        <w:tabs>
          <w:tab w:val="right" w:pos="2155"/>
        </w:tabs>
        <w:spacing w:after="80" w:line="240" w:lineRule="atLeast"/>
        <w:ind w:left="680"/>
        <w:rPr>
          <w:u w:val="single"/>
        </w:rPr>
      </w:pPr>
      <w:r>
        <w:rPr>
          <w:u w:val="single"/>
        </w:rPr>
        <w:tab/>
      </w:r>
    </w:p>
  </w:footnote>
  <w:footnote w:type="continuationSeparator" w:id="0">
    <w:p w14:paraId="6CBB9907" w14:textId="77777777" w:rsidR="00BE4DE6" w:rsidRPr="00AC3823" w:rsidRDefault="00BE4DE6" w:rsidP="00AC3823">
      <w:pPr>
        <w:pStyle w:val="Pieddepage"/>
        <w:tabs>
          <w:tab w:val="right" w:pos="2155"/>
        </w:tabs>
        <w:spacing w:after="80" w:line="240" w:lineRule="atLeast"/>
        <w:ind w:left="680"/>
        <w:rPr>
          <w:u w:val="single"/>
        </w:rPr>
      </w:pPr>
      <w:r>
        <w:rPr>
          <w:u w:val="single"/>
        </w:rPr>
        <w:tab/>
      </w:r>
    </w:p>
  </w:footnote>
  <w:footnote w:type="continuationNotice" w:id="1">
    <w:p w14:paraId="0A93F66A" w14:textId="77777777" w:rsidR="00BE4DE6" w:rsidRPr="00AC3823" w:rsidRDefault="00BE4DE6">
      <w:pPr>
        <w:spacing w:line="240" w:lineRule="auto"/>
        <w:rPr>
          <w:sz w:val="2"/>
          <w:szCs w:val="2"/>
        </w:rPr>
      </w:pPr>
    </w:p>
  </w:footnote>
  <w:footnote w:id="2">
    <w:p w14:paraId="5A6EB310" w14:textId="4705529E" w:rsidR="00F03997" w:rsidRDefault="00F03997" w:rsidP="00F03997">
      <w:pPr>
        <w:pStyle w:val="Notedebasdepage"/>
        <w:rPr>
          <w:lang w:val="fr-FR"/>
        </w:rPr>
      </w:pPr>
      <w:r>
        <w:rPr>
          <w:lang w:val="fr-FR"/>
        </w:rPr>
        <w:tab/>
      </w:r>
      <w:r w:rsidRPr="00F03997">
        <w:rPr>
          <w:sz w:val="20"/>
          <w:lang w:val="fr-FR"/>
        </w:rPr>
        <w:t>*</w:t>
      </w:r>
      <w:r>
        <w:rPr>
          <w:lang w:val="fr-FR"/>
        </w:rPr>
        <w:tab/>
        <w:t>Diffusé en allemand par la Commission centrale pour la navigation du Rhin sous la cote CCNR</w:t>
      </w:r>
      <w:r>
        <w:rPr>
          <w:lang w:val="fr-FR"/>
        </w:rPr>
        <w:noBreakHyphen/>
      </w:r>
      <w:r>
        <w:rPr>
          <w:lang w:val="fr-FR"/>
        </w:rPr>
        <w:t>ZKR/ADN/WP.15/AC.2/2022/29.</w:t>
      </w:r>
    </w:p>
    <w:p w14:paraId="7BD05E30" w14:textId="323F5CC7" w:rsidR="00F03997" w:rsidRPr="004A1615" w:rsidRDefault="00F03997" w:rsidP="00F03997">
      <w:pPr>
        <w:pStyle w:val="Notedebasdepage"/>
      </w:pPr>
      <w:r>
        <w:rPr>
          <w:lang w:val="fr-FR"/>
        </w:rPr>
        <w:tab/>
      </w:r>
      <w:r w:rsidRPr="00F03997">
        <w:rPr>
          <w:sz w:val="20"/>
          <w:lang w:val="fr-FR"/>
        </w:rPr>
        <w:t>**</w:t>
      </w:r>
      <w:r>
        <w:rPr>
          <w:lang w:val="fr-FR"/>
        </w:rPr>
        <w:tab/>
        <w:t>A/76/6 (Sect.</w:t>
      </w:r>
      <w:r>
        <w:rPr>
          <w:lang w:val="fr-FR"/>
        </w:rPr>
        <w:t xml:space="preserve"> </w:t>
      </w:r>
      <w:r>
        <w:rPr>
          <w:lang w:val="fr-FR"/>
        </w:rPr>
        <w:t>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8437" w14:textId="33723776" w:rsidR="00F03997" w:rsidRPr="00F03997" w:rsidRDefault="00F03997">
    <w:pPr>
      <w:pStyle w:val="En-tte"/>
    </w:pPr>
    <w:fldSimple w:instr=" TITLE  \* MERGEFORMAT ">
      <w:r>
        <w:t>ECE/TRANS/WP.15/AC.2/2022/29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2601" w14:textId="7097E7F1" w:rsidR="00F03997" w:rsidRPr="00F03997" w:rsidRDefault="00F03997" w:rsidP="00F03997">
    <w:pPr>
      <w:pStyle w:val="En-tte"/>
      <w:jc w:val="right"/>
    </w:pPr>
    <w:fldSimple w:instr=" TITLE  \* MERGEFORMAT ">
      <w:r>
        <w:t>ECE/TRANS/WP.15/AC.2/2022/29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E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C612F"/>
    <w:rsid w:val="009F6B74"/>
    <w:rsid w:val="00A3029F"/>
    <w:rsid w:val="00A30353"/>
    <w:rsid w:val="00AC3823"/>
    <w:rsid w:val="00AE323C"/>
    <w:rsid w:val="00AF0CB5"/>
    <w:rsid w:val="00B00181"/>
    <w:rsid w:val="00B00B0D"/>
    <w:rsid w:val="00B45F2E"/>
    <w:rsid w:val="00B765F7"/>
    <w:rsid w:val="00B77993"/>
    <w:rsid w:val="00BA0CA9"/>
    <w:rsid w:val="00BE4DE6"/>
    <w:rsid w:val="00C02897"/>
    <w:rsid w:val="00C97039"/>
    <w:rsid w:val="00D3439C"/>
    <w:rsid w:val="00D7622E"/>
    <w:rsid w:val="00DB1831"/>
    <w:rsid w:val="00DD3BFD"/>
    <w:rsid w:val="00DF6678"/>
    <w:rsid w:val="00E0299A"/>
    <w:rsid w:val="00E85C74"/>
    <w:rsid w:val="00EA6547"/>
    <w:rsid w:val="00ED7237"/>
    <w:rsid w:val="00EF2E22"/>
    <w:rsid w:val="00F03997"/>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F238DA"/>
  <w15:docId w15:val="{AB0F0D55-F4DA-4C73-BA05-F14FA6FC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F03997"/>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F03997"/>
    <w:rPr>
      <w:rFonts w:ascii="Times New Roman" w:eastAsiaTheme="minorHAnsi" w:hAnsi="Times New Roman" w:cs="Times New Roman"/>
      <w:sz w:val="20"/>
      <w:szCs w:val="20"/>
      <w:lang w:eastAsia="en-US"/>
    </w:rPr>
  </w:style>
  <w:style w:type="character" w:customStyle="1" w:styleId="HChGChar">
    <w:name w:val="_ H _Ch_G Char"/>
    <w:link w:val="HChG"/>
    <w:rsid w:val="00F03997"/>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4590CE2-A40E-410A-BF54-8FF61CFF18AF}">
  <ds:schemaRefs>
    <ds:schemaRef ds:uri="http://schemas.openxmlformats.org/officeDocument/2006/bibliography"/>
  </ds:schemaRefs>
</ds:datastoreItem>
</file>

<file path=customXml/itemProps2.xml><?xml version="1.0" encoding="utf-8"?>
<ds:datastoreItem xmlns:ds="http://schemas.openxmlformats.org/officeDocument/2006/customXml" ds:itemID="{C50BF5E0-03E8-4004-9C5F-E91055683C96}"/>
</file>

<file path=customXml/itemProps3.xml><?xml version="1.0" encoding="utf-8"?>
<ds:datastoreItem xmlns:ds="http://schemas.openxmlformats.org/officeDocument/2006/customXml" ds:itemID="{F535E5C1-86AD-4BAA-89D7-F489D86E896B}"/>
</file>

<file path=customXml/itemProps4.xml><?xml version="1.0" encoding="utf-8"?>
<ds:datastoreItem xmlns:ds="http://schemas.openxmlformats.org/officeDocument/2006/customXml" ds:itemID="{38A6226B-9F0D-4C4F-9CA2-652C6668B948}"/>
</file>

<file path=docProps/app.xml><?xml version="1.0" encoding="utf-8"?>
<Properties xmlns="http://schemas.openxmlformats.org/officeDocument/2006/extended-properties" xmlns:vt="http://schemas.openxmlformats.org/officeDocument/2006/docPropsVTypes">
  <Template>ECE_TRANS.dotm</Template>
  <TotalTime>0</TotalTime>
  <Pages>2</Pages>
  <Words>374</Words>
  <Characters>2241</Characters>
  <Application>Microsoft Office Word</Application>
  <DocSecurity>0</DocSecurity>
  <Lines>52</Lines>
  <Paragraphs>27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ECE/TRANS/WP.15/AC.2/2022/29</dc:title>
  <dc:subject/>
  <dc:creator>Sandrine CLERE</dc:creator>
  <cp:keywords/>
  <cp:lastModifiedBy>Sandrine Clere</cp:lastModifiedBy>
  <cp:revision>2</cp:revision>
  <cp:lastPrinted>2014-05-14T10:59:00Z</cp:lastPrinted>
  <dcterms:created xsi:type="dcterms:W3CDTF">2022-06-07T12:46:00Z</dcterms:created>
  <dcterms:modified xsi:type="dcterms:W3CDTF">2022-06-07T12:46:00Z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