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08180AB" w14:textId="77777777" w:rsidTr="00B20551">
        <w:trPr>
          <w:cantSplit/>
          <w:trHeight w:hRule="exact" w:val="851"/>
        </w:trPr>
        <w:tc>
          <w:tcPr>
            <w:tcW w:w="1276" w:type="dxa"/>
            <w:tcBorders>
              <w:bottom w:val="single" w:sz="4" w:space="0" w:color="auto"/>
            </w:tcBorders>
            <w:vAlign w:val="bottom"/>
          </w:tcPr>
          <w:p w14:paraId="61A5899F" w14:textId="77777777" w:rsidR="009E6CB7" w:rsidRDefault="009E6CB7" w:rsidP="00B20551">
            <w:pPr>
              <w:spacing w:after="80"/>
            </w:pPr>
          </w:p>
        </w:tc>
        <w:tc>
          <w:tcPr>
            <w:tcW w:w="2268" w:type="dxa"/>
            <w:tcBorders>
              <w:bottom w:val="single" w:sz="4" w:space="0" w:color="auto"/>
            </w:tcBorders>
            <w:vAlign w:val="bottom"/>
          </w:tcPr>
          <w:p w14:paraId="269D92E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1937E2" w14:textId="58F3812E" w:rsidR="009E6CB7" w:rsidRPr="00D47EEA" w:rsidRDefault="00F35B4E" w:rsidP="00F35B4E">
            <w:pPr>
              <w:jc w:val="right"/>
            </w:pPr>
            <w:r w:rsidRPr="00F35B4E">
              <w:rPr>
                <w:sz w:val="40"/>
              </w:rPr>
              <w:t>ECE</w:t>
            </w:r>
            <w:r>
              <w:t>/TRANS/WP.15/AC.1/2022/28</w:t>
            </w:r>
          </w:p>
        </w:tc>
      </w:tr>
      <w:tr w:rsidR="009E6CB7" w14:paraId="5841DBDB" w14:textId="77777777" w:rsidTr="00B20551">
        <w:trPr>
          <w:cantSplit/>
          <w:trHeight w:hRule="exact" w:val="2835"/>
        </w:trPr>
        <w:tc>
          <w:tcPr>
            <w:tcW w:w="1276" w:type="dxa"/>
            <w:tcBorders>
              <w:top w:val="single" w:sz="4" w:space="0" w:color="auto"/>
              <w:bottom w:val="single" w:sz="12" w:space="0" w:color="auto"/>
            </w:tcBorders>
          </w:tcPr>
          <w:p w14:paraId="5331D000" w14:textId="77777777" w:rsidR="009E6CB7" w:rsidRDefault="00686A48" w:rsidP="00B20551">
            <w:pPr>
              <w:spacing w:before="120"/>
            </w:pPr>
            <w:r>
              <w:rPr>
                <w:noProof/>
                <w:lang w:val="de-DE" w:eastAsia="de-DE"/>
              </w:rPr>
              <w:drawing>
                <wp:inline distT="0" distB="0" distL="0" distR="0" wp14:anchorId="11B2AA25" wp14:editId="0E35FAE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56C7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BCAE3D" w14:textId="77777777" w:rsidR="009E6CB7" w:rsidRDefault="00F35B4E" w:rsidP="00F35B4E">
            <w:pPr>
              <w:spacing w:before="240" w:line="240" w:lineRule="exact"/>
            </w:pPr>
            <w:r>
              <w:t>Distr.: General</w:t>
            </w:r>
          </w:p>
          <w:p w14:paraId="018CFA72" w14:textId="34937362" w:rsidR="00F35B4E" w:rsidRDefault="003F2C82" w:rsidP="00F35B4E">
            <w:pPr>
              <w:spacing w:line="240" w:lineRule="exact"/>
            </w:pPr>
            <w:r>
              <w:t>21</w:t>
            </w:r>
            <w:r w:rsidR="00F35B4E">
              <w:t xml:space="preserve"> June 2022</w:t>
            </w:r>
          </w:p>
          <w:p w14:paraId="32DECF68" w14:textId="77777777" w:rsidR="00F35B4E" w:rsidRDefault="00F35B4E" w:rsidP="00F35B4E">
            <w:pPr>
              <w:spacing w:line="240" w:lineRule="exact"/>
            </w:pPr>
          </w:p>
          <w:p w14:paraId="201ECA41" w14:textId="28C7A428" w:rsidR="00F35B4E" w:rsidRDefault="00F35B4E" w:rsidP="00F35B4E">
            <w:pPr>
              <w:spacing w:line="240" w:lineRule="exact"/>
            </w:pPr>
            <w:r>
              <w:t>Original: English</w:t>
            </w:r>
          </w:p>
        </w:tc>
      </w:tr>
    </w:tbl>
    <w:p w14:paraId="7C76075D" w14:textId="77777777" w:rsidR="001464FE" w:rsidRPr="006C0AE1" w:rsidRDefault="001464FE" w:rsidP="001464FE">
      <w:pPr>
        <w:spacing w:before="120"/>
        <w:rPr>
          <w:b/>
          <w:sz w:val="28"/>
          <w:szCs w:val="28"/>
        </w:rPr>
      </w:pPr>
      <w:r w:rsidRPr="006C0AE1">
        <w:rPr>
          <w:b/>
          <w:sz w:val="28"/>
          <w:szCs w:val="28"/>
        </w:rPr>
        <w:t>Economic Commission for Europe</w:t>
      </w:r>
    </w:p>
    <w:p w14:paraId="5705719F" w14:textId="77777777" w:rsidR="001464FE" w:rsidRPr="006C0AE1" w:rsidRDefault="001464FE" w:rsidP="001464FE">
      <w:pPr>
        <w:spacing w:before="120"/>
        <w:rPr>
          <w:sz w:val="28"/>
          <w:szCs w:val="28"/>
        </w:rPr>
      </w:pPr>
      <w:r w:rsidRPr="006C0AE1">
        <w:rPr>
          <w:sz w:val="28"/>
          <w:szCs w:val="28"/>
        </w:rPr>
        <w:t>Inland Transport Committee</w:t>
      </w:r>
    </w:p>
    <w:p w14:paraId="06E4BDE7" w14:textId="77777777" w:rsidR="001464FE" w:rsidRPr="006C0AE1" w:rsidRDefault="001464FE" w:rsidP="001464FE">
      <w:pPr>
        <w:spacing w:before="120"/>
        <w:rPr>
          <w:b/>
          <w:sz w:val="24"/>
          <w:szCs w:val="24"/>
        </w:rPr>
      </w:pPr>
      <w:r w:rsidRPr="006C0AE1">
        <w:rPr>
          <w:b/>
          <w:sz w:val="24"/>
          <w:szCs w:val="24"/>
        </w:rPr>
        <w:t>Working Party on the Transport of Dangerous Goods</w:t>
      </w:r>
    </w:p>
    <w:p w14:paraId="1055F1EE" w14:textId="77777777" w:rsidR="001464FE" w:rsidRPr="006C0AE1" w:rsidRDefault="001464FE" w:rsidP="001464FE">
      <w:pPr>
        <w:spacing w:before="120"/>
        <w:rPr>
          <w:b/>
        </w:rPr>
      </w:pPr>
      <w:r w:rsidRPr="006C0AE1">
        <w:rPr>
          <w:b/>
        </w:rPr>
        <w:t>Joint Meeting of the RID Committee of Experts and the</w:t>
      </w:r>
      <w:r w:rsidRPr="006C0AE1">
        <w:rPr>
          <w:b/>
        </w:rPr>
        <w:br/>
        <w:t>Working Party on the Transport of Dangerous Goods</w:t>
      </w:r>
    </w:p>
    <w:p w14:paraId="4C2EF4FA" w14:textId="77777777" w:rsidR="001464FE" w:rsidRPr="006C0AE1" w:rsidRDefault="001464FE" w:rsidP="001464FE">
      <w:r>
        <w:t>Geneva</w:t>
      </w:r>
      <w:r w:rsidRPr="006C0AE1">
        <w:t xml:space="preserve">, </w:t>
      </w:r>
      <w:r>
        <w:t>12</w:t>
      </w:r>
      <w:r w:rsidRPr="006C0AE1">
        <w:t>–</w:t>
      </w:r>
      <w:r>
        <w:t>16</w:t>
      </w:r>
      <w:r w:rsidRPr="006C0AE1">
        <w:t xml:space="preserve"> </w:t>
      </w:r>
      <w:r>
        <w:t>September</w:t>
      </w:r>
      <w:r w:rsidRPr="006C0AE1">
        <w:t xml:space="preserve"> 2022</w:t>
      </w:r>
    </w:p>
    <w:p w14:paraId="4078F988" w14:textId="0AFE0A3E" w:rsidR="001464FE" w:rsidRPr="006C0AE1" w:rsidRDefault="001464FE" w:rsidP="001464FE">
      <w:r w:rsidRPr="006C0AE1">
        <w:t xml:space="preserve">Item </w:t>
      </w:r>
      <w:r>
        <w:t>5</w:t>
      </w:r>
      <w:r w:rsidR="00A04B01">
        <w:t>(b)</w:t>
      </w:r>
      <w:r w:rsidRPr="006C0AE1">
        <w:t xml:space="preserve"> of the provisional agenda</w:t>
      </w:r>
    </w:p>
    <w:p w14:paraId="7C09A0A8" w14:textId="6A9D5D74" w:rsidR="001464FE" w:rsidRPr="00AE6874" w:rsidRDefault="001464FE" w:rsidP="001464FE">
      <w:pPr>
        <w:pStyle w:val="Default"/>
        <w:rPr>
          <w:b/>
          <w:bCs/>
        </w:rPr>
      </w:pPr>
      <w:r w:rsidRPr="00AE6874">
        <w:rPr>
          <w:b/>
          <w:bCs/>
          <w:sz w:val="20"/>
          <w:szCs w:val="20"/>
        </w:rPr>
        <w:t xml:space="preserve">Proposals for amendments to RID/ADR/ADN: </w:t>
      </w:r>
      <w:r>
        <w:rPr>
          <w:b/>
          <w:bCs/>
          <w:sz w:val="20"/>
          <w:szCs w:val="20"/>
        </w:rPr>
        <w:br/>
      </w:r>
      <w:r w:rsidR="00A04B01">
        <w:rPr>
          <w:b/>
          <w:bCs/>
          <w:sz w:val="20"/>
          <w:szCs w:val="20"/>
        </w:rPr>
        <w:t>n</w:t>
      </w:r>
      <w:r>
        <w:rPr>
          <w:b/>
          <w:bCs/>
          <w:sz w:val="20"/>
          <w:szCs w:val="20"/>
        </w:rPr>
        <w:t>ew proposals</w:t>
      </w:r>
    </w:p>
    <w:p w14:paraId="18654D76" w14:textId="77777777" w:rsidR="001464FE" w:rsidRPr="00AE6874" w:rsidRDefault="001464FE" w:rsidP="001464FE">
      <w:pPr>
        <w:tabs>
          <w:tab w:val="right" w:pos="851"/>
        </w:tabs>
        <w:adjustRightInd w:val="0"/>
        <w:snapToGrid w:val="0"/>
        <w:spacing w:before="360" w:after="120" w:line="300" w:lineRule="exact"/>
        <w:ind w:left="1134" w:right="707" w:hanging="1134"/>
        <w:rPr>
          <w:b/>
          <w:bCs/>
          <w:sz w:val="28"/>
          <w:szCs w:val="28"/>
          <w:highlight w:val="yellow"/>
        </w:rPr>
      </w:pPr>
      <w:r w:rsidRPr="00AE6874">
        <w:rPr>
          <w:b/>
          <w:bCs/>
          <w:sz w:val="28"/>
          <w:szCs w:val="28"/>
        </w:rPr>
        <w:tab/>
      </w:r>
      <w:r w:rsidRPr="00AE6874">
        <w:rPr>
          <w:b/>
          <w:bCs/>
          <w:sz w:val="28"/>
          <w:szCs w:val="28"/>
        </w:rPr>
        <w:tab/>
        <w:t>Direct delivery of dangerous goods to end customers (overpacks)</w:t>
      </w:r>
    </w:p>
    <w:p w14:paraId="130BCC23" w14:textId="28210660" w:rsidR="00122CB9" w:rsidRDefault="001464FE" w:rsidP="00122CB9">
      <w:pPr>
        <w:pStyle w:val="H1G"/>
        <w:rPr>
          <w:szCs w:val="24"/>
          <w:lang w:eastAsia="zh-CN"/>
        </w:rPr>
      </w:pPr>
      <w:r w:rsidRPr="006C0AE1">
        <w:rPr>
          <w:lang w:eastAsia="ru-RU"/>
        </w:rPr>
        <w:tab/>
      </w:r>
      <w:r w:rsidRPr="006C0AE1">
        <w:rPr>
          <w:lang w:eastAsia="ru-RU"/>
        </w:rPr>
        <w:tab/>
      </w:r>
      <w:r>
        <w:t>Submitted</w:t>
      </w:r>
      <w:r w:rsidRPr="001D4FE3">
        <w:t xml:space="preserve"> by the Council </w:t>
      </w:r>
      <w:r>
        <w:t>o</w:t>
      </w:r>
      <w:r w:rsidRPr="001D4FE3">
        <w:t xml:space="preserve">n Safe Transportation of Hazardous Articles </w:t>
      </w:r>
      <w:r>
        <w:t>(</w:t>
      </w:r>
      <w:r w:rsidRPr="001D4FE3">
        <w:t>COSTHA</w:t>
      </w:r>
      <w:r>
        <w:t>)</w:t>
      </w:r>
      <w:r w:rsidR="00122CB9" w:rsidRPr="00122CB9">
        <w:rPr>
          <w:rStyle w:val="FootnoteReference"/>
          <w:bCs/>
          <w:sz w:val="20"/>
          <w:shd w:val="clear" w:color="auto" w:fill="FFFFFF"/>
        </w:rPr>
        <w:footnoteReference w:customMarkFollows="1" w:id="2"/>
        <w:sym w:font="Symbol" w:char="F02A"/>
      </w:r>
      <w:r w:rsidR="00122CB9" w:rsidRPr="00122CB9">
        <w:rPr>
          <w:bCs/>
          <w:sz w:val="20"/>
          <w:shd w:val="clear" w:color="auto" w:fill="FFFFFF"/>
          <w:vertAlign w:val="superscript"/>
        </w:rPr>
        <w:t>,</w:t>
      </w:r>
      <w:r w:rsidR="00122CB9" w:rsidRPr="00122CB9">
        <w:rPr>
          <w:bCs/>
          <w:sz w:val="20"/>
        </w:rPr>
        <w:t xml:space="preserve"> </w:t>
      </w:r>
      <w:r w:rsidR="00122CB9" w:rsidRPr="00122CB9">
        <w:rPr>
          <w:rStyle w:val="FootnoteReference"/>
          <w:bCs/>
          <w:sz w:val="20"/>
        </w:rPr>
        <w:footnoteReference w:customMarkFollows="1" w:id="3"/>
        <w:sym w:font="Symbol" w:char="F02A"/>
      </w:r>
      <w:r w:rsidR="00122CB9" w:rsidRPr="00122CB9">
        <w:rPr>
          <w:rStyle w:val="FootnoteReference"/>
          <w:bCs/>
          <w:sz w:val="20"/>
        </w:rPr>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464FE" w:rsidRPr="006C0AE1" w14:paraId="53646229" w14:textId="77777777" w:rsidTr="00DB3ACB">
        <w:trPr>
          <w:jc w:val="center"/>
        </w:trPr>
        <w:tc>
          <w:tcPr>
            <w:tcW w:w="9082" w:type="dxa"/>
            <w:shd w:val="clear" w:color="auto" w:fill="auto"/>
          </w:tcPr>
          <w:p w14:paraId="5E007A65" w14:textId="77777777" w:rsidR="001464FE" w:rsidRPr="006C0AE1" w:rsidRDefault="001464FE" w:rsidP="00DB3ACB">
            <w:pPr>
              <w:spacing w:before="240" w:after="120"/>
              <w:ind w:left="288"/>
              <w:rPr>
                <w:i/>
              </w:rPr>
            </w:pPr>
            <w:r w:rsidRPr="006C0AE1">
              <w:rPr>
                <w:i/>
              </w:rPr>
              <w:t>Summary</w:t>
            </w:r>
          </w:p>
        </w:tc>
      </w:tr>
      <w:tr w:rsidR="001464FE" w:rsidRPr="006C0AE1" w14:paraId="36C462A7" w14:textId="77777777" w:rsidTr="00DB3ACB">
        <w:trPr>
          <w:jc w:val="center"/>
        </w:trPr>
        <w:tc>
          <w:tcPr>
            <w:tcW w:w="9082" w:type="dxa"/>
            <w:shd w:val="clear" w:color="auto" w:fill="auto"/>
          </w:tcPr>
          <w:p w14:paraId="7AD0C938" w14:textId="09EEB774" w:rsidR="001464FE" w:rsidRPr="006C0AE1" w:rsidRDefault="001464FE" w:rsidP="00520DFC">
            <w:pPr>
              <w:tabs>
                <w:tab w:val="left" w:pos="2700"/>
              </w:tabs>
              <w:spacing w:after="120"/>
              <w:ind w:left="2650" w:right="578" w:hanging="2074"/>
              <w:jc w:val="both"/>
            </w:pPr>
            <w:r w:rsidRPr="006C0AE1">
              <w:rPr>
                <w:b/>
              </w:rPr>
              <w:t xml:space="preserve">Executive summary: </w:t>
            </w:r>
            <w:r w:rsidRPr="006C0AE1">
              <w:tab/>
            </w:r>
            <w:r w:rsidRPr="004D2E8F">
              <w:t xml:space="preserve">The amount of dangerous goods transported directly to end consumers has increased in volume in recent years. However, the </w:t>
            </w:r>
            <w:r w:rsidR="00B24286">
              <w:t>RID/</w:t>
            </w:r>
            <w:r w:rsidRPr="004D2E8F">
              <w:t>ADR</w:t>
            </w:r>
            <w:r w:rsidR="00B24286">
              <w:t>/ADN</w:t>
            </w:r>
            <w:r w:rsidRPr="004D2E8F">
              <w:t>, as written, predominantly covers transportation between businesses</w:t>
            </w:r>
            <w:r>
              <w:t>,</w:t>
            </w:r>
            <w:r w:rsidRPr="004D2E8F">
              <w:t xml:space="preserve"> whether those businesses are manufacturers, shippers, retail locations or distribution sites.</w:t>
            </w:r>
            <w:r>
              <w:br/>
            </w:r>
            <w:r w:rsidRPr="004D2E8F">
              <w:t xml:space="preserve">The direct delivery to an end consumer has historically been handled by parcel delivery companies, </w:t>
            </w:r>
            <w:r>
              <w:t xml:space="preserve">the </w:t>
            </w:r>
            <w:r w:rsidRPr="004D2E8F">
              <w:t>postal services and the consumer themselves. To that end, the regulations have exceptions intended to limit the transport requirements for some of these types of shipments</w:t>
            </w:r>
            <w:r>
              <w:t>.</w:t>
            </w:r>
          </w:p>
        </w:tc>
      </w:tr>
      <w:tr w:rsidR="001464FE" w:rsidRPr="006C0AE1" w14:paraId="27B64293" w14:textId="77777777" w:rsidTr="00DB3ACB">
        <w:trPr>
          <w:jc w:val="center"/>
        </w:trPr>
        <w:tc>
          <w:tcPr>
            <w:tcW w:w="9082" w:type="dxa"/>
            <w:shd w:val="clear" w:color="auto" w:fill="auto"/>
          </w:tcPr>
          <w:p w14:paraId="322099BA" w14:textId="6F551B1E" w:rsidR="001464FE" w:rsidRPr="006C0AE1" w:rsidRDefault="001464FE" w:rsidP="00520DFC">
            <w:pPr>
              <w:tabs>
                <w:tab w:val="left" w:pos="2700"/>
                <w:tab w:val="left" w:pos="8190"/>
              </w:tabs>
              <w:spacing w:after="120"/>
              <w:ind w:left="2646" w:right="578" w:hanging="2070"/>
            </w:pPr>
            <w:r w:rsidRPr="006C0AE1">
              <w:rPr>
                <w:b/>
              </w:rPr>
              <w:t>Action to be taken:</w:t>
            </w:r>
            <w:r w:rsidRPr="006C0AE1">
              <w:rPr>
                <w:b/>
              </w:rPr>
              <w:tab/>
            </w:r>
            <w:r w:rsidRPr="006C0AE1">
              <w:rPr>
                <w:bCs/>
              </w:rPr>
              <w:t>A</w:t>
            </w:r>
            <w:r>
              <w:rPr>
                <w:bCs/>
              </w:rPr>
              <w:t>mend the “overpack” requirements in</w:t>
            </w:r>
            <w:r w:rsidRPr="006C0AE1">
              <w:t xml:space="preserve"> RID/ADR</w:t>
            </w:r>
            <w:r w:rsidR="00B24286">
              <w:t>/ADN</w:t>
            </w:r>
            <w:r w:rsidRPr="006C0AE1">
              <w:t>.</w:t>
            </w:r>
          </w:p>
        </w:tc>
      </w:tr>
      <w:tr w:rsidR="001464FE" w:rsidRPr="006C0AE1" w14:paraId="0D704B9E" w14:textId="77777777" w:rsidTr="00DB3ACB">
        <w:trPr>
          <w:jc w:val="center"/>
        </w:trPr>
        <w:tc>
          <w:tcPr>
            <w:tcW w:w="9082" w:type="dxa"/>
            <w:shd w:val="clear" w:color="auto" w:fill="auto"/>
          </w:tcPr>
          <w:p w14:paraId="1624B841" w14:textId="2158697E" w:rsidR="001464FE" w:rsidRDefault="001464FE" w:rsidP="00DB3ACB">
            <w:pPr>
              <w:tabs>
                <w:tab w:val="left" w:pos="2700"/>
              </w:tabs>
              <w:ind w:left="2646" w:right="576" w:hanging="2070"/>
              <w:rPr>
                <w:szCs w:val="8"/>
              </w:rPr>
            </w:pPr>
            <w:r w:rsidRPr="006C0AE1">
              <w:rPr>
                <w:b/>
              </w:rPr>
              <w:t>Related documents:</w:t>
            </w:r>
            <w:r w:rsidRPr="006C0AE1">
              <w:rPr>
                <w:b/>
              </w:rPr>
              <w:tab/>
            </w:r>
            <w:bookmarkStart w:id="0" w:name="_Hlk89264015"/>
            <w:r>
              <w:t>Informal document INF.31 (COSTHA) of the spring 2022 session</w:t>
            </w:r>
            <w:bookmarkEnd w:id="0"/>
          </w:p>
          <w:p w14:paraId="19BD4798" w14:textId="30DEEAAC" w:rsidR="001464FE" w:rsidRPr="006C0AE1" w:rsidRDefault="007E19F9" w:rsidP="00DB3ACB">
            <w:pPr>
              <w:tabs>
                <w:tab w:val="left" w:pos="2700"/>
              </w:tabs>
              <w:ind w:left="2686" w:right="576" w:hanging="36"/>
              <w:rPr>
                <w:bCs/>
              </w:rPr>
            </w:pPr>
            <w:r>
              <w:rPr>
                <w:szCs w:val="8"/>
              </w:rPr>
              <w:t xml:space="preserve">Document </w:t>
            </w:r>
            <w:r w:rsidR="001464FE" w:rsidRPr="00A42BB3">
              <w:rPr>
                <w:szCs w:val="8"/>
              </w:rPr>
              <w:t>ST</w:t>
            </w:r>
            <w:r w:rsidR="001464FE">
              <w:t>/SG/AC.10/C.3/2022/27</w:t>
            </w:r>
          </w:p>
        </w:tc>
      </w:tr>
      <w:tr w:rsidR="001464FE" w:rsidRPr="006C0AE1" w14:paraId="47F85CFE" w14:textId="77777777" w:rsidTr="00DB3ACB">
        <w:trPr>
          <w:jc w:val="center"/>
        </w:trPr>
        <w:tc>
          <w:tcPr>
            <w:tcW w:w="9082" w:type="dxa"/>
            <w:shd w:val="clear" w:color="auto" w:fill="auto"/>
          </w:tcPr>
          <w:p w14:paraId="2811A51F" w14:textId="77777777" w:rsidR="001464FE" w:rsidRPr="006C0AE1" w:rsidRDefault="001464FE" w:rsidP="00DB3ACB"/>
        </w:tc>
      </w:tr>
    </w:tbl>
    <w:p w14:paraId="0FEA492C" w14:textId="26008470" w:rsidR="001464FE" w:rsidRDefault="001464FE" w:rsidP="001464FE">
      <w:pPr>
        <w:pStyle w:val="SingleTxtG"/>
        <w:numPr>
          <w:ilvl w:val="0"/>
          <w:numId w:val="21"/>
        </w:numPr>
        <w:spacing w:before="120"/>
        <w:ind w:left="1170" w:right="1138" w:hanging="32"/>
      </w:pPr>
      <w:r>
        <w:t>At the March 2022 session of the Joint Meeting of the RID</w:t>
      </w:r>
      <w:r w:rsidRPr="00597932">
        <w:t xml:space="preserve"> Committee of Experts and the Working Party on the Transport of Dangerous Goods (WP.15/AC.1)</w:t>
      </w:r>
      <w:r>
        <w:t>, COSTHA presented informal document INF.31 for discussion purposes and to gather input for a future proposal. Even though document was a late submittal, many delegations were able to provide initial comments on the subject for which COSTHA was grateful.</w:t>
      </w:r>
    </w:p>
    <w:p w14:paraId="2A05D867" w14:textId="4E7E8892" w:rsidR="001464FE" w:rsidRDefault="001464FE" w:rsidP="001464FE">
      <w:pPr>
        <w:pStyle w:val="SingleTxtG"/>
        <w:numPr>
          <w:ilvl w:val="0"/>
          <w:numId w:val="21"/>
        </w:numPr>
        <w:ind w:left="1170" w:right="1138" w:hanging="32"/>
      </w:pPr>
      <w:r>
        <w:t xml:space="preserve">COSTHA would like once again to bring the attention of the Joint Meeting to the differences in the definition of “overpack” between the UN Model Regulations and </w:t>
      </w:r>
      <w:r>
        <w:lastRenderedPageBreak/>
        <w:t xml:space="preserve">RID/ADR/ADN. This difference in definitions has impacts regionally and beyond countries that utilize the annexes of </w:t>
      </w:r>
      <w:r w:rsidR="00B24286">
        <w:t>RIID/</w:t>
      </w:r>
      <w:r>
        <w:t>ADR</w:t>
      </w:r>
      <w:r w:rsidR="00B24286">
        <w:t>/ADN</w:t>
      </w:r>
      <w:r>
        <w:t xml:space="preserve"> for ground regulations.</w:t>
      </w:r>
    </w:p>
    <w:p w14:paraId="3D4BC2D5" w14:textId="10CE2A0B" w:rsidR="001464FE" w:rsidRDefault="001464FE" w:rsidP="001464FE">
      <w:pPr>
        <w:pStyle w:val="SingleTxtG"/>
        <w:numPr>
          <w:ilvl w:val="0"/>
          <w:numId w:val="21"/>
        </w:numPr>
        <w:ind w:left="1170" w:right="1138" w:hanging="32"/>
      </w:pPr>
      <w:r w:rsidRPr="004D2E8F">
        <w:t>COSTHA believe</w:t>
      </w:r>
      <w:r>
        <w:t>s</w:t>
      </w:r>
      <w:r w:rsidRPr="004D2E8F">
        <w:t xml:space="preserve"> some minimum requirements such as </w:t>
      </w:r>
      <w:r>
        <w:t xml:space="preserve">for </w:t>
      </w:r>
      <w:r w:rsidRPr="004D2E8F">
        <w:t>“suitable outer packagings” and marking</w:t>
      </w:r>
      <w:r>
        <w:t>s</w:t>
      </w:r>
      <w:r w:rsidRPr="004D2E8F">
        <w:t xml:space="preserve"> that may need to be clarified.</w:t>
      </w:r>
      <w:r>
        <w:t xml:space="preserve"> </w:t>
      </w:r>
      <w:r w:rsidRPr="004D2E8F">
        <w:t xml:space="preserve">For example, when </w:t>
      </w:r>
      <w:r>
        <w:t xml:space="preserve">dangerous goods packed as </w:t>
      </w:r>
      <w:r w:rsidRPr="004D2E8F">
        <w:t>limited quantit</w:t>
      </w:r>
      <w:r>
        <w:t>ies</w:t>
      </w:r>
      <w:r w:rsidRPr="004D2E8F">
        <w:t xml:space="preserve"> are cons</w:t>
      </w:r>
      <w:r>
        <w:t xml:space="preserve">olidated </w:t>
      </w:r>
      <w:r w:rsidRPr="004D2E8F">
        <w:t xml:space="preserve">within an overpack, the regulations require the overpack to be marked according to 3.4.11 of </w:t>
      </w:r>
      <w:r w:rsidR="00B24286">
        <w:t>RID/</w:t>
      </w:r>
      <w:r w:rsidRPr="004D2E8F">
        <w:t>ADR</w:t>
      </w:r>
      <w:r w:rsidR="00B24286">
        <w:t>/ADN</w:t>
      </w:r>
      <w:r w:rsidRPr="004D2E8F">
        <w:t xml:space="preserve"> (LQ mark and “Overpack”). However, direct to consumer companies (parcel delivery and postal services) have the established practice of using a handling device (bag) during delivery operations</w:t>
      </w:r>
      <w:r>
        <w:t>. While t</w:t>
      </w:r>
      <w:r w:rsidRPr="004D2E8F">
        <w:t>he bags increase the overall safety of these parcels in transport by providing yet another level of containment and protection</w:t>
      </w:r>
      <w:r>
        <w:t xml:space="preserve">, they are used mostly to </w:t>
      </w:r>
      <w:r w:rsidRPr="004D2E8F">
        <w:t xml:space="preserve">facilitate </w:t>
      </w:r>
      <w:r>
        <w:t>the</w:t>
      </w:r>
      <w:r w:rsidRPr="004D2E8F">
        <w:t xml:space="preserve"> carr</w:t>
      </w:r>
      <w:r>
        <w:t xml:space="preserve">iage of </w:t>
      </w:r>
      <w:r w:rsidRPr="004D2E8F">
        <w:t>multiple parcels</w:t>
      </w:r>
      <w:r>
        <w:t xml:space="preserve"> by organizing them in the delivery truck, but also </w:t>
      </w:r>
      <w:r w:rsidRPr="004D2E8F">
        <w:t xml:space="preserve">to ease the burden of steering </w:t>
      </w:r>
      <w:r>
        <w:t>a</w:t>
      </w:r>
      <w:r w:rsidRPr="004D2E8F">
        <w:t xml:space="preserve"> bike while handling additional packages These bags are then unloaded at different stops along a delivery route. Similar bags are utilized in other operations such as delivery by bike and hand delivery. Postal services and other delivery operations involving the hand carriage of parcels will often utilize bags.</w:t>
      </w:r>
      <w:r w:rsidRPr="00C65FAE">
        <w:t xml:space="preserve"> </w:t>
      </w:r>
      <w:r w:rsidRPr="004D2E8F">
        <w:t xml:space="preserve">and it </w:t>
      </w:r>
      <w:r>
        <w:t xml:space="preserve">has been brought to our attention that </w:t>
      </w:r>
      <w:r w:rsidRPr="004D2E8F">
        <w:t xml:space="preserve">these bags </w:t>
      </w:r>
      <w:r>
        <w:t xml:space="preserve">are considered as </w:t>
      </w:r>
      <w:r w:rsidRPr="004D2E8F">
        <w:t>overpacks</w:t>
      </w:r>
      <w:r w:rsidRPr="00CF339D">
        <w:t xml:space="preserve"> </w:t>
      </w:r>
      <w:r>
        <w:t>by some competent authorities</w:t>
      </w:r>
      <w:r w:rsidRPr="004D2E8F">
        <w:t>.</w:t>
      </w:r>
    </w:p>
    <w:p w14:paraId="1E7E2FEF" w14:textId="77777777" w:rsidR="001464FE" w:rsidRPr="004D2E8F" w:rsidRDefault="001464FE" w:rsidP="001464FE">
      <w:pPr>
        <w:pStyle w:val="HChG"/>
        <w:ind w:left="1170" w:firstLine="0"/>
      </w:pPr>
      <w:r w:rsidRPr="004D2E8F">
        <w:t xml:space="preserve">Definition of </w:t>
      </w:r>
      <w:r>
        <w:t>o</w:t>
      </w:r>
      <w:r w:rsidRPr="004D2E8F">
        <w:t>verpack</w:t>
      </w:r>
    </w:p>
    <w:p w14:paraId="6A01B365" w14:textId="68A64C5B" w:rsidR="001464FE" w:rsidRPr="007513C0" w:rsidRDefault="001464FE" w:rsidP="001464FE">
      <w:pPr>
        <w:pStyle w:val="SingleTxtG"/>
        <w:numPr>
          <w:ilvl w:val="0"/>
          <w:numId w:val="21"/>
        </w:numPr>
        <w:ind w:left="1167" w:right="1138" w:hanging="29"/>
        <w:rPr>
          <w:i/>
          <w:iCs/>
        </w:rPr>
      </w:pPr>
      <w:r w:rsidRPr="007513C0">
        <w:t xml:space="preserve">In the UN Model Regulations, an overpack </w:t>
      </w:r>
      <w:r w:rsidRPr="007513C0">
        <w:rPr>
          <w:i/>
          <w:iCs/>
        </w:rPr>
        <w:t>means an enclosure used by a single consignor to contain one or more packages and to form one unit for convenience. Examples of overpacks are a number of packages either:</w:t>
      </w:r>
    </w:p>
    <w:p w14:paraId="5E4C2625" w14:textId="415FC2E9" w:rsidR="001464FE" w:rsidRPr="00CD1EE9" w:rsidRDefault="001464FE" w:rsidP="001464FE">
      <w:pPr>
        <w:pStyle w:val="ListParagraph"/>
        <w:spacing w:after="120"/>
        <w:ind w:left="1699" w:right="1134"/>
        <w:contextualSpacing w:val="0"/>
        <w:jc w:val="both"/>
        <w:rPr>
          <w:i/>
          <w:iCs/>
        </w:rPr>
      </w:pPr>
      <w:r w:rsidRPr="00CD1EE9">
        <w:rPr>
          <w:i/>
          <w:iCs/>
        </w:rPr>
        <w:t>(1)</w:t>
      </w:r>
      <w:r w:rsidRPr="00CD1EE9">
        <w:rPr>
          <w:i/>
          <w:iCs/>
        </w:rPr>
        <w:tab/>
        <w:t>Placed or stacked onto a load board such as a pallet and secured by strapping, shrink wrapping, stretch wrapping, or other suitable means; or</w:t>
      </w:r>
    </w:p>
    <w:p w14:paraId="2A604E55" w14:textId="77777777" w:rsidR="001464FE" w:rsidRPr="00CD1EE9" w:rsidRDefault="001464FE" w:rsidP="001464FE">
      <w:pPr>
        <w:pStyle w:val="ListParagraph"/>
        <w:spacing w:after="120"/>
        <w:ind w:left="1699" w:right="639"/>
        <w:contextualSpacing w:val="0"/>
        <w:rPr>
          <w:i/>
          <w:iCs/>
        </w:rPr>
      </w:pPr>
      <w:r w:rsidRPr="00CD1EE9">
        <w:rPr>
          <w:i/>
          <w:iCs/>
        </w:rPr>
        <w:t>(2)</w:t>
      </w:r>
      <w:r w:rsidRPr="00CD1EE9">
        <w:rPr>
          <w:i/>
          <w:iCs/>
        </w:rPr>
        <w:tab/>
        <w:t>Placed in a protective outer packaging such as a box or crate.</w:t>
      </w:r>
    </w:p>
    <w:p w14:paraId="4BA9D424" w14:textId="18E364A5" w:rsidR="001464FE" w:rsidRPr="007513C0" w:rsidRDefault="001464FE" w:rsidP="001464FE">
      <w:pPr>
        <w:pStyle w:val="SingleTxtG"/>
        <w:numPr>
          <w:ilvl w:val="0"/>
          <w:numId w:val="21"/>
        </w:numPr>
        <w:ind w:left="1138" w:right="1138" w:firstLine="64"/>
        <w:rPr>
          <w:i/>
          <w:iCs/>
        </w:rPr>
      </w:pPr>
      <w:r w:rsidRPr="007513C0">
        <w:t xml:space="preserve">In </w:t>
      </w:r>
      <w:r>
        <w:t>RID/</w:t>
      </w:r>
      <w:r w:rsidRPr="007513C0">
        <w:t>ADR</w:t>
      </w:r>
      <w:r>
        <w:t>/ADN</w:t>
      </w:r>
      <w:r w:rsidRPr="007513C0">
        <w:t xml:space="preserve">, an overpack </w:t>
      </w:r>
      <w:r w:rsidRPr="007513C0">
        <w:rPr>
          <w:i/>
          <w:iCs/>
        </w:rPr>
        <w:t xml:space="preserve">means an enclosure used (by a single consignor in the case of radioactive material) </w:t>
      </w:r>
      <w:r>
        <w:rPr>
          <w:i/>
          <w:iCs/>
        </w:rPr>
        <w:t xml:space="preserve">to </w:t>
      </w:r>
      <w:r w:rsidRPr="007513C0">
        <w:rPr>
          <w:i/>
          <w:iCs/>
        </w:rPr>
        <w:t>contain one or more packages, consolidated into a single unit easier to handle and stow during carriage. Examples of overpacks:</w:t>
      </w:r>
    </w:p>
    <w:p w14:paraId="4D3C4AEF" w14:textId="6698BE7E" w:rsidR="001464FE" w:rsidRPr="00CD1EE9" w:rsidRDefault="001464FE" w:rsidP="001464FE">
      <w:pPr>
        <w:pStyle w:val="ListParagraph"/>
        <w:spacing w:after="120"/>
        <w:ind w:left="1699" w:right="1134"/>
        <w:contextualSpacing w:val="0"/>
        <w:jc w:val="both"/>
        <w:rPr>
          <w:i/>
          <w:iCs/>
        </w:rPr>
      </w:pPr>
      <w:r w:rsidRPr="00CD1EE9">
        <w:rPr>
          <w:i/>
          <w:iCs/>
        </w:rPr>
        <w:t>(a)</w:t>
      </w:r>
      <w:r w:rsidRPr="00CD1EE9">
        <w:rPr>
          <w:i/>
          <w:iCs/>
        </w:rPr>
        <w:tab/>
        <w:t>A loading tray such as a pallet, on which several packages are placed and stacked and secured by a plastics strip, shrink or stretch wrapping or other appropriate means; or</w:t>
      </w:r>
    </w:p>
    <w:p w14:paraId="1D139535" w14:textId="77777777" w:rsidR="001464FE" w:rsidRPr="00CD1EE9" w:rsidRDefault="001464FE" w:rsidP="001464FE">
      <w:pPr>
        <w:pStyle w:val="ListParagraph"/>
        <w:spacing w:after="120"/>
        <w:ind w:left="1699" w:right="1134"/>
        <w:contextualSpacing w:val="0"/>
        <w:jc w:val="both"/>
        <w:rPr>
          <w:i/>
          <w:iCs/>
        </w:rPr>
      </w:pPr>
      <w:r w:rsidRPr="00CD1EE9">
        <w:rPr>
          <w:i/>
          <w:iCs/>
        </w:rPr>
        <w:t>(b)</w:t>
      </w:r>
      <w:r w:rsidRPr="00CD1EE9">
        <w:rPr>
          <w:i/>
          <w:iCs/>
        </w:rPr>
        <w:tab/>
        <w:t>An outer protective packaging such as a box or a crate.</w:t>
      </w:r>
    </w:p>
    <w:p w14:paraId="134FD8B1" w14:textId="0418DAC2" w:rsidR="001464FE" w:rsidRDefault="001464FE" w:rsidP="001464FE">
      <w:pPr>
        <w:pStyle w:val="SingleTxtG"/>
        <w:numPr>
          <w:ilvl w:val="0"/>
          <w:numId w:val="21"/>
        </w:numPr>
        <w:ind w:left="1170" w:right="1138" w:hanging="32"/>
      </w:pPr>
      <w:r>
        <w:t xml:space="preserve">In the </w:t>
      </w:r>
      <w:r w:rsidR="008559A9">
        <w:t>I</w:t>
      </w:r>
      <w:r w:rsidR="008559A9" w:rsidRPr="008559A9">
        <w:t xml:space="preserve">nternational Civil Aviation Organization </w:t>
      </w:r>
      <w:r w:rsidR="008559A9">
        <w:t>(</w:t>
      </w:r>
      <w:r>
        <w:t>ICAO</w:t>
      </w:r>
      <w:r w:rsidR="008559A9">
        <w:t>)</w:t>
      </w:r>
      <w:r>
        <w:t xml:space="preserve"> Technical Instructions, the </w:t>
      </w:r>
      <w:r w:rsidR="00620C3D">
        <w:t>I</w:t>
      </w:r>
      <w:r w:rsidR="00620C3D" w:rsidRPr="00620C3D">
        <w:t xml:space="preserve">nternational Maritime Dangerous Goods </w:t>
      </w:r>
      <w:r w:rsidR="00620C3D">
        <w:t>(</w:t>
      </w:r>
      <w:r>
        <w:t>IMDG Code</w:t>
      </w:r>
      <w:r w:rsidR="00620C3D">
        <w:t>)</w:t>
      </w:r>
      <w:r>
        <w:t>, the U</w:t>
      </w:r>
      <w:r w:rsidR="00620C3D">
        <w:t xml:space="preserve">nited </w:t>
      </w:r>
      <w:r>
        <w:t>S</w:t>
      </w:r>
      <w:r w:rsidR="00620C3D">
        <w:t>ta</w:t>
      </w:r>
      <w:r w:rsidR="00F70ED7">
        <w:t xml:space="preserve">tes </w:t>
      </w:r>
      <w:r>
        <w:t>D</w:t>
      </w:r>
      <w:r w:rsidR="00385FDE">
        <w:t>epartment of Transpiration’s</w:t>
      </w:r>
      <w:r>
        <w:t xml:space="preserve"> Hazardous Material Regulations (</w:t>
      </w:r>
      <w:r w:rsidR="00976F9E">
        <w:t xml:space="preserve">US DOT </w:t>
      </w:r>
      <w:r>
        <w:t>49 CFR) and in Transport Canada’s Transportation of Dangerous Goods Regulations, the definition of an overpack is the same as in the UN Model Regulations.</w:t>
      </w:r>
    </w:p>
    <w:p w14:paraId="7938A7E2" w14:textId="27766D57" w:rsidR="001464FE" w:rsidRDefault="001464FE" w:rsidP="001464FE">
      <w:pPr>
        <w:pStyle w:val="SingleTxtG"/>
        <w:numPr>
          <w:ilvl w:val="0"/>
          <w:numId w:val="21"/>
        </w:numPr>
        <w:ind w:left="1170" w:right="1138" w:hanging="32"/>
      </w:pPr>
      <w:r>
        <w:t>It is COSTHA’s</w:t>
      </w:r>
      <w:r w:rsidRPr="006C0AE1">
        <w:t xml:space="preserve"> opinion </w:t>
      </w:r>
      <w:r>
        <w:t xml:space="preserve">that </w:t>
      </w:r>
      <w:r w:rsidRPr="006C0AE1">
        <w:t>the requirements of RID/ADR</w:t>
      </w:r>
      <w:r>
        <w:t>/ADN</w:t>
      </w:r>
      <w:r w:rsidRPr="006C0AE1">
        <w:t xml:space="preserve"> are not </w:t>
      </w:r>
      <w:r>
        <w:t xml:space="preserve">harmonized on the matter </w:t>
      </w:r>
      <w:r w:rsidRPr="006C0AE1">
        <w:t>and</w:t>
      </w:r>
      <w:r w:rsidR="00D51ADC">
        <w:t>,</w:t>
      </w:r>
      <w:r w:rsidRPr="006C0AE1">
        <w:t xml:space="preserve"> therefore</w:t>
      </w:r>
      <w:r w:rsidR="00D51ADC">
        <w:t>,</w:t>
      </w:r>
      <w:r>
        <w:t xml:space="preserve"> COSTHA </w:t>
      </w:r>
      <w:r w:rsidRPr="006C0AE1">
        <w:t>propose</w:t>
      </w:r>
      <w:r>
        <w:t>s</w:t>
      </w:r>
      <w:r w:rsidRPr="006C0AE1">
        <w:t xml:space="preserve"> </w:t>
      </w:r>
      <w:r>
        <w:t xml:space="preserve">the </w:t>
      </w:r>
      <w:r w:rsidRPr="006C0AE1">
        <w:t xml:space="preserve">amendments </w:t>
      </w:r>
      <w:r>
        <w:t>below to the regulations</w:t>
      </w:r>
      <w:r w:rsidRPr="001A4939">
        <w:t xml:space="preserve"> </w:t>
      </w:r>
      <w:r>
        <w:t>to help alleviate those impacts and facilitate the transportation of such packages of dangerous goods in limited quantities</w:t>
      </w:r>
      <w:r w:rsidRPr="006C0AE1">
        <w:t>.</w:t>
      </w:r>
    </w:p>
    <w:p w14:paraId="0D8D820A" w14:textId="1F0845D9" w:rsidR="001464FE" w:rsidRDefault="001464FE" w:rsidP="001464FE">
      <w:pPr>
        <w:pStyle w:val="SingleTxtG"/>
        <w:numPr>
          <w:ilvl w:val="0"/>
          <w:numId w:val="21"/>
        </w:numPr>
        <w:ind w:left="1170" w:right="1138" w:hanging="32"/>
      </w:pPr>
      <w:r>
        <w:t xml:space="preserve">This document is being submitted to the Joint Meeting as a placeholder while document </w:t>
      </w:r>
      <w:r w:rsidRPr="006018DE">
        <w:rPr>
          <w:szCs w:val="8"/>
        </w:rPr>
        <w:t>ST</w:t>
      </w:r>
      <w:r>
        <w:t xml:space="preserve">/SG/AC.10/C.3/2022/27 is presented/discussed at the </w:t>
      </w:r>
      <w:r w:rsidR="00620C6D">
        <w:t>sixtieth</w:t>
      </w:r>
      <w:r>
        <w:t xml:space="preserve"> session of the UN </w:t>
      </w:r>
      <w:r w:rsidRPr="006018DE">
        <w:rPr>
          <w:bCs/>
        </w:rPr>
        <w:t xml:space="preserve">Sub-Committee of Experts on the Transport of Dangerous Goods (UNSCETDG). Please note that the below proposals </w:t>
      </w:r>
      <w:r>
        <w:rPr>
          <w:bCs/>
        </w:rPr>
        <w:t xml:space="preserve">are independent and </w:t>
      </w:r>
      <w:r w:rsidRPr="006018DE">
        <w:rPr>
          <w:bCs/>
        </w:rPr>
        <w:t>may be further amended after the discussions at the UNSCETDG.</w:t>
      </w:r>
    </w:p>
    <w:p w14:paraId="08C273B5" w14:textId="77777777" w:rsidR="001464FE" w:rsidRPr="00492250" w:rsidRDefault="001464FE" w:rsidP="001464FE">
      <w:pPr>
        <w:pStyle w:val="SingleTxtG"/>
        <w:spacing w:before="360" w:after="240"/>
        <w:ind w:left="1170" w:right="1138"/>
        <w:jc w:val="left"/>
        <w:rPr>
          <w:b/>
          <w:bCs/>
          <w:sz w:val="28"/>
          <w:szCs w:val="28"/>
        </w:rPr>
      </w:pPr>
      <w:r w:rsidRPr="00492250">
        <w:rPr>
          <w:b/>
          <w:bCs/>
          <w:sz w:val="28"/>
          <w:szCs w:val="28"/>
        </w:rPr>
        <w:t>Proposals</w:t>
      </w:r>
    </w:p>
    <w:p w14:paraId="26DD9177" w14:textId="77777777" w:rsidR="001464FE" w:rsidRPr="00492250" w:rsidRDefault="001464FE" w:rsidP="001464FE">
      <w:pPr>
        <w:pStyle w:val="SingleTxtG"/>
        <w:spacing w:before="240"/>
        <w:ind w:left="1170" w:right="1138"/>
        <w:jc w:val="left"/>
        <w:rPr>
          <w:u w:val="single"/>
        </w:rPr>
      </w:pPr>
      <w:r>
        <w:rPr>
          <w:u w:val="single"/>
        </w:rPr>
        <w:t>Option</w:t>
      </w:r>
      <w:r w:rsidRPr="00492250">
        <w:rPr>
          <w:u w:val="single"/>
        </w:rPr>
        <w:t xml:space="preserve"> 1</w:t>
      </w:r>
    </w:p>
    <w:p w14:paraId="1D224A3D" w14:textId="7CE58618" w:rsidR="001464FE" w:rsidRDefault="00F579F6" w:rsidP="001464FE">
      <w:pPr>
        <w:pStyle w:val="SingleTxtG"/>
        <w:numPr>
          <w:ilvl w:val="0"/>
          <w:numId w:val="21"/>
        </w:numPr>
        <w:ind w:left="1170" w:right="1138" w:hanging="32"/>
      </w:pPr>
      <w:r>
        <w:t>In 1.2.1 of RID/ADR/ADN a</w:t>
      </w:r>
      <w:r w:rsidR="001464FE">
        <w:t xml:space="preserve">mend the definition of overpack to harmonize with the one found in the UN Model Regulations (see </w:t>
      </w:r>
      <w:r>
        <w:t xml:space="preserve">paragraph </w:t>
      </w:r>
      <w:r w:rsidR="001464FE">
        <w:t>3 above).</w:t>
      </w:r>
    </w:p>
    <w:p w14:paraId="4786CEFE" w14:textId="2339BFD1" w:rsidR="001464FE" w:rsidRPr="007513C0" w:rsidRDefault="001464FE" w:rsidP="001464FE">
      <w:pPr>
        <w:pStyle w:val="SingleTxtG"/>
        <w:ind w:left="1693" w:right="1138"/>
        <w:rPr>
          <w:i/>
          <w:iCs/>
        </w:rPr>
      </w:pPr>
      <w:r>
        <w:lastRenderedPageBreak/>
        <w:t>“O</w:t>
      </w:r>
      <w:r w:rsidRPr="007513C0">
        <w:t xml:space="preserve">verpack </w:t>
      </w:r>
      <w:r w:rsidRPr="007513C0">
        <w:rPr>
          <w:i/>
          <w:iCs/>
        </w:rPr>
        <w:t xml:space="preserve">means an enclosure used </w:t>
      </w:r>
      <w:r w:rsidRPr="00663372">
        <w:rPr>
          <w:i/>
          <w:iCs/>
          <w:strike/>
        </w:rPr>
        <w:t>(</w:t>
      </w:r>
      <w:r w:rsidRPr="007513C0">
        <w:rPr>
          <w:i/>
          <w:iCs/>
        </w:rPr>
        <w:t>by a single consignor</w:t>
      </w:r>
      <w:r w:rsidRPr="007E2508">
        <w:rPr>
          <w:i/>
          <w:iCs/>
          <w:strike/>
        </w:rPr>
        <w:t xml:space="preserve"> </w:t>
      </w:r>
      <w:r w:rsidRPr="00663372">
        <w:rPr>
          <w:i/>
          <w:iCs/>
          <w:strike/>
        </w:rPr>
        <w:t>in the case of radioactive material)</w:t>
      </w:r>
      <w:r w:rsidRPr="007513C0">
        <w:rPr>
          <w:i/>
          <w:iCs/>
        </w:rPr>
        <w:t xml:space="preserve"> </w:t>
      </w:r>
      <w:r>
        <w:rPr>
          <w:i/>
          <w:iCs/>
        </w:rPr>
        <w:t xml:space="preserve">to </w:t>
      </w:r>
      <w:r w:rsidRPr="007513C0">
        <w:rPr>
          <w:i/>
          <w:iCs/>
        </w:rPr>
        <w:t xml:space="preserve">contain one or more packages, consolidated into a single unit easier to handle and stow during carriage. Examples of overpacks: </w:t>
      </w:r>
    </w:p>
    <w:p w14:paraId="19BFAF08" w14:textId="77777777" w:rsidR="001464FE" w:rsidRPr="00CD1EE9" w:rsidRDefault="001464FE" w:rsidP="001464FE">
      <w:pPr>
        <w:pStyle w:val="ListParagraph"/>
        <w:spacing w:after="120"/>
        <w:ind w:left="1699" w:right="1134"/>
        <w:contextualSpacing w:val="0"/>
        <w:jc w:val="both"/>
        <w:rPr>
          <w:i/>
          <w:iCs/>
        </w:rPr>
      </w:pPr>
      <w:r w:rsidRPr="00CD1EE9">
        <w:rPr>
          <w:i/>
          <w:iCs/>
        </w:rPr>
        <w:t>(a)</w:t>
      </w:r>
      <w:r w:rsidRPr="00CD1EE9">
        <w:rPr>
          <w:i/>
          <w:iCs/>
        </w:rPr>
        <w:tab/>
        <w:t xml:space="preserve">A loading tray such as a pallet, on which several packages are placed and stacked and secured by a plastics strip, shrink or stretch wrapping or other appropriate means; or </w:t>
      </w:r>
    </w:p>
    <w:p w14:paraId="69AA87B1" w14:textId="77777777" w:rsidR="001464FE" w:rsidRPr="00CD1EE9" w:rsidRDefault="001464FE" w:rsidP="001464FE">
      <w:pPr>
        <w:pStyle w:val="ListParagraph"/>
        <w:spacing w:after="120"/>
        <w:ind w:left="1699" w:right="1134"/>
        <w:contextualSpacing w:val="0"/>
        <w:jc w:val="both"/>
        <w:rPr>
          <w:i/>
          <w:iCs/>
        </w:rPr>
      </w:pPr>
      <w:r w:rsidRPr="00CD1EE9">
        <w:rPr>
          <w:i/>
          <w:iCs/>
        </w:rPr>
        <w:t>(b)</w:t>
      </w:r>
      <w:r w:rsidRPr="00CD1EE9">
        <w:rPr>
          <w:i/>
          <w:iCs/>
        </w:rPr>
        <w:tab/>
        <w:t>An outer protective packaging such as a box or a crate.</w:t>
      </w:r>
      <w:r w:rsidRPr="00D72099">
        <w:t>”</w:t>
      </w:r>
    </w:p>
    <w:p w14:paraId="4E247D92" w14:textId="77777777" w:rsidR="001464FE" w:rsidRPr="00492250" w:rsidRDefault="001464FE" w:rsidP="001464FE">
      <w:pPr>
        <w:pStyle w:val="SingleTxtG"/>
        <w:spacing w:before="240"/>
        <w:ind w:right="1138"/>
        <w:jc w:val="left"/>
        <w:rPr>
          <w:u w:val="single"/>
        </w:rPr>
      </w:pPr>
      <w:r>
        <w:rPr>
          <w:u w:val="single"/>
        </w:rPr>
        <w:t>Option 2</w:t>
      </w:r>
    </w:p>
    <w:p w14:paraId="68F235EF" w14:textId="6FCB6604" w:rsidR="001464FE" w:rsidRDefault="001464FE" w:rsidP="001464FE">
      <w:pPr>
        <w:pStyle w:val="SingleTxtG"/>
        <w:numPr>
          <w:ilvl w:val="0"/>
          <w:numId w:val="21"/>
        </w:numPr>
        <w:ind w:right="1138"/>
      </w:pPr>
      <w:r>
        <w:t xml:space="preserve">Amend 3.4.11 of </w:t>
      </w:r>
      <w:r w:rsidR="00B24286">
        <w:t>RID/</w:t>
      </w:r>
      <w:r>
        <w:t>ADR</w:t>
      </w:r>
      <w:r w:rsidR="00B24286">
        <w:t>/ADN</w:t>
      </w:r>
      <w:r>
        <w:t xml:space="preserve"> as follows (new text is underlined, deleted text is stricken through):</w:t>
      </w:r>
    </w:p>
    <w:p w14:paraId="2F0C013E" w14:textId="3C35BE8C" w:rsidR="001464FE" w:rsidRPr="00CC0A1B" w:rsidRDefault="00A635D1" w:rsidP="001464FE">
      <w:pPr>
        <w:pStyle w:val="SingleTxtG"/>
        <w:spacing w:before="240"/>
        <w:ind w:left="1693" w:right="1138"/>
      </w:pPr>
      <w:r w:rsidRPr="00CC0A1B">
        <w:t>“</w:t>
      </w:r>
      <w:r w:rsidR="001464FE" w:rsidRPr="00CC0A1B">
        <w:t>3.4.11</w:t>
      </w:r>
      <w:r w:rsidR="00DF4190" w:rsidRPr="00CC0A1B">
        <w:tab/>
      </w:r>
      <w:r w:rsidR="001464FE" w:rsidRPr="00CC0A1B">
        <w:t>Use of overpacks</w:t>
      </w:r>
    </w:p>
    <w:p w14:paraId="7A98852E" w14:textId="7916FE67" w:rsidR="001464FE" w:rsidRDefault="001464FE" w:rsidP="001464FE">
      <w:pPr>
        <w:pStyle w:val="SingleTxtG"/>
        <w:ind w:left="1693" w:right="1138"/>
      </w:pPr>
      <w:r>
        <w:t>For an overpack containing dangerous goods packed in limited quantities, the following applies:</w:t>
      </w:r>
    </w:p>
    <w:p w14:paraId="483A37DC" w14:textId="77777777" w:rsidR="001464FE" w:rsidRDefault="001464FE" w:rsidP="001464FE">
      <w:pPr>
        <w:pStyle w:val="SingleTxtG"/>
        <w:ind w:left="1693" w:right="1138"/>
      </w:pPr>
      <w:r>
        <w:t>Unless the marks representative of all dangerous goods in an overpack are visible, the overpack shall be:</w:t>
      </w:r>
    </w:p>
    <w:p w14:paraId="7C7DE064" w14:textId="77777777" w:rsidR="001464FE" w:rsidRDefault="001464FE" w:rsidP="001464FE">
      <w:pPr>
        <w:pStyle w:val="SingleTxtG"/>
        <w:numPr>
          <w:ilvl w:val="0"/>
          <w:numId w:val="22"/>
        </w:numPr>
        <w:ind w:right="1138"/>
      </w:pPr>
      <w:r>
        <w:t>marked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14:paraId="041644A2" w14:textId="77777777" w:rsidR="001464FE" w:rsidRDefault="001464FE" w:rsidP="001464FE">
      <w:pPr>
        <w:pStyle w:val="SingleTxtG"/>
        <w:numPr>
          <w:ilvl w:val="0"/>
          <w:numId w:val="22"/>
        </w:numPr>
        <w:ind w:right="1138"/>
      </w:pPr>
      <w:r>
        <w:t>marked with the marks required by this Chapter.</w:t>
      </w:r>
    </w:p>
    <w:p w14:paraId="6553A855" w14:textId="77777777" w:rsidR="001464FE" w:rsidRDefault="001464FE" w:rsidP="001464FE">
      <w:pPr>
        <w:pStyle w:val="SingleTxtG"/>
        <w:ind w:left="1699" w:right="1138"/>
      </w:pPr>
      <w:r>
        <w:t>Except for air transport, the other provisions of 5.1.2.1 apply only if other dangerous goods which are not packed in limited quantities are contained in the overpack and only in relation to these other dangerous goods.</w:t>
      </w:r>
    </w:p>
    <w:p w14:paraId="556DA888" w14:textId="0C564F17" w:rsidR="001464FE" w:rsidRPr="009611C8" w:rsidRDefault="001464FE" w:rsidP="001464FE">
      <w:pPr>
        <w:pStyle w:val="SingleTxtG"/>
        <w:ind w:left="1699" w:right="1138"/>
        <w:rPr>
          <w:u w:val="single"/>
        </w:rPr>
      </w:pPr>
      <w:r w:rsidRPr="009611C8">
        <w:rPr>
          <w:u w:val="single"/>
        </w:rPr>
        <w:t xml:space="preserve">For </w:t>
      </w:r>
      <w:r w:rsidR="00022536">
        <w:rPr>
          <w:u w:val="single"/>
        </w:rPr>
        <w:t>inland transport</w:t>
      </w:r>
      <w:r w:rsidRPr="009611C8">
        <w:rPr>
          <w:u w:val="single"/>
        </w:rPr>
        <w:t xml:space="preserve"> only, if the carrier prepares the overpack, these marking requirements do not apply if the overpack </w:t>
      </w:r>
      <w:r>
        <w:rPr>
          <w:u w:val="single"/>
        </w:rPr>
        <w:t>c</w:t>
      </w:r>
      <w:r w:rsidRPr="009611C8">
        <w:rPr>
          <w:u w:val="single"/>
        </w:rPr>
        <w:t>ontain</w:t>
      </w:r>
      <w:r>
        <w:rPr>
          <w:u w:val="single"/>
        </w:rPr>
        <w:t>s no</w:t>
      </w:r>
      <w:r w:rsidR="00B24286">
        <w:rPr>
          <w:u w:val="single"/>
        </w:rPr>
        <w:t>t</w:t>
      </w:r>
      <w:r w:rsidRPr="009611C8">
        <w:rPr>
          <w:u w:val="single"/>
        </w:rPr>
        <w:t xml:space="preserve"> more than </w:t>
      </w:r>
      <w:r w:rsidR="006D3853">
        <w:rPr>
          <w:u w:val="single"/>
        </w:rPr>
        <w:t>[</w:t>
      </w:r>
      <w:r>
        <w:rPr>
          <w:u w:val="single"/>
        </w:rPr>
        <w:t>XX</w:t>
      </w:r>
      <w:r w:rsidR="006D3853">
        <w:rPr>
          <w:u w:val="single"/>
        </w:rPr>
        <w:t>]</w:t>
      </w:r>
      <w:r w:rsidRPr="009611C8">
        <w:rPr>
          <w:u w:val="single"/>
        </w:rPr>
        <w:t xml:space="preserve"> packages of dangerous goods packed in limited quantities</w:t>
      </w:r>
      <w:r w:rsidRPr="00086F49">
        <w:t>.”</w:t>
      </w:r>
    </w:p>
    <w:p w14:paraId="6AE75992" w14:textId="258C7B45" w:rsidR="001464FE" w:rsidRDefault="001464FE" w:rsidP="001464FE">
      <w:pPr>
        <w:pStyle w:val="SingleTxtG"/>
        <w:numPr>
          <w:ilvl w:val="0"/>
          <w:numId w:val="21"/>
        </w:numPr>
        <w:spacing w:before="240"/>
        <w:ind w:right="1138"/>
      </w:pPr>
      <w:r>
        <w:t xml:space="preserve">Amend 3.5.4.3 of </w:t>
      </w:r>
      <w:r w:rsidR="00B24286">
        <w:t>RID/</w:t>
      </w:r>
      <w:r>
        <w:t>ADR</w:t>
      </w:r>
      <w:r w:rsidR="00B24286">
        <w:t>/ADN</w:t>
      </w:r>
      <w:r>
        <w:t xml:space="preserve"> as follows</w:t>
      </w:r>
      <w:r w:rsidR="00FF2FE7">
        <w:t xml:space="preserve"> (new text is underlined)</w:t>
      </w:r>
      <w:r>
        <w:t>:</w:t>
      </w:r>
    </w:p>
    <w:p w14:paraId="48643305" w14:textId="62A41788" w:rsidR="001464FE" w:rsidRPr="00FF2FE7" w:rsidRDefault="00FF2FE7" w:rsidP="001464FE">
      <w:pPr>
        <w:pStyle w:val="SingleTxtG"/>
        <w:spacing w:before="240"/>
        <w:ind w:left="1693" w:right="1138"/>
      </w:pPr>
      <w:r>
        <w:t>“</w:t>
      </w:r>
      <w:r w:rsidR="001464FE" w:rsidRPr="00FF2FE7">
        <w:t>3.5.4.3 Use of overpacks</w:t>
      </w:r>
    </w:p>
    <w:p w14:paraId="47061FC2" w14:textId="632D79BC" w:rsidR="001464FE" w:rsidRDefault="001464FE" w:rsidP="001464FE">
      <w:pPr>
        <w:pStyle w:val="SingleTxtG"/>
        <w:ind w:left="1693" w:right="1138"/>
      </w:pPr>
      <w:r>
        <w:t>For an overpack containing dangerous goods packed in excepted quantities, the following applies:</w:t>
      </w:r>
    </w:p>
    <w:p w14:paraId="50FD2041" w14:textId="77777777" w:rsidR="001464FE" w:rsidRDefault="001464FE" w:rsidP="001464FE">
      <w:pPr>
        <w:pStyle w:val="SingleTxtG"/>
        <w:ind w:left="1693" w:right="1138"/>
      </w:pPr>
      <w:r>
        <w:t>Unless the marks representative of all dangerous goods in an overpack are visible, the overpack shall be:</w:t>
      </w:r>
    </w:p>
    <w:p w14:paraId="19CB4218" w14:textId="77777777" w:rsidR="001464FE" w:rsidRDefault="001464FE" w:rsidP="001464FE">
      <w:pPr>
        <w:pStyle w:val="SingleTxtG"/>
        <w:numPr>
          <w:ilvl w:val="0"/>
          <w:numId w:val="22"/>
        </w:numPr>
        <w:ind w:right="1138"/>
      </w:pPr>
      <w:r>
        <w:t>marked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14:paraId="25B35C73" w14:textId="77777777" w:rsidR="001464FE" w:rsidRDefault="001464FE" w:rsidP="001464FE">
      <w:pPr>
        <w:pStyle w:val="SingleTxtG"/>
        <w:numPr>
          <w:ilvl w:val="0"/>
          <w:numId w:val="22"/>
        </w:numPr>
        <w:ind w:right="1138"/>
      </w:pPr>
      <w:r>
        <w:t>marked with the marks required by this Chapter.</w:t>
      </w:r>
    </w:p>
    <w:p w14:paraId="6CEE776C" w14:textId="77777777" w:rsidR="001464FE" w:rsidRDefault="001464FE" w:rsidP="001464FE">
      <w:pPr>
        <w:pStyle w:val="SingleTxtG"/>
        <w:ind w:left="1699" w:right="1138"/>
      </w:pPr>
      <w:r>
        <w:t>The other provisions of 5.1.2.1 apply only if other dangerous goods which are not packed in excepted quantities are contained in the overpack and only in relation to these other dangerous goods.</w:t>
      </w:r>
    </w:p>
    <w:p w14:paraId="13686DA9" w14:textId="6624EF4F" w:rsidR="001464FE" w:rsidRPr="009611C8" w:rsidRDefault="001464FE" w:rsidP="001464FE">
      <w:pPr>
        <w:pStyle w:val="SingleTxtG"/>
        <w:ind w:left="1699" w:right="1138"/>
        <w:rPr>
          <w:u w:val="single"/>
        </w:rPr>
      </w:pPr>
      <w:r w:rsidRPr="009611C8">
        <w:rPr>
          <w:u w:val="single"/>
        </w:rPr>
        <w:t xml:space="preserve">For </w:t>
      </w:r>
      <w:r w:rsidR="00022536">
        <w:rPr>
          <w:u w:val="single"/>
        </w:rPr>
        <w:t>inland transport</w:t>
      </w:r>
      <w:r w:rsidRPr="009611C8">
        <w:rPr>
          <w:u w:val="single"/>
        </w:rPr>
        <w:t xml:space="preserve"> only, if the carrier prepares the overpack, these marking requirements do not apply if the overpack contain</w:t>
      </w:r>
      <w:r>
        <w:rPr>
          <w:u w:val="single"/>
        </w:rPr>
        <w:t>s no</w:t>
      </w:r>
      <w:r w:rsidR="00022536">
        <w:rPr>
          <w:u w:val="single"/>
        </w:rPr>
        <w:t>t</w:t>
      </w:r>
      <w:r w:rsidRPr="009611C8">
        <w:rPr>
          <w:u w:val="single"/>
        </w:rPr>
        <w:t xml:space="preserve"> more than </w:t>
      </w:r>
      <w:r w:rsidR="00392D9C">
        <w:rPr>
          <w:u w:val="single"/>
        </w:rPr>
        <w:t>[</w:t>
      </w:r>
      <w:r>
        <w:rPr>
          <w:u w:val="single"/>
        </w:rPr>
        <w:t>XX</w:t>
      </w:r>
      <w:r w:rsidR="00392D9C">
        <w:rPr>
          <w:u w:val="single"/>
        </w:rPr>
        <w:t>]</w:t>
      </w:r>
      <w:r w:rsidRPr="009611C8">
        <w:rPr>
          <w:u w:val="single"/>
        </w:rPr>
        <w:t xml:space="preserve"> packages of dangerous goods packed in </w:t>
      </w:r>
      <w:r>
        <w:rPr>
          <w:u w:val="single"/>
        </w:rPr>
        <w:t>excepted</w:t>
      </w:r>
      <w:r w:rsidRPr="009611C8">
        <w:rPr>
          <w:u w:val="single"/>
        </w:rPr>
        <w:t xml:space="preserve"> quantities</w:t>
      </w:r>
      <w:r w:rsidRPr="00392D9C">
        <w:t>.”</w:t>
      </w:r>
    </w:p>
    <w:p w14:paraId="48CE57DA" w14:textId="593048BB" w:rsidR="001464FE" w:rsidRPr="00ED6A59" w:rsidRDefault="001464FE" w:rsidP="00810048">
      <w:pPr>
        <w:pStyle w:val="SingleTxtG"/>
        <w:ind w:left="1693" w:right="1138"/>
        <w:rPr>
          <w:b/>
          <w:bCs/>
          <w:sz w:val="28"/>
          <w:szCs w:val="28"/>
        </w:rPr>
      </w:pPr>
      <w:r>
        <w:t xml:space="preserve">Amend special provision 188, paragraph (f) of </w:t>
      </w:r>
      <w:r w:rsidR="00022536">
        <w:t>RID/</w:t>
      </w:r>
      <w:r>
        <w:t>ADR</w:t>
      </w:r>
      <w:r w:rsidR="00022536">
        <w:t>/ADN</w:t>
      </w:r>
      <w:r>
        <w:t xml:space="preserve"> as follows:</w:t>
      </w:r>
    </w:p>
    <w:p w14:paraId="2F0D1C4A" w14:textId="77777777" w:rsidR="001464FE" w:rsidRDefault="001464FE" w:rsidP="00392D9C">
      <w:pPr>
        <w:pStyle w:val="ListParagraph"/>
        <w:keepNext/>
        <w:keepLines/>
        <w:suppressAutoHyphens w:val="0"/>
        <w:spacing w:after="120" w:line="240" w:lineRule="auto"/>
        <w:ind w:left="1699" w:right="1140"/>
        <w:contextualSpacing w:val="0"/>
        <w:jc w:val="both"/>
      </w:pPr>
      <w:r>
        <w:lastRenderedPageBreak/>
        <w:t>“188</w:t>
      </w:r>
    </w:p>
    <w:p w14:paraId="25031169" w14:textId="77777777" w:rsidR="001464FE" w:rsidRDefault="001464FE" w:rsidP="00392D9C">
      <w:pPr>
        <w:pStyle w:val="ListParagraph"/>
        <w:keepNext/>
        <w:keepLines/>
        <w:suppressAutoHyphens w:val="0"/>
        <w:spacing w:after="120" w:line="240" w:lineRule="auto"/>
        <w:ind w:left="1699" w:right="1140"/>
        <w:contextualSpacing w:val="0"/>
        <w:jc w:val="both"/>
      </w:pPr>
      <w:r>
        <w:t>Cells and batteries offered for carriage are not subject to other provisions of ADR if they meet the following:</w:t>
      </w:r>
    </w:p>
    <w:p w14:paraId="01BFAA69" w14:textId="7C2BBA03" w:rsidR="001464FE" w:rsidRDefault="001464FE" w:rsidP="00392D9C">
      <w:pPr>
        <w:keepNext/>
        <w:keepLines/>
        <w:suppressAutoHyphens w:val="0"/>
        <w:spacing w:after="120" w:line="240" w:lineRule="auto"/>
        <w:ind w:left="1132" w:right="1140" w:firstLine="567"/>
        <w:jc w:val="both"/>
      </w:pPr>
      <w:r>
        <w:t xml:space="preserve">(a) </w:t>
      </w:r>
      <w:r w:rsidR="004B7A82">
        <w:t>to</w:t>
      </w:r>
      <w:r>
        <w:t xml:space="preserve"> (e)</w:t>
      </w:r>
      <w:r w:rsidR="004B7A82">
        <w:t xml:space="preserve"> </w:t>
      </w:r>
      <w:r>
        <w:t>…</w:t>
      </w:r>
    </w:p>
    <w:p w14:paraId="30F939A4" w14:textId="348C0358" w:rsidR="001464FE" w:rsidRDefault="001464FE" w:rsidP="001464FE">
      <w:pPr>
        <w:suppressAutoHyphens w:val="0"/>
        <w:spacing w:after="120" w:line="240" w:lineRule="auto"/>
        <w:ind w:left="2268" w:right="1138" w:hanging="569"/>
        <w:jc w:val="both"/>
      </w:pPr>
      <w:r>
        <w:t>(f)</w:t>
      </w:r>
      <w:r>
        <w:tab/>
      </w:r>
      <w:r w:rsidRPr="00ED6A59">
        <w:t>Each package shall be marked with the appropriate lithium battery mark, as illustrated in</w:t>
      </w:r>
      <w:r>
        <w:t xml:space="preserve"> </w:t>
      </w:r>
      <w:r w:rsidRPr="00ED6A59">
        <w:t>5.2.1.</w:t>
      </w:r>
      <w:r>
        <w:t>9</w:t>
      </w:r>
      <w:r w:rsidRPr="00ED6A59">
        <w:t>;</w:t>
      </w:r>
    </w:p>
    <w:p w14:paraId="64250499" w14:textId="77777777" w:rsidR="001464FE" w:rsidRPr="00ED6A59" w:rsidRDefault="001464FE" w:rsidP="001464FE">
      <w:pPr>
        <w:pStyle w:val="ListParagraph"/>
        <w:suppressAutoHyphens w:val="0"/>
        <w:spacing w:after="120" w:line="240" w:lineRule="auto"/>
        <w:ind w:left="2242" w:right="1138" w:firstLine="8"/>
        <w:contextualSpacing w:val="0"/>
        <w:jc w:val="both"/>
      </w:pPr>
      <w:r w:rsidRPr="00ED6A59">
        <w:t>This requirement does not apply to:</w:t>
      </w:r>
    </w:p>
    <w:p w14:paraId="7B2E3F04" w14:textId="77777777" w:rsidR="001464FE" w:rsidRDefault="001464FE" w:rsidP="001464FE">
      <w:pPr>
        <w:pStyle w:val="ListParagraph"/>
        <w:numPr>
          <w:ilvl w:val="0"/>
          <w:numId w:val="23"/>
        </w:numPr>
        <w:suppressAutoHyphens w:val="0"/>
        <w:spacing w:after="120" w:line="240" w:lineRule="auto"/>
        <w:ind w:left="2799" w:right="1138" w:hanging="557"/>
        <w:contextualSpacing w:val="0"/>
        <w:jc w:val="both"/>
      </w:pPr>
      <w:r w:rsidRPr="00ED6A59">
        <w:t>Packages containing only button cell batteries installed in equipment (including circuit</w:t>
      </w:r>
      <w:r>
        <w:t xml:space="preserve"> </w:t>
      </w:r>
      <w:r w:rsidRPr="00ED6A59">
        <w:t>boards); and</w:t>
      </w:r>
    </w:p>
    <w:p w14:paraId="383469B3" w14:textId="77777777" w:rsidR="001464FE" w:rsidRPr="00ED6A59" w:rsidRDefault="001464FE" w:rsidP="001464FE">
      <w:pPr>
        <w:pStyle w:val="ListParagraph"/>
        <w:numPr>
          <w:ilvl w:val="0"/>
          <w:numId w:val="23"/>
        </w:numPr>
        <w:suppressAutoHyphens w:val="0"/>
        <w:spacing w:after="120" w:line="240" w:lineRule="auto"/>
        <w:ind w:left="2799" w:right="1138" w:hanging="557"/>
        <w:contextualSpacing w:val="0"/>
        <w:jc w:val="both"/>
      </w:pPr>
      <w:r w:rsidRPr="00ED6A59">
        <w:t>Packages containing no more than four cells or two batteries installed in equipment, where there are not more than two packages in the consignment.</w:t>
      </w:r>
    </w:p>
    <w:p w14:paraId="4DC7CB92" w14:textId="77777777" w:rsidR="001464FE" w:rsidRDefault="001464FE" w:rsidP="001464FE">
      <w:pPr>
        <w:pStyle w:val="ListParagraph"/>
        <w:suppressAutoHyphens w:val="0"/>
        <w:spacing w:after="120" w:line="240" w:lineRule="auto"/>
        <w:ind w:left="1693" w:right="1138"/>
        <w:contextualSpacing w:val="0"/>
        <w:jc w:val="both"/>
      </w:pPr>
      <w:r w:rsidRPr="00ED6A59">
        <w:t>When packages are placed in an overpack, the lithium battery mark shall either be clearly visible</w:t>
      </w:r>
      <w:r>
        <w:t xml:space="preserve"> </w:t>
      </w:r>
      <w:r w:rsidRPr="00ED6A59">
        <w:t>or be reproduced on the outside of the overpack and the overpack shall be marked with the</w:t>
      </w:r>
      <w:r>
        <w:t xml:space="preserve"> </w:t>
      </w:r>
      <w:r w:rsidRPr="00ED6A59">
        <w:t>word "OVERPACK". The lettering of the "OVERPACK" mark shall be at least 12 mm high</w:t>
      </w:r>
      <w:r>
        <w:t>.</w:t>
      </w:r>
    </w:p>
    <w:p w14:paraId="04D98E30" w14:textId="31FD8E41" w:rsidR="001464FE" w:rsidRPr="0057057A" w:rsidRDefault="001464FE" w:rsidP="001464FE">
      <w:pPr>
        <w:pStyle w:val="SingleTxtG"/>
        <w:ind w:left="1699" w:right="1138"/>
        <w:rPr>
          <w:u w:val="single"/>
        </w:rPr>
      </w:pPr>
      <w:r w:rsidRPr="009611C8">
        <w:rPr>
          <w:u w:val="single"/>
        </w:rPr>
        <w:t xml:space="preserve">For </w:t>
      </w:r>
      <w:r w:rsidR="00022536">
        <w:rPr>
          <w:u w:val="single"/>
        </w:rPr>
        <w:t>inland transport</w:t>
      </w:r>
      <w:r w:rsidRPr="009611C8">
        <w:rPr>
          <w:u w:val="single"/>
        </w:rPr>
        <w:t xml:space="preserve"> only, if the carrier prepares the overpack, these marking requirements do not apply if the overpack contain</w:t>
      </w:r>
      <w:r>
        <w:rPr>
          <w:u w:val="single"/>
        </w:rPr>
        <w:t>s no</w:t>
      </w:r>
      <w:r w:rsidR="00022536">
        <w:rPr>
          <w:u w:val="single"/>
        </w:rPr>
        <w:t>t</w:t>
      </w:r>
      <w:r w:rsidRPr="009611C8">
        <w:rPr>
          <w:u w:val="single"/>
        </w:rPr>
        <w:t xml:space="preserve"> more than </w:t>
      </w:r>
      <w:r w:rsidR="00292D73">
        <w:rPr>
          <w:u w:val="single"/>
        </w:rPr>
        <w:t>[</w:t>
      </w:r>
      <w:r>
        <w:rPr>
          <w:u w:val="single"/>
        </w:rPr>
        <w:t>XX</w:t>
      </w:r>
      <w:r w:rsidR="00292D73">
        <w:rPr>
          <w:u w:val="single"/>
        </w:rPr>
        <w:t>]</w:t>
      </w:r>
      <w:r w:rsidRPr="009611C8">
        <w:rPr>
          <w:u w:val="single"/>
        </w:rPr>
        <w:t xml:space="preserve"> packages of dangerous goods packed in </w:t>
      </w:r>
      <w:r>
        <w:rPr>
          <w:u w:val="single"/>
        </w:rPr>
        <w:t>accordance with this special provision</w:t>
      </w:r>
      <w:r w:rsidRPr="009611C8">
        <w:rPr>
          <w:u w:val="single"/>
        </w:rPr>
        <w:t>.</w:t>
      </w:r>
      <w:r w:rsidRPr="0057057A">
        <w:t>”</w:t>
      </w:r>
    </w:p>
    <w:p w14:paraId="29307B5D" w14:textId="77777777" w:rsidR="001464FE" w:rsidRPr="00492250" w:rsidRDefault="001464FE" w:rsidP="001464FE">
      <w:pPr>
        <w:pStyle w:val="SingleTxtG"/>
        <w:spacing w:before="360" w:after="240"/>
        <w:ind w:left="1170" w:right="1138"/>
        <w:jc w:val="left"/>
        <w:rPr>
          <w:b/>
          <w:bCs/>
          <w:sz w:val="28"/>
          <w:szCs w:val="28"/>
        </w:rPr>
      </w:pPr>
      <w:r>
        <w:rPr>
          <w:b/>
          <w:bCs/>
          <w:sz w:val="28"/>
          <w:szCs w:val="28"/>
        </w:rPr>
        <w:t>Justification</w:t>
      </w:r>
    </w:p>
    <w:p w14:paraId="43F973E7" w14:textId="6747244F" w:rsidR="001464FE" w:rsidRDefault="001464FE" w:rsidP="001464FE">
      <w:pPr>
        <w:pStyle w:val="SingleTxtG"/>
        <w:numPr>
          <w:ilvl w:val="0"/>
          <w:numId w:val="21"/>
        </w:numPr>
        <w:ind w:left="1170" w:right="1138" w:hanging="32"/>
      </w:pPr>
      <w:r w:rsidRPr="004D2E8F">
        <w:t>Within the ADR, these bags could be interpreted as meeting the definition of “</w:t>
      </w:r>
      <w:r w:rsidR="00022536">
        <w:t>o</w:t>
      </w:r>
      <w:r w:rsidRPr="004D2E8F">
        <w:t xml:space="preserve">verpack” (“an enclosure to contain one or more packages”). However, throughout the delivery route, the contents of these bags are constantly changing as the driver delivers individual parcels. Since these bags contain both marked and unmarked dangerous goods, a driver/delivery person will not know at any given time when the final marked dangerous goods </w:t>
      </w:r>
      <w:r>
        <w:t xml:space="preserve">package </w:t>
      </w:r>
      <w:r w:rsidRPr="004D2E8F">
        <w:t xml:space="preserve">is removed from the bag. </w:t>
      </w:r>
      <w:r>
        <w:t>According to the requirements, o</w:t>
      </w:r>
      <w:r w:rsidRPr="004D2E8F">
        <w:t xml:space="preserve">nce the last package containing dangerous goods is removed from the bag, the marking required for an overpack </w:t>
      </w:r>
      <w:r>
        <w:t>must be</w:t>
      </w:r>
      <w:r w:rsidRPr="004D2E8F">
        <w:t xml:space="preserve"> removed from the exterior of the bag, </w:t>
      </w:r>
      <w:r>
        <w:t>since it</w:t>
      </w:r>
      <w:r w:rsidRPr="004D2E8F">
        <w:t xml:space="preserve"> is no longer applicable or appropriate. Not removing this marking would communicate a hazard that does not exist and violat</w:t>
      </w:r>
      <w:r>
        <w:t xml:space="preserve">e </w:t>
      </w:r>
      <w:r w:rsidRPr="004D2E8F">
        <w:t>the regulations. Complying, and removing the marks, place</w:t>
      </w:r>
      <w:r>
        <w:t>s</w:t>
      </w:r>
      <w:r w:rsidRPr="004D2E8F">
        <w:t xml:space="preserve"> a burden on a driver/delivery person whose primary duty is the safe navigation and delivery of the packages.</w:t>
      </w:r>
      <w:r>
        <w:t xml:space="preserve"> COSTHA is the opinion that amending the regulations as proposed could ease that burden without adding undue risks.</w:t>
      </w:r>
    </w:p>
    <w:p w14:paraId="59AFEDD4" w14:textId="0CFFDEAE" w:rsidR="001C6663" w:rsidRPr="00810048" w:rsidRDefault="00810048" w:rsidP="00810048">
      <w:pPr>
        <w:spacing w:before="240"/>
        <w:jc w:val="center"/>
        <w:rPr>
          <w:u w:val="single"/>
        </w:rPr>
      </w:pPr>
      <w:r>
        <w:rPr>
          <w:u w:val="single"/>
        </w:rPr>
        <w:tab/>
      </w:r>
      <w:r>
        <w:rPr>
          <w:u w:val="single"/>
        </w:rPr>
        <w:tab/>
      </w:r>
      <w:r>
        <w:rPr>
          <w:u w:val="single"/>
        </w:rPr>
        <w:tab/>
      </w:r>
    </w:p>
    <w:sectPr w:rsidR="001C6663" w:rsidRPr="00810048" w:rsidSect="00F35B4E">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1A4B" w14:textId="77777777" w:rsidR="00EC3B5B" w:rsidRDefault="00EC3B5B"/>
  </w:endnote>
  <w:endnote w:type="continuationSeparator" w:id="0">
    <w:p w14:paraId="2F159C41" w14:textId="77777777" w:rsidR="00EC3B5B" w:rsidRDefault="00EC3B5B"/>
  </w:endnote>
  <w:endnote w:type="continuationNotice" w:id="1">
    <w:p w14:paraId="1D5C2541" w14:textId="77777777" w:rsidR="00EC3B5B" w:rsidRDefault="00EC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A415" w14:textId="54C3A7D5" w:rsidR="00F35B4E" w:rsidRPr="00F35B4E" w:rsidRDefault="00F35B4E" w:rsidP="00F35B4E">
    <w:pPr>
      <w:pStyle w:val="Footer"/>
      <w:tabs>
        <w:tab w:val="right" w:pos="9638"/>
      </w:tabs>
      <w:rPr>
        <w:sz w:val="18"/>
      </w:rPr>
    </w:pPr>
    <w:r w:rsidRPr="00F35B4E">
      <w:rPr>
        <w:b/>
        <w:sz w:val="18"/>
      </w:rPr>
      <w:fldChar w:fldCharType="begin"/>
    </w:r>
    <w:r w:rsidRPr="00F35B4E">
      <w:rPr>
        <w:b/>
        <w:sz w:val="18"/>
      </w:rPr>
      <w:instrText xml:space="preserve"> PAGE  \* MERGEFORMAT </w:instrText>
    </w:r>
    <w:r w:rsidRPr="00F35B4E">
      <w:rPr>
        <w:b/>
        <w:sz w:val="18"/>
      </w:rPr>
      <w:fldChar w:fldCharType="separate"/>
    </w:r>
    <w:r w:rsidR="00022536">
      <w:rPr>
        <w:b/>
        <w:noProof/>
        <w:sz w:val="18"/>
      </w:rPr>
      <w:t>4</w:t>
    </w:r>
    <w:r w:rsidRPr="00F35B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7BFF" w14:textId="68E8C2F6" w:rsidR="00F35B4E" w:rsidRPr="00F35B4E" w:rsidRDefault="00F35B4E" w:rsidP="00F35B4E">
    <w:pPr>
      <w:pStyle w:val="Footer"/>
      <w:tabs>
        <w:tab w:val="right" w:pos="9638"/>
      </w:tabs>
      <w:rPr>
        <w:b/>
        <w:sz w:val="18"/>
      </w:rPr>
    </w:pPr>
    <w:r>
      <w:tab/>
    </w:r>
    <w:r w:rsidRPr="00F35B4E">
      <w:rPr>
        <w:b/>
        <w:sz w:val="18"/>
      </w:rPr>
      <w:fldChar w:fldCharType="begin"/>
    </w:r>
    <w:r w:rsidRPr="00F35B4E">
      <w:rPr>
        <w:b/>
        <w:sz w:val="18"/>
      </w:rPr>
      <w:instrText xml:space="preserve"> PAGE  \* MERGEFORMAT </w:instrText>
    </w:r>
    <w:r w:rsidRPr="00F35B4E">
      <w:rPr>
        <w:b/>
        <w:sz w:val="18"/>
      </w:rPr>
      <w:fldChar w:fldCharType="separate"/>
    </w:r>
    <w:r w:rsidR="00022536">
      <w:rPr>
        <w:b/>
        <w:noProof/>
        <w:sz w:val="18"/>
      </w:rPr>
      <w:t>3</w:t>
    </w:r>
    <w:r w:rsidRPr="00F35B4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B8A9" w14:textId="77777777" w:rsidR="00EC3B5B" w:rsidRPr="000B175B" w:rsidRDefault="00EC3B5B" w:rsidP="000B175B">
      <w:pPr>
        <w:tabs>
          <w:tab w:val="right" w:pos="2155"/>
        </w:tabs>
        <w:spacing w:after="80"/>
        <w:ind w:left="680"/>
        <w:rPr>
          <w:u w:val="single"/>
        </w:rPr>
      </w:pPr>
      <w:r>
        <w:rPr>
          <w:u w:val="single"/>
        </w:rPr>
        <w:tab/>
      </w:r>
    </w:p>
  </w:footnote>
  <w:footnote w:type="continuationSeparator" w:id="0">
    <w:p w14:paraId="7A202F86" w14:textId="77777777" w:rsidR="00EC3B5B" w:rsidRPr="00FC68B7" w:rsidRDefault="00EC3B5B" w:rsidP="00FC68B7">
      <w:pPr>
        <w:tabs>
          <w:tab w:val="left" w:pos="2155"/>
        </w:tabs>
        <w:spacing w:after="80"/>
        <w:ind w:left="680"/>
        <w:rPr>
          <w:u w:val="single"/>
        </w:rPr>
      </w:pPr>
      <w:r>
        <w:rPr>
          <w:u w:val="single"/>
        </w:rPr>
        <w:tab/>
      </w:r>
    </w:p>
  </w:footnote>
  <w:footnote w:type="continuationNotice" w:id="1">
    <w:p w14:paraId="15A74056" w14:textId="77777777" w:rsidR="00EC3B5B" w:rsidRDefault="00EC3B5B"/>
  </w:footnote>
  <w:footnote w:id="2">
    <w:p w14:paraId="7955B49B" w14:textId="77777777" w:rsidR="00122CB9" w:rsidRPr="00B24286" w:rsidRDefault="00122CB9" w:rsidP="00122CB9">
      <w:pPr>
        <w:pStyle w:val="FootnoteText"/>
        <w:rPr>
          <w:lang w:val="fr-CH"/>
        </w:rPr>
      </w:pPr>
      <w:r>
        <w:tab/>
      </w:r>
      <w:r>
        <w:rPr>
          <w:rStyle w:val="FootnoteReference"/>
          <w:b/>
          <w:bCs/>
          <w:sz w:val="20"/>
        </w:rPr>
        <w:sym w:font="Symbol" w:char="F02A"/>
      </w:r>
      <w:r>
        <w:tab/>
        <w:t>A/76/6 (Sect.20), para. 20.76.</w:t>
      </w:r>
    </w:p>
  </w:footnote>
  <w:footnote w:id="3">
    <w:p w14:paraId="67FE9D29" w14:textId="16238CF3" w:rsidR="00122CB9" w:rsidRPr="00B24286" w:rsidRDefault="00122CB9" w:rsidP="00122CB9">
      <w:pPr>
        <w:pStyle w:val="FootnoteText"/>
        <w:rPr>
          <w:lang w:val="fr-CH"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OTIF/RID/RC/2022/2</w:t>
      </w:r>
      <w:r w:rsidR="00FD05DE">
        <w:rPr>
          <w:szCs w:val="18"/>
        </w:rPr>
        <w:t>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D03B" w14:textId="69C6BDD9" w:rsidR="00F35B4E" w:rsidRPr="00F35B4E" w:rsidRDefault="003F2C82">
    <w:pPr>
      <w:pStyle w:val="Header"/>
    </w:pPr>
    <w:r>
      <w:fldChar w:fldCharType="begin"/>
    </w:r>
    <w:r>
      <w:instrText xml:space="preserve"> TITLE  \* MERGEFORMAT </w:instrText>
    </w:r>
    <w:r>
      <w:fldChar w:fldCharType="separate"/>
    </w:r>
    <w:r w:rsidR="00F35B4E">
      <w:t>ECE/TRANS/WP.15/AC.1/2022/28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D3A0" w14:textId="44712BB6" w:rsidR="00F35B4E" w:rsidRPr="00F35B4E" w:rsidRDefault="003F2C82" w:rsidP="00F35B4E">
    <w:pPr>
      <w:pStyle w:val="Header"/>
      <w:jc w:val="right"/>
    </w:pPr>
    <w:r>
      <w:fldChar w:fldCharType="begin"/>
    </w:r>
    <w:r>
      <w:instrText xml:space="preserve"> TITLE  \* MERGEFORMAT </w:instrText>
    </w:r>
    <w:r>
      <w:fldChar w:fldCharType="separate"/>
    </w:r>
    <w:r w:rsidR="00F35B4E">
      <w:t>ECE/TRANS/WP.15/AC.1/2022/28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A569D"/>
    <w:multiLevelType w:val="hybridMultilevel"/>
    <w:tmpl w:val="B3EE382A"/>
    <w:lvl w:ilvl="0" w:tplc="FDBEFC60">
      <w:start w:val="9"/>
      <w:numFmt w:val="bullet"/>
      <w:lvlText w:val="-"/>
      <w:lvlJc w:val="left"/>
      <w:pPr>
        <w:ind w:left="2053" w:hanging="360"/>
      </w:pPr>
      <w:rPr>
        <w:rFonts w:ascii="Times New Roman" w:eastAsia="Times New Roman" w:hAnsi="Times New Roman" w:cs="Times New Roman" w:hint="default"/>
      </w:rPr>
    </w:lvl>
    <w:lvl w:ilvl="1" w:tplc="10090003" w:tentative="1">
      <w:start w:val="1"/>
      <w:numFmt w:val="bullet"/>
      <w:lvlText w:val="o"/>
      <w:lvlJc w:val="left"/>
      <w:pPr>
        <w:ind w:left="2773" w:hanging="360"/>
      </w:pPr>
      <w:rPr>
        <w:rFonts w:ascii="Courier New" w:hAnsi="Courier New" w:cs="Courier New" w:hint="default"/>
      </w:rPr>
    </w:lvl>
    <w:lvl w:ilvl="2" w:tplc="10090005" w:tentative="1">
      <w:start w:val="1"/>
      <w:numFmt w:val="bullet"/>
      <w:lvlText w:val=""/>
      <w:lvlJc w:val="left"/>
      <w:pPr>
        <w:ind w:left="3493" w:hanging="360"/>
      </w:pPr>
      <w:rPr>
        <w:rFonts w:ascii="Wingdings" w:hAnsi="Wingdings" w:hint="default"/>
      </w:rPr>
    </w:lvl>
    <w:lvl w:ilvl="3" w:tplc="10090001" w:tentative="1">
      <w:start w:val="1"/>
      <w:numFmt w:val="bullet"/>
      <w:lvlText w:val=""/>
      <w:lvlJc w:val="left"/>
      <w:pPr>
        <w:ind w:left="4213" w:hanging="360"/>
      </w:pPr>
      <w:rPr>
        <w:rFonts w:ascii="Symbol" w:hAnsi="Symbol" w:hint="default"/>
      </w:rPr>
    </w:lvl>
    <w:lvl w:ilvl="4" w:tplc="10090003" w:tentative="1">
      <w:start w:val="1"/>
      <w:numFmt w:val="bullet"/>
      <w:lvlText w:val="o"/>
      <w:lvlJc w:val="left"/>
      <w:pPr>
        <w:ind w:left="4933" w:hanging="360"/>
      </w:pPr>
      <w:rPr>
        <w:rFonts w:ascii="Courier New" w:hAnsi="Courier New" w:cs="Courier New" w:hint="default"/>
      </w:rPr>
    </w:lvl>
    <w:lvl w:ilvl="5" w:tplc="10090005" w:tentative="1">
      <w:start w:val="1"/>
      <w:numFmt w:val="bullet"/>
      <w:lvlText w:val=""/>
      <w:lvlJc w:val="left"/>
      <w:pPr>
        <w:ind w:left="5653" w:hanging="360"/>
      </w:pPr>
      <w:rPr>
        <w:rFonts w:ascii="Wingdings" w:hAnsi="Wingdings" w:hint="default"/>
      </w:rPr>
    </w:lvl>
    <w:lvl w:ilvl="6" w:tplc="10090001" w:tentative="1">
      <w:start w:val="1"/>
      <w:numFmt w:val="bullet"/>
      <w:lvlText w:val=""/>
      <w:lvlJc w:val="left"/>
      <w:pPr>
        <w:ind w:left="6373" w:hanging="360"/>
      </w:pPr>
      <w:rPr>
        <w:rFonts w:ascii="Symbol" w:hAnsi="Symbol" w:hint="default"/>
      </w:rPr>
    </w:lvl>
    <w:lvl w:ilvl="7" w:tplc="10090003" w:tentative="1">
      <w:start w:val="1"/>
      <w:numFmt w:val="bullet"/>
      <w:lvlText w:val="o"/>
      <w:lvlJc w:val="left"/>
      <w:pPr>
        <w:ind w:left="7093" w:hanging="360"/>
      </w:pPr>
      <w:rPr>
        <w:rFonts w:ascii="Courier New" w:hAnsi="Courier New" w:cs="Courier New" w:hint="default"/>
      </w:rPr>
    </w:lvl>
    <w:lvl w:ilvl="8" w:tplc="10090005" w:tentative="1">
      <w:start w:val="1"/>
      <w:numFmt w:val="bullet"/>
      <w:lvlText w:val=""/>
      <w:lvlJc w:val="left"/>
      <w:pPr>
        <w:ind w:left="7813"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1005A3"/>
    <w:multiLevelType w:val="hybridMultilevel"/>
    <w:tmpl w:val="B5168ADA"/>
    <w:lvl w:ilvl="0" w:tplc="632CF05A">
      <w:start w:val="1"/>
      <w:numFmt w:val="decimal"/>
      <w:lvlText w:val="%1."/>
      <w:lvlJc w:val="left"/>
      <w:pPr>
        <w:ind w:left="1693" w:hanging="555"/>
      </w:pPr>
      <w:rPr>
        <w:rFonts w:hint="default"/>
        <w:b w:val="0"/>
        <w:bCs w:val="0"/>
        <w:i w:val="0"/>
        <w:iCs w:val="0"/>
        <w:sz w:val="20"/>
        <w:szCs w:val="20"/>
      </w:rPr>
    </w:lvl>
    <w:lvl w:ilvl="1" w:tplc="10090019">
      <w:start w:val="1"/>
      <w:numFmt w:val="lowerLetter"/>
      <w:lvlText w:val="%2."/>
      <w:lvlJc w:val="left"/>
      <w:pPr>
        <w:ind w:left="2218" w:hanging="360"/>
      </w:pPr>
    </w:lvl>
    <w:lvl w:ilvl="2" w:tplc="1009001B" w:tentative="1">
      <w:start w:val="1"/>
      <w:numFmt w:val="lowerRoman"/>
      <w:lvlText w:val="%3."/>
      <w:lvlJc w:val="right"/>
      <w:pPr>
        <w:ind w:left="2938" w:hanging="180"/>
      </w:pPr>
    </w:lvl>
    <w:lvl w:ilvl="3" w:tplc="1009000F" w:tentative="1">
      <w:start w:val="1"/>
      <w:numFmt w:val="decimal"/>
      <w:lvlText w:val="%4."/>
      <w:lvlJc w:val="left"/>
      <w:pPr>
        <w:ind w:left="3658" w:hanging="360"/>
      </w:pPr>
    </w:lvl>
    <w:lvl w:ilvl="4" w:tplc="10090019" w:tentative="1">
      <w:start w:val="1"/>
      <w:numFmt w:val="lowerLetter"/>
      <w:lvlText w:val="%5."/>
      <w:lvlJc w:val="left"/>
      <w:pPr>
        <w:ind w:left="4378" w:hanging="360"/>
      </w:pPr>
    </w:lvl>
    <w:lvl w:ilvl="5" w:tplc="1009001B" w:tentative="1">
      <w:start w:val="1"/>
      <w:numFmt w:val="lowerRoman"/>
      <w:lvlText w:val="%6."/>
      <w:lvlJc w:val="right"/>
      <w:pPr>
        <w:ind w:left="5098" w:hanging="180"/>
      </w:pPr>
    </w:lvl>
    <w:lvl w:ilvl="6" w:tplc="1009000F" w:tentative="1">
      <w:start w:val="1"/>
      <w:numFmt w:val="decimal"/>
      <w:lvlText w:val="%7."/>
      <w:lvlJc w:val="left"/>
      <w:pPr>
        <w:ind w:left="5818" w:hanging="360"/>
      </w:pPr>
    </w:lvl>
    <w:lvl w:ilvl="7" w:tplc="10090019" w:tentative="1">
      <w:start w:val="1"/>
      <w:numFmt w:val="lowerLetter"/>
      <w:lvlText w:val="%8."/>
      <w:lvlJc w:val="left"/>
      <w:pPr>
        <w:ind w:left="6538" w:hanging="360"/>
      </w:pPr>
    </w:lvl>
    <w:lvl w:ilvl="8" w:tplc="1009001B" w:tentative="1">
      <w:start w:val="1"/>
      <w:numFmt w:val="lowerRoman"/>
      <w:lvlText w:val="%9."/>
      <w:lvlJc w:val="right"/>
      <w:pPr>
        <w:ind w:left="7258" w:hanging="180"/>
      </w:pPr>
    </w:lvl>
  </w:abstractNum>
  <w:abstractNum w:abstractNumId="21" w15:restartNumberingAfterBreak="0">
    <w:nsid w:val="7C5B02A1"/>
    <w:multiLevelType w:val="hybridMultilevel"/>
    <w:tmpl w:val="172A172E"/>
    <w:lvl w:ilvl="0" w:tplc="017A0C7A">
      <w:start w:val="1"/>
      <w:numFmt w:val="lowerRoman"/>
      <w:lvlText w:val="(%1)"/>
      <w:lvlJc w:val="left"/>
      <w:pPr>
        <w:ind w:left="2413" w:hanging="720"/>
      </w:pPr>
      <w:rPr>
        <w:rFonts w:hint="default"/>
      </w:rPr>
    </w:lvl>
    <w:lvl w:ilvl="1" w:tplc="10090019" w:tentative="1">
      <w:start w:val="1"/>
      <w:numFmt w:val="lowerLetter"/>
      <w:lvlText w:val="%2."/>
      <w:lvlJc w:val="left"/>
      <w:pPr>
        <w:ind w:left="2773" w:hanging="360"/>
      </w:pPr>
    </w:lvl>
    <w:lvl w:ilvl="2" w:tplc="1009001B" w:tentative="1">
      <w:start w:val="1"/>
      <w:numFmt w:val="lowerRoman"/>
      <w:lvlText w:val="%3."/>
      <w:lvlJc w:val="right"/>
      <w:pPr>
        <w:ind w:left="3493" w:hanging="180"/>
      </w:pPr>
    </w:lvl>
    <w:lvl w:ilvl="3" w:tplc="1009000F" w:tentative="1">
      <w:start w:val="1"/>
      <w:numFmt w:val="decimal"/>
      <w:lvlText w:val="%4."/>
      <w:lvlJc w:val="left"/>
      <w:pPr>
        <w:ind w:left="4213" w:hanging="360"/>
      </w:pPr>
    </w:lvl>
    <w:lvl w:ilvl="4" w:tplc="10090019" w:tentative="1">
      <w:start w:val="1"/>
      <w:numFmt w:val="lowerLetter"/>
      <w:lvlText w:val="%5."/>
      <w:lvlJc w:val="left"/>
      <w:pPr>
        <w:ind w:left="4933" w:hanging="360"/>
      </w:pPr>
    </w:lvl>
    <w:lvl w:ilvl="5" w:tplc="1009001B" w:tentative="1">
      <w:start w:val="1"/>
      <w:numFmt w:val="lowerRoman"/>
      <w:lvlText w:val="%6."/>
      <w:lvlJc w:val="right"/>
      <w:pPr>
        <w:ind w:left="5653" w:hanging="180"/>
      </w:pPr>
    </w:lvl>
    <w:lvl w:ilvl="6" w:tplc="1009000F" w:tentative="1">
      <w:start w:val="1"/>
      <w:numFmt w:val="decimal"/>
      <w:lvlText w:val="%7."/>
      <w:lvlJc w:val="left"/>
      <w:pPr>
        <w:ind w:left="6373" w:hanging="360"/>
      </w:pPr>
    </w:lvl>
    <w:lvl w:ilvl="7" w:tplc="10090019" w:tentative="1">
      <w:start w:val="1"/>
      <w:numFmt w:val="lowerLetter"/>
      <w:lvlText w:val="%8."/>
      <w:lvlJc w:val="left"/>
      <w:pPr>
        <w:ind w:left="7093" w:hanging="360"/>
      </w:pPr>
    </w:lvl>
    <w:lvl w:ilvl="8" w:tplc="1009001B" w:tentative="1">
      <w:start w:val="1"/>
      <w:numFmt w:val="lowerRoman"/>
      <w:lvlText w:val="%9."/>
      <w:lvlJc w:val="right"/>
      <w:pPr>
        <w:ind w:left="7813"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20"/>
  </w:num>
  <w:num w:numId="22">
    <w:abstractNumId w:val="15"/>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4E"/>
    <w:rsid w:val="00002A7D"/>
    <w:rsid w:val="000038A8"/>
    <w:rsid w:val="00006790"/>
    <w:rsid w:val="00022536"/>
    <w:rsid w:val="00027624"/>
    <w:rsid w:val="00035940"/>
    <w:rsid w:val="00050F6B"/>
    <w:rsid w:val="00066F76"/>
    <w:rsid w:val="000678CD"/>
    <w:rsid w:val="00072C8C"/>
    <w:rsid w:val="00081CE0"/>
    <w:rsid w:val="00084D30"/>
    <w:rsid w:val="00086F49"/>
    <w:rsid w:val="00090320"/>
    <w:rsid w:val="00090384"/>
    <w:rsid w:val="000931C0"/>
    <w:rsid w:val="0009732C"/>
    <w:rsid w:val="000A01F9"/>
    <w:rsid w:val="000A2E09"/>
    <w:rsid w:val="000B175B"/>
    <w:rsid w:val="000B3A0F"/>
    <w:rsid w:val="000E0415"/>
    <w:rsid w:val="000F7715"/>
    <w:rsid w:val="00122CB9"/>
    <w:rsid w:val="001464FE"/>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2D73"/>
    <w:rsid w:val="002974E9"/>
    <w:rsid w:val="002A26D5"/>
    <w:rsid w:val="002A7F94"/>
    <w:rsid w:val="002B109A"/>
    <w:rsid w:val="002C6D45"/>
    <w:rsid w:val="002D6E53"/>
    <w:rsid w:val="002E58A3"/>
    <w:rsid w:val="002F046D"/>
    <w:rsid w:val="002F3023"/>
    <w:rsid w:val="00301764"/>
    <w:rsid w:val="003229D8"/>
    <w:rsid w:val="00336C97"/>
    <w:rsid w:val="00337F88"/>
    <w:rsid w:val="00342432"/>
    <w:rsid w:val="0035223F"/>
    <w:rsid w:val="00352D4B"/>
    <w:rsid w:val="0035638C"/>
    <w:rsid w:val="003566E3"/>
    <w:rsid w:val="00361717"/>
    <w:rsid w:val="00385FDE"/>
    <w:rsid w:val="00392D9C"/>
    <w:rsid w:val="003A46BB"/>
    <w:rsid w:val="003A4EC7"/>
    <w:rsid w:val="003A7295"/>
    <w:rsid w:val="003B1F60"/>
    <w:rsid w:val="003C2CC4"/>
    <w:rsid w:val="003D4B23"/>
    <w:rsid w:val="003E278A"/>
    <w:rsid w:val="003F2C82"/>
    <w:rsid w:val="00413520"/>
    <w:rsid w:val="004325CB"/>
    <w:rsid w:val="00440A07"/>
    <w:rsid w:val="00462880"/>
    <w:rsid w:val="00476F24"/>
    <w:rsid w:val="004877D2"/>
    <w:rsid w:val="004B7A82"/>
    <w:rsid w:val="004C55B0"/>
    <w:rsid w:val="004F6BA0"/>
    <w:rsid w:val="00503BEA"/>
    <w:rsid w:val="00520DFC"/>
    <w:rsid w:val="00533616"/>
    <w:rsid w:val="00535ABA"/>
    <w:rsid w:val="0053768B"/>
    <w:rsid w:val="005420F2"/>
    <w:rsid w:val="0054285C"/>
    <w:rsid w:val="00584173"/>
    <w:rsid w:val="00595520"/>
    <w:rsid w:val="005A44B9"/>
    <w:rsid w:val="005B1BA0"/>
    <w:rsid w:val="005B3DB3"/>
    <w:rsid w:val="005B4AEC"/>
    <w:rsid w:val="005D15CA"/>
    <w:rsid w:val="005D7969"/>
    <w:rsid w:val="005F08DF"/>
    <w:rsid w:val="005F3066"/>
    <w:rsid w:val="005F3E61"/>
    <w:rsid w:val="00604DDD"/>
    <w:rsid w:val="006115CC"/>
    <w:rsid w:val="00611FC4"/>
    <w:rsid w:val="006176FB"/>
    <w:rsid w:val="00620C3D"/>
    <w:rsid w:val="00620C6D"/>
    <w:rsid w:val="00627810"/>
    <w:rsid w:val="00630FCB"/>
    <w:rsid w:val="00640B26"/>
    <w:rsid w:val="0065766B"/>
    <w:rsid w:val="006770B2"/>
    <w:rsid w:val="00686A48"/>
    <w:rsid w:val="006940E1"/>
    <w:rsid w:val="006A3C72"/>
    <w:rsid w:val="006A7392"/>
    <w:rsid w:val="006B03A1"/>
    <w:rsid w:val="006B67D9"/>
    <w:rsid w:val="006C5535"/>
    <w:rsid w:val="006D0589"/>
    <w:rsid w:val="006D3853"/>
    <w:rsid w:val="006E564B"/>
    <w:rsid w:val="006E7154"/>
    <w:rsid w:val="007003CD"/>
    <w:rsid w:val="0070701E"/>
    <w:rsid w:val="0072632A"/>
    <w:rsid w:val="007358E8"/>
    <w:rsid w:val="00736ECE"/>
    <w:rsid w:val="0074533B"/>
    <w:rsid w:val="00745891"/>
    <w:rsid w:val="007643BC"/>
    <w:rsid w:val="00780C68"/>
    <w:rsid w:val="007959FE"/>
    <w:rsid w:val="007A0CF1"/>
    <w:rsid w:val="007A478E"/>
    <w:rsid w:val="007B6BA5"/>
    <w:rsid w:val="007C3390"/>
    <w:rsid w:val="007C42D8"/>
    <w:rsid w:val="007C4F4B"/>
    <w:rsid w:val="007D7362"/>
    <w:rsid w:val="007E19F9"/>
    <w:rsid w:val="007F5CE2"/>
    <w:rsid w:val="007F6611"/>
    <w:rsid w:val="00800522"/>
    <w:rsid w:val="00810048"/>
    <w:rsid w:val="00810BAC"/>
    <w:rsid w:val="008175E9"/>
    <w:rsid w:val="008242D7"/>
    <w:rsid w:val="0082577B"/>
    <w:rsid w:val="008272DD"/>
    <w:rsid w:val="008559A9"/>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0D4D"/>
    <w:rsid w:val="00947162"/>
    <w:rsid w:val="009610D0"/>
    <w:rsid w:val="0096375C"/>
    <w:rsid w:val="00963B76"/>
    <w:rsid w:val="009662E6"/>
    <w:rsid w:val="0097095E"/>
    <w:rsid w:val="00976F9E"/>
    <w:rsid w:val="0098592B"/>
    <w:rsid w:val="00985FC4"/>
    <w:rsid w:val="00990766"/>
    <w:rsid w:val="00991261"/>
    <w:rsid w:val="009964C4"/>
    <w:rsid w:val="009A7B81"/>
    <w:rsid w:val="009D01C0"/>
    <w:rsid w:val="009D6A08"/>
    <w:rsid w:val="009E0A16"/>
    <w:rsid w:val="009E6CB7"/>
    <w:rsid w:val="009E7970"/>
    <w:rsid w:val="009F2EAC"/>
    <w:rsid w:val="009F57E3"/>
    <w:rsid w:val="00A04B01"/>
    <w:rsid w:val="00A10F4F"/>
    <w:rsid w:val="00A11067"/>
    <w:rsid w:val="00A1704A"/>
    <w:rsid w:val="00A425EB"/>
    <w:rsid w:val="00A635D1"/>
    <w:rsid w:val="00A72F22"/>
    <w:rsid w:val="00A733BC"/>
    <w:rsid w:val="00A748A6"/>
    <w:rsid w:val="00A76A69"/>
    <w:rsid w:val="00A879A4"/>
    <w:rsid w:val="00AA0FF8"/>
    <w:rsid w:val="00AC0F2C"/>
    <w:rsid w:val="00AC502A"/>
    <w:rsid w:val="00AF58C1"/>
    <w:rsid w:val="00B04A3F"/>
    <w:rsid w:val="00B06643"/>
    <w:rsid w:val="00B15055"/>
    <w:rsid w:val="00B20551"/>
    <w:rsid w:val="00B24286"/>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C0A1B"/>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1ADC"/>
    <w:rsid w:val="00D52012"/>
    <w:rsid w:val="00D704E5"/>
    <w:rsid w:val="00D72099"/>
    <w:rsid w:val="00D72727"/>
    <w:rsid w:val="00D978C6"/>
    <w:rsid w:val="00DA0956"/>
    <w:rsid w:val="00DA357F"/>
    <w:rsid w:val="00DA3E12"/>
    <w:rsid w:val="00DC18AD"/>
    <w:rsid w:val="00DF4190"/>
    <w:rsid w:val="00DF7CAE"/>
    <w:rsid w:val="00E1335D"/>
    <w:rsid w:val="00E423C0"/>
    <w:rsid w:val="00E60DB7"/>
    <w:rsid w:val="00E6414C"/>
    <w:rsid w:val="00E7260F"/>
    <w:rsid w:val="00E8702D"/>
    <w:rsid w:val="00E905F4"/>
    <w:rsid w:val="00E916A9"/>
    <w:rsid w:val="00E916DE"/>
    <w:rsid w:val="00E925AD"/>
    <w:rsid w:val="00E96630"/>
    <w:rsid w:val="00EC3B5B"/>
    <w:rsid w:val="00ED18DC"/>
    <w:rsid w:val="00ED6201"/>
    <w:rsid w:val="00ED7A2A"/>
    <w:rsid w:val="00EF1D7F"/>
    <w:rsid w:val="00F0137E"/>
    <w:rsid w:val="00F036CA"/>
    <w:rsid w:val="00F21786"/>
    <w:rsid w:val="00F2611C"/>
    <w:rsid w:val="00F323BD"/>
    <w:rsid w:val="00F35B4E"/>
    <w:rsid w:val="00F3742B"/>
    <w:rsid w:val="00F41FDB"/>
    <w:rsid w:val="00F50596"/>
    <w:rsid w:val="00F56D63"/>
    <w:rsid w:val="00F579F6"/>
    <w:rsid w:val="00F609A9"/>
    <w:rsid w:val="00F70ED7"/>
    <w:rsid w:val="00F80C99"/>
    <w:rsid w:val="00F867EC"/>
    <w:rsid w:val="00F91B2B"/>
    <w:rsid w:val="00FC03CD"/>
    <w:rsid w:val="00FC0646"/>
    <w:rsid w:val="00FC68B7"/>
    <w:rsid w:val="00FD05DE"/>
    <w:rsid w:val="00FE6985"/>
    <w:rsid w:val="00FF2F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B3339"/>
  <w15:docId w15:val="{212E6706-0843-4A65-A239-B8C147B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1464FE"/>
    <w:pPr>
      <w:ind w:left="720"/>
      <w:contextualSpacing/>
    </w:pPr>
  </w:style>
  <w:style w:type="paragraph" w:customStyle="1" w:styleId="Default">
    <w:name w:val="Default"/>
    <w:rsid w:val="001464FE"/>
    <w:pPr>
      <w:autoSpaceDE w:val="0"/>
      <w:autoSpaceDN w:val="0"/>
      <w:adjustRightInd w:val="0"/>
    </w:pPr>
    <w:rPr>
      <w:color w:val="000000"/>
      <w:sz w:val="24"/>
      <w:szCs w:val="24"/>
      <w:lang w:val="en-CA"/>
    </w:rPr>
  </w:style>
  <w:style w:type="character" w:customStyle="1" w:styleId="HChGChar">
    <w:name w:val="_ H _Ch_G Char"/>
    <w:link w:val="HChG"/>
    <w:qFormat/>
    <w:rsid w:val="001464FE"/>
    <w:rPr>
      <w:b/>
      <w:sz w:val="28"/>
      <w:lang w:val="en-GB"/>
    </w:rPr>
  </w:style>
  <w:style w:type="character" w:customStyle="1" w:styleId="FootnoteTextChar">
    <w:name w:val="Footnote Text Char"/>
    <w:aliases w:val="5_G Char,5_GR Char"/>
    <w:basedOn w:val="DefaultParagraphFont"/>
    <w:link w:val="FootnoteText"/>
    <w:locked/>
    <w:rsid w:val="00122CB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2E38790-EE9C-4980-8A36-6CFFDEAB7C95}">
  <ds:schemaRefs>
    <ds:schemaRef ds:uri="http://schemas.microsoft.com/sharepoint/v3/contenttype/forms"/>
  </ds:schemaRefs>
</ds:datastoreItem>
</file>

<file path=customXml/itemProps2.xml><?xml version="1.0" encoding="utf-8"?>
<ds:datastoreItem xmlns:ds="http://schemas.openxmlformats.org/officeDocument/2006/customXml" ds:itemID="{4A898D0A-B0C3-45B0-8048-8A3A9B60C129}">
  <ds:schemaRefs>
    <ds:schemaRef ds:uri="http://schemas.openxmlformats.org/officeDocument/2006/bibliography"/>
  </ds:schemaRefs>
</ds:datastoreItem>
</file>

<file path=customXml/itemProps3.xml><?xml version="1.0" encoding="utf-8"?>
<ds:datastoreItem xmlns:ds="http://schemas.openxmlformats.org/officeDocument/2006/customXml" ds:itemID="{6179742A-8C3B-4EF3-89DE-91D2B7F4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141A6-1F3E-40D8-AF66-BE64815A67B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4</Pages>
  <Words>1611</Words>
  <Characters>8798</Characters>
  <Application>Microsoft Office Word</Application>
  <DocSecurity>4</DocSecurity>
  <Lines>162</Lines>
  <Paragraphs>67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ECE/TRANS/WP.15/AC.1/2022/28</vt:lpstr>
      <vt:lpstr/>
      <vt:lpstr>United Nations</vt:lpstr>
    </vt:vector>
  </TitlesOfParts>
  <Company>CSD</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ECE/TRANS/WP.15/AC.1/2022/28</dc:title>
  <dc:creator>Christine Barrio-Champeau</dc:creator>
  <cp:lastModifiedBy>Christine Barrio-Champeau</cp:lastModifiedBy>
  <cp:revision>2</cp:revision>
  <cp:lastPrinted>2009-02-18T09:36:00Z</cp:lastPrinted>
  <dcterms:created xsi:type="dcterms:W3CDTF">2022-06-21T12:36:00Z</dcterms:created>
  <dcterms:modified xsi:type="dcterms:W3CDTF">2022-06-21T12:36:00Z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