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0868F4" w14:textId="77777777" w:rsidTr="00B20551">
        <w:trPr>
          <w:cantSplit/>
          <w:trHeight w:hRule="exact" w:val="851"/>
        </w:trPr>
        <w:tc>
          <w:tcPr>
            <w:tcW w:w="1276" w:type="dxa"/>
            <w:tcBorders>
              <w:bottom w:val="single" w:sz="4" w:space="0" w:color="auto"/>
            </w:tcBorders>
            <w:vAlign w:val="bottom"/>
          </w:tcPr>
          <w:p w14:paraId="0E58DD19" w14:textId="77777777" w:rsidR="009E6CB7" w:rsidRDefault="009E6CB7" w:rsidP="00B20551">
            <w:pPr>
              <w:spacing w:after="80"/>
            </w:pPr>
          </w:p>
        </w:tc>
        <w:tc>
          <w:tcPr>
            <w:tcW w:w="2268" w:type="dxa"/>
            <w:tcBorders>
              <w:bottom w:val="single" w:sz="4" w:space="0" w:color="auto"/>
            </w:tcBorders>
            <w:vAlign w:val="bottom"/>
          </w:tcPr>
          <w:p w14:paraId="0226C1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CDC4EC" w14:textId="43EC5FA8" w:rsidR="009E6CB7" w:rsidRPr="00D47EEA" w:rsidRDefault="00EC1842" w:rsidP="00EC1842">
            <w:pPr>
              <w:jc w:val="right"/>
            </w:pPr>
            <w:r w:rsidRPr="00EC1842">
              <w:rPr>
                <w:sz w:val="40"/>
              </w:rPr>
              <w:t>ECE</w:t>
            </w:r>
            <w:r>
              <w:t>/TRANS/WP.15/AC.1/2022/27</w:t>
            </w:r>
          </w:p>
        </w:tc>
      </w:tr>
      <w:tr w:rsidR="009E6CB7" w14:paraId="42E3030B" w14:textId="77777777" w:rsidTr="00B20551">
        <w:trPr>
          <w:cantSplit/>
          <w:trHeight w:hRule="exact" w:val="2835"/>
        </w:trPr>
        <w:tc>
          <w:tcPr>
            <w:tcW w:w="1276" w:type="dxa"/>
            <w:tcBorders>
              <w:top w:val="single" w:sz="4" w:space="0" w:color="auto"/>
              <w:bottom w:val="single" w:sz="12" w:space="0" w:color="auto"/>
            </w:tcBorders>
          </w:tcPr>
          <w:p w14:paraId="65AF339A" w14:textId="77777777" w:rsidR="009E6CB7" w:rsidRDefault="00686A48" w:rsidP="00B20551">
            <w:pPr>
              <w:spacing w:before="120"/>
            </w:pPr>
            <w:r>
              <w:rPr>
                <w:noProof/>
                <w:lang w:val="de-DE" w:eastAsia="de-DE"/>
              </w:rPr>
              <w:drawing>
                <wp:inline distT="0" distB="0" distL="0" distR="0" wp14:anchorId="7237F078" wp14:editId="671128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5B886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ED89E81" w14:textId="77777777" w:rsidR="009E6CB7" w:rsidRDefault="00EC1842" w:rsidP="00EC1842">
            <w:pPr>
              <w:spacing w:before="240" w:line="240" w:lineRule="exact"/>
            </w:pPr>
            <w:r>
              <w:t>Distr.: General</w:t>
            </w:r>
          </w:p>
          <w:p w14:paraId="15E5427D" w14:textId="792FC03B" w:rsidR="00EC1842" w:rsidRDefault="009E64B7" w:rsidP="00EC1842">
            <w:pPr>
              <w:spacing w:line="240" w:lineRule="exact"/>
            </w:pPr>
            <w:r>
              <w:t>21</w:t>
            </w:r>
            <w:r w:rsidR="00EC1842">
              <w:t xml:space="preserve"> June 2022</w:t>
            </w:r>
          </w:p>
          <w:p w14:paraId="50D3BC32" w14:textId="77777777" w:rsidR="00EC1842" w:rsidRDefault="00EC1842" w:rsidP="00EC1842">
            <w:pPr>
              <w:spacing w:line="240" w:lineRule="exact"/>
            </w:pPr>
          </w:p>
          <w:p w14:paraId="0B8D32D0" w14:textId="65E7B276" w:rsidR="00EC1842" w:rsidRDefault="00EC1842" w:rsidP="00EC1842">
            <w:pPr>
              <w:spacing w:line="240" w:lineRule="exact"/>
            </w:pPr>
            <w:r>
              <w:t>Original: English</w:t>
            </w:r>
          </w:p>
        </w:tc>
      </w:tr>
    </w:tbl>
    <w:p w14:paraId="4D2D2079" w14:textId="77777777" w:rsidR="00F12137" w:rsidRDefault="00F12137" w:rsidP="00F12137">
      <w:pPr>
        <w:spacing w:before="120"/>
        <w:rPr>
          <w:b/>
          <w:sz w:val="28"/>
          <w:szCs w:val="28"/>
        </w:rPr>
      </w:pPr>
      <w:r>
        <w:rPr>
          <w:b/>
          <w:sz w:val="28"/>
          <w:szCs w:val="28"/>
        </w:rPr>
        <w:t>Economic Commission for Europe</w:t>
      </w:r>
    </w:p>
    <w:p w14:paraId="5743AD7A" w14:textId="77777777" w:rsidR="00F12137" w:rsidRDefault="00F12137" w:rsidP="00F12137">
      <w:pPr>
        <w:spacing w:before="120"/>
        <w:rPr>
          <w:sz w:val="28"/>
          <w:szCs w:val="28"/>
        </w:rPr>
      </w:pPr>
      <w:r>
        <w:rPr>
          <w:sz w:val="28"/>
          <w:szCs w:val="28"/>
        </w:rPr>
        <w:t>Inland Transport Committee</w:t>
      </w:r>
    </w:p>
    <w:p w14:paraId="5A631442" w14:textId="77777777" w:rsidR="00F12137" w:rsidRDefault="00F12137" w:rsidP="00F12137">
      <w:pPr>
        <w:spacing w:before="120" w:after="120"/>
        <w:rPr>
          <w:b/>
          <w:sz w:val="24"/>
          <w:szCs w:val="24"/>
        </w:rPr>
      </w:pPr>
      <w:r>
        <w:rPr>
          <w:b/>
          <w:sz w:val="24"/>
          <w:szCs w:val="24"/>
        </w:rPr>
        <w:t>Working Party on the Transport of Dangerous Goods</w:t>
      </w:r>
    </w:p>
    <w:p w14:paraId="260D1A3E" w14:textId="77777777" w:rsidR="00F12137" w:rsidRDefault="00F12137" w:rsidP="00F12137">
      <w:pPr>
        <w:rPr>
          <w:b/>
          <w:bCs/>
        </w:rPr>
      </w:pPr>
      <w:r>
        <w:rPr>
          <w:b/>
          <w:bCs/>
        </w:rPr>
        <w:t>Joint Meeting of the RID Committee of Experts and the</w:t>
      </w:r>
      <w:r>
        <w:rPr>
          <w:b/>
          <w:bCs/>
        </w:rPr>
        <w:br/>
        <w:t>Working Party on the Transport of Dangerous Goods</w:t>
      </w:r>
    </w:p>
    <w:p w14:paraId="5FB49670" w14:textId="77777777" w:rsidR="00F12137" w:rsidRDefault="00F12137" w:rsidP="00F12137">
      <w:pPr>
        <w:rPr>
          <w:lang w:val="en-US"/>
        </w:rPr>
      </w:pPr>
      <w:r>
        <w:rPr>
          <w:lang w:val="en-US"/>
        </w:rPr>
        <w:t>Geneva, 12-16 September 2022</w:t>
      </w:r>
    </w:p>
    <w:p w14:paraId="2DFC1F54" w14:textId="77777777" w:rsidR="00F12137" w:rsidRDefault="00F12137" w:rsidP="00F12137">
      <w:r>
        <w:t>Item 5(b) of the provisional agenda</w:t>
      </w:r>
    </w:p>
    <w:p w14:paraId="3C4AAEC9" w14:textId="77777777" w:rsidR="00F12137" w:rsidRDefault="00F12137" w:rsidP="00F12137">
      <w:pPr>
        <w:rPr>
          <w:b/>
          <w:bCs/>
        </w:rPr>
      </w:pPr>
      <w:r>
        <w:rPr>
          <w:b/>
          <w:bCs/>
        </w:rPr>
        <w:t>Proposals for amendments to RID/ADR/ADN:</w:t>
      </w:r>
      <w:r>
        <w:rPr>
          <w:b/>
          <w:bCs/>
        </w:rPr>
        <w:br/>
        <w:t>new proposals</w:t>
      </w:r>
    </w:p>
    <w:p w14:paraId="7DDDE315" w14:textId="4880C83A" w:rsidR="00C70F35" w:rsidRPr="00AE6874" w:rsidRDefault="00294C65" w:rsidP="00C70F35">
      <w:pPr>
        <w:tabs>
          <w:tab w:val="right" w:pos="851"/>
        </w:tabs>
        <w:adjustRightInd w:val="0"/>
        <w:snapToGrid w:val="0"/>
        <w:spacing w:before="360" w:after="120" w:line="300" w:lineRule="exact"/>
        <w:ind w:left="1134" w:right="707" w:hanging="1134"/>
        <w:rPr>
          <w:b/>
          <w:bCs/>
          <w:sz w:val="28"/>
          <w:szCs w:val="28"/>
          <w:highlight w:val="yellow"/>
        </w:rPr>
      </w:pPr>
      <w:r>
        <w:rPr>
          <w:b/>
          <w:bCs/>
          <w:sz w:val="28"/>
          <w:szCs w:val="28"/>
        </w:rPr>
        <w:tab/>
      </w:r>
      <w:r>
        <w:rPr>
          <w:b/>
          <w:bCs/>
          <w:sz w:val="28"/>
          <w:szCs w:val="28"/>
        </w:rPr>
        <w:tab/>
      </w:r>
      <w:r w:rsidR="00C70F35">
        <w:rPr>
          <w:b/>
          <w:bCs/>
          <w:sz w:val="28"/>
          <w:szCs w:val="28"/>
        </w:rPr>
        <w:t xml:space="preserve">Online </w:t>
      </w:r>
      <w:r w:rsidR="00961B0F">
        <w:rPr>
          <w:b/>
          <w:bCs/>
          <w:sz w:val="28"/>
          <w:szCs w:val="28"/>
        </w:rPr>
        <w:t>g</w:t>
      </w:r>
      <w:r w:rsidR="00C70F35">
        <w:rPr>
          <w:b/>
          <w:bCs/>
          <w:sz w:val="28"/>
          <w:szCs w:val="28"/>
        </w:rPr>
        <w:t xml:space="preserve">rocery </w:t>
      </w:r>
      <w:r w:rsidR="00961B0F">
        <w:rPr>
          <w:b/>
          <w:bCs/>
          <w:sz w:val="28"/>
          <w:szCs w:val="28"/>
        </w:rPr>
        <w:t>d</w:t>
      </w:r>
      <w:r w:rsidR="00C70F35" w:rsidRPr="00AE6874">
        <w:rPr>
          <w:b/>
          <w:bCs/>
          <w:sz w:val="28"/>
          <w:szCs w:val="28"/>
        </w:rPr>
        <w:t xml:space="preserve">elivery </w:t>
      </w:r>
      <w:r w:rsidR="00961B0F">
        <w:rPr>
          <w:b/>
          <w:bCs/>
          <w:sz w:val="28"/>
          <w:szCs w:val="28"/>
        </w:rPr>
        <w:t>s</w:t>
      </w:r>
      <w:r w:rsidR="00C70F35">
        <w:rPr>
          <w:b/>
          <w:bCs/>
          <w:sz w:val="28"/>
          <w:szCs w:val="28"/>
        </w:rPr>
        <w:t>ervices</w:t>
      </w:r>
    </w:p>
    <w:p w14:paraId="5B77C77E" w14:textId="781326A1" w:rsidR="00016CD5" w:rsidRDefault="00C70F35" w:rsidP="00016CD5">
      <w:pPr>
        <w:pStyle w:val="H1G"/>
        <w:rPr>
          <w:szCs w:val="24"/>
          <w:lang w:eastAsia="zh-CN"/>
        </w:rPr>
      </w:pPr>
      <w:r w:rsidRPr="006C0AE1">
        <w:rPr>
          <w:lang w:eastAsia="ru-RU"/>
        </w:rPr>
        <w:tab/>
      </w:r>
      <w:r w:rsidRPr="006C0AE1">
        <w:rPr>
          <w:lang w:eastAsia="ru-RU"/>
        </w:rPr>
        <w:tab/>
      </w:r>
      <w:r>
        <w:t>Submitted</w:t>
      </w:r>
      <w:r w:rsidRPr="001D4FE3">
        <w:t xml:space="preserve"> by the Council </w:t>
      </w:r>
      <w:r>
        <w:t>o</w:t>
      </w:r>
      <w:r w:rsidRPr="001D4FE3">
        <w:t xml:space="preserve">n Safe Transportation of Hazardous Articles </w:t>
      </w:r>
      <w:r>
        <w:t>(</w:t>
      </w:r>
      <w:r w:rsidRPr="001D4FE3">
        <w:t>COSTHA</w:t>
      </w:r>
      <w:r>
        <w:t>)</w:t>
      </w:r>
      <w:r w:rsidR="00016CD5" w:rsidRPr="00016CD5">
        <w:rPr>
          <w:rStyle w:val="FootnoteReference"/>
          <w:bCs/>
          <w:sz w:val="20"/>
          <w:shd w:val="clear" w:color="auto" w:fill="FFFFFF"/>
        </w:rPr>
        <w:footnoteReference w:customMarkFollows="1" w:id="2"/>
        <w:sym w:font="Symbol" w:char="F02A"/>
      </w:r>
      <w:r w:rsidR="00016CD5" w:rsidRPr="00016CD5">
        <w:rPr>
          <w:bCs/>
          <w:sz w:val="20"/>
          <w:shd w:val="clear" w:color="auto" w:fill="FFFFFF"/>
          <w:vertAlign w:val="superscript"/>
        </w:rPr>
        <w:t>,</w:t>
      </w:r>
      <w:r w:rsidR="00016CD5" w:rsidRPr="00016CD5">
        <w:rPr>
          <w:bCs/>
          <w:sz w:val="20"/>
        </w:rPr>
        <w:t xml:space="preserve"> </w:t>
      </w:r>
      <w:r w:rsidR="00016CD5" w:rsidRPr="00016CD5">
        <w:rPr>
          <w:rStyle w:val="FootnoteReference"/>
          <w:bCs/>
          <w:sz w:val="20"/>
        </w:rPr>
        <w:footnoteReference w:customMarkFollows="1" w:id="3"/>
        <w:sym w:font="Symbol" w:char="F02A"/>
      </w:r>
      <w:r w:rsidR="00016CD5" w:rsidRPr="00016CD5">
        <w:rPr>
          <w:rStyle w:val="FootnoteReference"/>
          <w:bCs/>
          <w:sz w:val="20"/>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C70F35" w:rsidRPr="006C0AE1" w14:paraId="5D844D02" w14:textId="77777777" w:rsidTr="00DE5577">
        <w:trPr>
          <w:jc w:val="center"/>
        </w:trPr>
        <w:tc>
          <w:tcPr>
            <w:tcW w:w="9082" w:type="dxa"/>
            <w:shd w:val="clear" w:color="auto" w:fill="auto"/>
          </w:tcPr>
          <w:p w14:paraId="57C9385E" w14:textId="77777777" w:rsidR="00C70F35" w:rsidRPr="006C0AE1" w:rsidRDefault="00C70F35" w:rsidP="00DE5577">
            <w:pPr>
              <w:spacing w:before="240" w:after="120"/>
              <w:ind w:left="288"/>
              <w:rPr>
                <w:i/>
              </w:rPr>
            </w:pPr>
            <w:r w:rsidRPr="006C0AE1">
              <w:rPr>
                <w:i/>
              </w:rPr>
              <w:t>Summary</w:t>
            </w:r>
          </w:p>
        </w:tc>
      </w:tr>
      <w:tr w:rsidR="00C70F35" w:rsidRPr="006C0AE1" w14:paraId="10804921" w14:textId="77777777" w:rsidTr="00DE5577">
        <w:trPr>
          <w:jc w:val="center"/>
        </w:trPr>
        <w:tc>
          <w:tcPr>
            <w:tcW w:w="9082" w:type="dxa"/>
            <w:shd w:val="clear" w:color="auto" w:fill="auto"/>
          </w:tcPr>
          <w:p w14:paraId="6F079231" w14:textId="2E072AE0" w:rsidR="00C70F35" w:rsidRPr="006C0AE1" w:rsidRDefault="00C70F35" w:rsidP="007A5D51">
            <w:pPr>
              <w:tabs>
                <w:tab w:val="left" w:pos="2700"/>
              </w:tabs>
              <w:spacing w:after="120"/>
              <w:ind w:left="2650" w:right="578" w:hanging="2074"/>
              <w:jc w:val="both"/>
            </w:pPr>
            <w:r w:rsidRPr="006C0AE1">
              <w:rPr>
                <w:b/>
              </w:rPr>
              <w:t xml:space="preserve">Executive summary: </w:t>
            </w:r>
            <w:r w:rsidRPr="006C0AE1">
              <w:tab/>
            </w:r>
            <w:r w:rsidRPr="004D2E8F">
              <w:t>During the COVID-19 pandemic, many retail</w:t>
            </w:r>
            <w:r>
              <w:t xml:space="preserve"> </w:t>
            </w:r>
            <w:r w:rsidRPr="004D2E8F">
              <w:t>delivery services, including grocery delivery, have significantly increased. As a result, groceries are frequently carried out by a delivery service that utilizes an operator’s own vehicle (i.e.</w:t>
            </w:r>
            <w:r>
              <w:t>,</w:t>
            </w:r>
            <w:r w:rsidRPr="004D2E8F">
              <w:t xml:space="preserve"> Instacart, Pea</w:t>
            </w:r>
            <w:r>
              <w:t>p</w:t>
            </w:r>
            <w:r w:rsidRPr="004D2E8F">
              <w:t>od, Whole Foods Market in the U</w:t>
            </w:r>
            <w:r>
              <w:t xml:space="preserve">nited </w:t>
            </w:r>
            <w:r w:rsidRPr="004D2E8F">
              <w:t>S</w:t>
            </w:r>
            <w:r>
              <w:t>tates of America</w:t>
            </w:r>
            <w:r w:rsidRPr="004D2E8F">
              <w:t xml:space="preserve">). The increase in use of these services creates questions as to whether </w:t>
            </w:r>
            <w:r>
              <w:t>the requirements of the dangerous goods</w:t>
            </w:r>
            <w:r w:rsidRPr="004D2E8F">
              <w:t xml:space="preserve"> regulations apply when used by a commercial employee that is more parallel to the traditional consumer retail experience.</w:t>
            </w:r>
          </w:p>
        </w:tc>
      </w:tr>
      <w:tr w:rsidR="00C70F35" w:rsidRPr="006C0AE1" w14:paraId="6F615430" w14:textId="77777777" w:rsidTr="00DE5577">
        <w:trPr>
          <w:jc w:val="center"/>
        </w:trPr>
        <w:tc>
          <w:tcPr>
            <w:tcW w:w="9082" w:type="dxa"/>
            <w:shd w:val="clear" w:color="auto" w:fill="auto"/>
          </w:tcPr>
          <w:p w14:paraId="336CC8D5" w14:textId="7F3C3738" w:rsidR="00C70F35" w:rsidRPr="006C0AE1" w:rsidRDefault="00C70F35" w:rsidP="007A5D51">
            <w:pPr>
              <w:tabs>
                <w:tab w:val="left" w:pos="2700"/>
                <w:tab w:val="left" w:pos="8190"/>
              </w:tabs>
              <w:spacing w:after="120"/>
              <w:ind w:left="2646" w:right="578" w:hanging="2070"/>
              <w:jc w:val="both"/>
            </w:pPr>
            <w:r w:rsidRPr="006C0AE1">
              <w:rPr>
                <w:b/>
              </w:rPr>
              <w:t>Action to be taken:</w:t>
            </w:r>
            <w:r w:rsidRPr="006C0AE1">
              <w:rPr>
                <w:b/>
              </w:rPr>
              <w:tab/>
            </w:r>
            <w:r w:rsidRPr="009D62C3">
              <w:rPr>
                <w:bCs/>
              </w:rPr>
              <w:t>Introduce a new exemption in A</w:t>
            </w:r>
            <w:r w:rsidRPr="009D62C3">
              <w:t>DR</w:t>
            </w:r>
            <w:r>
              <w:t xml:space="preserve"> for the carriage, by the retailer, of dangerous goods packaged for retail sale under specific conditions.</w:t>
            </w:r>
          </w:p>
        </w:tc>
      </w:tr>
      <w:tr w:rsidR="00C70F35" w:rsidRPr="006C0AE1" w14:paraId="77FF79F8" w14:textId="77777777" w:rsidTr="00DE5577">
        <w:trPr>
          <w:jc w:val="center"/>
        </w:trPr>
        <w:tc>
          <w:tcPr>
            <w:tcW w:w="9082" w:type="dxa"/>
            <w:shd w:val="clear" w:color="auto" w:fill="auto"/>
          </w:tcPr>
          <w:p w14:paraId="03E7BA37" w14:textId="3B4B237D" w:rsidR="00C70F35" w:rsidRDefault="00C70F35" w:rsidP="007A5D51">
            <w:pPr>
              <w:tabs>
                <w:tab w:val="left" w:pos="2700"/>
              </w:tabs>
              <w:spacing w:after="120"/>
              <w:ind w:left="2646" w:right="578" w:hanging="2070"/>
              <w:rPr>
                <w:szCs w:val="8"/>
              </w:rPr>
            </w:pPr>
            <w:r w:rsidRPr="006C0AE1">
              <w:rPr>
                <w:b/>
              </w:rPr>
              <w:t>Related documents:</w:t>
            </w:r>
            <w:r w:rsidRPr="006C0AE1">
              <w:rPr>
                <w:b/>
              </w:rPr>
              <w:tab/>
            </w:r>
            <w:bookmarkStart w:id="0" w:name="_Hlk89264015"/>
            <w:r>
              <w:t>Informal document INF.32 (COSTHA) of the spring 2022 session</w:t>
            </w:r>
            <w:bookmarkEnd w:id="0"/>
          </w:p>
          <w:p w14:paraId="6BDF7E5C" w14:textId="00111DB9" w:rsidR="00C70F35" w:rsidRPr="006C0AE1" w:rsidRDefault="00251E94" w:rsidP="007A5D51">
            <w:pPr>
              <w:tabs>
                <w:tab w:val="left" w:pos="2700"/>
              </w:tabs>
              <w:spacing w:after="120"/>
              <w:ind w:left="2686" w:right="578" w:hanging="36"/>
              <w:rPr>
                <w:bCs/>
              </w:rPr>
            </w:pPr>
            <w:r>
              <w:rPr>
                <w:szCs w:val="8"/>
              </w:rPr>
              <w:t xml:space="preserve">Document </w:t>
            </w:r>
            <w:r w:rsidR="00C70F35" w:rsidRPr="00A42BB3">
              <w:rPr>
                <w:szCs w:val="8"/>
              </w:rPr>
              <w:t>ST</w:t>
            </w:r>
            <w:r w:rsidR="00C70F35">
              <w:t>/SG/AC.10/C.3/2022/28</w:t>
            </w:r>
          </w:p>
        </w:tc>
      </w:tr>
      <w:tr w:rsidR="00C70F35" w:rsidRPr="006C0AE1" w14:paraId="056DA6EB" w14:textId="77777777" w:rsidTr="00DE5577">
        <w:trPr>
          <w:jc w:val="center"/>
        </w:trPr>
        <w:tc>
          <w:tcPr>
            <w:tcW w:w="9082" w:type="dxa"/>
            <w:shd w:val="clear" w:color="auto" w:fill="auto"/>
          </w:tcPr>
          <w:p w14:paraId="1EF70453" w14:textId="77777777" w:rsidR="00C70F35" w:rsidRPr="006C0AE1" w:rsidRDefault="00C70F35" w:rsidP="00DE5577"/>
        </w:tc>
      </w:tr>
    </w:tbl>
    <w:p w14:paraId="280DD8FB" w14:textId="48164175" w:rsidR="00C70F35" w:rsidRDefault="00C70F35" w:rsidP="00C70F35">
      <w:pPr>
        <w:pStyle w:val="SingleTxtG"/>
        <w:numPr>
          <w:ilvl w:val="0"/>
          <w:numId w:val="21"/>
        </w:numPr>
        <w:spacing w:before="120"/>
        <w:ind w:left="1170" w:right="1138" w:hanging="32"/>
      </w:pPr>
      <w:r>
        <w:t>At the March 2022 session of the Joint Meeting of the RID</w:t>
      </w:r>
      <w:r w:rsidRPr="00597932">
        <w:t xml:space="preserve"> Committee of Experts and the Working Party on the Transport of Dangerous Goods (WP.15/AC.1)</w:t>
      </w:r>
      <w:r>
        <w:t xml:space="preserve">, COSTHA presented informal document INF.32 for discussion purposes, and to gather input for a future proposal. Even though document was a late submittal, COSTHA was grateful to the many delegations who provided initial comments and would like to note that those comments were taken into account in the preparation of this </w:t>
      </w:r>
      <w:r w:rsidR="00D67CA1">
        <w:t>document</w:t>
      </w:r>
      <w:r>
        <w:t>.</w:t>
      </w:r>
    </w:p>
    <w:p w14:paraId="3649E31C" w14:textId="05F36B8A" w:rsidR="00C70F35" w:rsidRPr="00D970BE" w:rsidRDefault="00C70F35" w:rsidP="00C70F35">
      <w:pPr>
        <w:pStyle w:val="SingleTxtG"/>
        <w:numPr>
          <w:ilvl w:val="0"/>
          <w:numId w:val="21"/>
        </w:numPr>
        <w:ind w:left="1170" w:right="1138" w:hanging="32"/>
      </w:pPr>
      <w:r>
        <w:lastRenderedPageBreak/>
        <w:t>COSTHA would like once again to bring the attention of the Joint Meeting to the challenges posed by direct-to-customer delivery systems, such as grocery deliveries which may contain dangerous goods</w:t>
      </w:r>
      <w:r w:rsidRPr="00561CDE">
        <w:t xml:space="preserve">. </w:t>
      </w:r>
      <w:r>
        <w:t xml:space="preserve">Since this issue </w:t>
      </w:r>
      <w:r w:rsidRPr="00561CDE">
        <w:t xml:space="preserve">may have impacts </w:t>
      </w:r>
      <w:r>
        <w:t xml:space="preserve">or solutions </w:t>
      </w:r>
      <w:r w:rsidRPr="00561CDE">
        <w:t>regionally and beyond countries that utilize the ADR for ground regulation</w:t>
      </w:r>
      <w:r>
        <w:t xml:space="preserve">s, COSTHA has also brought it to the attention of the UN </w:t>
      </w:r>
      <w:r w:rsidRPr="00021136">
        <w:rPr>
          <w:bCs/>
        </w:rPr>
        <w:t xml:space="preserve">Sub-Committee of Experts on the Transport of Dangerous Goods (UNSCETDG) for discussion during its </w:t>
      </w:r>
      <w:r w:rsidR="00BB5A7A">
        <w:rPr>
          <w:bCs/>
        </w:rPr>
        <w:t>sixtieth</w:t>
      </w:r>
      <w:r w:rsidRPr="00021136">
        <w:rPr>
          <w:bCs/>
        </w:rPr>
        <w:t xml:space="preserve"> session.</w:t>
      </w:r>
      <w:r>
        <w:t xml:space="preserve"> </w:t>
      </w:r>
      <w:r w:rsidRPr="00021136">
        <w:rPr>
          <w:bCs/>
        </w:rPr>
        <w:t xml:space="preserve">Please note that the below proposals are </w:t>
      </w:r>
      <w:r>
        <w:rPr>
          <w:bCs/>
        </w:rPr>
        <w:t>options</w:t>
      </w:r>
      <w:r w:rsidRPr="00021136">
        <w:rPr>
          <w:bCs/>
        </w:rPr>
        <w:t xml:space="preserve"> and may be further amended after the discussions at the UNSCETDG</w:t>
      </w:r>
      <w:r>
        <w:rPr>
          <w:bCs/>
        </w:rPr>
        <w:t xml:space="preserve"> and </w:t>
      </w:r>
      <w:r w:rsidR="00621DF7">
        <w:rPr>
          <w:bCs/>
        </w:rPr>
        <w:t>during</w:t>
      </w:r>
      <w:r>
        <w:rPr>
          <w:bCs/>
        </w:rPr>
        <w:t xml:space="preserve"> the Joint Meeting’s </w:t>
      </w:r>
      <w:r w:rsidR="0037744A">
        <w:rPr>
          <w:bCs/>
        </w:rPr>
        <w:t>a</w:t>
      </w:r>
      <w:r>
        <w:rPr>
          <w:bCs/>
        </w:rPr>
        <w:t>utumn 2022 session</w:t>
      </w:r>
      <w:r w:rsidRPr="00021136">
        <w:rPr>
          <w:bCs/>
        </w:rPr>
        <w:t>.</w:t>
      </w:r>
    </w:p>
    <w:p w14:paraId="4B9A7F6A" w14:textId="6671354B" w:rsidR="00C70F35" w:rsidRDefault="00C70F35" w:rsidP="00C70F35">
      <w:pPr>
        <w:pStyle w:val="SingleTxtG"/>
        <w:numPr>
          <w:ilvl w:val="0"/>
          <w:numId w:val="21"/>
        </w:numPr>
        <w:ind w:left="1138" w:firstLine="58"/>
      </w:pPr>
      <w:r w:rsidRPr="004D2E8F">
        <w:t>While it may not be immediately obvious to consumers or commercially contracted employees/drivers, there are many different types of dangerous goods sold and transported out of grocery stores</w:t>
      </w:r>
      <w:r>
        <w:t xml:space="preserve"> and similar retail stores</w:t>
      </w:r>
      <w:r w:rsidRPr="004D2E8F">
        <w:t xml:space="preserve">. </w:t>
      </w:r>
      <w:r>
        <w:t>C</w:t>
      </w:r>
      <w:r w:rsidRPr="004D2E8F">
        <w:t xml:space="preserve">ommon examples are small lithium batteries </w:t>
      </w:r>
      <w:r>
        <w:t xml:space="preserve">such as those for </w:t>
      </w:r>
      <w:r w:rsidRPr="004D2E8F">
        <w:t>hearing ai</w:t>
      </w:r>
      <w:r>
        <w:t xml:space="preserve">ds, </w:t>
      </w:r>
      <w:r w:rsidRPr="004D2E8F">
        <w:t xml:space="preserve">as well as those </w:t>
      </w:r>
      <w:r>
        <w:t xml:space="preserve">found installed </w:t>
      </w:r>
      <w:r w:rsidRPr="004D2E8F">
        <w:t>“in equipment” (</w:t>
      </w:r>
      <w:r w:rsidR="0037744A">
        <w:t>e.g.</w:t>
      </w:r>
      <w:r>
        <w:t xml:space="preserve"> </w:t>
      </w:r>
      <w:r w:rsidRPr="004D2E8F">
        <w:t>electric toothbrushes), flammable liquids (isopropyl alcohol), flammable gases (aerosols – deodorants), organic peroxides (hair dyes), and corrosives (cleaners).</w:t>
      </w:r>
    </w:p>
    <w:p w14:paraId="0116E1F9" w14:textId="201665E0" w:rsidR="00C70F35" w:rsidRDefault="00C70F35" w:rsidP="00C70F35">
      <w:pPr>
        <w:pStyle w:val="SingleTxtG"/>
        <w:numPr>
          <w:ilvl w:val="0"/>
          <w:numId w:val="21"/>
        </w:numPr>
        <w:ind w:left="1138" w:firstLine="58"/>
      </w:pPr>
      <w:r w:rsidRPr="004D2E8F">
        <w:t xml:space="preserve">During the traditional retail experience, consumers buy these </w:t>
      </w:r>
      <w:r>
        <w:t>dangerous goods</w:t>
      </w:r>
      <w:r w:rsidRPr="004D2E8F">
        <w:t xml:space="preserve"> products and utilize bags (paper, plastic or reusable) to facilitate </w:t>
      </w:r>
      <w:r>
        <w:t xml:space="preserve">transport </w:t>
      </w:r>
      <w:r w:rsidRPr="004D2E8F">
        <w:t xml:space="preserve">to </w:t>
      </w:r>
      <w:r>
        <w:t xml:space="preserve">their </w:t>
      </w:r>
      <w:r w:rsidRPr="004D2E8F">
        <w:t xml:space="preserve">vehicles and homes. These products in retail packaging are never repackaged for additional safety or marked in accordance with </w:t>
      </w:r>
      <w:r>
        <w:t>the dangerous goods regulations</w:t>
      </w:r>
      <w:r w:rsidRPr="004D2E8F">
        <w:t xml:space="preserve">. When carrying these products out of retail stores, an individual person is </w:t>
      </w:r>
      <w:r>
        <w:t>not</w:t>
      </w:r>
      <w:r w:rsidRPr="004D2E8F">
        <w:t xml:space="preserve"> subject to the various regulations. However, the regulations </w:t>
      </w:r>
      <w:r>
        <w:t xml:space="preserve">currently </w:t>
      </w:r>
      <w:r w:rsidRPr="004D2E8F">
        <w:t xml:space="preserve">apply </w:t>
      </w:r>
      <w:r>
        <w:t>to</w:t>
      </w:r>
      <w:r w:rsidRPr="004D2E8F">
        <w:t xml:space="preserve"> delivery companies and services.</w:t>
      </w:r>
    </w:p>
    <w:p w14:paraId="65E7C67A" w14:textId="164EFDDF" w:rsidR="00C70F35" w:rsidRDefault="00C70F35" w:rsidP="00C70F35">
      <w:pPr>
        <w:pStyle w:val="SingleTxtG"/>
        <w:numPr>
          <w:ilvl w:val="0"/>
          <w:numId w:val="21"/>
        </w:numPr>
        <w:ind w:left="1138" w:firstLine="58"/>
      </w:pPr>
      <w:r>
        <w:t xml:space="preserve">As mentioned in informal document </w:t>
      </w:r>
      <w:r w:rsidR="000638FF">
        <w:t>INF.</w:t>
      </w:r>
      <w:r>
        <w:t xml:space="preserve">32 </w:t>
      </w:r>
      <w:r w:rsidR="000638FF">
        <w:t xml:space="preserve">(spring 2022 session) </w:t>
      </w:r>
      <w:r>
        <w:t>t</w:t>
      </w:r>
      <w:r w:rsidRPr="004D2E8F">
        <w:t xml:space="preserve">he regulations did not anticipate these new types of operations when originally developed and </w:t>
      </w:r>
      <w:r>
        <w:t xml:space="preserve">the application of the </w:t>
      </w:r>
      <w:r w:rsidRPr="004D2E8F">
        <w:t>current regulato</w:t>
      </w:r>
      <w:r>
        <w:t>ry requirements t</w:t>
      </w:r>
      <w:r w:rsidRPr="004D2E8F">
        <w:t xml:space="preserve">o these </w:t>
      </w:r>
      <w:r>
        <w:t xml:space="preserve">carriage </w:t>
      </w:r>
      <w:r w:rsidRPr="004D2E8F">
        <w:t xml:space="preserve">operations seem impractical. The delivery operations </w:t>
      </w:r>
      <w:r>
        <w:t xml:space="preserve">to the end consumer that </w:t>
      </w:r>
      <w:r w:rsidRPr="004D2E8F">
        <w:t>originat</w:t>
      </w:r>
      <w:r>
        <w:t>e</w:t>
      </w:r>
      <w:r w:rsidRPr="004D2E8F">
        <w:t xml:space="preserve"> from retail locations don’t typically utilize any packaging beyond the retail packaging in place on the store shelf. Paper or plastic bags are typically utilized for convenience in carrying the delivery. However, marking these bags (regardless of whether they are considered a “suitable outer packaging” or “overpack”) is not current practice. In addition, if these operations were to be considered subject to </w:t>
      </w:r>
      <w:r>
        <w:t>the dangerous goods</w:t>
      </w:r>
      <w:r w:rsidRPr="004D2E8F">
        <w:t xml:space="preserve"> regulations, there would be a significant negative impact to sustainability and environmental efforts to reduce packaging globally.</w:t>
      </w:r>
    </w:p>
    <w:p w14:paraId="07B618EE" w14:textId="77777777" w:rsidR="00C70F35" w:rsidRDefault="00C70F35" w:rsidP="00C70F35">
      <w:pPr>
        <w:pStyle w:val="SingleTxtG"/>
        <w:numPr>
          <w:ilvl w:val="0"/>
          <w:numId w:val="21"/>
        </w:numPr>
        <w:ind w:left="1138" w:firstLine="58"/>
      </w:pPr>
      <w:r w:rsidRPr="004D2E8F">
        <w:t xml:space="preserve">Further, grocery deliveries </w:t>
      </w:r>
      <w:r>
        <w:t xml:space="preserve">to the end consumer </w:t>
      </w:r>
      <w:r w:rsidRPr="004D2E8F">
        <w:t xml:space="preserve">are typically limited to short distances, and the goods being carried are not subjected to the forces typically encountered in freight transportation where performance-oriented packaging is needed for safety reasons. Instead, the goods are often placed in bags or directly onto a seat in an individual’s vehicle. Based on the differences in operations, these delivery service </w:t>
      </w:r>
      <w:r>
        <w:t xml:space="preserve">to the end user </w:t>
      </w:r>
      <w:r w:rsidRPr="004D2E8F">
        <w:t xml:space="preserve">do not seem to </w:t>
      </w:r>
      <w:r>
        <w:t>require</w:t>
      </w:r>
      <w:r w:rsidRPr="004D2E8F">
        <w:t xml:space="preserve"> the same level of safety equivalent to more traditional transportation operations.</w:t>
      </w:r>
    </w:p>
    <w:p w14:paraId="6FE722E6" w14:textId="62A4BDC7" w:rsidR="00C70F35" w:rsidRDefault="00C70F35" w:rsidP="00C70F35">
      <w:pPr>
        <w:pStyle w:val="SingleTxtG"/>
        <w:numPr>
          <w:ilvl w:val="0"/>
          <w:numId w:val="21"/>
        </w:numPr>
        <w:ind w:left="1138" w:firstLine="58"/>
      </w:pPr>
      <w:r>
        <w:t xml:space="preserve">COSTHA has taken into considerations the comments from the previous session to try to ensure that the boundaries of the exemption would not be abused and to ensure that safety issues are covered. COSTHA has looked to other regulatory exemptions, such as the </w:t>
      </w:r>
      <w:r w:rsidRPr="00D90281">
        <w:t>United Kingdom’s Road Derogation</w:t>
      </w:r>
      <w:r w:rsidRPr="00D14AC7">
        <w:t xml:space="preserve"> </w:t>
      </w:r>
      <w:r>
        <w:t>and the “</w:t>
      </w:r>
      <w:r w:rsidRPr="00E51475">
        <w:t xml:space="preserve">150 kg Gross Mass Exemption” found in </w:t>
      </w:r>
      <w:r w:rsidR="00FC7728">
        <w:t>s</w:t>
      </w:r>
      <w:r w:rsidRPr="00D90281">
        <w:t>ection 1.15</w:t>
      </w:r>
      <w:r w:rsidRPr="00E51475">
        <w:t xml:space="preserve"> of Transport Canada’s </w:t>
      </w:r>
      <w:r w:rsidRPr="00FA64CE">
        <w:rPr>
          <w:i/>
          <w:iCs/>
        </w:rPr>
        <w:t>Transportation of Dangerous Goods Regulations</w:t>
      </w:r>
      <w:r w:rsidR="005F4D4E">
        <w:t>, t</w:t>
      </w:r>
      <w:r>
        <w:t>o prepare the content of proposal 1 (preferred option). The alternative option would be to find a delegation to champion proposal 2.</w:t>
      </w:r>
    </w:p>
    <w:p w14:paraId="1132B37D" w14:textId="77777777" w:rsidR="00C70F35" w:rsidRPr="00492250" w:rsidRDefault="00C70F35" w:rsidP="00C70F35">
      <w:pPr>
        <w:pStyle w:val="SingleTxtG"/>
        <w:spacing w:before="360"/>
        <w:ind w:left="1170" w:right="1138"/>
        <w:jc w:val="left"/>
        <w:rPr>
          <w:b/>
          <w:bCs/>
          <w:sz w:val="28"/>
          <w:szCs w:val="28"/>
        </w:rPr>
      </w:pPr>
      <w:r w:rsidRPr="00492250">
        <w:rPr>
          <w:b/>
          <w:bCs/>
          <w:sz w:val="28"/>
          <w:szCs w:val="28"/>
        </w:rPr>
        <w:t>Proposals</w:t>
      </w:r>
    </w:p>
    <w:p w14:paraId="611C8578" w14:textId="77777777" w:rsidR="00C70F35" w:rsidRPr="00FA64CE" w:rsidRDefault="00C70F35" w:rsidP="00C70F35">
      <w:pPr>
        <w:pStyle w:val="SingleTxtG"/>
        <w:spacing w:before="240"/>
        <w:ind w:right="1138"/>
        <w:jc w:val="left"/>
        <w:rPr>
          <w:i/>
          <w:iCs/>
          <w:u w:val="single"/>
        </w:rPr>
      </w:pPr>
      <w:r w:rsidRPr="00492250">
        <w:rPr>
          <w:u w:val="single"/>
        </w:rPr>
        <w:t>Proposal</w:t>
      </w:r>
      <w:r>
        <w:rPr>
          <w:u w:val="single"/>
        </w:rPr>
        <w:t xml:space="preserve"> 1 </w:t>
      </w:r>
      <w:r w:rsidRPr="00FA64CE">
        <w:rPr>
          <w:i/>
          <w:iCs/>
          <w:u w:val="single"/>
        </w:rPr>
        <w:t>(preferred option)</w:t>
      </w:r>
    </w:p>
    <w:p w14:paraId="1E393C3D" w14:textId="1C6DE9A1" w:rsidR="00C70F35" w:rsidRDefault="00C70F35" w:rsidP="00C70F35">
      <w:pPr>
        <w:pStyle w:val="SingleTxtG"/>
        <w:numPr>
          <w:ilvl w:val="0"/>
          <w:numId w:val="21"/>
        </w:numPr>
        <w:spacing w:before="240"/>
        <w:ind w:right="1138"/>
      </w:pPr>
      <w:r>
        <w:t>Amend 1.1.3.1 by i</w:t>
      </w:r>
      <w:r w:rsidRPr="00D14AC7">
        <w:t>ntroduc</w:t>
      </w:r>
      <w:r>
        <w:t>ing a</w:t>
      </w:r>
      <w:r w:rsidRPr="00D14AC7">
        <w:t xml:space="preserve"> </w:t>
      </w:r>
      <w:r>
        <w:t>new paragraph (g) based on</w:t>
      </w:r>
      <w:r w:rsidR="00473C79">
        <w:t xml:space="preserve"> the</w:t>
      </w:r>
      <w:r w:rsidR="00074B1A">
        <w:t xml:space="preserve"> “</w:t>
      </w:r>
      <w:hyperlink r:id="rId12" w:history="1">
        <w:r w:rsidRPr="000E3C1F">
          <w:rPr>
            <w:rStyle w:val="Hyperlink"/>
          </w:rPr>
          <w:t>U</w:t>
        </w:r>
        <w:r w:rsidR="00E10BD9">
          <w:rPr>
            <w:rStyle w:val="Hyperlink"/>
          </w:rPr>
          <w:t xml:space="preserve">nited </w:t>
        </w:r>
        <w:r w:rsidRPr="000E3C1F">
          <w:rPr>
            <w:rStyle w:val="Hyperlink"/>
          </w:rPr>
          <w:t>K</w:t>
        </w:r>
        <w:r w:rsidR="00E10BD9">
          <w:rPr>
            <w:rStyle w:val="Hyperlink"/>
          </w:rPr>
          <w:t>ingdom</w:t>
        </w:r>
        <w:r w:rsidRPr="000E3C1F">
          <w:rPr>
            <w:rStyle w:val="Hyperlink"/>
          </w:rPr>
          <w:t xml:space="preserve"> Road Derogation</w:t>
        </w:r>
      </w:hyperlink>
      <w:r w:rsidR="00C032C0">
        <w:rPr>
          <w:rStyle w:val="Hyperlink"/>
        </w:rPr>
        <w:t xml:space="preserve"> 4</w:t>
      </w:r>
      <w:r w:rsidR="00074B1A">
        <w:t xml:space="preserve">” </w:t>
      </w:r>
      <w:r>
        <w:t xml:space="preserve">and on </w:t>
      </w:r>
      <w:r w:rsidRPr="00E51475">
        <w:t>the “</w:t>
      </w:r>
      <w:hyperlink r:id="rId13" w:anchor="h-1227656" w:history="1">
        <w:r w:rsidRPr="00D90281">
          <w:rPr>
            <w:rStyle w:val="Hyperlink"/>
          </w:rPr>
          <w:t>150 kg Gross Mass Exemption</w:t>
        </w:r>
      </w:hyperlink>
      <w:r w:rsidRPr="00E51475">
        <w:t xml:space="preserve">” found in </w:t>
      </w:r>
      <w:r w:rsidR="00074B1A">
        <w:t>s</w:t>
      </w:r>
      <w:r w:rsidRPr="00D90281">
        <w:t>ection 1.15</w:t>
      </w:r>
      <w:r w:rsidRPr="00E51475">
        <w:t xml:space="preserve"> of </w:t>
      </w:r>
      <w:r>
        <w:t>the C</w:t>
      </w:r>
      <w:r w:rsidRPr="00E51475">
        <w:t>anad</w:t>
      </w:r>
      <w:r>
        <w:t xml:space="preserve">ian </w:t>
      </w:r>
      <w:r w:rsidR="00E15CE8" w:rsidRPr="00E15CE8">
        <w:t xml:space="preserve">Transportation of Dangerous Goods </w:t>
      </w:r>
      <w:r>
        <w:t>Regulations,</w:t>
      </w:r>
      <w:r w:rsidRPr="00D14AC7">
        <w:t xml:space="preserve"> </w:t>
      </w:r>
      <w:r w:rsidRPr="00E51475">
        <w:t>as follows</w:t>
      </w:r>
      <w:r w:rsidRPr="00D14AC7">
        <w:t>:</w:t>
      </w:r>
    </w:p>
    <w:p w14:paraId="14C8BC5D" w14:textId="04F062BC" w:rsidR="00C70F35" w:rsidRDefault="00C70F35" w:rsidP="00C70F35">
      <w:pPr>
        <w:pStyle w:val="SingleTxtG"/>
        <w:spacing w:before="240"/>
        <w:ind w:left="1693" w:right="1138"/>
        <w:rPr>
          <w:b/>
          <w:bCs/>
          <w:color w:val="0B0C0C"/>
        </w:rPr>
      </w:pPr>
      <w:r w:rsidRPr="001650E8">
        <w:rPr>
          <w:b/>
          <w:bCs/>
          <w:color w:val="0B0C0C"/>
        </w:rPr>
        <w:t>“1.1.3.1</w:t>
      </w:r>
      <w:r w:rsidRPr="001650E8">
        <w:rPr>
          <w:b/>
          <w:bCs/>
          <w:color w:val="0B0C0C"/>
        </w:rPr>
        <w:tab/>
        <w:t xml:space="preserve">Exemption related to </w:t>
      </w:r>
      <w:r>
        <w:rPr>
          <w:b/>
          <w:bCs/>
          <w:color w:val="0B0C0C"/>
        </w:rPr>
        <w:t>the nature of the transport operation</w:t>
      </w:r>
    </w:p>
    <w:p w14:paraId="73EF0B35" w14:textId="77777777" w:rsidR="00C70F35" w:rsidRDefault="00C70F35" w:rsidP="00C70F35">
      <w:pPr>
        <w:pStyle w:val="SingleTxtG"/>
        <w:spacing w:before="240"/>
        <w:ind w:right="1138"/>
        <w:rPr>
          <w:color w:val="0B0C0C"/>
        </w:rPr>
      </w:pPr>
      <w:r>
        <w:rPr>
          <w:color w:val="0B0C0C"/>
        </w:rPr>
        <w:tab/>
      </w:r>
      <w:r>
        <w:rPr>
          <w:color w:val="0B0C0C"/>
        </w:rPr>
        <w:tab/>
        <w:t>The provisions laid down in ADR do not apply to:</w:t>
      </w:r>
    </w:p>
    <w:p w14:paraId="348DDEC6" w14:textId="688A3CE3" w:rsidR="00C70F35" w:rsidRDefault="00662163" w:rsidP="00662163">
      <w:pPr>
        <w:pStyle w:val="SingleTxtG"/>
        <w:spacing w:before="120"/>
        <w:ind w:left="2127" w:right="1138" w:hanging="426"/>
        <w:rPr>
          <w:color w:val="0B0C0C"/>
        </w:rPr>
      </w:pPr>
      <w:r>
        <w:rPr>
          <w:color w:val="0B0C0C"/>
        </w:rPr>
        <w:lastRenderedPageBreak/>
        <w:t>(a)</w:t>
      </w:r>
      <w:r>
        <w:rPr>
          <w:color w:val="0B0C0C"/>
        </w:rPr>
        <w:tab/>
      </w:r>
      <w:r w:rsidR="00C70F35" w:rsidRPr="00EA3CE2">
        <w:rPr>
          <w:color w:val="0B0C0C"/>
        </w:rPr>
        <w:t>The carriage of dangerous goods by private individuals where the goods in question are packaged for retail sale and are intended for their personal use or domestic use or for their leisure or sporting activities provided that measures have been taken to prevent any leakage of contents in normal conditions of carriage. When these goods are flammable liquids carried in refillable receptacles filled by, or for, a private individual, the total quantity shall not exceed 60 litres per receptacle and 240 litres per transport unit. Dangerous goods in IBCs, large packagings or tanks are not considered to be packaged for retail sale.</w:t>
      </w:r>
    </w:p>
    <w:p w14:paraId="2146F9F9" w14:textId="36DB8193" w:rsidR="00F9680B" w:rsidRDefault="00F9680B" w:rsidP="00662163">
      <w:pPr>
        <w:pStyle w:val="SingleTxtG"/>
        <w:spacing w:before="120"/>
        <w:ind w:left="2127" w:right="1138" w:hanging="426"/>
        <w:rPr>
          <w:color w:val="0B0C0C"/>
        </w:rPr>
      </w:pPr>
      <w:r>
        <w:rPr>
          <w:color w:val="0B0C0C"/>
        </w:rPr>
        <w:t>…</w:t>
      </w:r>
    </w:p>
    <w:p w14:paraId="09631C05" w14:textId="6BBC2639" w:rsidR="00C70F35" w:rsidRPr="00A44DD7" w:rsidRDefault="00662163" w:rsidP="00F9680B">
      <w:pPr>
        <w:pStyle w:val="SingleTxtG"/>
        <w:spacing w:before="120"/>
        <w:ind w:left="2127" w:right="1138" w:hanging="426"/>
        <w:rPr>
          <w:color w:val="0B0C0C"/>
          <w:u w:val="single"/>
        </w:rPr>
      </w:pPr>
      <w:r>
        <w:rPr>
          <w:color w:val="0B0C0C"/>
          <w:u w:val="single"/>
        </w:rPr>
        <w:t>(</w:t>
      </w:r>
      <w:r w:rsidR="00F9680B">
        <w:rPr>
          <w:color w:val="0B0C0C"/>
          <w:u w:val="single"/>
        </w:rPr>
        <w:t>g)</w:t>
      </w:r>
      <w:r w:rsidR="00F9680B">
        <w:rPr>
          <w:color w:val="0B0C0C"/>
          <w:u w:val="single"/>
        </w:rPr>
        <w:tab/>
      </w:r>
      <w:r w:rsidR="00C70F35" w:rsidRPr="00A44DD7">
        <w:rPr>
          <w:color w:val="0B0C0C"/>
          <w:u w:val="single"/>
        </w:rPr>
        <w:t xml:space="preserve">The carriage of dangerous goods by </w:t>
      </w:r>
      <w:r w:rsidR="00C70F35">
        <w:rPr>
          <w:color w:val="0B0C0C"/>
          <w:u w:val="single"/>
        </w:rPr>
        <w:t xml:space="preserve">or on behalf of </w:t>
      </w:r>
      <w:r w:rsidR="00C70F35" w:rsidRPr="00A44DD7">
        <w:rPr>
          <w:color w:val="0B0C0C"/>
          <w:u w:val="single"/>
        </w:rPr>
        <w:t>a distribution centre or a retailer to or from an end-user, where the goods in question are packaged for retail sale and are intended for the personal or domestic use of the end-user or for their leisure or sporting activities, if:</w:t>
      </w:r>
    </w:p>
    <w:p w14:paraId="3A36A882" w14:textId="31C7DF62" w:rsidR="00C70F35" w:rsidRPr="00A44DD7" w:rsidRDefault="00C70F35" w:rsidP="00C70F35">
      <w:pPr>
        <w:pStyle w:val="SingleTxtG"/>
        <w:numPr>
          <w:ilvl w:val="1"/>
          <w:numId w:val="22"/>
        </w:numPr>
        <w:spacing w:before="120"/>
        <w:ind w:left="2430" w:right="1138"/>
        <w:rPr>
          <w:color w:val="0B0C0C"/>
          <w:u w:val="single"/>
        </w:rPr>
      </w:pPr>
      <w:r w:rsidRPr="00A44DD7">
        <w:rPr>
          <w:color w:val="0B0C0C"/>
          <w:u w:val="single"/>
        </w:rPr>
        <w:t xml:space="preserve">Measures have been taken to prevent any leakage of contents </w:t>
      </w:r>
      <w:r w:rsidRPr="00A44DD7">
        <w:rPr>
          <w:u w:val="single"/>
          <w:lang w:val="en-CA"/>
        </w:rPr>
        <w:t>that could endanger public safety</w:t>
      </w:r>
      <w:r w:rsidRPr="00A44DD7">
        <w:rPr>
          <w:color w:val="0B0C0C"/>
          <w:u w:val="single"/>
        </w:rPr>
        <w:t xml:space="preserve"> in normal conditions of carriage</w:t>
      </w:r>
      <w:r w:rsidR="00CF3505">
        <w:rPr>
          <w:color w:val="0B0C0C"/>
          <w:u w:val="single"/>
        </w:rPr>
        <w:t>;</w:t>
      </w:r>
    </w:p>
    <w:p w14:paraId="5DEB6202" w14:textId="6F715C86" w:rsidR="00C70F35" w:rsidRPr="00A44DD7" w:rsidRDefault="00C70F35" w:rsidP="00C70F35">
      <w:pPr>
        <w:pStyle w:val="SingleTxtG"/>
        <w:numPr>
          <w:ilvl w:val="1"/>
          <w:numId w:val="22"/>
        </w:numPr>
        <w:spacing w:before="120"/>
        <w:ind w:left="2430" w:right="1138"/>
        <w:rPr>
          <w:color w:val="0B0C0C"/>
          <w:u w:val="single"/>
        </w:rPr>
      </w:pPr>
      <w:r w:rsidRPr="00A44DD7">
        <w:rPr>
          <w:color w:val="0B0C0C"/>
          <w:u w:val="single"/>
        </w:rPr>
        <w:t>The goods were originally packed in limited quantities in accordance with</w:t>
      </w:r>
      <w:r w:rsidR="0080487F">
        <w:rPr>
          <w:color w:val="0B0C0C"/>
          <w:u w:val="single"/>
        </w:rPr>
        <w:t> </w:t>
      </w:r>
      <w:r w:rsidRPr="00A44DD7">
        <w:rPr>
          <w:color w:val="0B0C0C"/>
          <w:u w:val="single"/>
        </w:rPr>
        <w:t>3.4</w:t>
      </w:r>
      <w:r>
        <w:rPr>
          <w:color w:val="0B0C0C"/>
          <w:u w:val="single"/>
        </w:rPr>
        <w:t>,</w:t>
      </w:r>
      <w:r w:rsidRPr="00A44DD7">
        <w:rPr>
          <w:color w:val="0B0C0C"/>
          <w:u w:val="single"/>
        </w:rPr>
        <w:t xml:space="preserve"> in combination packagings in accordance with</w:t>
      </w:r>
      <w:r w:rsidR="00E70064">
        <w:rPr>
          <w:color w:val="0B0C0C"/>
          <w:u w:val="single"/>
        </w:rPr>
        <w:t xml:space="preserve"> </w:t>
      </w:r>
      <w:r w:rsidRPr="00A44DD7">
        <w:rPr>
          <w:color w:val="0B0C0C"/>
          <w:u w:val="single"/>
        </w:rPr>
        <w:t>4.1</w:t>
      </w:r>
      <w:r>
        <w:rPr>
          <w:color w:val="0B0C0C"/>
          <w:u w:val="single"/>
        </w:rPr>
        <w:t>, or in accordance with special provision 188</w:t>
      </w:r>
      <w:r w:rsidR="00CF3505">
        <w:rPr>
          <w:color w:val="0B0C0C"/>
          <w:u w:val="single"/>
        </w:rPr>
        <w:t>;</w:t>
      </w:r>
    </w:p>
    <w:p w14:paraId="2A1BDE50" w14:textId="77777777" w:rsidR="00C70F35" w:rsidRPr="00A44DD7" w:rsidRDefault="00C70F35" w:rsidP="00C70F35">
      <w:pPr>
        <w:pStyle w:val="SingleTxtG"/>
        <w:numPr>
          <w:ilvl w:val="1"/>
          <w:numId w:val="22"/>
        </w:numPr>
        <w:spacing w:before="120"/>
        <w:ind w:left="2430" w:right="1138"/>
        <w:rPr>
          <w:color w:val="0B0C0C"/>
          <w:u w:val="single"/>
        </w:rPr>
      </w:pPr>
      <w:r w:rsidRPr="00A44DD7">
        <w:rPr>
          <w:color w:val="0B0C0C"/>
          <w:u w:val="single"/>
        </w:rPr>
        <w:t xml:space="preserve">The goods have been removed from their outer packaging for the final stages of carriage; and </w:t>
      </w:r>
    </w:p>
    <w:p w14:paraId="0A2C7902" w14:textId="77777777" w:rsidR="00C70F35" w:rsidRPr="00A44DD7" w:rsidRDefault="00C70F35" w:rsidP="00C70F35">
      <w:pPr>
        <w:pStyle w:val="SingleTxtG"/>
        <w:numPr>
          <w:ilvl w:val="1"/>
          <w:numId w:val="22"/>
        </w:numPr>
        <w:spacing w:before="120"/>
        <w:ind w:left="2430" w:right="1138"/>
        <w:rPr>
          <w:color w:val="0B0C0C"/>
          <w:u w:val="single"/>
        </w:rPr>
      </w:pPr>
      <w:r w:rsidRPr="00A44DD7">
        <w:rPr>
          <w:u w:val="single"/>
          <w:lang w:val="en-CA"/>
        </w:rPr>
        <w:t xml:space="preserve">Each “inner” packaging </w:t>
      </w:r>
      <w:r w:rsidRPr="00A44DD7">
        <w:rPr>
          <w:color w:val="0B0C0C"/>
          <w:u w:val="single"/>
        </w:rPr>
        <w:t>does not exceed 30 kilograms or litres</w:t>
      </w:r>
      <w:r>
        <w:rPr>
          <w:u w:val="single"/>
          <w:lang w:val="en-CA"/>
        </w:rPr>
        <w:t>.</w:t>
      </w:r>
    </w:p>
    <w:p w14:paraId="672B0250" w14:textId="1A254F7D" w:rsidR="00C70F35" w:rsidRPr="00A44DD7" w:rsidRDefault="00C70F35" w:rsidP="00C54C2C">
      <w:pPr>
        <w:pStyle w:val="SingleTxtG"/>
        <w:spacing w:before="120"/>
        <w:ind w:left="2070" w:right="1138"/>
        <w:rPr>
          <w:color w:val="0B0C0C"/>
          <w:u w:val="single"/>
        </w:rPr>
      </w:pPr>
      <w:r w:rsidRPr="00A44DD7">
        <w:rPr>
          <w:u w:val="single"/>
          <w:lang w:val="en-CA"/>
        </w:rPr>
        <w:t>In the case of dangerous goods included in Class 2 Gases, they are in one or more packaging in compliance with the requirements for transporting gases in Part 5 (Means of Containment), except that, in the case of dangerous goods that are UN</w:t>
      </w:r>
      <w:r w:rsidR="000A0778">
        <w:rPr>
          <w:u w:val="single"/>
          <w:lang w:val="en-CA"/>
        </w:rPr>
        <w:t xml:space="preserve"> </w:t>
      </w:r>
      <w:r w:rsidRPr="00A44DD7">
        <w:rPr>
          <w:u w:val="single"/>
          <w:lang w:val="en-CA"/>
        </w:rPr>
        <w:t>1950, AEROSOLS, or UN</w:t>
      </w:r>
      <w:r w:rsidR="000A0778">
        <w:rPr>
          <w:u w:val="single"/>
          <w:lang w:val="en-CA"/>
        </w:rPr>
        <w:t xml:space="preserve"> </w:t>
      </w:r>
      <w:r w:rsidRPr="00A44DD7">
        <w:rPr>
          <w:u w:val="single"/>
          <w:lang w:val="en-CA"/>
        </w:rPr>
        <w:t>2037, GAS CARTRIDGES, the requirement that aerosol containers and gas cartridges be tightly packed in a strong outer packaging does not apply, or</w:t>
      </w:r>
    </w:p>
    <w:p w14:paraId="7804A6ED" w14:textId="48A65677" w:rsidR="00C70F35" w:rsidRPr="00A44DD7" w:rsidRDefault="00C70F35" w:rsidP="00C70F35">
      <w:pPr>
        <w:pStyle w:val="SingleTxtG"/>
        <w:numPr>
          <w:ilvl w:val="1"/>
          <w:numId w:val="22"/>
        </w:numPr>
        <w:spacing w:before="120"/>
        <w:ind w:left="2430" w:right="1138"/>
        <w:rPr>
          <w:color w:val="0B0C0C"/>
          <w:u w:val="single"/>
        </w:rPr>
      </w:pPr>
      <w:r w:rsidRPr="00A44DD7">
        <w:rPr>
          <w:u w:val="single"/>
          <w:lang w:val="en-CA"/>
        </w:rPr>
        <w:t xml:space="preserve">The gross mass </w:t>
      </w:r>
      <w:r w:rsidR="006E142E">
        <w:rPr>
          <w:u w:val="single"/>
          <w:lang w:val="en-CA"/>
        </w:rPr>
        <w:t>(</w:t>
      </w:r>
      <w:r>
        <w:rPr>
          <w:color w:val="0B0C0C"/>
          <w:u w:val="single"/>
        </w:rPr>
        <w:t xml:space="preserve">total </w:t>
      </w:r>
      <w:r w:rsidRPr="00A44DD7">
        <w:rPr>
          <w:color w:val="0B0C0C"/>
          <w:u w:val="single"/>
        </w:rPr>
        <w:t>quantity</w:t>
      </w:r>
      <w:r w:rsidR="006E142E">
        <w:rPr>
          <w:color w:val="0B0C0C"/>
          <w:u w:val="single"/>
        </w:rPr>
        <w:t>)</w:t>
      </w:r>
      <w:r w:rsidRPr="00A44DD7">
        <w:rPr>
          <w:color w:val="0B0C0C"/>
          <w:u w:val="single"/>
        </w:rPr>
        <w:t xml:space="preserve"> </w:t>
      </w:r>
      <w:r w:rsidRPr="00A44DD7">
        <w:rPr>
          <w:u w:val="single"/>
          <w:lang w:val="en-CA"/>
        </w:rPr>
        <w:t xml:space="preserve">of all dangerous goods </w:t>
      </w:r>
      <w:r>
        <w:rPr>
          <w:u w:val="single"/>
          <w:lang w:val="en-CA"/>
        </w:rPr>
        <w:t>carried</w:t>
      </w:r>
      <w:r w:rsidRPr="00A44DD7">
        <w:rPr>
          <w:u w:val="single"/>
          <w:lang w:val="en-CA"/>
        </w:rPr>
        <w:t xml:space="preserve"> on the road vehicle is less than or equal to 150 kg</w:t>
      </w:r>
      <w:r>
        <w:rPr>
          <w:u w:val="single"/>
          <w:lang w:val="en-CA"/>
        </w:rPr>
        <w:t xml:space="preserve"> </w:t>
      </w:r>
      <w:r w:rsidR="006E142E">
        <w:rPr>
          <w:u w:val="single"/>
          <w:lang w:val="en-CA"/>
        </w:rPr>
        <w:t>(</w:t>
      </w:r>
      <w:r>
        <w:rPr>
          <w:color w:val="0B0C0C"/>
          <w:u w:val="single"/>
        </w:rPr>
        <w:t>does not exceed</w:t>
      </w:r>
      <w:r w:rsidRPr="00A44DD7">
        <w:rPr>
          <w:color w:val="0B0C0C"/>
          <w:u w:val="single"/>
        </w:rPr>
        <w:t xml:space="preserve"> 333 kilograms or litres</w:t>
      </w:r>
      <w:r w:rsidR="006E142E">
        <w:rPr>
          <w:color w:val="0B0C0C"/>
          <w:u w:val="single"/>
        </w:rPr>
        <w:t>)</w:t>
      </w:r>
      <w:r w:rsidRPr="00A44DD7">
        <w:rPr>
          <w:color w:val="0B0C0C"/>
          <w:u w:val="single"/>
        </w:rPr>
        <w:t>; and</w:t>
      </w:r>
    </w:p>
    <w:p w14:paraId="6584D991" w14:textId="77777777" w:rsidR="00C70F35" w:rsidRPr="00A44DD7" w:rsidRDefault="00C70F35" w:rsidP="00C70F35">
      <w:pPr>
        <w:pStyle w:val="SingleTxtG"/>
        <w:numPr>
          <w:ilvl w:val="1"/>
          <w:numId w:val="22"/>
        </w:numPr>
        <w:spacing w:before="120"/>
        <w:ind w:left="2430" w:right="1138"/>
        <w:rPr>
          <w:color w:val="0B0C0C"/>
          <w:u w:val="single"/>
        </w:rPr>
      </w:pPr>
      <w:r w:rsidRPr="00A44DD7">
        <w:rPr>
          <w:color w:val="0B0C0C"/>
          <w:u w:val="single"/>
        </w:rPr>
        <w:t>The goods have not been assigned to Classes 1, 4.2, 6.2 or 7.</w:t>
      </w:r>
      <w:r>
        <w:rPr>
          <w:color w:val="0B0C0C"/>
        </w:rPr>
        <w:t>”</w:t>
      </w:r>
    </w:p>
    <w:p w14:paraId="349B791A" w14:textId="77777777" w:rsidR="00C70F35" w:rsidRDefault="00C70F35" w:rsidP="00C70F35">
      <w:pPr>
        <w:pStyle w:val="SingleTxtG"/>
        <w:spacing w:before="240"/>
        <w:ind w:right="1138"/>
        <w:jc w:val="left"/>
        <w:rPr>
          <w:u w:val="single"/>
        </w:rPr>
      </w:pPr>
      <w:r w:rsidRPr="00492250">
        <w:rPr>
          <w:u w:val="single"/>
        </w:rPr>
        <w:t>Proposal</w:t>
      </w:r>
      <w:r>
        <w:rPr>
          <w:u w:val="single"/>
        </w:rPr>
        <w:t xml:space="preserve"> 2</w:t>
      </w:r>
    </w:p>
    <w:p w14:paraId="4B81A3BA" w14:textId="0E393C15" w:rsidR="00C70F35" w:rsidRDefault="00C70F35" w:rsidP="00C70F35">
      <w:pPr>
        <w:pStyle w:val="SingleTxtG"/>
        <w:numPr>
          <w:ilvl w:val="0"/>
          <w:numId w:val="21"/>
        </w:numPr>
        <w:suppressAutoHyphens w:val="0"/>
        <w:autoSpaceDE w:val="0"/>
        <w:autoSpaceDN w:val="0"/>
        <w:adjustRightInd w:val="0"/>
        <w:spacing w:before="120" w:after="0"/>
        <w:ind w:right="1138"/>
      </w:pPr>
      <w:r w:rsidRPr="00E51475">
        <w:t>Introduce a new multilateral agreement,</w:t>
      </w:r>
      <w:r>
        <w:t xml:space="preserve"> based on </w:t>
      </w:r>
      <w:r w:rsidRPr="00D14AC7">
        <w:t>U</w:t>
      </w:r>
      <w:r w:rsidR="0013034E">
        <w:t xml:space="preserve">nited </w:t>
      </w:r>
      <w:r w:rsidRPr="00D14AC7">
        <w:t>K</w:t>
      </w:r>
      <w:r w:rsidR="003E5F73">
        <w:t>ingdom</w:t>
      </w:r>
      <w:r w:rsidRPr="00D14AC7">
        <w:t xml:space="preserve"> </w:t>
      </w:r>
      <w:r>
        <w:t xml:space="preserve">Road </w:t>
      </w:r>
      <w:r w:rsidRPr="00D14AC7">
        <w:t>Derogation</w:t>
      </w:r>
      <w:r w:rsidR="003E5F73">
        <w:t> </w:t>
      </w:r>
      <w:r w:rsidRPr="00D14AC7">
        <w:t>4</w:t>
      </w:r>
      <w:r>
        <w:t>. This option would need action from a delegation interested in introducing the derogation into their national regulations.</w:t>
      </w:r>
    </w:p>
    <w:p w14:paraId="21638456" w14:textId="77777777" w:rsidR="003E5F73" w:rsidRDefault="003E5F73" w:rsidP="003E5F73">
      <w:pPr>
        <w:pStyle w:val="SingleTxtG"/>
        <w:suppressAutoHyphens w:val="0"/>
        <w:autoSpaceDE w:val="0"/>
        <w:autoSpaceDN w:val="0"/>
        <w:adjustRightInd w:val="0"/>
        <w:spacing w:before="120" w:after="0"/>
        <w:ind w:left="1693" w:right="1138"/>
      </w:pPr>
    </w:p>
    <w:p w14:paraId="1D72955B" w14:textId="77777777" w:rsidR="00C70F35" w:rsidRPr="00D635C9" w:rsidRDefault="00C70F35" w:rsidP="00C70F35">
      <w:pPr>
        <w:spacing w:after="120"/>
        <w:ind w:left="1134" w:right="621"/>
        <w:jc w:val="center"/>
        <w:rPr>
          <w:bCs/>
        </w:rPr>
      </w:pPr>
      <w:r w:rsidRPr="00D635C9">
        <w:rPr>
          <w:bCs/>
        </w:rPr>
        <w:t>_________________</w:t>
      </w:r>
    </w:p>
    <w:sectPr w:rsidR="00C70F35" w:rsidRPr="00D635C9" w:rsidSect="00EC1842">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669B" w14:textId="77777777" w:rsidR="005F537D" w:rsidRDefault="005F537D"/>
  </w:endnote>
  <w:endnote w:type="continuationSeparator" w:id="0">
    <w:p w14:paraId="3BB3DE83" w14:textId="77777777" w:rsidR="005F537D" w:rsidRDefault="005F537D"/>
  </w:endnote>
  <w:endnote w:type="continuationNotice" w:id="1">
    <w:p w14:paraId="146B14B9" w14:textId="77777777" w:rsidR="005F537D" w:rsidRDefault="005F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8BC" w14:textId="2549E0B7" w:rsidR="00EC1842" w:rsidRPr="00EC1842" w:rsidRDefault="00EC1842" w:rsidP="00EC1842">
    <w:pPr>
      <w:pStyle w:val="Footer"/>
      <w:tabs>
        <w:tab w:val="right" w:pos="9638"/>
      </w:tabs>
      <w:rPr>
        <w:sz w:val="18"/>
      </w:rPr>
    </w:pPr>
    <w:r w:rsidRPr="00EC1842">
      <w:rPr>
        <w:b/>
        <w:sz w:val="18"/>
      </w:rPr>
      <w:fldChar w:fldCharType="begin"/>
    </w:r>
    <w:r w:rsidRPr="00EC1842">
      <w:rPr>
        <w:b/>
        <w:sz w:val="18"/>
      </w:rPr>
      <w:instrText xml:space="preserve"> PAGE  \* MERGEFORMAT </w:instrText>
    </w:r>
    <w:r w:rsidRPr="00EC1842">
      <w:rPr>
        <w:b/>
        <w:sz w:val="18"/>
      </w:rPr>
      <w:fldChar w:fldCharType="separate"/>
    </w:r>
    <w:r w:rsidR="0037744A">
      <w:rPr>
        <w:b/>
        <w:noProof/>
        <w:sz w:val="18"/>
      </w:rPr>
      <w:t>2</w:t>
    </w:r>
    <w:r w:rsidRPr="00EC184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A971" w14:textId="6182CBDC" w:rsidR="00EC1842" w:rsidRPr="00EC1842" w:rsidRDefault="00EC1842" w:rsidP="00EC1842">
    <w:pPr>
      <w:pStyle w:val="Footer"/>
      <w:tabs>
        <w:tab w:val="right" w:pos="9638"/>
      </w:tabs>
      <w:rPr>
        <w:b/>
        <w:sz w:val="18"/>
      </w:rPr>
    </w:pPr>
    <w:r>
      <w:tab/>
    </w:r>
    <w:r w:rsidRPr="00EC1842">
      <w:rPr>
        <w:b/>
        <w:sz w:val="18"/>
      </w:rPr>
      <w:fldChar w:fldCharType="begin"/>
    </w:r>
    <w:r w:rsidRPr="00EC1842">
      <w:rPr>
        <w:b/>
        <w:sz w:val="18"/>
      </w:rPr>
      <w:instrText xml:space="preserve"> PAGE  \* MERGEFORMAT </w:instrText>
    </w:r>
    <w:r w:rsidRPr="00EC1842">
      <w:rPr>
        <w:b/>
        <w:sz w:val="18"/>
      </w:rPr>
      <w:fldChar w:fldCharType="separate"/>
    </w:r>
    <w:r w:rsidR="0037744A">
      <w:rPr>
        <w:b/>
        <w:noProof/>
        <w:sz w:val="18"/>
      </w:rPr>
      <w:t>3</w:t>
    </w:r>
    <w:r w:rsidRPr="00EC184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CA53" w14:textId="77777777" w:rsidR="005F537D" w:rsidRPr="000B175B" w:rsidRDefault="005F537D" w:rsidP="000B175B">
      <w:pPr>
        <w:tabs>
          <w:tab w:val="right" w:pos="2155"/>
        </w:tabs>
        <w:spacing w:after="80"/>
        <w:ind w:left="680"/>
        <w:rPr>
          <w:u w:val="single"/>
        </w:rPr>
      </w:pPr>
      <w:r>
        <w:rPr>
          <w:u w:val="single"/>
        </w:rPr>
        <w:tab/>
      </w:r>
    </w:p>
  </w:footnote>
  <w:footnote w:type="continuationSeparator" w:id="0">
    <w:p w14:paraId="58CE1383" w14:textId="77777777" w:rsidR="005F537D" w:rsidRPr="00FC68B7" w:rsidRDefault="005F537D" w:rsidP="00FC68B7">
      <w:pPr>
        <w:tabs>
          <w:tab w:val="left" w:pos="2155"/>
        </w:tabs>
        <w:spacing w:after="80"/>
        <w:ind w:left="680"/>
        <w:rPr>
          <w:u w:val="single"/>
        </w:rPr>
      </w:pPr>
      <w:r>
        <w:rPr>
          <w:u w:val="single"/>
        </w:rPr>
        <w:tab/>
      </w:r>
    </w:p>
  </w:footnote>
  <w:footnote w:type="continuationNotice" w:id="1">
    <w:p w14:paraId="52F18847" w14:textId="77777777" w:rsidR="005F537D" w:rsidRDefault="005F537D"/>
  </w:footnote>
  <w:footnote w:id="2">
    <w:p w14:paraId="68264FDF" w14:textId="77777777" w:rsidR="00016CD5" w:rsidRPr="009E64B7" w:rsidRDefault="00016CD5" w:rsidP="00016CD5">
      <w:pPr>
        <w:pStyle w:val="FootnoteText"/>
        <w:rPr>
          <w:lang w:val="en-US"/>
        </w:rPr>
      </w:pPr>
      <w:r>
        <w:tab/>
      </w:r>
      <w:r>
        <w:rPr>
          <w:rStyle w:val="FootnoteReference"/>
          <w:b/>
          <w:bCs/>
          <w:sz w:val="20"/>
        </w:rPr>
        <w:sym w:font="Symbol" w:char="F02A"/>
      </w:r>
      <w:r>
        <w:tab/>
        <w:t>A/76/6 (Sect.20), para. 20.76.</w:t>
      </w:r>
    </w:p>
  </w:footnote>
  <w:footnote w:id="3">
    <w:p w14:paraId="20D308C9" w14:textId="2656D8E8" w:rsidR="00016CD5" w:rsidRPr="009E64B7" w:rsidRDefault="00016CD5" w:rsidP="00016CD5">
      <w:pPr>
        <w:pStyle w:val="FootnoteText"/>
        <w:rPr>
          <w:lang w:val="en-US" w:eastAsia="en-US"/>
        </w:rPr>
      </w:pPr>
      <w:r>
        <w:tab/>
      </w:r>
      <w:r>
        <w:rPr>
          <w:rStyle w:val="FootnoteReference"/>
          <w:b/>
          <w:bCs/>
          <w:sz w:val="20"/>
        </w:rPr>
        <w:sym w:font="Symbol" w:char="F02A"/>
      </w:r>
      <w:r>
        <w:rPr>
          <w:rStyle w:val="FootnoteReference"/>
          <w:b/>
          <w:bCs/>
          <w:sz w:val="20"/>
        </w:rPr>
        <w:sym w:font="Symbol" w:char="F02A"/>
      </w:r>
      <w:r>
        <w:tab/>
      </w:r>
      <w:r>
        <w:rPr>
          <w:szCs w:val="18"/>
        </w:rPr>
        <w:t>Circulated by the Intergovernmental Organisation for International Carriage by Rail (OTIF) under the symbol OTIF/RID/RC/2022/2</w:t>
      </w:r>
      <w:r w:rsidR="0059356C">
        <w:rPr>
          <w:szCs w:val="18"/>
        </w:rPr>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6C73" w14:textId="6C1A44C9" w:rsidR="00EC1842" w:rsidRPr="00EC1842" w:rsidRDefault="009E64B7">
    <w:pPr>
      <w:pStyle w:val="Header"/>
    </w:pPr>
    <w:r>
      <w:fldChar w:fldCharType="begin"/>
    </w:r>
    <w:r>
      <w:instrText xml:space="preserve"> TITLE  \* MERGEFORMAT </w:instrText>
    </w:r>
    <w:r>
      <w:fldChar w:fldCharType="separate"/>
    </w:r>
    <w:r w:rsidR="00EC1842">
      <w:t>ECE/TRANS/WP.15/AC.1/2022/27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4D3D" w14:textId="32392697" w:rsidR="00EC1842" w:rsidRPr="00EC1842" w:rsidRDefault="009E64B7" w:rsidP="00EC1842">
    <w:pPr>
      <w:pStyle w:val="Header"/>
      <w:jc w:val="right"/>
    </w:pPr>
    <w:r>
      <w:fldChar w:fldCharType="begin"/>
    </w:r>
    <w:r>
      <w:instrText xml:space="preserve"> TITLE  \* MERGEFORMAT </w:instrText>
    </w:r>
    <w:r>
      <w:fldChar w:fldCharType="separate"/>
    </w:r>
    <w:r w:rsidR="00EC1842">
      <w:t>ECE/TRANS/WP.15/AC.1/2022/27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986A6F"/>
    <w:multiLevelType w:val="hybridMultilevel"/>
    <w:tmpl w:val="C110352E"/>
    <w:lvl w:ilvl="0" w:tplc="8778932A">
      <w:start w:val="1"/>
      <w:numFmt w:val="lowerLetter"/>
      <w:lvlText w:val="(%1)"/>
      <w:lvlJc w:val="left"/>
      <w:pPr>
        <w:ind w:left="2053" w:hanging="360"/>
      </w:pPr>
      <w:rPr>
        <w:rFonts w:hint="default"/>
      </w:rPr>
    </w:lvl>
    <w:lvl w:ilvl="1" w:tplc="9DA09750">
      <w:start w:val="1"/>
      <w:numFmt w:val="bullet"/>
      <w:lvlText w:val="­"/>
      <w:lvlJc w:val="left"/>
      <w:pPr>
        <w:ind w:left="2773" w:hanging="360"/>
      </w:pPr>
      <w:rPr>
        <w:rFonts w:ascii="Times New Roman" w:hAnsi="Times New Roman" w:cs="Times New Roman" w:hint="default"/>
      </w:rPr>
    </w:lvl>
    <w:lvl w:ilvl="2" w:tplc="1009001B" w:tentative="1">
      <w:start w:val="1"/>
      <w:numFmt w:val="lowerRoman"/>
      <w:lvlText w:val="%3."/>
      <w:lvlJc w:val="right"/>
      <w:pPr>
        <w:ind w:left="3493" w:hanging="180"/>
      </w:pPr>
    </w:lvl>
    <w:lvl w:ilvl="3" w:tplc="1009000F" w:tentative="1">
      <w:start w:val="1"/>
      <w:numFmt w:val="decimal"/>
      <w:lvlText w:val="%4."/>
      <w:lvlJc w:val="left"/>
      <w:pPr>
        <w:ind w:left="4213" w:hanging="360"/>
      </w:pPr>
    </w:lvl>
    <w:lvl w:ilvl="4" w:tplc="10090019" w:tentative="1">
      <w:start w:val="1"/>
      <w:numFmt w:val="lowerLetter"/>
      <w:lvlText w:val="%5."/>
      <w:lvlJc w:val="left"/>
      <w:pPr>
        <w:ind w:left="4933" w:hanging="360"/>
      </w:pPr>
    </w:lvl>
    <w:lvl w:ilvl="5" w:tplc="1009001B" w:tentative="1">
      <w:start w:val="1"/>
      <w:numFmt w:val="lowerRoman"/>
      <w:lvlText w:val="%6."/>
      <w:lvlJc w:val="right"/>
      <w:pPr>
        <w:ind w:left="5653" w:hanging="180"/>
      </w:pPr>
    </w:lvl>
    <w:lvl w:ilvl="6" w:tplc="1009000F" w:tentative="1">
      <w:start w:val="1"/>
      <w:numFmt w:val="decimal"/>
      <w:lvlText w:val="%7."/>
      <w:lvlJc w:val="left"/>
      <w:pPr>
        <w:ind w:left="6373" w:hanging="360"/>
      </w:pPr>
    </w:lvl>
    <w:lvl w:ilvl="7" w:tplc="10090019" w:tentative="1">
      <w:start w:val="1"/>
      <w:numFmt w:val="lowerLetter"/>
      <w:lvlText w:val="%8."/>
      <w:lvlJc w:val="left"/>
      <w:pPr>
        <w:ind w:left="7093" w:hanging="360"/>
      </w:pPr>
    </w:lvl>
    <w:lvl w:ilvl="8" w:tplc="1009001B" w:tentative="1">
      <w:start w:val="1"/>
      <w:numFmt w:val="lowerRoman"/>
      <w:lvlText w:val="%9."/>
      <w:lvlJc w:val="right"/>
      <w:pPr>
        <w:ind w:left="7813"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005A3"/>
    <w:multiLevelType w:val="hybridMultilevel"/>
    <w:tmpl w:val="AA62FF32"/>
    <w:lvl w:ilvl="0" w:tplc="E206AEB4">
      <w:start w:val="1"/>
      <w:numFmt w:val="decimal"/>
      <w:lvlText w:val="%1."/>
      <w:lvlJc w:val="left"/>
      <w:pPr>
        <w:ind w:left="1693" w:hanging="555"/>
      </w:pPr>
      <w:rPr>
        <w:rFonts w:hint="default"/>
        <w:i w:val="0"/>
        <w:iCs w:val="0"/>
      </w:rPr>
    </w:lvl>
    <w:lvl w:ilvl="1" w:tplc="10090019">
      <w:start w:val="1"/>
      <w:numFmt w:val="lowerLetter"/>
      <w:lvlText w:val="%2."/>
      <w:lvlJc w:val="left"/>
      <w:pPr>
        <w:ind w:left="2218" w:hanging="360"/>
      </w:pPr>
    </w:lvl>
    <w:lvl w:ilvl="2" w:tplc="1009001B" w:tentative="1">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1"/>
  </w:num>
  <w:num w:numId="21">
    <w:abstractNumId w:val="20"/>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42"/>
    <w:rsid w:val="00002A7D"/>
    <w:rsid w:val="000038A8"/>
    <w:rsid w:val="00006790"/>
    <w:rsid w:val="00016CD5"/>
    <w:rsid w:val="00023C90"/>
    <w:rsid w:val="00027624"/>
    <w:rsid w:val="00050F6B"/>
    <w:rsid w:val="000638FF"/>
    <w:rsid w:val="00065FB1"/>
    <w:rsid w:val="000678CD"/>
    <w:rsid w:val="00072C8C"/>
    <w:rsid w:val="00074B1A"/>
    <w:rsid w:val="00081CE0"/>
    <w:rsid w:val="00084D30"/>
    <w:rsid w:val="00090320"/>
    <w:rsid w:val="000931C0"/>
    <w:rsid w:val="0009732C"/>
    <w:rsid w:val="000A01F9"/>
    <w:rsid w:val="000A0778"/>
    <w:rsid w:val="000A2E09"/>
    <w:rsid w:val="000B175B"/>
    <w:rsid w:val="000B3A0F"/>
    <w:rsid w:val="000E0415"/>
    <w:rsid w:val="000F7715"/>
    <w:rsid w:val="0013034E"/>
    <w:rsid w:val="00156B99"/>
    <w:rsid w:val="00166124"/>
    <w:rsid w:val="00184DDA"/>
    <w:rsid w:val="001900CD"/>
    <w:rsid w:val="001A0452"/>
    <w:rsid w:val="001B4B04"/>
    <w:rsid w:val="001B5875"/>
    <w:rsid w:val="001C3A57"/>
    <w:rsid w:val="001C4B9C"/>
    <w:rsid w:val="001C6663"/>
    <w:rsid w:val="001C7895"/>
    <w:rsid w:val="001D26DF"/>
    <w:rsid w:val="001F1599"/>
    <w:rsid w:val="001F19C4"/>
    <w:rsid w:val="002043F0"/>
    <w:rsid w:val="00211E0B"/>
    <w:rsid w:val="00232575"/>
    <w:rsid w:val="00247258"/>
    <w:rsid w:val="00251E94"/>
    <w:rsid w:val="00257CAC"/>
    <w:rsid w:val="00264441"/>
    <w:rsid w:val="0027237A"/>
    <w:rsid w:val="00294C65"/>
    <w:rsid w:val="002974E9"/>
    <w:rsid w:val="002A37C2"/>
    <w:rsid w:val="002A7F94"/>
    <w:rsid w:val="002B109A"/>
    <w:rsid w:val="002C6D45"/>
    <w:rsid w:val="002D6E53"/>
    <w:rsid w:val="002E6B62"/>
    <w:rsid w:val="002F046D"/>
    <w:rsid w:val="002F3023"/>
    <w:rsid w:val="00301764"/>
    <w:rsid w:val="003229D8"/>
    <w:rsid w:val="00336C97"/>
    <w:rsid w:val="00337F88"/>
    <w:rsid w:val="00342432"/>
    <w:rsid w:val="0035223F"/>
    <w:rsid w:val="00352D4B"/>
    <w:rsid w:val="0035638C"/>
    <w:rsid w:val="0037744A"/>
    <w:rsid w:val="00382C3F"/>
    <w:rsid w:val="003A46BB"/>
    <w:rsid w:val="003A4EC7"/>
    <w:rsid w:val="003A7295"/>
    <w:rsid w:val="003B1F60"/>
    <w:rsid w:val="003C2CC4"/>
    <w:rsid w:val="003D4B23"/>
    <w:rsid w:val="003E278A"/>
    <w:rsid w:val="003E5F73"/>
    <w:rsid w:val="00413520"/>
    <w:rsid w:val="004325CB"/>
    <w:rsid w:val="00440A07"/>
    <w:rsid w:val="00462880"/>
    <w:rsid w:val="00473C79"/>
    <w:rsid w:val="00476F24"/>
    <w:rsid w:val="004C55B0"/>
    <w:rsid w:val="004F6BA0"/>
    <w:rsid w:val="00503BEA"/>
    <w:rsid w:val="00533616"/>
    <w:rsid w:val="00535ABA"/>
    <w:rsid w:val="0053768B"/>
    <w:rsid w:val="005420F2"/>
    <w:rsid w:val="0054285C"/>
    <w:rsid w:val="00584173"/>
    <w:rsid w:val="0059356C"/>
    <w:rsid w:val="00595520"/>
    <w:rsid w:val="005A44B9"/>
    <w:rsid w:val="005B1BA0"/>
    <w:rsid w:val="005B3DB3"/>
    <w:rsid w:val="005D15CA"/>
    <w:rsid w:val="005D7969"/>
    <w:rsid w:val="005F08DF"/>
    <w:rsid w:val="005F3066"/>
    <w:rsid w:val="005F3E61"/>
    <w:rsid w:val="005F4D4E"/>
    <w:rsid w:val="005F537D"/>
    <w:rsid w:val="00604DDD"/>
    <w:rsid w:val="006115CC"/>
    <w:rsid w:val="00611FC4"/>
    <w:rsid w:val="006176FB"/>
    <w:rsid w:val="00621DF7"/>
    <w:rsid w:val="00630FCB"/>
    <w:rsid w:val="00640B26"/>
    <w:rsid w:val="0065766B"/>
    <w:rsid w:val="00662163"/>
    <w:rsid w:val="006770B2"/>
    <w:rsid w:val="00686A48"/>
    <w:rsid w:val="006940E1"/>
    <w:rsid w:val="006A3C72"/>
    <w:rsid w:val="006A7392"/>
    <w:rsid w:val="006B03A1"/>
    <w:rsid w:val="006B67D9"/>
    <w:rsid w:val="006C5535"/>
    <w:rsid w:val="006D0589"/>
    <w:rsid w:val="006E142E"/>
    <w:rsid w:val="006E564B"/>
    <w:rsid w:val="006E7154"/>
    <w:rsid w:val="007003CD"/>
    <w:rsid w:val="0070701E"/>
    <w:rsid w:val="0072632A"/>
    <w:rsid w:val="007358E8"/>
    <w:rsid w:val="00736ECE"/>
    <w:rsid w:val="0074533B"/>
    <w:rsid w:val="007643BC"/>
    <w:rsid w:val="00780C68"/>
    <w:rsid w:val="007959FE"/>
    <w:rsid w:val="007A0CF1"/>
    <w:rsid w:val="007A478E"/>
    <w:rsid w:val="007A5D51"/>
    <w:rsid w:val="007B6BA5"/>
    <w:rsid w:val="007C3390"/>
    <w:rsid w:val="007C42D8"/>
    <w:rsid w:val="007C4F4B"/>
    <w:rsid w:val="007D7362"/>
    <w:rsid w:val="007F5CE2"/>
    <w:rsid w:val="007F6611"/>
    <w:rsid w:val="00800522"/>
    <w:rsid w:val="0080487F"/>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7B48"/>
    <w:rsid w:val="008D045E"/>
    <w:rsid w:val="008D3F25"/>
    <w:rsid w:val="008D4D82"/>
    <w:rsid w:val="008E0E46"/>
    <w:rsid w:val="008E7116"/>
    <w:rsid w:val="008F143B"/>
    <w:rsid w:val="008F3882"/>
    <w:rsid w:val="008F4B7C"/>
    <w:rsid w:val="00926E47"/>
    <w:rsid w:val="00947162"/>
    <w:rsid w:val="009610D0"/>
    <w:rsid w:val="00961B0F"/>
    <w:rsid w:val="0096375C"/>
    <w:rsid w:val="009662E6"/>
    <w:rsid w:val="0097095E"/>
    <w:rsid w:val="0098592B"/>
    <w:rsid w:val="00985FC4"/>
    <w:rsid w:val="00990766"/>
    <w:rsid w:val="00991261"/>
    <w:rsid w:val="009964C4"/>
    <w:rsid w:val="009A7B81"/>
    <w:rsid w:val="009B5514"/>
    <w:rsid w:val="009D01C0"/>
    <w:rsid w:val="009D6A08"/>
    <w:rsid w:val="009E0A16"/>
    <w:rsid w:val="009E64B7"/>
    <w:rsid w:val="009E6CB7"/>
    <w:rsid w:val="009E7970"/>
    <w:rsid w:val="009F079E"/>
    <w:rsid w:val="009F2EAC"/>
    <w:rsid w:val="009F57E3"/>
    <w:rsid w:val="00A10F4F"/>
    <w:rsid w:val="00A11067"/>
    <w:rsid w:val="00A1704A"/>
    <w:rsid w:val="00A425EB"/>
    <w:rsid w:val="00A72F22"/>
    <w:rsid w:val="00A733BC"/>
    <w:rsid w:val="00A748A6"/>
    <w:rsid w:val="00A76A69"/>
    <w:rsid w:val="00A879A4"/>
    <w:rsid w:val="00A92731"/>
    <w:rsid w:val="00AA0FF8"/>
    <w:rsid w:val="00AC0F2C"/>
    <w:rsid w:val="00AC502A"/>
    <w:rsid w:val="00AF58C1"/>
    <w:rsid w:val="00B04A3F"/>
    <w:rsid w:val="00B06643"/>
    <w:rsid w:val="00B15055"/>
    <w:rsid w:val="00B20551"/>
    <w:rsid w:val="00B30179"/>
    <w:rsid w:val="00B31BCF"/>
    <w:rsid w:val="00B33FC7"/>
    <w:rsid w:val="00B37B15"/>
    <w:rsid w:val="00B45C02"/>
    <w:rsid w:val="00B70B63"/>
    <w:rsid w:val="00B72A1E"/>
    <w:rsid w:val="00B81E12"/>
    <w:rsid w:val="00BA339B"/>
    <w:rsid w:val="00BB23CC"/>
    <w:rsid w:val="00BB5A7A"/>
    <w:rsid w:val="00BC1E7E"/>
    <w:rsid w:val="00BC74E9"/>
    <w:rsid w:val="00BE36A9"/>
    <w:rsid w:val="00BE618E"/>
    <w:rsid w:val="00BE7BEC"/>
    <w:rsid w:val="00BF0A5A"/>
    <w:rsid w:val="00BF0E63"/>
    <w:rsid w:val="00BF12A3"/>
    <w:rsid w:val="00BF16D7"/>
    <w:rsid w:val="00BF2373"/>
    <w:rsid w:val="00C0294F"/>
    <w:rsid w:val="00C032C0"/>
    <w:rsid w:val="00C044E2"/>
    <w:rsid w:val="00C048CB"/>
    <w:rsid w:val="00C066F3"/>
    <w:rsid w:val="00C408B7"/>
    <w:rsid w:val="00C411EB"/>
    <w:rsid w:val="00C463DD"/>
    <w:rsid w:val="00C54C2C"/>
    <w:rsid w:val="00C70F35"/>
    <w:rsid w:val="00C745C3"/>
    <w:rsid w:val="00C978F5"/>
    <w:rsid w:val="00CA24A4"/>
    <w:rsid w:val="00CB348D"/>
    <w:rsid w:val="00CD46F5"/>
    <w:rsid w:val="00CE4A8F"/>
    <w:rsid w:val="00CE78F6"/>
    <w:rsid w:val="00CF071D"/>
    <w:rsid w:val="00CF3505"/>
    <w:rsid w:val="00D0123D"/>
    <w:rsid w:val="00D15B04"/>
    <w:rsid w:val="00D2031B"/>
    <w:rsid w:val="00D25FE2"/>
    <w:rsid w:val="00D368BE"/>
    <w:rsid w:val="00D37DA9"/>
    <w:rsid w:val="00D406A7"/>
    <w:rsid w:val="00D40765"/>
    <w:rsid w:val="00D43252"/>
    <w:rsid w:val="00D44D86"/>
    <w:rsid w:val="00D50B7D"/>
    <w:rsid w:val="00D52012"/>
    <w:rsid w:val="00D67CA1"/>
    <w:rsid w:val="00D704E5"/>
    <w:rsid w:val="00D72727"/>
    <w:rsid w:val="00D978C6"/>
    <w:rsid w:val="00DA0956"/>
    <w:rsid w:val="00DA357F"/>
    <w:rsid w:val="00DA3E12"/>
    <w:rsid w:val="00DC18AD"/>
    <w:rsid w:val="00DF7CAE"/>
    <w:rsid w:val="00E03435"/>
    <w:rsid w:val="00E10BD9"/>
    <w:rsid w:val="00E15CE8"/>
    <w:rsid w:val="00E423C0"/>
    <w:rsid w:val="00E6414C"/>
    <w:rsid w:val="00E70064"/>
    <w:rsid w:val="00E7260F"/>
    <w:rsid w:val="00E8702D"/>
    <w:rsid w:val="00E905F4"/>
    <w:rsid w:val="00E916A9"/>
    <w:rsid w:val="00E916DE"/>
    <w:rsid w:val="00E925AD"/>
    <w:rsid w:val="00E96630"/>
    <w:rsid w:val="00EC1842"/>
    <w:rsid w:val="00ED18DC"/>
    <w:rsid w:val="00ED6201"/>
    <w:rsid w:val="00ED7A2A"/>
    <w:rsid w:val="00EF1D7F"/>
    <w:rsid w:val="00EF2429"/>
    <w:rsid w:val="00F0137E"/>
    <w:rsid w:val="00F12137"/>
    <w:rsid w:val="00F21786"/>
    <w:rsid w:val="00F3742B"/>
    <w:rsid w:val="00F41FDB"/>
    <w:rsid w:val="00F50596"/>
    <w:rsid w:val="00F56D63"/>
    <w:rsid w:val="00F609A9"/>
    <w:rsid w:val="00F80C99"/>
    <w:rsid w:val="00F867EC"/>
    <w:rsid w:val="00F91B2B"/>
    <w:rsid w:val="00F9680B"/>
    <w:rsid w:val="00FC03CD"/>
    <w:rsid w:val="00FC0646"/>
    <w:rsid w:val="00FC68B7"/>
    <w:rsid w:val="00FC772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9139E"/>
  <w15:docId w15:val="{73FC3F31-FB3D-4A61-874F-A2274868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B31BCF"/>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695">
      <w:bodyDiv w:val="1"/>
      <w:marLeft w:val="0"/>
      <w:marRight w:val="0"/>
      <w:marTop w:val="0"/>
      <w:marBottom w:val="0"/>
      <w:divBdr>
        <w:top w:val="none" w:sz="0" w:space="0" w:color="auto"/>
        <w:left w:val="none" w:sz="0" w:space="0" w:color="auto"/>
        <w:bottom w:val="none" w:sz="0" w:space="0" w:color="auto"/>
        <w:right w:val="none" w:sz="0" w:space="0" w:color="auto"/>
      </w:divBdr>
    </w:div>
    <w:div w:id="677194464">
      <w:bodyDiv w:val="1"/>
      <w:marLeft w:val="0"/>
      <w:marRight w:val="0"/>
      <w:marTop w:val="0"/>
      <w:marBottom w:val="0"/>
      <w:divBdr>
        <w:top w:val="none" w:sz="0" w:space="0" w:color="auto"/>
        <w:left w:val="none" w:sz="0" w:space="0" w:color="auto"/>
        <w:bottom w:val="none" w:sz="0" w:space="0" w:color="auto"/>
        <w:right w:val="none" w:sz="0" w:space="0" w:color="auto"/>
      </w:divBdr>
    </w:div>
    <w:div w:id="8353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lois.justice.gc.ca/eng/regulations/SOR-2001-286/page-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carriage-of-dangerous-goods-approved-derogations-and-transitional-provisions/carriage-of-dangerous-goods-approved-derogations-and-transitional-provi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758D5-957B-4C00-A2E6-C9C4B982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8B517-FA16-4B1A-A308-467153639F3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D29A019-E636-4F8E-B00E-9406BF9F096A}">
  <ds:schemaRefs>
    <ds:schemaRef ds:uri="http://schemas.openxmlformats.org/officeDocument/2006/bibliography"/>
  </ds:schemaRefs>
</ds:datastoreItem>
</file>

<file path=customXml/itemProps4.xml><?xml version="1.0" encoding="utf-8"?>
<ds:datastoreItem xmlns:ds="http://schemas.openxmlformats.org/officeDocument/2006/customXml" ds:itemID="{AE905A3F-A382-4035-BA1E-2CF0CB627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1387</Words>
  <Characters>7158</Characters>
  <Application>Microsoft Office Word</Application>
  <DocSecurity>4</DocSecurity>
  <Lines>170</Lines>
  <Paragraphs>97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ECE/TRANS/WP.15/AC.1/2022/27</vt:lpstr>
      <vt:lpstr/>
      <vt:lpstr>United Nations</vt:lpstr>
    </vt:vector>
  </TitlesOfParts>
  <Company>CSD</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ECE/TRANS/WP.15/AC.1/2022/27</dc:title>
  <dc:creator>Christine Barrio-Champeau</dc:creator>
  <cp:lastModifiedBy>Christine Barrio-Champeau</cp:lastModifiedBy>
  <cp:revision>2</cp:revision>
  <cp:lastPrinted>2009-02-18T09:36:00Z</cp:lastPrinted>
  <dcterms:created xsi:type="dcterms:W3CDTF">2022-06-21T12:34:00Z</dcterms:created>
  <dcterms:modified xsi:type="dcterms:W3CDTF">2022-06-21T12:34:00Z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