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0C769E" w14:textId="77777777" w:rsidTr="00387CD4">
        <w:trPr>
          <w:trHeight w:hRule="exact" w:val="851"/>
        </w:trPr>
        <w:tc>
          <w:tcPr>
            <w:tcW w:w="142" w:type="dxa"/>
            <w:tcBorders>
              <w:bottom w:val="single" w:sz="4" w:space="0" w:color="auto"/>
            </w:tcBorders>
          </w:tcPr>
          <w:p w14:paraId="21FC69B5" w14:textId="77777777" w:rsidR="002D5AAC" w:rsidRDefault="002D5AAC" w:rsidP="00AB755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B70163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108D60" w14:textId="0D7ACF2E" w:rsidR="002D5AAC" w:rsidRDefault="00AB755C" w:rsidP="00AB755C">
            <w:pPr>
              <w:jc w:val="right"/>
            </w:pPr>
            <w:r w:rsidRPr="00AB755C">
              <w:rPr>
                <w:sz w:val="40"/>
              </w:rPr>
              <w:t>ECE</w:t>
            </w:r>
            <w:r>
              <w:t>/TRANS/WP.15/258</w:t>
            </w:r>
          </w:p>
        </w:tc>
      </w:tr>
      <w:tr w:rsidR="002D5AAC" w:rsidRPr="003D3539" w14:paraId="7BCA0265" w14:textId="77777777" w:rsidTr="00387CD4">
        <w:trPr>
          <w:trHeight w:hRule="exact" w:val="2835"/>
        </w:trPr>
        <w:tc>
          <w:tcPr>
            <w:tcW w:w="1280" w:type="dxa"/>
            <w:gridSpan w:val="2"/>
            <w:tcBorders>
              <w:top w:val="single" w:sz="4" w:space="0" w:color="auto"/>
              <w:bottom w:val="single" w:sz="12" w:space="0" w:color="auto"/>
            </w:tcBorders>
          </w:tcPr>
          <w:p w14:paraId="6D2F3D99" w14:textId="77777777" w:rsidR="002D5AAC" w:rsidRDefault="002E5067" w:rsidP="00387CD4">
            <w:pPr>
              <w:spacing w:before="120"/>
              <w:jc w:val="center"/>
            </w:pPr>
            <w:r>
              <w:rPr>
                <w:noProof/>
                <w:lang w:val="fr-CH" w:eastAsia="fr-CH"/>
              </w:rPr>
              <w:drawing>
                <wp:inline distT="0" distB="0" distL="0" distR="0" wp14:anchorId="3D2920BC" wp14:editId="6DD9A7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85B0B3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78BD591" w14:textId="77777777" w:rsidR="002D5AAC" w:rsidRDefault="00AB755C" w:rsidP="00387CD4">
            <w:pPr>
              <w:spacing w:before="240"/>
              <w:rPr>
                <w:lang w:val="en-US"/>
              </w:rPr>
            </w:pPr>
            <w:r>
              <w:rPr>
                <w:lang w:val="en-US"/>
              </w:rPr>
              <w:t>Distr.: General</w:t>
            </w:r>
          </w:p>
          <w:p w14:paraId="5D17617A" w14:textId="77777777" w:rsidR="00AB755C" w:rsidRDefault="00AB755C" w:rsidP="00AB755C">
            <w:pPr>
              <w:spacing w:line="240" w:lineRule="exact"/>
              <w:rPr>
                <w:lang w:val="en-US"/>
              </w:rPr>
            </w:pPr>
            <w:r>
              <w:rPr>
                <w:lang w:val="en-US"/>
              </w:rPr>
              <w:t>27 May 2022</w:t>
            </w:r>
          </w:p>
          <w:p w14:paraId="3DD471C2" w14:textId="77777777" w:rsidR="00AB755C" w:rsidRDefault="00AB755C" w:rsidP="00AB755C">
            <w:pPr>
              <w:spacing w:line="240" w:lineRule="exact"/>
              <w:rPr>
                <w:lang w:val="en-US"/>
              </w:rPr>
            </w:pPr>
            <w:r>
              <w:rPr>
                <w:lang w:val="en-US"/>
              </w:rPr>
              <w:t>Russian</w:t>
            </w:r>
          </w:p>
          <w:p w14:paraId="67CB42AE" w14:textId="64F445D4" w:rsidR="00AB755C" w:rsidRPr="008D53B6" w:rsidRDefault="00AB755C" w:rsidP="00AB755C">
            <w:pPr>
              <w:spacing w:line="240" w:lineRule="exact"/>
              <w:rPr>
                <w:lang w:val="en-US"/>
              </w:rPr>
            </w:pPr>
            <w:r>
              <w:rPr>
                <w:lang w:val="en-US"/>
              </w:rPr>
              <w:t>Original: French</w:t>
            </w:r>
          </w:p>
        </w:tc>
      </w:tr>
    </w:tbl>
    <w:p w14:paraId="0FCAE03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7A4F541" w14:textId="77777777" w:rsidR="00AB755C" w:rsidRPr="009A3B72" w:rsidRDefault="00AB755C" w:rsidP="00AB755C">
      <w:pPr>
        <w:spacing w:before="120"/>
        <w:rPr>
          <w:sz w:val="28"/>
          <w:szCs w:val="28"/>
        </w:rPr>
      </w:pPr>
      <w:r w:rsidRPr="009A3B72">
        <w:rPr>
          <w:sz w:val="28"/>
          <w:szCs w:val="28"/>
        </w:rPr>
        <w:t>Комитет по внутреннему транспорту</w:t>
      </w:r>
    </w:p>
    <w:p w14:paraId="2E616BA6" w14:textId="77777777" w:rsidR="00AB755C" w:rsidRPr="009A3B72" w:rsidRDefault="00AB755C" w:rsidP="00AB755C">
      <w:pPr>
        <w:spacing w:before="120"/>
        <w:rPr>
          <w:b/>
          <w:sz w:val="24"/>
          <w:szCs w:val="24"/>
        </w:rPr>
      </w:pPr>
      <w:r w:rsidRPr="009A3B72">
        <w:rPr>
          <w:b/>
          <w:bCs/>
          <w:sz w:val="24"/>
          <w:szCs w:val="24"/>
        </w:rPr>
        <w:t>Рабочая группа по перевозкам опасных грузов</w:t>
      </w:r>
    </w:p>
    <w:p w14:paraId="6A6B7926" w14:textId="77777777" w:rsidR="00AB755C" w:rsidRPr="00240C3C" w:rsidRDefault="00AB755C" w:rsidP="00AB755C">
      <w:pPr>
        <w:spacing w:before="120"/>
        <w:rPr>
          <w:b/>
        </w:rPr>
      </w:pPr>
      <w:r>
        <w:rPr>
          <w:b/>
          <w:bCs/>
        </w:rPr>
        <w:t>Сто одиннадцатая сессия</w:t>
      </w:r>
    </w:p>
    <w:p w14:paraId="38138956" w14:textId="77777777" w:rsidR="00AB755C" w:rsidRPr="00240C3C" w:rsidRDefault="00AB755C" w:rsidP="00AB755C">
      <w:r>
        <w:t>Женева, 9–13 мая 2022 года</w:t>
      </w:r>
    </w:p>
    <w:p w14:paraId="60887C9C" w14:textId="77777777" w:rsidR="00AB755C" w:rsidRPr="00240C3C" w:rsidRDefault="00AB755C" w:rsidP="00AB755C">
      <w:pPr>
        <w:pStyle w:val="HChG"/>
      </w:pPr>
      <w:r>
        <w:tab/>
      </w:r>
      <w:r>
        <w:tab/>
      </w:r>
      <w:r>
        <w:rPr>
          <w:bCs/>
        </w:rPr>
        <w:t>Доклад Рабочей группы о работе ее сто одиннадцатой сессии,</w:t>
      </w:r>
      <w:bookmarkStart w:id="0" w:name="_Toc499903628"/>
      <w:bookmarkEnd w:id="0"/>
    </w:p>
    <w:p w14:paraId="6F215ABD" w14:textId="672AAC6A" w:rsidR="00AB755C" w:rsidRDefault="00AB755C" w:rsidP="001C55E6">
      <w:pPr>
        <w:pStyle w:val="SingleTxtG"/>
      </w:pPr>
      <w:r>
        <w:t>состоявшейся в Женеве 9–13 мая 2022 года</w:t>
      </w:r>
    </w:p>
    <w:p w14:paraId="1978B3F2" w14:textId="77777777" w:rsidR="00DD235A" w:rsidRDefault="00DD235A" w:rsidP="00F1583A">
      <w:pPr>
        <w:spacing w:after="120"/>
        <w:rPr>
          <w:sz w:val="28"/>
        </w:rPr>
      </w:pPr>
      <w:r>
        <w:rPr>
          <w:sz w:val="28"/>
        </w:rPr>
        <w:t>Содержание</w:t>
      </w:r>
    </w:p>
    <w:p w14:paraId="469BFA6B" w14:textId="77777777" w:rsidR="00DD235A" w:rsidRDefault="00DD235A" w:rsidP="00F1583A">
      <w:pPr>
        <w:tabs>
          <w:tab w:val="right" w:pos="8929"/>
          <w:tab w:val="right" w:pos="9638"/>
        </w:tabs>
        <w:spacing w:after="120"/>
        <w:ind w:left="283"/>
        <w:rPr>
          <w:sz w:val="18"/>
        </w:rPr>
      </w:pPr>
      <w:r>
        <w:rPr>
          <w:i/>
          <w:sz w:val="18"/>
        </w:rPr>
        <w:tab/>
        <w:t>Пункты</w:t>
      </w:r>
      <w:r>
        <w:rPr>
          <w:i/>
          <w:sz w:val="18"/>
        </w:rPr>
        <w:tab/>
        <w:t>Стр.</w:t>
      </w:r>
    </w:p>
    <w:p w14:paraId="68E2BADA" w14:textId="6A1537B5" w:rsidR="00DD235A" w:rsidRPr="00EB5E3A" w:rsidRDefault="00DD235A" w:rsidP="00F1583A">
      <w:pPr>
        <w:tabs>
          <w:tab w:val="right" w:pos="850"/>
          <w:tab w:val="left" w:pos="1134"/>
          <w:tab w:val="left" w:pos="1559"/>
          <w:tab w:val="left" w:pos="1984"/>
          <w:tab w:val="left" w:leader="dot" w:pos="7654"/>
          <w:tab w:val="right" w:pos="8929"/>
          <w:tab w:val="right" w:pos="9638"/>
        </w:tabs>
        <w:spacing w:after="120"/>
      </w:pPr>
      <w:r>
        <w:tab/>
      </w:r>
      <w:r w:rsidRPr="001C55E6">
        <w:t>I</w:t>
      </w:r>
      <w:r w:rsidRPr="00EB5E3A">
        <w:t>.</w:t>
      </w:r>
      <w:r w:rsidRPr="00EB5E3A">
        <w:tab/>
        <w:t>Организационные вопросы и участники</w:t>
      </w:r>
      <w:r w:rsidRPr="00EB5E3A">
        <w:tab/>
      </w:r>
      <w:r w:rsidRPr="00EB5E3A">
        <w:tab/>
      </w:r>
      <w:r w:rsidR="00EB5E3A">
        <w:t>1–7</w:t>
      </w:r>
      <w:r w:rsidRPr="00EB5E3A">
        <w:tab/>
      </w:r>
      <w:r w:rsidR="00032B27">
        <w:t>4</w:t>
      </w:r>
    </w:p>
    <w:p w14:paraId="06886F84" w14:textId="4B071AF5"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tab/>
      </w:r>
      <w:r>
        <w:tab/>
      </w:r>
      <w:r w:rsidRPr="001C55E6">
        <w:t>A.</w:t>
      </w:r>
      <w:r w:rsidRPr="001C55E6">
        <w:tab/>
      </w:r>
      <w:r w:rsidR="001C55E6">
        <w:t>Организационные вопросы</w:t>
      </w:r>
      <w:r w:rsidRPr="001C55E6">
        <w:tab/>
      </w:r>
      <w:r w:rsidRPr="001C55E6">
        <w:tab/>
        <w:t>2</w:t>
      </w:r>
      <w:r w:rsidRPr="001C55E6">
        <w:tab/>
      </w:r>
      <w:r w:rsidR="00032B27">
        <w:t>4</w:t>
      </w:r>
    </w:p>
    <w:p w14:paraId="3B2AD553" w14:textId="6AA1FAAC"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B.</w:t>
      </w:r>
      <w:r w:rsidRPr="001C55E6">
        <w:tab/>
      </w:r>
      <w:r w:rsidR="001C55E6">
        <w:t>Участники</w:t>
      </w:r>
      <w:r w:rsidRPr="001C55E6">
        <w:tab/>
      </w:r>
      <w:r w:rsidRPr="001C55E6">
        <w:tab/>
        <w:t>3–7</w:t>
      </w:r>
      <w:r w:rsidRPr="001C55E6">
        <w:tab/>
      </w:r>
      <w:r w:rsidR="00032B27">
        <w:t>4</w:t>
      </w:r>
    </w:p>
    <w:p w14:paraId="754697BB" w14:textId="631A983C"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II.</w:t>
      </w:r>
      <w:r w:rsidRPr="001C55E6">
        <w:tab/>
      </w:r>
      <w:r w:rsidR="001C55E6">
        <w:t>Утверждение повестки дня (пункт 1 повестки дня)</w:t>
      </w:r>
      <w:r w:rsidRPr="001C55E6">
        <w:tab/>
      </w:r>
      <w:r w:rsidRPr="001C55E6">
        <w:tab/>
        <w:t>8</w:t>
      </w:r>
      <w:r w:rsidRPr="001C55E6">
        <w:tab/>
      </w:r>
      <w:r w:rsidR="00032B27">
        <w:t>4</w:t>
      </w:r>
    </w:p>
    <w:p w14:paraId="3037E52F" w14:textId="0E4F2A63"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III.</w:t>
      </w:r>
      <w:r w:rsidRPr="001C55E6">
        <w:tab/>
      </w:r>
      <w:r w:rsidR="001C55E6" w:rsidRPr="001C55E6">
        <w:t xml:space="preserve">Восемьдесят четвертая сессия Комитета по внутреннему </w:t>
      </w:r>
      <w:r w:rsidR="001C55E6">
        <w:br/>
      </w:r>
      <w:r w:rsidR="001C55E6">
        <w:tab/>
      </w:r>
      <w:r w:rsidR="001C55E6">
        <w:tab/>
      </w:r>
      <w:r w:rsidR="001C55E6" w:rsidRPr="001C55E6">
        <w:t>транспорту (КВТ) (пункт 2 повестки дня)</w:t>
      </w:r>
      <w:r w:rsidRPr="001C55E6">
        <w:tab/>
      </w:r>
      <w:r w:rsidRPr="001C55E6">
        <w:tab/>
        <w:t>9–13</w:t>
      </w:r>
      <w:r w:rsidRPr="001C55E6">
        <w:tab/>
      </w:r>
      <w:r w:rsidR="00032B27">
        <w:t>4</w:t>
      </w:r>
    </w:p>
    <w:p w14:paraId="6B60067A" w14:textId="0E19E3B9"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IV.</w:t>
      </w:r>
      <w:r w:rsidRPr="001C55E6">
        <w:tab/>
      </w:r>
      <w:r w:rsidR="001C55E6" w:rsidRPr="001C55E6">
        <w:t>Состояние Соглашения о международной дорожной перевозке опасных</w:t>
      </w:r>
      <w:r w:rsidR="001C55E6">
        <w:br/>
      </w:r>
      <w:r w:rsidR="001C55E6">
        <w:tab/>
      </w:r>
      <w:r w:rsidR="001C55E6">
        <w:tab/>
      </w:r>
      <w:r w:rsidR="001C55E6" w:rsidRPr="001C55E6">
        <w:t>грузов (ДОПОГ) и связанные с этим вопросы (пункт 3 повестки дня)</w:t>
      </w:r>
      <w:r w:rsidRPr="001C55E6">
        <w:tab/>
      </w:r>
      <w:r w:rsidRPr="001C55E6">
        <w:tab/>
        <w:t>14–15</w:t>
      </w:r>
      <w:r w:rsidRPr="001C55E6">
        <w:tab/>
      </w:r>
      <w:r w:rsidR="00032B27">
        <w:t>5</w:t>
      </w:r>
    </w:p>
    <w:p w14:paraId="5DE55E52" w14:textId="1241D5D3"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A.</w:t>
      </w:r>
      <w:r w:rsidRPr="001C55E6">
        <w:tab/>
      </w:r>
      <w:r w:rsidR="001C55E6">
        <w:t>Состояние Соглашения</w:t>
      </w:r>
      <w:r w:rsidRPr="001C55E6">
        <w:tab/>
      </w:r>
      <w:r w:rsidRPr="001C55E6">
        <w:tab/>
        <w:t>14</w:t>
      </w:r>
      <w:r w:rsidRPr="001C55E6">
        <w:tab/>
      </w:r>
      <w:r w:rsidR="00032B27">
        <w:t>5</w:t>
      </w:r>
    </w:p>
    <w:p w14:paraId="43604E20" w14:textId="02B4BA2D"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B.</w:t>
      </w:r>
      <w:r w:rsidRPr="001C55E6">
        <w:tab/>
      </w:r>
      <w:r w:rsidR="001C55E6">
        <w:t>Протокол о внесении поправок 1993 года</w:t>
      </w:r>
      <w:r w:rsidRPr="001C55E6">
        <w:tab/>
      </w:r>
      <w:r w:rsidRPr="001C55E6">
        <w:tab/>
        <w:t>15</w:t>
      </w:r>
      <w:r w:rsidRPr="001C55E6">
        <w:tab/>
      </w:r>
      <w:r w:rsidR="00032B27">
        <w:t>6</w:t>
      </w:r>
    </w:p>
    <w:p w14:paraId="60A1EF66" w14:textId="6A56FE80"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V.</w:t>
      </w:r>
      <w:r w:rsidRPr="001C55E6">
        <w:tab/>
      </w:r>
      <w:r w:rsidR="001C55E6" w:rsidRPr="001C55E6">
        <w:t xml:space="preserve">Работа Совместного совещания МПОГ/ДОПОГ/ВОПОГ </w:t>
      </w:r>
      <w:r w:rsidR="001C55E6">
        <w:br/>
      </w:r>
      <w:r w:rsidR="001C55E6">
        <w:tab/>
      </w:r>
      <w:r w:rsidR="001C55E6">
        <w:tab/>
      </w:r>
      <w:r w:rsidR="001C55E6" w:rsidRPr="001C55E6">
        <w:t>(пункт 4 повестки дня)</w:t>
      </w:r>
      <w:r w:rsidRPr="001C55E6">
        <w:tab/>
      </w:r>
      <w:r w:rsidRPr="001C55E6">
        <w:tab/>
        <w:t>16–24</w:t>
      </w:r>
      <w:r w:rsidRPr="001C55E6">
        <w:tab/>
      </w:r>
      <w:r w:rsidR="00032B27">
        <w:t>6</w:t>
      </w:r>
    </w:p>
    <w:p w14:paraId="3F6A0AB9" w14:textId="266E7083"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A.</w:t>
      </w:r>
      <w:r w:rsidRPr="001C55E6">
        <w:tab/>
      </w:r>
      <w:r w:rsidR="001C55E6" w:rsidRPr="001C55E6">
        <w:t>Предлагаемые поправки к ДОПОГ для вступления в силу 1 января</w:t>
      </w:r>
      <w:r w:rsidR="001C55E6">
        <w:br/>
      </w:r>
      <w:r w:rsidR="001C55E6">
        <w:tab/>
      </w:r>
      <w:r w:rsidR="001C55E6">
        <w:tab/>
      </w:r>
      <w:r w:rsidR="001C55E6">
        <w:tab/>
      </w:r>
      <w:r w:rsidR="001C55E6" w:rsidRPr="001C55E6">
        <w:t xml:space="preserve">2023 года, принятые Совместным совещанием на его сессии </w:t>
      </w:r>
      <w:r w:rsidR="001C55E6">
        <w:br/>
      </w:r>
      <w:r w:rsidR="001C55E6">
        <w:tab/>
      </w:r>
      <w:r w:rsidR="001C55E6">
        <w:tab/>
      </w:r>
      <w:r w:rsidR="001C55E6">
        <w:tab/>
      </w:r>
      <w:r w:rsidR="001C55E6" w:rsidRPr="001C55E6">
        <w:t>в марте 2022 года</w:t>
      </w:r>
      <w:r w:rsidRPr="001C55E6">
        <w:tab/>
      </w:r>
      <w:r w:rsidRPr="001C55E6">
        <w:tab/>
        <w:t>16–18</w:t>
      </w:r>
      <w:r w:rsidRPr="001C55E6">
        <w:tab/>
      </w:r>
      <w:r w:rsidR="00032B27">
        <w:t>6</w:t>
      </w:r>
    </w:p>
    <w:p w14:paraId="622A3FE9" w14:textId="75DF0D4E"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B.</w:t>
      </w:r>
      <w:r w:rsidRPr="001C55E6">
        <w:tab/>
      </w:r>
      <w:r w:rsidR="001C55E6" w:rsidRPr="001C55E6">
        <w:t xml:space="preserve">Примечание после пункта 6.8.3.2.9.1, содержащееся в проектах </w:t>
      </w:r>
      <w:r w:rsidR="001C55E6">
        <w:br/>
      </w:r>
      <w:r w:rsidR="001C55E6">
        <w:tab/>
      </w:r>
      <w:r w:rsidR="001C55E6">
        <w:tab/>
      </w:r>
      <w:r w:rsidR="001C55E6">
        <w:tab/>
      </w:r>
      <w:r w:rsidR="001C55E6" w:rsidRPr="001C55E6">
        <w:t>поправок к приложениям А и В к ДОПОГ</w:t>
      </w:r>
      <w:r w:rsidRPr="001C55E6">
        <w:tab/>
      </w:r>
      <w:r w:rsidR="001C55E6">
        <w:tab/>
      </w:r>
      <w:r w:rsidRPr="001C55E6">
        <w:t>19</w:t>
      </w:r>
      <w:r w:rsidRPr="001C55E6">
        <w:tab/>
      </w:r>
      <w:r w:rsidR="00032B27">
        <w:t>6</w:t>
      </w:r>
    </w:p>
    <w:p w14:paraId="09E2AC48" w14:textId="090E60A0"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C.</w:t>
      </w:r>
      <w:r w:rsidRPr="001C55E6">
        <w:tab/>
      </w:r>
      <w:r w:rsidR="001C55E6" w:rsidRPr="001C55E6">
        <w:t xml:space="preserve">Проекты поправок к приложениям А и В к ДОПОГ для вступления </w:t>
      </w:r>
      <w:r w:rsidR="001C55E6">
        <w:br/>
      </w:r>
      <w:r w:rsidR="001C55E6">
        <w:tab/>
      </w:r>
      <w:r w:rsidR="001C55E6">
        <w:tab/>
      </w:r>
      <w:r w:rsidR="001C55E6">
        <w:tab/>
      </w:r>
      <w:r w:rsidR="001C55E6" w:rsidRPr="001C55E6">
        <w:t xml:space="preserve">в силу 1 января 2023 года, подлежащие подтверждению </w:t>
      </w:r>
      <w:r w:rsidR="001C55E6">
        <w:br/>
      </w:r>
      <w:r w:rsidR="001C55E6">
        <w:tab/>
      </w:r>
      <w:r w:rsidR="001C55E6">
        <w:tab/>
      </w:r>
      <w:r w:rsidR="001C55E6">
        <w:tab/>
      </w:r>
      <w:r w:rsidR="001C55E6" w:rsidRPr="001C55E6">
        <w:t>на сто одиннадцатой сессии</w:t>
      </w:r>
      <w:r w:rsidRPr="001C55E6">
        <w:tab/>
      </w:r>
      <w:r w:rsidRPr="001C55E6">
        <w:tab/>
        <w:t>20–22</w:t>
      </w:r>
      <w:r w:rsidRPr="001C55E6">
        <w:tab/>
      </w:r>
      <w:r w:rsidR="00032B27">
        <w:t>7</w:t>
      </w:r>
    </w:p>
    <w:p w14:paraId="57F80971" w14:textId="079D9433"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D.</w:t>
      </w:r>
      <w:r w:rsidRPr="001C55E6">
        <w:tab/>
      </w:r>
      <w:r w:rsidR="001C55E6">
        <w:t xml:space="preserve">Исправления к проектам поправок к ДОПОГ для вступления в </w:t>
      </w:r>
      <w:r w:rsidR="001C55E6" w:rsidRPr="001C55E6">
        <w:t>силу</w:t>
      </w:r>
      <w:r w:rsidR="001C55E6">
        <w:br/>
      </w:r>
      <w:r w:rsidR="001C55E6">
        <w:tab/>
      </w:r>
      <w:r w:rsidR="001C55E6">
        <w:tab/>
      </w:r>
      <w:r w:rsidR="001C55E6">
        <w:tab/>
      </w:r>
      <w:r w:rsidR="001C55E6" w:rsidRPr="001C55E6">
        <w:t>1 января 2023 года (ECE/TRANS/WP.15/256)</w:t>
      </w:r>
      <w:r w:rsidRPr="001C55E6">
        <w:tab/>
      </w:r>
      <w:r w:rsidRPr="001C55E6">
        <w:tab/>
        <w:t>23</w:t>
      </w:r>
      <w:r w:rsidRPr="001C55E6">
        <w:tab/>
      </w:r>
      <w:r w:rsidR="00032B27">
        <w:t>7</w:t>
      </w:r>
    </w:p>
    <w:p w14:paraId="618F123C" w14:textId="434B133D"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lastRenderedPageBreak/>
        <w:tab/>
      </w:r>
      <w:r w:rsidRPr="001C55E6">
        <w:tab/>
        <w:t>E.</w:t>
      </w:r>
      <w:r w:rsidRPr="001C55E6">
        <w:tab/>
      </w:r>
      <w:r w:rsidR="001C55E6">
        <w:t xml:space="preserve">Предлагаемые поправки к ДОПОГ для вступления в силу 1 </w:t>
      </w:r>
      <w:r w:rsidR="001C55E6" w:rsidRPr="00DC2066">
        <w:t xml:space="preserve">января </w:t>
      </w:r>
      <w:r w:rsidR="00DC2066">
        <w:br/>
      </w:r>
      <w:r w:rsidR="00DC2066">
        <w:tab/>
      </w:r>
      <w:r w:rsidR="00DC2066">
        <w:tab/>
      </w:r>
      <w:r w:rsidR="00DC2066">
        <w:tab/>
      </w:r>
      <w:r w:rsidR="001C55E6" w:rsidRPr="00DC2066">
        <w:t xml:space="preserve">2025 года, принятые Совместным совещанием на его сессии </w:t>
      </w:r>
      <w:r w:rsidR="00DC2066">
        <w:br/>
      </w:r>
      <w:r w:rsidR="00DC2066">
        <w:tab/>
      </w:r>
      <w:r w:rsidR="00DC2066">
        <w:tab/>
      </w:r>
      <w:r w:rsidR="00DC2066">
        <w:tab/>
      </w:r>
      <w:r w:rsidR="001C55E6" w:rsidRPr="00DC2066">
        <w:t>в марте 2022 года</w:t>
      </w:r>
      <w:r w:rsidRPr="001C55E6">
        <w:tab/>
      </w:r>
      <w:r w:rsidR="00C62D32">
        <w:tab/>
      </w:r>
      <w:r w:rsidRPr="001C55E6">
        <w:t>24</w:t>
      </w:r>
      <w:r w:rsidRPr="001C55E6">
        <w:tab/>
      </w:r>
      <w:r w:rsidR="00032B27">
        <w:t>7</w:t>
      </w:r>
    </w:p>
    <w:p w14:paraId="48BB6E00" w14:textId="322DD32B"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VI.</w:t>
      </w:r>
      <w:r w:rsidRPr="001C55E6">
        <w:tab/>
      </w:r>
      <w:r w:rsidR="00DC2066" w:rsidRPr="00DC2066">
        <w:t xml:space="preserve">Предложения о внесении поправок в приложения A и B к ДОПОГ </w:t>
      </w:r>
      <w:r w:rsidR="00DC2066">
        <w:br/>
      </w:r>
      <w:r w:rsidR="00DC2066">
        <w:tab/>
      </w:r>
      <w:r w:rsidR="00DC2066">
        <w:tab/>
      </w:r>
      <w:r w:rsidR="00DC2066" w:rsidRPr="00DC2066">
        <w:t>(пункт 5 повестки дня)</w:t>
      </w:r>
      <w:r w:rsidRPr="001C55E6">
        <w:tab/>
      </w:r>
      <w:r w:rsidR="00C62D32">
        <w:tab/>
      </w:r>
      <w:r w:rsidRPr="001C55E6">
        <w:t>25–44</w:t>
      </w:r>
      <w:r w:rsidRPr="001C55E6">
        <w:tab/>
      </w:r>
      <w:r w:rsidR="00032B27">
        <w:t>8</w:t>
      </w:r>
    </w:p>
    <w:p w14:paraId="5977C68C" w14:textId="230AE174"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A.</w:t>
      </w:r>
      <w:r w:rsidRPr="001C55E6">
        <w:tab/>
      </w:r>
      <w:r w:rsidR="00C62D32">
        <w:t>Конструкция и допущение к перевозке транспортных средств</w:t>
      </w:r>
      <w:r w:rsidRPr="001C55E6">
        <w:tab/>
      </w:r>
      <w:r w:rsidRPr="001C55E6">
        <w:tab/>
        <w:t>25–34</w:t>
      </w:r>
      <w:r w:rsidRPr="001C55E6">
        <w:tab/>
      </w:r>
      <w:r w:rsidR="00032B27">
        <w:t>8</w:t>
      </w:r>
    </w:p>
    <w:p w14:paraId="6308CCD0" w14:textId="7377E7E5"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1.</w:t>
      </w:r>
      <w:r w:rsidRPr="001C55E6">
        <w:tab/>
      </w:r>
      <w:r w:rsidR="00C62D32">
        <w:t>Презентация электромобиля</w:t>
      </w:r>
      <w:r w:rsidRPr="001C55E6">
        <w:tab/>
      </w:r>
      <w:r w:rsidRPr="001C55E6">
        <w:tab/>
        <w:t>25</w:t>
      </w:r>
      <w:r w:rsidRPr="001C55E6">
        <w:tab/>
      </w:r>
      <w:r w:rsidR="00032B27">
        <w:t>8</w:t>
      </w:r>
    </w:p>
    <w:p w14:paraId="63A62D3D" w14:textId="5A082457"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2.</w:t>
      </w:r>
      <w:r w:rsidRPr="001C55E6">
        <w:tab/>
      </w:r>
      <w:r w:rsidR="00C62D32">
        <w:t>Работа неофициальной рабочей группы по электромобилям</w:t>
      </w:r>
      <w:r w:rsidRPr="001C55E6">
        <w:tab/>
      </w:r>
      <w:r w:rsidRPr="001C55E6">
        <w:tab/>
        <w:t>26–33</w:t>
      </w:r>
      <w:r w:rsidRPr="001C55E6">
        <w:tab/>
      </w:r>
      <w:r w:rsidR="00032B27">
        <w:t>8</w:t>
      </w:r>
    </w:p>
    <w:p w14:paraId="792269A7" w14:textId="05670A08"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3.</w:t>
      </w:r>
      <w:r w:rsidRPr="001C55E6">
        <w:tab/>
      </w:r>
      <w:r w:rsidR="00C62D32">
        <w:t>Стандарты на автомобильные электрические кабели</w:t>
      </w:r>
      <w:r w:rsidRPr="001C55E6">
        <w:tab/>
      </w:r>
      <w:r w:rsidRPr="001C55E6">
        <w:tab/>
        <w:t>34</w:t>
      </w:r>
      <w:r w:rsidRPr="001C55E6">
        <w:tab/>
      </w:r>
      <w:r w:rsidR="00032B27">
        <w:t>9</w:t>
      </w:r>
    </w:p>
    <w:p w14:paraId="383C2C78" w14:textId="5CF88203"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B.</w:t>
      </w:r>
      <w:r w:rsidRPr="001C55E6">
        <w:tab/>
      </w:r>
      <w:r w:rsidR="00C62D32">
        <w:t>Различные предложения</w:t>
      </w:r>
      <w:r w:rsidRPr="001C55E6">
        <w:tab/>
      </w:r>
      <w:r w:rsidRPr="001C55E6">
        <w:tab/>
        <w:t>35</w:t>
      </w:r>
      <w:r>
        <w:t>–</w:t>
      </w:r>
      <w:r w:rsidRPr="001C55E6">
        <w:t>44</w:t>
      </w:r>
      <w:r w:rsidRPr="001C55E6">
        <w:tab/>
      </w:r>
      <w:r w:rsidR="00032B27">
        <w:t>9</w:t>
      </w:r>
    </w:p>
    <w:p w14:paraId="7782DAB9" w14:textId="44A09444"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r>
      <w:r w:rsidR="00C62D32">
        <w:t>1.</w:t>
      </w:r>
      <w:r w:rsidRPr="001C55E6">
        <w:tab/>
      </w:r>
      <w:r w:rsidR="00C62D32">
        <w:t xml:space="preserve">Исправления к двадцать второму пересмотренному изданию </w:t>
      </w:r>
      <w:r w:rsidR="00C62D32">
        <w:br/>
      </w:r>
      <w:r w:rsidR="00C62D32">
        <w:tab/>
      </w:r>
      <w:r w:rsidR="00C62D32">
        <w:tab/>
      </w:r>
      <w:r w:rsidR="00C62D32">
        <w:tab/>
      </w:r>
      <w:r w:rsidR="00C62D32">
        <w:tab/>
        <w:t>Типовых правил</w:t>
      </w:r>
      <w:r w:rsidRPr="001C55E6">
        <w:tab/>
      </w:r>
      <w:r w:rsidR="00C62D32">
        <w:tab/>
      </w:r>
      <w:r w:rsidRPr="001C55E6">
        <w:t>35</w:t>
      </w:r>
      <w:r w:rsidRPr="001C55E6">
        <w:tab/>
      </w:r>
      <w:r w:rsidR="00032B27">
        <w:t>9</w:t>
      </w:r>
    </w:p>
    <w:p w14:paraId="720DD0F5" w14:textId="5F64D31C"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2.</w:t>
      </w:r>
      <w:r w:rsidRPr="001C55E6">
        <w:tab/>
      </w:r>
      <w:r w:rsidR="00C62D32" w:rsidRPr="00C62D32">
        <w:t xml:space="preserve">Ссылка на раздел 5.4.2 Международного кодекса морской </w:t>
      </w:r>
      <w:r w:rsidR="00C62D32">
        <w:br/>
      </w:r>
      <w:r w:rsidR="00C62D32">
        <w:tab/>
      </w:r>
      <w:r w:rsidR="00C62D32">
        <w:tab/>
      </w:r>
      <w:r w:rsidR="00C62D32">
        <w:tab/>
      </w:r>
      <w:r w:rsidR="00C62D32">
        <w:tab/>
      </w:r>
      <w:r w:rsidR="00C62D32" w:rsidRPr="00C62D32">
        <w:t>перевозки опасных грузов (МКМПОГ)</w:t>
      </w:r>
      <w:r w:rsidRPr="001C55E6">
        <w:tab/>
      </w:r>
      <w:r w:rsidRPr="001C55E6">
        <w:tab/>
        <w:t>36</w:t>
      </w:r>
      <w:r w:rsidRPr="001C55E6">
        <w:tab/>
      </w:r>
      <w:r w:rsidR="00032B27">
        <w:t>9</w:t>
      </w:r>
    </w:p>
    <w:p w14:paraId="17163A9F" w14:textId="3A03D448"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3.</w:t>
      </w:r>
      <w:r w:rsidRPr="001C55E6">
        <w:tab/>
      </w:r>
      <w:r w:rsidR="00C62D32" w:rsidRPr="00C62D32">
        <w:t xml:space="preserve">Главы 8.4 и 8.5: требования, касающиеся наблюдения </w:t>
      </w:r>
      <w:r w:rsidR="00C62D32">
        <w:br/>
      </w:r>
      <w:r w:rsidR="00C62D32">
        <w:tab/>
      </w:r>
      <w:r w:rsidR="00C62D32">
        <w:tab/>
      </w:r>
      <w:r w:rsidR="00C62D32">
        <w:tab/>
      </w:r>
      <w:r w:rsidR="00C62D32">
        <w:tab/>
      </w:r>
      <w:r w:rsidR="00C62D32" w:rsidRPr="00C62D32">
        <w:t>за транспортными средствами</w:t>
      </w:r>
      <w:r w:rsidRPr="001C55E6">
        <w:tab/>
      </w:r>
      <w:r w:rsidR="00C62D32">
        <w:tab/>
      </w:r>
      <w:r w:rsidRPr="001C55E6">
        <w:t>37–39</w:t>
      </w:r>
      <w:r w:rsidRPr="001C55E6">
        <w:tab/>
      </w:r>
      <w:r w:rsidR="00032B27">
        <w:t>9</w:t>
      </w:r>
    </w:p>
    <w:p w14:paraId="4AD3A3BA" w14:textId="3FF39257"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4.</w:t>
      </w:r>
      <w:r w:rsidRPr="001C55E6">
        <w:tab/>
      </w:r>
      <w:r w:rsidR="00C62D32" w:rsidRPr="00C62D32">
        <w:t xml:space="preserve">Включение сверхбольших контейнеров-цистерн в образец </w:t>
      </w:r>
      <w:r w:rsidR="00C62D32">
        <w:br/>
      </w:r>
      <w:r w:rsidR="00C62D32">
        <w:tab/>
      </w:r>
      <w:r w:rsidR="00C62D32">
        <w:tab/>
      </w:r>
      <w:r w:rsidR="00C62D32">
        <w:tab/>
      </w:r>
      <w:r w:rsidR="00C62D32">
        <w:tab/>
      </w:r>
      <w:r w:rsidR="00C62D32" w:rsidRPr="00C62D32">
        <w:t>отчета о происшествиях во время перевозки опасных грузов</w:t>
      </w:r>
      <w:r w:rsidRPr="001C55E6">
        <w:tab/>
      </w:r>
      <w:r w:rsidR="00C62D32">
        <w:tab/>
      </w:r>
      <w:r w:rsidRPr="001C55E6">
        <w:t>40</w:t>
      </w:r>
      <w:r w:rsidRPr="001C55E6">
        <w:tab/>
      </w:r>
      <w:r w:rsidR="00032B27">
        <w:t>9</w:t>
      </w:r>
    </w:p>
    <w:p w14:paraId="343CF8BA" w14:textId="6C2BB382"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5.</w:t>
      </w:r>
      <w:r w:rsidRPr="001C55E6">
        <w:tab/>
      </w:r>
      <w:r w:rsidR="00C62D32">
        <w:t xml:space="preserve">Требования к обеспечению безопасности при перевозке </w:t>
      </w:r>
      <w:r w:rsidR="00C62D32">
        <w:br/>
      </w:r>
      <w:r w:rsidR="00C62D32">
        <w:tab/>
      </w:r>
      <w:r w:rsidR="00C62D32">
        <w:tab/>
      </w:r>
      <w:r w:rsidR="00C62D32">
        <w:tab/>
      </w:r>
      <w:r w:rsidR="00C62D32">
        <w:tab/>
        <w:t xml:space="preserve">опасных грузов в </w:t>
      </w:r>
      <w:r w:rsidR="00C62D32" w:rsidRPr="00C62D32">
        <w:t>соответствии с подразделом 1.1.3.6</w:t>
      </w:r>
      <w:r w:rsidRPr="001C55E6">
        <w:tab/>
      </w:r>
      <w:r w:rsidRPr="001C55E6">
        <w:tab/>
        <w:t>41–44</w:t>
      </w:r>
      <w:r w:rsidRPr="001C55E6">
        <w:tab/>
      </w:r>
      <w:r w:rsidR="00344AA4">
        <w:t>10</w:t>
      </w:r>
    </w:p>
    <w:p w14:paraId="221ECF77" w14:textId="7A8277C9"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VII.</w:t>
      </w:r>
      <w:r w:rsidRPr="001C55E6">
        <w:tab/>
      </w:r>
      <w:r w:rsidR="00C62D32">
        <w:t>Толкование ДОПОГ (пункт 6 повестки дня)</w:t>
      </w:r>
      <w:r w:rsidRPr="001C55E6">
        <w:tab/>
      </w:r>
      <w:r w:rsidRPr="001C55E6">
        <w:tab/>
        <w:t>45–58</w:t>
      </w:r>
      <w:r w:rsidRPr="001C55E6">
        <w:tab/>
      </w:r>
      <w:r w:rsidR="00344AA4">
        <w:t>10</w:t>
      </w:r>
    </w:p>
    <w:p w14:paraId="1309BE2F" w14:textId="6D51433E"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A.</w:t>
      </w:r>
      <w:r w:rsidRPr="001C55E6">
        <w:tab/>
      </w:r>
      <w:r w:rsidR="00C62D32">
        <w:t>Дистанционное обучение по вопросам ДОПОГ</w:t>
      </w:r>
      <w:r w:rsidRPr="001C55E6">
        <w:tab/>
      </w:r>
      <w:r w:rsidRPr="001C55E6">
        <w:tab/>
        <w:t>45–47</w:t>
      </w:r>
      <w:r w:rsidRPr="001C55E6">
        <w:tab/>
      </w:r>
      <w:r w:rsidR="00344AA4">
        <w:t>10</w:t>
      </w:r>
    </w:p>
    <w:p w14:paraId="77D1BC28" w14:textId="03D19288"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B.</w:t>
      </w:r>
      <w:r w:rsidRPr="001C55E6">
        <w:tab/>
      </w:r>
      <w:r w:rsidR="00C62D32">
        <w:t>Требования в отношении обеспечения безопасности</w:t>
      </w:r>
      <w:r w:rsidRPr="001C55E6">
        <w:tab/>
      </w:r>
      <w:r w:rsidRPr="001C55E6">
        <w:tab/>
        <w:t>48–51</w:t>
      </w:r>
      <w:r w:rsidRPr="001C55E6">
        <w:tab/>
      </w:r>
      <w:r w:rsidR="00344AA4">
        <w:t>10</w:t>
      </w:r>
    </w:p>
    <w:p w14:paraId="442C3561" w14:textId="03D728EB"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C.</w:t>
      </w:r>
      <w:r w:rsidRPr="001C55E6">
        <w:tab/>
      </w:r>
      <w:r w:rsidR="00C62D32" w:rsidRPr="00C62D32">
        <w:t>Определение закрытых транспортных средств</w:t>
      </w:r>
      <w:r w:rsidRPr="001C55E6">
        <w:tab/>
      </w:r>
      <w:r w:rsidRPr="001C55E6">
        <w:tab/>
        <w:t>52</w:t>
      </w:r>
      <w:r w:rsidRPr="001C55E6">
        <w:tab/>
      </w:r>
      <w:r w:rsidR="00344AA4">
        <w:t>11</w:t>
      </w:r>
    </w:p>
    <w:p w14:paraId="6F08A4F9" w14:textId="03057B68"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D.</w:t>
      </w:r>
      <w:r w:rsidRPr="001C55E6">
        <w:tab/>
      </w:r>
      <w:r w:rsidR="00C62D32">
        <w:t>Масса нетто взрывчатого вещества</w:t>
      </w:r>
      <w:r w:rsidRPr="001C55E6">
        <w:tab/>
      </w:r>
      <w:r w:rsidRPr="001C55E6">
        <w:tab/>
        <w:t>53–54</w:t>
      </w:r>
      <w:r w:rsidRPr="001C55E6">
        <w:tab/>
      </w:r>
      <w:r w:rsidR="00344AA4">
        <w:t>11</w:t>
      </w:r>
    </w:p>
    <w:p w14:paraId="39ADE363" w14:textId="1B5B4AE4"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E.</w:t>
      </w:r>
      <w:r w:rsidRPr="001C55E6">
        <w:tab/>
      </w:r>
      <w:r w:rsidR="00C62D32" w:rsidRPr="00C62D32">
        <w:t xml:space="preserve">Свидетельство ДОПОГ о допущении транспортного средства </w:t>
      </w:r>
      <w:r w:rsidR="00C62D32">
        <w:br/>
      </w:r>
      <w:r w:rsidR="00C62D32">
        <w:tab/>
      </w:r>
      <w:r w:rsidR="00C62D32">
        <w:tab/>
      </w:r>
      <w:r w:rsidR="00C62D32">
        <w:tab/>
      </w:r>
      <w:r w:rsidR="00C62D32" w:rsidRPr="00C62D32">
        <w:t>к перевозке</w:t>
      </w:r>
      <w:r w:rsidRPr="001C55E6">
        <w:tab/>
      </w:r>
      <w:r w:rsidRPr="001C55E6">
        <w:tab/>
        <w:t>55–58</w:t>
      </w:r>
      <w:r w:rsidRPr="001C55E6">
        <w:tab/>
      </w:r>
      <w:r w:rsidR="00344AA4">
        <w:t>11</w:t>
      </w:r>
    </w:p>
    <w:p w14:paraId="5EF91B6A" w14:textId="089E4847"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VIII.</w:t>
      </w:r>
      <w:r w:rsidRPr="001C55E6">
        <w:tab/>
      </w:r>
      <w:r w:rsidR="00C62D32">
        <w:t>Программа работы (пункт 7 повестки дня)</w:t>
      </w:r>
      <w:r w:rsidRPr="001C55E6">
        <w:tab/>
      </w:r>
      <w:r w:rsidRPr="001C55E6">
        <w:tab/>
        <w:t>59</w:t>
      </w:r>
      <w:r w:rsidRPr="001C55E6">
        <w:tab/>
      </w:r>
      <w:r w:rsidR="00344AA4">
        <w:t>12</w:t>
      </w:r>
    </w:p>
    <w:p w14:paraId="159D922B" w14:textId="7E6B7180"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IX.</w:t>
      </w:r>
      <w:r w:rsidRPr="001C55E6">
        <w:tab/>
      </w:r>
      <w:r w:rsidR="00C62D32">
        <w:t>Прочие вопросы (пункт 8 повестки дня)</w:t>
      </w:r>
      <w:r w:rsidRPr="001C55E6">
        <w:tab/>
      </w:r>
      <w:r w:rsidRPr="001C55E6">
        <w:tab/>
        <w:t>60–71</w:t>
      </w:r>
      <w:r w:rsidRPr="001C55E6">
        <w:tab/>
      </w:r>
      <w:r w:rsidR="00344AA4">
        <w:t>12</w:t>
      </w:r>
    </w:p>
    <w:p w14:paraId="58FD3B3C" w14:textId="439A1021"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A.</w:t>
      </w:r>
      <w:r w:rsidRPr="001C55E6">
        <w:tab/>
      </w:r>
      <w:r w:rsidR="00C62D32" w:rsidRPr="00DA6514">
        <w:t>Циклическая экономика и устойчивое использование природных</w:t>
      </w:r>
      <w:r w:rsidR="00DA6514">
        <w:br/>
      </w:r>
      <w:r w:rsidR="00DA6514">
        <w:tab/>
      </w:r>
      <w:r w:rsidR="00DA6514">
        <w:tab/>
      </w:r>
      <w:r w:rsidR="00DA6514">
        <w:tab/>
      </w:r>
      <w:r w:rsidR="00C62D32" w:rsidRPr="00DA6514">
        <w:t>ресурсов</w:t>
      </w:r>
      <w:r w:rsidRPr="001C55E6">
        <w:tab/>
      </w:r>
      <w:r w:rsidRPr="001C55E6">
        <w:tab/>
        <w:t>60–61</w:t>
      </w:r>
      <w:r w:rsidRPr="001C55E6">
        <w:tab/>
      </w:r>
      <w:r w:rsidR="00344AA4">
        <w:t>12</w:t>
      </w:r>
    </w:p>
    <w:p w14:paraId="05D64ECF" w14:textId="33BF173E"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t>B.</w:t>
      </w:r>
      <w:r w:rsidRPr="001C55E6">
        <w:tab/>
      </w:r>
      <w:r w:rsidR="00DA6514">
        <w:t>Другие вопросы</w:t>
      </w:r>
      <w:r w:rsidRPr="001C55E6">
        <w:tab/>
      </w:r>
      <w:r w:rsidR="00DA6514">
        <w:tab/>
      </w:r>
      <w:r w:rsidRPr="001C55E6">
        <w:t>62</w:t>
      </w:r>
      <w:r>
        <w:t>–</w:t>
      </w:r>
      <w:r w:rsidRPr="001C55E6">
        <w:t>71</w:t>
      </w:r>
      <w:r w:rsidRPr="001C55E6">
        <w:tab/>
      </w:r>
      <w:r w:rsidR="00344AA4">
        <w:t>12</w:t>
      </w:r>
    </w:p>
    <w:p w14:paraId="0999FECB" w14:textId="3A84C1F8"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1.</w:t>
      </w:r>
      <w:r w:rsidRPr="001C55E6">
        <w:tab/>
      </w:r>
      <w:r w:rsidR="00DA6514">
        <w:t>Таблица В ДОПОГ</w:t>
      </w:r>
      <w:r w:rsidRPr="001C55E6">
        <w:tab/>
      </w:r>
      <w:r w:rsidRPr="001C55E6">
        <w:tab/>
        <w:t>62</w:t>
      </w:r>
      <w:r w:rsidRPr="001C55E6">
        <w:tab/>
      </w:r>
      <w:r w:rsidR="00344AA4">
        <w:t>12</w:t>
      </w:r>
    </w:p>
    <w:p w14:paraId="73D06FEF" w14:textId="1C20A439" w:rsidR="00EB5E3A" w:rsidRPr="001C55E6" w:rsidRDefault="00EB5E3A" w:rsidP="00DA6514">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2.</w:t>
      </w:r>
      <w:r w:rsidRPr="001C55E6">
        <w:tab/>
      </w:r>
      <w:r w:rsidR="00DA6514">
        <w:t xml:space="preserve">Поправки для издания ДОПОГ 2023 года </w:t>
      </w:r>
      <w:r w:rsidR="00DA6514">
        <w:tab/>
      </w:r>
      <w:r w:rsidR="00DA6514">
        <w:tab/>
      </w:r>
      <w:r w:rsidRPr="001C55E6">
        <w:t>63–64</w:t>
      </w:r>
      <w:r w:rsidRPr="001C55E6">
        <w:tab/>
      </w:r>
      <w:r w:rsidR="00344AA4">
        <w:t>12</w:t>
      </w:r>
    </w:p>
    <w:p w14:paraId="1E631AE3" w14:textId="246C1E79"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3.</w:t>
      </w:r>
      <w:r w:rsidRPr="001C55E6">
        <w:tab/>
      </w:r>
      <w:r w:rsidR="00DA6514" w:rsidRPr="00DA6514">
        <w:t>Свидетельства ДОПОГ о подготовке водителя</w:t>
      </w:r>
      <w:r w:rsidRPr="001C55E6">
        <w:tab/>
      </w:r>
      <w:r w:rsidRPr="001C55E6">
        <w:tab/>
        <w:t>65–66</w:t>
      </w:r>
      <w:r w:rsidRPr="001C55E6">
        <w:tab/>
      </w:r>
      <w:r w:rsidR="00344AA4">
        <w:t>13</w:t>
      </w:r>
    </w:p>
    <w:p w14:paraId="5B0B4211" w14:textId="42312757"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4.</w:t>
      </w:r>
      <w:r w:rsidRPr="001C55E6">
        <w:tab/>
      </w:r>
      <w:r w:rsidR="00DA6514">
        <w:t>Транспортное сообщество</w:t>
      </w:r>
      <w:r w:rsidRPr="001C55E6">
        <w:tab/>
      </w:r>
      <w:r w:rsidRPr="001C55E6">
        <w:tab/>
        <w:t>67</w:t>
      </w:r>
      <w:r w:rsidRPr="001C55E6">
        <w:tab/>
      </w:r>
      <w:r w:rsidR="00344AA4">
        <w:t>13</w:t>
      </w:r>
    </w:p>
    <w:p w14:paraId="59F26A94" w14:textId="742483F0"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5.</w:t>
      </w:r>
      <w:r w:rsidRPr="001C55E6">
        <w:tab/>
      </w:r>
      <w:r w:rsidR="00DA6514">
        <w:t>Выражение признательности</w:t>
      </w:r>
      <w:r w:rsidRPr="001C55E6">
        <w:tab/>
      </w:r>
      <w:r w:rsidRPr="001C55E6">
        <w:tab/>
        <w:t>68</w:t>
      </w:r>
      <w:r>
        <w:t>–</w:t>
      </w:r>
      <w:r w:rsidRPr="001C55E6">
        <w:t>70</w:t>
      </w:r>
      <w:r w:rsidRPr="001C55E6">
        <w:tab/>
      </w:r>
      <w:r w:rsidR="00344AA4">
        <w:t>13</w:t>
      </w:r>
    </w:p>
    <w:p w14:paraId="43EF98E4" w14:textId="25B81A59"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r>
      <w:r w:rsidRPr="001C55E6">
        <w:tab/>
      </w:r>
      <w:r w:rsidRPr="001C55E6">
        <w:tab/>
        <w:t>6.</w:t>
      </w:r>
      <w:r w:rsidRPr="001C55E6">
        <w:tab/>
      </w:r>
      <w:r w:rsidR="00DA6514" w:rsidRPr="00DA6514">
        <w:t xml:space="preserve">Показатели устойчивой связанности инфраструктуры </w:t>
      </w:r>
      <w:r w:rsidR="00DA6514">
        <w:br/>
      </w:r>
      <w:r w:rsidR="00DA6514">
        <w:tab/>
      </w:r>
      <w:r w:rsidR="00DA6514">
        <w:tab/>
      </w:r>
      <w:r w:rsidR="00DA6514">
        <w:tab/>
      </w:r>
      <w:r w:rsidR="00DA6514">
        <w:tab/>
      </w:r>
      <w:r w:rsidR="00DA6514" w:rsidRPr="00DA6514">
        <w:t>внутреннего транспорта (ПУСИВТ)</w:t>
      </w:r>
      <w:r w:rsidRPr="001C55E6">
        <w:tab/>
      </w:r>
      <w:r w:rsidR="00DA6514">
        <w:tab/>
      </w:r>
      <w:r w:rsidRPr="001C55E6">
        <w:t>71</w:t>
      </w:r>
      <w:r w:rsidRPr="001C55E6">
        <w:tab/>
      </w:r>
      <w:r w:rsidR="00344AA4">
        <w:t>13</w:t>
      </w:r>
    </w:p>
    <w:p w14:paraId="59C93699" w14:textId="40819CB0" w:rsidR="00EB5E3A" w:rsidRPr="001C55E6" w:rsidRDefault="00EB5E3A" w:rsidP="00EB5E3A">
      <w:pPr>
        <w:tabs>
          <w:tab w:val="right" w:pos="850"/>
          <w:tab w:val="left" w:pos="1134"/>
          <w:tab w:val="left" w:pos="1559"/>
          <w:tab w:val="left" w:pos="1984"/>
          <w:tab w:val="left" w:leader="dot" w:pos="7654"/>
          <w:tab w:val="right" w:pos="8929"/>
          <w:tab w:val="right" w:pos="9638"/>
        </w:tabs>
        <w:spacing w:after="120"/>
      </w:pPr>
      <w:r w:rsidRPr="001C55E6">
        <w:tab/>
        <w:t>X.</w:t>
      </w:r>
      <w:r w:rsidRPr="001C55E6">
        <w:tab/>
      </w:r>
      <w:r w:rsidR="00DA6514">
        <w:t>Утверждение доклада (пункт 9 повестки дня)</w:t>
      </w:r>
      <w:r w:rsidRPr="001C55E6">
        <w:tab/>
      </w:r>
      <w:r w:rsidRPr="001C55E6">
        <w:tab/>
        <w:t>72–74</w:t>
      </w:r>
      <w:r w:rsidRPr="001C55E6">
        <w:tab/>
      </w:r>
      <w:r w:rsidR="00344AA4">
        <w:t>14</w:t>
      </w:r>
    </w:p>
    <w:p w14:paraId="291D6AEA" w14:textId="1141F9A2" w:rsidR="00AB755C" w:rsidRPr="00DD235A" w:rsidRDefault="00AB755C" w:rsidP="00DA6514">
      <w:pPr>
        <w:pageBreakBefore/>
        <w:tabs>
          <w:tab w:val="right" w:pos="850"/>
          <w:tab w:val="left" w:pos="1134"/>
          <w:tab w:val="left" w:pos="1559"/>
          <w:tab w:val="left" w:pos="1984"/>
          <w:tab w:val="left" w:leader="dot" w:pos="7654"/>
          <w:tab w:val="right" w:pos="8929"/>
          <w:tab w:val="right" w:pos="9638"/>
        </w:tabs>
        <w:spacing w:after="120"/>
      </w:pPr>
      <w:r w:rsidRPr="00DD235A">
        <w:lastRenderedPageBreak/>
        <w:t>Приложения</w:t>
      </w:r>
    </w:p>
    <w:p w14:paraId="689B54F1" w14:textId="16FF06BA" w:rsidR="00AB755C" w:rsidRPr="00DD235A" w:rsidRDefault="00AB755C" w:rsidP="00DD235A">
      <w:pPr>
        <w:tabs>
          <w:tab w:val="right" w:pos="850"/>
          <w:tab w:val="left" w:pos="1134"/>
          <w:tab w:val="left" w:pos="1559"/>
          <w:tab w:val="left" w:pos="1984"/>
          <w:tab w:val="left" w:leader="dot" w:pos="9085"/>
          <w:tab w:val="right" w:pos="9638"/>
        </w:tabs>
        <w:spacing w:after="120"/>
      </w:pPr>
      <w:r w:rsidRPr="00DD235A">
        <w:tab/>
      </w:r>
      <w:r w:rsidRPr="00DA6514">
        <w:t>I</w:t>
      </w:r>
      <w:r w:rsidRPr="00DD235A">
        <w:t>.</w:t>
      </w:r>
      <w:r w:rsidRPr="00DD235A">
        <w:tab/>
        <w:t xml:space="preserve">Проекты поправок к приложениям А и В к ДОПОГ </w:t>
      </w:r>
      <w:r w:rsidR="00DA6514" w:rsidRPr="00DA6514">
        <w:t xml:space="preserve">к ДОПОГ, принятые </w:t>
      </w:r>
      <w:r w:rsidR="00DA6514">
        <w:br/>
      </w:r>
      <w:r w:rsidR="00DA6514">
        <w:tab/>
      </w:r>
      <w:r w:rsidR="00DA6514">
        <w:tab/>
      </w:r>
      <w:r w:rsidR="00DA6514" w:rsidRPr="00DA6514">
        <w:t xml:space="preserve">Рабочей группой </w:t>
      </w:r>
      <w:r w:rsidRPr="00DD235A">
        <w:t>для вступления в силу</w:t>
      </w:r>
      <w:r w:rsidR="00BF3E1A" w:rsidRPr="00BF3E1A">
        <w:t xml:space="preserve"> </w:t>
      </w:r>
      <w:r w:rsidRPr="00DD235A">
        <w:t>1 января 2023 года</w:t>
      </w:r>
      <w:r w:rsidRPr="00DD235A">
        <w:tab/>
      </w:r>
      <w:r w:rsidRPr="00DD235A">
        <w:tab/>
      </w:r>
      <w:r w:rsidR="00344AA4">
        <w:t>15</w:t>
      </w:r>
    </w:p>
    <w:p w14:paraId="2D371C26" w14:textId="50B1BCA0" w:rsidR="00AB755C" w:rsidRPr="00240C3C" w:rsidRDefault="00AB755C" w:rsidP="00436085">
      <w:pPr>
        <w:tabs>
          <w:tab w:val="right" w:pos="850"/>
          <w:tab w:val="left" w:pos="1134"/>
          <w:tab w:val="left" w:pos="1559"/>
          <w:tab w:val="left" w:pos="1984"/>
          <w:tab w:val="left" w:leader="dot" w:pos="9085"/>
          <w:tab w:val="right" w:pos="9638"/>
        </w:tabs>
        <w:spacing w:after="120"/>
      </w:pPr>
      <w:r w:rsidRPr="00DD235A">
        <w:tab/>
        <w:t>II.</w:t>
      </w:r>
      <w:r w:rsidRPr="00DD235A">
        <w:tab/>
        <w:t>Проекты поправок к приложениям А и В к ДОПОГ</w:t>
      </w:r>
      <w:r w:rsidR="00DA6514">
        <w:t>, принятые Рабочей группой</w:t>
      </w:r>
      <w:r w:rsidR="00DA6514">
        <w:br/>
      </w:r>
      <w:r w:rsidR="00DA6514">
        <w:tab/>
      </w:r>
      <w:r w:rsidR="00DA6514">
        <w:tab/>
      </w:r>
      <w:r w:rsidRPr="00DD235A">
        <w:t>для вступления в силу</w:t>
      </w:r>
      <w:r w:rsidR="00BF3E1A" w:rsidRPr="00BF3E1A">
        <w:t xml:space="preserve"> </w:t>
      </w:r>
      <w:r w:rsidRPr="00DD235A">
        <w:t>1 января 2025 года</w:t>
      </w:r>
      <w:r w:rsidRPr="00DD235A">
        <w:tab/>
      </w:r>
      <w:r w:rsidRPr="00DD235A">
        <w:tab/>
      </w:r>
      <w:r w:rsidR="00344AA4">
        <w:t>16</w:t>
      </w:r>
    </w:p>
    <w:p w14:paraId="363FB6BF" w14:textId="77777777" w:rsidR="00AB755C" w:rsidRPr="00240C3C" w:rsidRDefault="00AB755C" w:rsidP="00AB755C">
      <w:pPr>
        <w:suppressAutoHyphens w:val="0"/>
        <w:spacing w:after="200" w:line="276" w:lineRule="auto"/>
      </w:pPr>
      <w:r w:rsidRPr="00240C3C">
        <w:br w:type="page"/>
      </w:r>
    </w:p>
    <w:p w14:paraId="4552882A" w14:textId="77777777" w:rsidR="00AB755C" w:rsidRPr="00354829" w:rsidRDefault="00AB755C" w:rsidP="00AB755C">
      <w:pPr>
        <w:pStyle w:val="HChG"/>
      </w:pPr>
      <w:r>
        <w:lastRenderedPageBreak/>
        <w:tab/>
      </w:r>
      <w:r w:rsidRPr="00354829">
        <w:t>I.</w:t>
      </w:r>
      <w:r w:rsidRPr="00354829">
        <w:tab/>
        <w:t>Организационные вопросы и участники</w:t>
      </w:r>
    </w:p>
    <w:p w14:paraId="0A3E97BE" w14:textId="77777777" w:rsidR="00AB755C" w:rsidRPr="00240C3C" w:rsidRDefault="00AB755C" w:rsidP="00AB755C">
      <w:pPr>
        <w:pStyle w:val="SingleTxtG"/>
      </w:pPr>
      <w:r>
        <w:t>1.</w:t>
      </w:r>
      <w:r>
        <w:tab/>
        <w:t>Рабочая группа по перевозкам опасных грузов провела свою сто одиннадцатую сессию 9–13 мая 2022 года под руководством Председателя г-жи А. Румье (Франция) и заместителя Председателя г-на А. Симони (Италия).</w:t>
      </w:r>
    </w:p>
    <w:p w14:paraId="1E4FF764" w14:textId="77777777" w:rsidR="00AB755C" w:rsidRPr="00354829" w:rsidRDefault="00AB755C" w:rsidP="00AB755C">
      <w:pPr>
        <w:keepNext/>
        <w:keepLines/>
        <w:tabs>
          <w:tab w:val="right" w:pos="851"/>
        </w:tabs>
        <w:spacing w:before="360" w:after="240" w:line="270" w:lineRule="exact"/>
        <w:ind w:left="1134" w:right="1134" w:hanging="1134"/>
        <w:rPr>
          <w:b/>
          <w:sz w:val="24"/>
          <w:szCs w:val="24"/>
        </w:rPr>
      </w:pPr>
      <w:r>
        <w:rPr>
          <w:b/>
          <w:bCs/>
        </w:rPr>
        <w:tab/>
      </w:r>
      <w:r w:rsidRPr="00354829">
        <w:rPr>
          <w:b/>
          <w:bCs/>
          <w:sz w:val="24"/>
          <w:szCs w:val="24"/>
        </w:rPr>
        <w:t>A.</w:t>
      </w:r>
      <w:r w:rsidRPr="00354829">
        <w:rPr>
          <w:sz w:val="24"/>
          <w:szCs w:val="24"/>
        </w:rPr>
        <w:tab/>
      </w:r>
      <w:r w:rsidRPr="00354829">
        <w:rPr>
          <w:b/>
          <w:bCs/>
          <w:sz w:val="24"/>
          <w:szCs w:val="24"/>
        </w:rPr>
        <w:t>Организационные вопросы</w:t>
      </w:r>
    </w:p>
    <w:p w14:paraId="7CD286F9" w14:textId="77777777" w:rsidR="00AB755C" w:rsidRPr="00240C3C" w:rsidRDefault="00AB755C" w:rsidP="00AB755C">
      <w:pPr>
        <w:spacing w:after="120"/>
        <w:ind w:left="1134" w:right="1134"/>
        <w:jc w:val="both"/>
      </w:pPr>
      <w:r>
        <w:t>2.</w:t>
      </w:r>
      <w:r>
        <w:tab/>
        <w:t>Сессия была проведена в смешанном формате — с возможностью участвовать в ней в режиме онлайн или очно — в соответствии с форматом, указанным в неофициальном документе INF.7.</w:t>
      </w:r>
    </w:p>
    <w:p w14:paraId="339101E2" w14:textId="77777777" w:rsidR="00AB755C" w:rsidRPr="00354829" w:rsidRDefault="00AB755C" w:rsidP="00AB755C">
      <w:pPr>
        <w:keepNext/>
        <w:keepLines/>
        <w:tabs>
          <w:tab w:val="right" w:pos="851"/>
        </w:tabs>
        <w:spacing w:before="360" w:after="240" w:line="270" w:lineRule="exact"/>
        <w:ind w:left="1134" w:right="1134" w:hanging="1134"/>
        <w:rPr>
          <w:b/>
          <w:sz w:val="24"/>
          <w:szCs w:val="24"/>
        </w:rPr>
      </w:pPr>
      <w:r>
        <w:rPr>
          <w:b/>
          <w:bCs/>
        </w:rPr>
        <w:tab/>
      </w:r>
      <w:r w:rsidRPr="00354829">
        <w:rPr>
          <w:b/>
          <w:bCs/>
          <w:sz w:val="24"/>
          <w:szCs w:val="24"/>
        </w:rPr>
        <w:t>B.</w:t>
      </w:r>
      <w:r w:rsidRPr="00354829">
        <w:rPr>
          <w:sz w:val="24"/>
          <w:szCs w:val="24"/>
        </w:rPr>
        <w:tab/>
      </w:r>
      <w:r w:rsidRPr="00354829">
        <w:rPr>
          <w:b/>
          <w:bCs/>
          <w:sz w:val="24"/>
          <w:szCs w:val="24"/>
        </w:rPr>
        <w:t>Участники</w:t>
      </w:r>
    </w:p>
    <w:p w14:paraId="5D0205A7" w14:textId="77777777" w:rsidR="00AB755C" w:rsidRPr="00240C3C" w:rsidRDefault="00AB755C" w:rsidP="00AB755C">
      <w:pPr>
        <w:pStyle w:val="SingleTxtG"/>
      </w:pPr>
      <w:r>
        <w:t>3.</w:t>
      </w:r>
      <w:r>
        <w:tab/>
        <w:t>В работе сессии приняли участие представители следующих стран: Австрии, Беларуси, Бельгии, Венгрии, Германии, Греции, Дании, Израиля, Испании, Италии, Латвии, Люксембурга, Нидерландов, Норвегии, Польши, Португалии, Российской Федерации, Северной Македонии, Словении, Соединенного Королевства, Турции, Финляндии, Франции, Чехии, Швейцарии и Швеции.</w:t>
      </w:r>
    </w:p>
    <w:p w14:paraId="319FCD9B" w14:textId="77777777" w:rsidR="00AB755C" w:rsidRPr="00240C3C" w:rsidRDefault="00AB755C" w:rsidP="00AB755C">
      <w:pPr>
        <w:pStyle w:val="SingleTxtG"/>
      </w:pPr>
      <w:r>
        <w:t>4.</w:t>
      </w:r>
      <w:r>
        <w:tab/>
        <w:t xml:space="preserve">В соответствии с пунктом 11 Положения о круге ведения Европейской экономической комиссии в работе сессии принял участие представитель Египта. </w:t>
      </w:r>
    </w:p>
    <w:p w14:paraId="5A9F8966" w14:textId="77777777" w:rsidR="00AB755C" w:rsidRPr="00240C3C" w:rsidRDefault="00AB755C" w:rsidP="00AB755C">
      <w:pPr>
        <w:spacing w:after="120"/>
        <w:ind w:left="1134" w:right="1134"/>
        <w:jc w:val="both"/>
      </w:pPr>
      <w:r>
        <w:t>5.</w:t>
      </w:r>
      <w:r>
        <w:tab/>
        <w:t>На сессии был представлен Европейский союз.</w:t>
      </w:r>
    </w:p>
    <w:p w14:paraId="356702F2" w14:textId="77777777" w:rsidR="00AB755C" w:rsidRPr="00240C3C" w:rsidRDefault="00AB755C" w:rsidP="00AB755C">
      <w:pPr>
        <w:spacing w:after="120"/>
        <w:ind w:left="1134" w:right="1134"/>
        <w:jc w:val="both"/>
      </w:pPr>
      <w:r>
        <w:t>6.</w:t>
      </w:r>
      <w:r>
        <w:tab/>
        <w:t>Были представлены следующие межправительственные организации: Межправительственная организация по международным железнодорожным перевозкам (ОТИФ) и Транспортное сообщество.</w:t>
      </w:r>
    </w:p>
    <w:p w14:paraId="4BE8BF2D" w14:textId="77777777" w:rsidR="00AB755C" w:rsidRPr="00240C3C" w:rsidRDefault="00AB755C" w:rsidP="00DD235A">
      <w:pPr>
        <w:pStyle w:val="SingleTxtG"/>
      </w:pPr>
      <w:r>
        <w:t>7.</w:t>
      </w:r>
      <w:r>
        <w:tab/>
        <w:t>Были представлены следующие неправительственные организации: ассоциация «Сжиженный газ — Европа», Европейская конфедерация поставщиков топлива (ЕКПТ), Европейский совет химической промышленности (ЕСФХП), Международная ассоциация по опасным грузам и контейнерам (АСПОГ), Международная организация предприятий автомобильной промышленности (МОПАП), Международный союз автомобильного транспорта (МСАТ), Совет по безопасной транспортировке опасных изделий (COSTHA) и «Фьюэлз-Юроп». Был также представлен Проект по поддержке транспорта (ППТ) ЕвроМед.</w:t>
      </w:r>
    </w:p>
    <w:p w14:paraId="3AFB0334" w14:textId="77777777" w:rsidR="00AB755C" w:rsidRPr="00240C3C" w:rsidRDefault="00AB755C" w:rsidP="00AB755C">
      <w:pPr>
        <w:pStyle w:val="HChG"/>
      </w:pPr>
      <w:r>
        <w:rPr>
          <w:bCs/>
        </w:rPr>
        <w:tab/>
        <w:t>II.</w:t>
      </w:r>
      <w:r>
        <w:tab/>
      </w:r>
      <w:r>
        <w:rPr>
          <w:bCs/>
        </w:rPr>
        <w:t>Утверждение повестки дня (пункт 1 повестки дня)</w:t>
      </w:r>
      <w:bookmarkStart w:id="1" w:name="_Hlk6316889"/>
      <w:bookmarkStart w:id="2" w:name="_Toc499903630"/>
      <w:bookmarkEnd w:id="1"/>
      <w:bookmarkEnd w:id="2"/>
    </w:p>
    <w:p w14:paraId="4AB6C445" w14:textId="6D86D65B" w:rsidR="00AB755C" w:rsidRPr="00240C3C" w:rsidRDefault="00AB755C" w:rsidP="00DD235A">
      <w:pPr>
        <w:pStyle w:val="SingleTxtG"/>
      </w:pPr>
      <w:r>
        <w:rPr>
          <w:i/>
          <w:iCs/>
        </w:rPr>
        <w:t>Документы</w:t>
      </w:r>
      <w:r>
        <w:t>:</w:t>
      </w:r>
      <w:r>
        <w:tab/>
      </w:r>
      <w:r w:rsidR="00DD235A">
        <w:tab/>
      </w:r>
      <w:r w:rsidR="00DD235A">
        <w:tab/>
      </w:r>
      <w:r w:rsidR="00DD235A">
        <w:tab/>
      </w:r>
      <w:r w:rsidR="00DD235A">
        <w:tab/>
      </w:r>
      <w:r>
        <w:t>ECE/TRANS/WP.15/257 и Add.1 (секретариат)</w:t>
      </w:r>
    </w:p>
    <w:p w14:paraId="609477DC" w14:textId="77777777" w:rsidR="00AB755C" w:rsidRPr="00240C3C" w:rsidRDefault="00AB755C" w:rsidP="00AB755C">
      <w:pPr>
        <w:spacing w:after="120"/>
        <w:ind w:left="3402" w:right="1134" w:hanging="2268"/>
        <w:jc w:val="both"/>
      </w:pPr>
      <w:r>
        <w:rPr>
          <w:i/>
          <w:iCs/>
        </w:rPr>
        <w:t>Неофициальные документы</w:t>
      </w:r>
      <w:r>
        <w:t>:</w:t>
      </w:r>
      <w:r>
        <w:tab/>
        <w:t>INF.1, INF.2 и INF.7 (секретариат)</w:t>
      </w:r>
    </w:p>
    <w:p w14:paraId="3AC7293C" w14:textId="77777777" w:rsidR="00AB755C" w:rsidRPr="00240C3C" w:rsidRDefault="00AB755C" w:rsidP="00AB755C">
      <w:pPr>
        <w:spacing w:after="120"/>
        <w:ind w:left="1134" w:right="1134"/>
        <w:jc w:val="both"/>
      </w:pPr>
      <w:r>
        <w:t>8.</w:t>
      </w:r>
      <w:r>
        <w:tab/>
        <w:t xml:space="preserve">Рабочая группа утвердила подготовленную секретариатом предварительную повестку дня, измененную в соответствии с неофициальным документом INF.2 с целью учета неофициальных документов INF.1–INF.28. </w:t>
      </w:r>
    </w:p>
    <w:p w14:paraId="0585B55F" w14:textId="77777777" w:rsidR="00AB755C" w:rsidRPr="00240C3C" w:rsidRDefault="00AB755C" w:rsidP="00DD235A">
      <w:pPr>
        <w:pStyle w:val="HChG"/>
        <w:keepNext w:val="0"/>
        <w:keepLines w:val="0"/>
        <w:widowControl w:val="0"/>
      </w:pPr>
      <w:r>
        <w:tab/>
        <w:t>III.</w:t>
      </w:r>
      <w:r>
        <w:tab/>
        <w:t>Восемьдесят четвертая сессия Комитета по внутреннему транспорту (КВТ) (пункт 2 повестки дня)</w:t>
      </w:r>
    </w:p>
    <w:p w14:paraId="758BB76E" w14:textId="09580B57" w:rsidR="00AB755C" w:rsidRPr="00240C3C" w:rsidRDefault="00AB755C" w:rsidP="00DD235A">
      <w:pPr>
        <w:widowControl w:val="0"/>
        <w:tabs>
          <w:tab w:val="left" w:pos="3402"/>
        </w:tabs>
        <w:spacing w:after="120"/>
        <w:ind w:left="3402" w:right="1134" w:hanging="2268"/>
      </w:pPr>
      <w:r>
        <w:rPr>
          <w:i/>
          <w:iCs/>
        </w:rPr>
        <w:t>Документы</w:t>
      </w:r>
      <w:r>
        <w:t>:</w:t>
      </w:r>
      <w:r>
        <w:tab/>
      </w:r>
      <w:r w:rsidR="00DD235A">
        <w:tab/>
      </w:r>
      <w:r>
        <w:tab/>
        <w:t xml:space="preserve">ECE/TRANS/2022/3 </w:t>
      </w:r>
      <w:r w:rsidR="00DD235A">
        <w:br/>
      </w:r>
      <w:r w:rsidR="00DD235A">
        <w:tab/>
      </w:r>
      <w:r w:rsidR="00DD235A">
        <w:tab/>
      </w:r>
      <w:r>
        <w:t xml:space="preserve">(Осуществление Стратегии КВТ на период </w:t>
      </w:r>
      <w:r w:rsidR="00DD235A">
        <w:br/>
      </w:r>
      <w:r w:rsidR="00DD235A">
        <w:tab/>
      </w:r>
      <w:r w:rsidR="00DD235A">
        <w:tab/>
      </w:r>
      <w:r>
        <w:t>до 2030 года) (секретариат)</w:t>
      </w:r>
      <w:r>
        <w:br/>
      </w:r>
      <w:r w:rsidR="00DD235A">
        <w:tab/>
      </w:r>
      <w:r>
        <w:tab/>
        <w:t xml:space="preserve">ECE/TRANS/316 </w:t>
      </w:r>
      <w:r w:rsidR="00DD235A">
        <w:br/>
      </w:r>
      <w:r w:rsidR="00DD235A">
        <w:tab/>
      </w:r>
      <w:r w:rsidR="00DD235A">
        <w:tab/>
      </w:r>
      <w:r>
        <w:t xml:space="preserve">(Доклад КВТ о работе его </w:t>
      </w:r>
      <w:r w:rsidR="00DD235A">
        <w:tab/>
      </w:r>
      <w:r>
        <w:t xml:space="preserve">восемьдесят </w:t>
      </w:r>
      <w:r w:rsidR="00DD235A">
        <w:br/>
      </w:r>
      <w:r w:rsidR="00DD235A">
        <w:tab/>
      </w:r>
      <w:r w:rsidR="00DD235A">
        <w:tab/>
      </w:r>
      <w:r>
        <w:t>четвертой сессии) (секретариат)</w:t>
      </w:r>
    </w:p>
    <w:p w14:paraId="0C08E077" w14:textId="77777777" w:rsidR="00AB755C" w:rsidRPr="00240C3C" w:rsidRDefault="00AB755C" w:rsidP="00AB755C">
      <w:pPr>
        <w:spacing w:after="120"/>
        <w:ind w:left="1134" w:right="1134"/>
        <w:jc w:val="both"/>
      </w:pPr>
      <w:r>
        <w:lastRenderedPageBreak/>
        <w:t>9.</w:t>
      </w:r>
      <w:r>
        <w:tab/>
        <w:t>Рабочая группа приняла к сведению соответствующие итоги работы последней сессии КВТ (22–25 февраля 2022 года). Рабочая группа с удовлетворением отметила, что Комитет утвердил результаты своей работы за 2021 год и принял свою программу работы и расписание совещаний на 2022 год, а также одобрил публикацию секретариатом сводных текстов ДОПОГ и ВОПОГ с поправками, вступающими в силу 1 января 2023 года, и электронной версии «дорожной карты» по ДОПОГ.</w:t>
      </w:r>
    </w:p>
    <w:p w14:paraId="4B97DF1D" w14:textId="77777777" w:rsidR="00AB755C" w:rsidRPr="00240C3C" w:rsidRDefault="00AB755C" w:rsidP="00AB755C">
      <w:pPr>
        <w:spacing w:after="120"/>
        <w:ind w:left="1134" w:right="1134"/>
        <w:jc w:val="both"/>
      </w:pPr>
      <w:r>
        <w:t>10.</w:t>
      </w:r>
      <w:r>
        <w:tab/>
        <w:t xml:space="preserve">Рабочая группа с интересом отметила продолжение работы по осуществлению Стратегии Комитета на период до 2030 года и дополнительные действия, перечисленные в документе ECE/TRANS/2022/3. В частности, Рабочая группа отметила, что секретариат должен ежегодно отчитываться перед КВТ по аспектам работы Совместного совещания и Рабочей группы, связанным с циклической экономикой и устойчивым транспортом. </w:t>
      </w:r>
    </w:p>
    <w:p w14:paraId="1C5749FB" w14:textId="1E76CFDC" w:rsidR="00AB755C" w:rsidRPr="00240C3C" w:rsidRDefault="00AB755C" w:rsidP="004145FC">
      <w:pPr>
        <w:pStyle w:val="SingleTxtG"/>
      </w:pPr>
      <w:r>
        <w:t>11.</w:t>
      </w:r>
      <w:r>
        <w:tab/>
        <w:t xml:space="preserve">Рабочая группа также приветствовала принятие министерской резолюции «Укрепление надежной связанности внутреннего транспорта в чрезвычайных ситуациях: настоятельный призыв к согласованным действиям». В соответствии с этой резолюцией Рабочая группа вновь призвала договаривающиеся стороны ДОПОГ использовать средства телематики при перевозке опасных грузов. Делегатам напомнили, что руководящие положения, касающиеся применения пункта 5.4.0.2 МПОГ/ДОПОГ/ВОПОГ об электронном обмене данными, были опубликованы на </w:t>
      </w:r>
      <w:r w:rsidR="004145FC">
        <w:br/>
      </w:r>
      <w:r>
        <w:t xml:space="preserve">веб-сайтах ЕЭК ООН и ОТИФ для облегчения их использования на добровольной и последовательной основе. Рабочая группа отметила, что представитель Швейцарии сообщил Совместному совещанию о проблемах при осуществлении этих руководящих положений (см. </w:t>
      </w:r>
      <w:r w:rsidRPr="00240C3C">
        <w:rPr>
          <w:lang w:val="en-US"/>
        </w:rPr>
        <w:t xml:space="preserve">ECE/TRANS/WP.15/AC.1/2020/43 </w:t>
      </w:r>
      <w:r>
        <w:t>и</w:t>
      </w:r>
      <w:r w:rsidRPr="00240C3C">
        <w:rPr>
          <w:lang w:val="en-US"/>
        </w:rPr>
        <w:t xml:space="preserve"> ECE/TRANS/WP.15/AC.1/158, </w:t>
      </w:r>
      <w:r w:rsidR="00616314">
        <w:rPr>
          <w:lang w:val="en-US"/>
        </w:rPr>
        <w:br/>
      </w:r>
      <w:r>
        <w:t>п</w:t>
      </w:r>
      <w:r w:rsidRPr="00240C3C">
        <w:rPr>
          <w:lang w:val="en-US"/>
        </w:rPr>
        <w:t>.</w:t>
      </w:r>
      <w:r w:rsidR="00616314">
        <w:rPr>
          <w:lang w:val="en-US"/>
        </w:rPr>
        <w:t> </w:t>
      </w:r>
      <w:r w:rsidRPr="00240C3C">
        <w:rPr>
          <w:lang w:val="en-US"/>
        </w:rPr>
        <w:t xml:space="preserve">42). </w:t>
      </w:r>
      <w:r>
        <w:t>Рабочая группа предложила Совместному совещанию запланировать проведение сессии неофициальной рабочей группы по телематике для обсуждения этих вопросов, в частности возможности не всеобъемлющего, а поэтапного осуществления.</w:t>
      </w:r>
    </w:p>
    <w:p w14:paraId="5BBDF1FB" w14:textId="77777777" w:rsidR="00AB755C" w:rsidRPr="00240C3C" w:rsidRDefault="00AB755C" w:rsidP="00AB755C">
      <w:pPr>
        <w:spacing w:after="120"/>
        <w:ind w:left="1134" w:right="1134"/>
        <w:jc w:val="both"/>
      </w:pPr>
      <w:r>
        <w:t xml:space="preserve">12. </w:t>
      </w:r>
      <w:r>
        <w:tab/>
        <w:t>Рабочая группа отметила проведенное КВТ обсуждение вопроса о возможностях финансирования перевода ДОПОГ на арабский язык. Представитель проекта ППТ ЕвроМед сообщил, что обсуждение этого вопроса с секретариатом продолжается и что возможным решением представляется финансирование перевода издания ДОПОГ 2023 года в рамках средств, выделенных на проекты ЕвроМед. Рабочая группа также отметила, что необходимо продолжить изучение различных предложенных вариантов, чтобы обеспечить устойчивый способ обновления ДОПОГ на арабском языке, а в будущем, возможно, на других официальных языках Организации Объединенных Наций, например на испанском языке.</w:t>
      </w:r>
    </w:p>
    <w:p w14:paraId="20F9152F" w14:textId="77777777" w:rsidR="00AB755C" w:rsidRPr="00240C3C" w:rsidRDefault="00AB755C" w:rsidP="00AB755C">
      <w:pPr>
        <w:spacing w:after="120"/>
        <w:ind w:left="1134" w:right="1134"/>
        <w:jc w:val="both"/>
      </w:pPr>
      <w:r>
        <w:t>13.</w:t>
      </w:r>
      <w:r>
        <w:tab/>
        <w:t>Рабочая группа с удовлетворением отметила, что секретариат ЕЭК ООН намерен сотрудничать с проектом ППТ ЕвроМед, с тем чтобы перевод издания ДОПОГ 2023 года на арабский язык был размещен на веб-сайте ЕЭК ООН, и подтвердила, что было бы желательно, чтобы он был также опубликован Организацией Объединенных Наций.</w:t>
      </w:r>
    </w:p>
    <w:p w14:paraId="0EAE6E3D" w14:textId="4F10E152" w:rsidR="00AB755C" w:rsidRPr="00354829" w:rsidRDefault="00AB755C" w:rsidP="00AB755C">
      <w:pPr>
        <w:keepNext/>
        <w:keepLines/>
        <w:tabs>
          <w:tab w:val="right" w:pos="851"/>
        </w:tabs>
        <w:spacing w:before="360" w:after="240" w:line="300" w:lineRule="exact"/>
        <w:ind w:left="1134" w:right="1134" w:hanging="1134"/>
        <w:rPr>
          <w:b/>
          <w:sz w:val="28"/>
          <w:szCs w:val="28"/>
        </w:rPr>
      </w:pPr>
      <w:r>
        <w:rPr>
          <w:b/>
          <w:bCs/>
        </w:rPr>
        <w:tab/>
      </w:r>
      <w:r w:rsidRPr="00354829">
        <w:rPr>
          <w:b/>
          <w:bCs/>
          <w:sz w:val="28"/>
          <w:szCs w:val="28"/>
        </w:rPr>
        <w:t>IV.</w:t>
      </w:r>
      <w:r w:rsidRPr="00354829">
        <w:rPr>
          <w:sz w:val="28"/>
          <w:szCs w:val="28"/>
        </w:rPr>
        <w:tab/>
      </w:r>
      <w:r w:rsidRPr="00354829">
        <w:rPr>
          <w:b/>
          <w:bCs/>
          <w:sz w:val="28"/>
          <w:szCs w:val="28"/>
        </w:rPr>
        <w:t xml:space="preserve">Состояние Соглашения о международной дорожной перевозке опасных грузов (ДОПОГ) и связанные </w:t>
      </w:r>
      <w:r w:rsidR="00616314">
        <w:rPr>
          <w:b/>
          <w:bCs/>
          <w:sz w:val="28"/>
          <w:szCs w:val="28"/>
        </w:rPr>
        <w:br/>
      </w:r>
      <w:r w:rsidRPr="00354829">
        <w:rPr>
          <w:b/>
          <w:bCs/>
          <w:sz w:val="28"/>
          <w:szCs w:val="28"/>
        </w:rPr>
        <w:t>с этим вопросы (пункт 3 повестки дня)</w:t>
      </w:r>
    </w:p>
    <w:p w14:paraId="54C7DC8C" w14:textId="77777777" w:rsidR="00AB755C" w:rsidRPr="00354829" w:rsidRDefault="00AB755C" w:rsidP="00616314">
      <w:pPr>
        <w:pStyle w:val="H1G"/>
      </w:pPr>
      <w:r>
        <w:tab/>
      </w:r>
      <w:r w:rsidRPr="00354829">
        <w:t>A.</w:t>
      </w:r>
      <w:r w:rsidRPr="00354829">
        <w:tab/>
        <w:t>Состояние Соглашения</w:t>
      </w:r>
    </w:p>
    <w:p w14:paraId="1264BE27" w14:textId="5FD264CF" w:rsidR="00AB755C" w:rsidRPr="00240C3C" w:rsidRDefault="00AB755C" w:rsidP="00616314">
      <w:pPr>
        <w:pStyle w:val="SingleTxtG"/>
      </w:pPr>
      <w:r>
        <w:t>14.</w:t>
      </w:r>
      <w:r>
        <w:tab/>
        <w:t>Рабочая группа с удовлетворением отметила присоединение к ДОПОГ Армении (уведомление депозитария C.N.99.2022.TREATIES-XI.B.14), в результате чего число договаривающихся сторон достигло 53.</w:t>
      </w:r>
    </w:p>
    <w:p w14:paraId="3DDFA919" w14:textId="77777777" w:rsidR="00AB755C" w:rsidRPr="00354829" w:rsidRDefault="00AB755C" w:rsidP="00AB755C">
      <w:pPr>
        <w:keepNext/>
        <w:keepLines/>
        <w:tabs>
          <w:tab w:val="right" w:pos="851"/>
        </w:tabs>
        <w:spacing w:before="360" w:after="240" w:line="270" w:lineRule="exact"/>
        <w:ind w:left="1134" w:right="1134" w:hanging="1134"/>
        <w:rPr>
          <w:b/>
          <w:sz w:val="24"/>
          <w:szCs w:val="24"/>
        </w:rPr>
      </w:pPr>
      <w:r>
        <w:rPr>
          <w:b/>
          <w:bCs/>
        </w:rPr>
        <w:lastRenderedPageBreak/>
        <w:tab/>
      </w:r>
      <w:r w:rsidRPr="00354829">
        <w:rPr>
          <w:b/>
          <w:bCs/>
          <w:sz w:val="24"/>
          <w:szCs w:val="24"/>
        </w:rPr>
        <w:t>B.</w:t>
      </w:r>
      <w:r w:rsidRPr="00354829">
        <w:rPr>
          <w:sz w:val="24"/>
          <w:szCs w:val="24"/>
        </w:rPr>
        <w:tab/>
      </w:r>
      <w:r w:rsidRPr="00354829">
        <w:rPr>
          <w:b/>
          <w:bCs/>
          <w:sz w:val="24"/>
          <w:szCs w:val="24"/>
        </w:rPr>
        <w:t>Протокол о внесении поправок 1993 года</w:t>
      </w:r>
    </w:p>
    <w:p w14:paraId="4866F022" w14:textId="77777777" w:rsidR="00AB755C" w:rsidRPr="00240C3C" w:rsidRDefault="00AB755C" w:rsidP="00AB755C">
      <w:pPr>
        <w:spacing w:after="120"/>
        <w:ind w:left="1134" w:right="1134"/>
        <w:jc w:val="both"/>
      </w:pPr>
      <w:r>
        <w:t>15.</w:t>
      </w:r>
      <w:r>
        <w:tab/>
        <w:t>Рабочая группа призвала страны, которые еще не сдали на хранение соответствующий юридический документ, необходимый для вступления в силу Протокола 1993 года (Азербайджан, Армения, Беларусь, Босния и Герцеговина, Исландия, Казахстан, Марокко, Нигерия, Сан-Марино, Северная Македония, Таджикистан, Хорватия и Черногория), принять необходимые меры с целью ратификации Протокола или присоединения к нему, с тем чтобы он мог как можно скорее вступить в силу.</w:t>
      </w:r>
    </w:p>
    <w:p w14:paraId="30173034" w14:textId="77777777" w:rsidR="00AB755C" w:rsidRPr="00240C3C" w:rsidRDefault="00AB755C" w:rsidP="00AB755C">
      <w:pPr>
        <w:pStyle w:val="HChG"/>
        <w:rPr>
          <w:rFonts w:eastAsiaTheme="minorHAnsi"/>
        </w:rPr>
      </w:pPr>
      <w:r>
        <w:rPr>
          <w:bCs/>
        </w:rPr>
        <w:tab/>
        <w:t>V.</w:t>
      </w:r>
      <w:r>
        <w:tab/>
      </w:r>
      <w:r>
        <w:rPr>
          <w:bCs/>
        </w:rPr>
        <w:t>Работа Совместного совещания МПОГ/ДОПОГ/ВОПОГ (пункт 4 повестки дня)</w:t>
      </w:r>
    </w:p>
    <w:p w14:paraId="04A10B4B" w14:textId="08D5B95E" w:rsidR="00AB755C" w:rsidRPr="00240C3C" w:rsidRDefault="00AB755C" w:rsidP="00AB755C">
      <w:pPr>
        <w:pStyle w:val="H1G"/>
        <w:rPr>
          <w:i/>
          <w:iCs/>
        </w:rPr>
      </w:pPr>
      <w:r>
        <w:rPr>
          <w:bCs/>
        </w:rPr>
        <w:tab/>
        <w:t>A.</w:t>
      </w:r>
      <w:r>
        <w:tab/>
      </w:r>
      <w:r>
        <w:rPr>
          <w:bCs/>
        </w:rPr>
        <w:t>Предлагаемые поправки к ДОПОГ для вступления в силу 1</w:t>
      </w:r>
      <w:r w:rsidR="00616314">
        <w:rPr>
          <w:bCs/>
          <w:lang w:val="en-US"/>
        </w:rPr>
        <w:t> </w:t>
      </w:r>
      <w:r>
        <w:rPr>
          <w:bCs/>
        </w:rPr>
        <w:t xml:space="preserve">января 2023 года, принятые Совместным совещанием </w:t>
      </w:r>
      <w:r w:rsidR="00616314">
        <w:rPr>
          <w:bCs/>
        </w:rPr>
        <w:br/>
      </w:r>
      <w:r>
        <w:rPr>
          <w:bCs/>
        </w:rPr>
        <w:t>на его сессии в марте 2022 года</w:t>
      </w:r>
    </w:p>
    <w:p w14:paraId="313AEBE7" w14:textId="77777777" w:rsidR="00AB755C" w:rsidRPr="00240C3C" w:rsidRDefault="00AB755C" w:rsidP="00AB755C">
      <w:pPr>
        <w:spacing w:after="120"/>
        <w:ind w:left="3969" w:right="1134" w:hanging="2835"/>
      </w:pPr>
      <w:r>
        <w:rPr>
          <w:i/>
          <w:iCs/>
        </w:rPr>
        <w:t>Документы</w:t>
      </w:r>
      <w:r w:rsidRPr="00616314">
        <w:t>:</w:t>
      </w:r>
      <w:r>
        <w:tab/>
        <w:t>ECE/TRANS/WP.15/255, ECE/TRANS/WP.15/AC.1/162, ECE/TRANS/WP.15/AC.1/2022/2, ECE/TRANS/WP.15/AC.1/2022/12 и ECE/TRANS/WP.15/AC.1/164 (секретариат)</w:t>
      </w:r>
    </w:p>
    <w:p w14:paraId="3C78C47A" w14:textId="4E108C92" w:rsidR="00AB755C" w:rsidRPr="00240C3C" w:rsidRDefault="00AB755C" w:rsidP="00AB755C">
      <w:pPr>
        <w:spacing w:after="120"/>
        <w:ind w:left="3969" w:right="1134" w:hanging="2835"/>
      </w:pPr>
      <w:r w:rsidRPr="00AB755C">
        <w:rPr>
          <w:i/>
          <w:iCs/>
        </w:rPr>
        <w:t>Неофициальные документы</w:t>
      </w:r>
      <w:r w:rsidRPr="00616314">
        <w:t>:</w:t>
      </w:r>
      <w:r>
        <w:tab/>
        <w:t xml:space="preserve">INF.5 (секретариат), INF.9 (Франция), </w:t>
      </w:r>
      <w:r>
        <w:br/>
        <w:t>INF.17 (ОТИФ)</w:t>
      </w:r>
    </w:p>
    <w:p w14:paraId="001641B5" w14:textId="77777777" w:rsidR="00AB755C" w:rsidRPr="00240C3C" w:rsidRDefault="00AB755C" w:rsidP="00AB755C">
      <w:pPr>
        <w:pStyle w:val="SingleTxtG"/>
      </w:pPr>
      <w:r>
        <w:t>16.</w:t>
      </w:r>
      <w:r>
        <w:tab/>
        <w:t>Рабочая группа рассмотрела предлагаемые поправки к ДОПОГ, содержащиеся в неофициальном документе INF.5. Эти поправки были приняты для вступления в силу 1 января 2023 года с учетом некоторых изменений и исправления, содержащегося в неофициальном документе INF.17 (см. приложение I). Рабочая группа отметила, что эти изменения также будут доведены до сведения Комиссии экспертов МПОГ.</w:t>
      </w:r>
    </w:p>
    <w:p w14:paraId="70E377DF" w14:textId="77777777" w:rsidR="00AB755C" w:rsidRPr="00240C3C" w:rsidRDefault="00AB755C" w:rsidP="00AB755C">
      <w:pPr>
        <w:pStyle w:val="SingleTxtG"/>
      </w:pPr>
      <w:r>
        <w:t>17.</w:t>
      </w:r>
      <w:r>
        <w:tab/>
        <w:t>Рабочая группа отметила, что пересмотренный вариант стандарта EN 14025 не может быть опубликован до 1 июня 2022 года. Проекты поправок, касающиеся ссылок на этот стандарт в ДОПОГ 2023 года, были отозваны. Секретариат указал, что подготовит перечень этих поправок для сведения Рабочей группы по стандартам Совместного совещания, чтобы группа могла включить их в проекты поправок для вступления в силу 1 января 2025 года. Рабочая группа подтвердила, что в этих поправках должно быть учтено исправление, предложенное в неофициальном документе INF.9 в отношении ссылки на пересмотренный вариант стандарта 14025.</w:t>
      </w:r>
    </w:p>
    <w:p w14:paraId="617A8BEA" w14:textId="77777777" w:rsidR="00AB755C" w:rsidRPr="00240C3C" w:rsidRDefault="00AB755C" w:rsidP="00AB755C">
      <w:pPr>
        <w:pStyle w:val="SingleTxtG"/>
      </w:pPr>
      <w:r>
        <w:t>18.</w:t>
      </w:r>
      <w:r>
        <w:tab/>
        <w:t>Рабочая группа отметила, что пересмотренные варианты стандартов EN 12245, EN 12252 и EN 14912 и поправка A1 к стандарту EN 13094:2020 не были опубликованы на момент проведения сессии, но должны быть опубликованы к 8 июня 2022 года. Рабочая группа приняла проекты поправок, содержащие ссылки на эти стандарты в ДОПОГ 2023 года, при условии, что данные стандарты будут опубликованы до указанной даты. В противном случае соответствующие поправки не будут включены в предлагаемые поправки, которые должны быть сообщены договаривающимся сторонам 1 июля 2022 года для вступления в силу 1 января 2023 года, и будут добавлены в перечень для сведения Рабочей группы по стандартам Совместного совещания.</w:t>
      </w:r>
    </w:p>
    <w:p w14:paraId="355678D5" w14:textId="77777777" w:rsidR="00AB755C" w:rsidRPr="00240C3C" w:rsidRDefault="00AB755C" w:rsidP="00AB755C">
      <w:pPr>
        <w:pStyle w:val="H1G"/>
        <w:rPr>
          <w:i/>
          <w:iCs/>
        </w:rPr>
      </w:pPr>
      <w:r>
        <w:rPr>
          <w:bCs/>
        </w:rPr>
        <w:tab/>
        <w:t>B.</w:t>
      </w:r>
      <w:r>
        <w:tab/>
      </w:r>
      <w:r>
        <w:rPr>
          <w:bCs/>
        </w:rPr>
        <w:t>Примечание после пункта 6.8.3.2.9.1, содержащееся в проектах поправок к приложениям А и В к ДОПОГ</w:t>
      </w:r>
      <w:r>
        <w:t xml:space="preserve"> </w:t>
      </w:r>
    </w:p>
    <w:p w14:paraId="516661A3" w14:textId="67E9B4AA" w:rsidR="00AB755C" w:rsidRPr="00240C3C" w:rsidRDefault="00AB755C" w:rsidP="00AB755C">
      <w:pPr>
        <w:pStyle w:val="SingleTxtG"/>
      </w:pPr>
      <w:r>
        <w:rPr>
          <w:i/>
          <w:iCs/>
        </w:rPr>
        <w:t>Документ</w:t>
      </w:r>
      <w:r>
        <w:t>:</w:t>
      </w:r>
      <w:r>
        <w:tab/>
      </w:r>
      <w:r>
        <w:tab/>
      </w:r>
      <w:r>
        <w:tab/>
      </w:r>
      <w:r>
        <w:tab/>
      </w:r>
      <w:r>
        <w:tab/>
        <w:t>ECE/TRANS/WP.15/256 (секретариат)</w:t>
      </w:r>
    </w:p>
    <w:p w14:paraId="5FBC9762" w14:textId="77777777" w:rsidR="00AB755C" w:rsidRPr="00240C3C" w:rsidRDefault="00AB755C" w:rsidP="00AB755C">
      <w:pPr>
        <w:spacing w:after="120"/>
        <w:ind w:left="3402" w:right="1134" w:hanging="2268"/>
        <w:jc w:val="both"/>
      </w:pPr>
      <w:r>
        <w:rPr>
          <w:i/>
          <w:iCs/>
        </w:rPr>
        <w:t>Неофициальный документ</w:t>
      </w:r>
      <w:r>
        <w:t>:</w:t>
      </w:r>
      <w:r>
        <w:tab/>
        <w:t>INF.15 (ассоциация «Сжиженный газ — Европа»)</w:t>
      </w:r>
    </w:p>
    <w:p w14:paraId="61087D64" w14:textId="2C52E63B" w:rsidR="00AB755C" w:rsidRPr="00240C3C" w:rsidRDefault="00AB755C" w:rsidP="00AB755C">
      <w:pPr>
        <w:spacing w:after="120"/>
        <w:ind w:left="1134" w:right="1134"/>
        <w:jc w:val="both"/>
      </w:pPr>
      <w:r>
        <w:lastRenderedPageBreak/>
        <w:t>19.</w:t>
      </w:r>
      <w:r>
        <w:tab/>
        <w:t>Рабочая группа подтвердила, что примечание после пункта 6.8.3.2.9.1, принятое ранее Совместным совещанием и Рабочей группой для вступления в силу 1 января 2023 года, является неверным. После рассмотрения исправления, предложенного в неофициальном документе INF.15, Рабочая группа предпочла вернуться к положениям ДОПОГ 2021 года, заменив при этом ссылку на пункт 6.7.3.8.1 ссылкой на пункт</w:t>
      </w:r>
      <w:r w:rsidR="00616314">
        <w:rPr>
          <w:lang w:val="en-US"/>
        </w:rPr>
        <w:t> </w:t>
      </w:r>
      <w:r>
        <w:t>6.7.3.8.1.1 в новом пункте 6.8.3.2.9.1 и опустив примечание. Рабочая группа приняла это исправление, которое будет включено в исправление к документу ECE/TRANS/WP.15/256 (см. приложение I).</w:t>
      </w:r>
    </w:p>
    <w:p w14:paraId="1DBF49A9" w14:textId="0BC4D738" w:rsidR="00AB755C" w:rsidRPr="00240C3C" w:rsidRDefault="00AB755C" w:rsidP="00AB755C">
      <w:pPr>
        <w:pStyle w:val="H1G"/>
      </w:pPr>
      <w:r>
        <w:rPr>
          <w:bCs/>
        </w:rPr>
        <w:tab/>
        <w:t>C.</w:t>
      </w:r>
      <w:r>
        <w:tab/>
      </w:r>
      <w:r>
        <w:rPr>
          <w:bCs/>
        </w:rPr>
        <w:t xml:space="preserve">Проекты поправок к приложениям А и В к ДОПОГ </w:t>
      </w:r>
      <w:r>
        <w:rPr>
          <w:bCs/>
        </w:rPr>
        <w:br/>
        <w:t>для вступления в силу 1 января 2023 года, подлежащие подтверждению на сто одиннадцатой сессии</w:t>
      </w:r>
      <w:bookmarkStart w:id="3" w:name="_Hlk95747243"/>
      <w:bookmarkEnd w:id="3"/>
    </w:p>
    <w:p w14:paraId="4E799430" w14:textId="3D0BE3EA" w:rsidR="00AB755C" w:rsidRPr="00240C3C" w:rsidRDefault="00AB755C" w:rsidP="00AB755C">
      <w:pPr>
        <w:spacing w:after="120"/>
        <w:ind w:left="3402" w:right="1134" w:hanging="2268"/>
        <w:jc w:val="both"/>
      </w:pPr>
      <w:r>
        <w:rPr>
          <w:i/>
          <w:iCs/>
        </w:rPr>
        <w:t>Документ</w:t>
      </w:r>
      <w:r>
        <w:t>:</w:t>
      </w:r>
      <w:r>
        <w:tab/>
      </w:r>
      <w:r w:rsidR="00616314">
        <w:tab/>
      </w:r>
      <w:r>
        <w:tab/>
        <w:t xml:space="preserve">ECE/TRANS/WP.15/255, </w:t>
      </w:r>
      <w:r w:rsidR="00616314">
        <w:br/>
      </w:r>
      <w:r w:rsidR="00616314">
        <w:tab/>
      </w:r>
      <w:r w:rsidR="00616314">
        <w:tab/>
      </w:r>
      <w:r>
        <w:t>приложение III (секретариат)</w:t>
      </w:r>
    </w:p>
    <w:p w14:paraId="2936CD55" w14:textId="086575B1" w:rsidR="00AB755C" w:rsidRPr="00240C3C" w:rsidRDefault="00AB755C" w:rsidP="00AB755C">
      <w:pPr>
        <w:pStyle w:val="SingleTxtG"/>
        <w:rPr>
          <w:rFonts w:eastAsiaTheme="minorHAnsi"/>
        </w:rPr>
      </w:pPr>
      <w:r>
        <w:t>20.</w:t>
      </w:r>
      <w:r>
        <w:tab/>
        <w:t>Рабочая группа рассмотрела поправки, касающиеся стандартов, которые были приняты в предварительном порядке на предыдущей сессии</w:t>
      </w:r>
      <w:r w:rsidR="00616314">
        <w:t>,</w:t>
      </w:r>
      <w:r>
        <w:t xml:space="preserve"> при условии что соответствующие стандарты будут опубликованы до сто одиннадцатой сессии.</w:t>
      </w:r>
    </w:p>
    <w:p w14:paraId="366FEBD4" w14:textId="77777777" w:rsidR="00AB755C" w:rsidRPr="00240C3C" w:rsidRDefault="00AB755C" w:rsidP="00AB755C">
      <w:pPr>
        <w:pStyle w:val="SingleTxtG"/>
        <w:rPr>
          <w:rFonts w:eastAsiaTheme="minorHAnsi"/>
        </w:rPr>
      </w:pPr>
      <w:r>
        <w:t>21.</w:t>
      </w:r>
      <w:r>
        <w:tab/>
        <w:t>Поправка, предусматривающая включение ссылки на пересмотренный вариант стандарта EN 1439 в инструкцию по упаковке P200, была подтверждена, при этом был изменен год публикации этого пересмотренного варианта (см. приложение I).</w:t>
      </w:r>
    </w:p>
    <w:p w14:paraId="7EB6F576" w14:textId="77777777" w:rsidR="00AB755C" w:rsidRPr="00240C3C" w:rsidRDefault="00AB755C" w:rsidP="00AB755C">
      <w:pPr>
        <w:pStyle w:val="SingleTxtG"/>
      </w:pPr>
      <w:r>
        <w:t>22.</w:t>
      </w:r>
      <w:r>
        <w:tab/>
        <w:t>Рабочая группа отметила, что пересмотренный вариант стандарта EN 13799 не может быть опубликован до 1 июня 2022 года. Проекты поправок, касающиеся ссылок на этот стандарт в подразделе 6.2.4.1 и пункте 6.8.2.6.1 ДОПОГ 2023 года, были отозваны. Рабочая группа решила, что соответствующие поправки будут добавлены в перечень для сведения Рабочей группы по стандартам Совместного совещания.</w:t>
      </w:r>
    </w:p>
    <w:p w14:paraId="4BF39AB7" w14:textId="31C80729" w:rsidR="00AB755C" w:rsidRPr="00240C3C" w:rsidRDefault="00AB755C" w:rsidP="00AB755C">
      <w:pPr>
        <w:pStyle w:val="H1G"/>
      </w:pPr>
      <w:r>
        <w:rPr>
          <w:bCs/>
        </w:rPr>
        <w:tab/>
        <w:t>D.</w:t>
      </w:r>
      <w:r>
        <w:tab/>
      </w:r>
      <w:r>
        <w:rPr>
          <w:bCs/>
        </w:rPr>
        <w:t>Исправления к проектам поправок к ДОПОГ для вступления в</w:t>
      </w:r>
      <w:r w:rsidR="004040E9">
        <w:rPr>
          <w:bCs/>
          <w:lang w:val="fr-CH"/>
        </w:rPr>
        <w:t> </w:t>
      </w:r>
      <w:r>
        <w:rPr>
          <w:bCs/>
        </w:rPr>
        <w:t>силу 1 января 2023 года (ECE/TRANS/WP.15/256)</w:t>
      </w:r>
      <w:bookmarkStart w:id="4" w:name="_Hlk512430828"/>
      <w:bookmarkEnd w:id="4"/>
    </w:p>
    <w:p w14:paraId="5B833938" w14:textId="2F5B8F28" w:rsidR="00AB755C" w:rsidRPr="00240C3C" w:rsidRDefault="00AB755C" w:rsidP="00AB755C">
      <w:pPr>
        <w:pStyle w:val="SingleTxtG"/>
      </w:pPr>
      <w:r>
        <w:rPr>
          <w:i/>
          <w:iCs/>
        </w:rPr>
        <w:t>Документ</w:t>
      </w:r>
      <w:r>
        <w:t>:</w:t>
      </w:r>
      <w:r>
        <w:tab/>
      </w:r>
      <w:r>
        <w:tab/>
      </w:r>
      <w:r>
        <w:tab/>
      </w:r>
      <w:r>
        <w:tab/>
      </w:r>
      <w:r>
        <w:tab/>
        <w:t>ECE/TRANS/WP.15/256 (секретариат)</w:t>
      </w:r>
    </w:p>
    <w:p w14:paraId="5436F1E8" w14:textId="77777777" w:rsidR="00AB755C" w:rsidRPr="00240C3C" w:rsidRDefault="00AB755C" w:rsidP="00AB755C">
      <w:pPr>
        <w:spacing w:after="120"/>
        <w:ind w:left="3402" w:right="1134" w:hanging="2268"/>
        <w:jc w:val="both"/>
      </w:pPr>
      <w:r>
        <w:rPr>
          <w:i/>
          <w:iCs/>
        </w:rPr>
        <w:t>Неофициальный документ</w:t>
      </w:r>
      <w:r>
        <w:t>:</w:t>
      </w:r>
      <w:r>
        <w:tab/>
        <w:t>INF.6/Rev.1 (секретариат)</w:t>
      </w:r>
    </w:p>
    <w:p w14:paraId="5AEB45F1" w14:textId="59E7075E" w:rsidR="00AB755C" w:rsidRPr="00240C3C" w:rsidRDefault="00AB755C" w:rsidP="00AB755C">
      <w:pPr>
        <w:spacing w:after="120"/>
        <w:ind w:left="1134" w:right="1134"/>
        <w:jc w:val="both"/>
      </w:pPr>
      <w:r>
        <w:t>23.</w:t>
      </w:r>
      <w:r>
        <w:tab/>
        <w:t xml:space="preserve">Рабочая группа подтвердила исправления к документу ECE/TRANS/WP.15/256, принятые Совместным совещанием, и другие редакционные исправления, содержащиеся в неофициальном документе INF.6/Rev.1 (см. приложение I). </w:t>
      </w:r>
      <w:r>
        <w:br/>
        <w:t xml:space="preserve">Она отметила, что эти исправления будут отражены в исправлении к документу </w:t>
      </w:r>
      <w:r>
        <w:br/>
        <w:t>ECE/TRANS/WP.15/256.</w:t>
      </w:r>
      <w:bookmarkStart w:id="5" w:name="_Hlk512430894"/>
      <w:bookmarkEnd w:id="5"/>
    </w:p>
    <w:p w14:paraId="0EE727A3" w14:textId="3B1EEF75" w:rsidR="00AB755C" w:rsidRPr="00240C3C" w:rsidRDefault="00AB755C" w:rsidP="00AB755C">
      <w:pPr>
        <w:pStyle w:val="H1G"/>
        <w:rPr>
          <w:i/>
          <w:iCs/>
        </w:rPr>
      </w:pPr>
      <w:r>
        <w:rPr>
          <w:bCs/>
        </w:rPr>
        <w:tab/>
        <w:t>E.</w:t>
      </w:r>
      <w:r>
        <w:tab/>
      </w:r>
      <w:r>
        <w:rPr>
          <w:bCs/>
        </w:rPr>
        <w:t>Предлагаемые поправки к ДОПОГ для вступления в силу 1</w:t>
      </w:r>
      <w:r w:rsidR="004040E9">
        <w:rPr>
          <w:bCs/>
          <w:lang w:val="fr-CH"/>
        </w:rPr>
        <w:t> </w:t>
      </w:r>
      <w:r>
        <w:rPr>
          <w:bCs/>
        </w:rPr>
        <w:t xml:space="preserve">января 2025 года, принятые Совместным совещанием </w:t>
      </w:r>
      <w:r>
        <w:rPr>
          <w:bCs/>
        </w:rPr>
        <w:br/>
        <w:t>на его сессии в марте 2022 года</w:t>
      </w:r>
    </w:p>
    <w:p w14:paraId="54E86012" w14:textId="7DD4E301" w:rsidR="00AB755C" w:rsidRPr="00240C3C" w:rsidRDefault="00AB755C" w:rsidP="00AB755C">
      <w:pPr>
        <w:pStyle w:val="SingleTxtG"/>
      </w:pPr>
      <w:r>
        <w:rPr>
          <w:i/>
          <w:iCs/>
        </w:rPr>
        <w:t>Документ</w:t>
      </w:r>
      <w:r>
        <w:t>:</w:t>
      </w:r>
      <w:r>
        <w:tab/>
      </w:r>
      <w:r>
        <w:tab/>
      </w:r>
      <w:r>
        <w:tab/>
      </w:r>
      <w:r>
        <w:tab/>
      </w:r>
      <w:r>
        <w:tab/>
        <w:t>ECE/TRANS/WP.15/AC.1/164 (секретариат)</w:t>
      </w:r>
    </w:p>
    <w:p w14:paraId="71BA73CB" w14:textId="77777777" w:rsidR="00AB755C" w:rsidRPr="00240C3C" w:rsidRDefault="00AB755C" w:rsidP="00AB755C">
      <w:pPr>
        <w:pStyle w:val="SingleTxtG"/>
      </w:pPr>
      <w:r>
        <w:rPr>
          <w:i/>
          <w:iCs/>
        </w:rPr>
        <w:t>Неофициальный документ</w:t>
      </w:r>
      <w:r>
        <w:t>:</w:t>
      </w:r>
      <w:r>
        <w:tab/>
        <w:t>INF.10 (секретариат)</w:t>
      </w:r>
    </w:p>
    <w:p w14:paraId="18F92A1C" w14:textId="77777777" w:rsidR="00AB755C" w:rsidRPr="00240C3C" w:rsidRDefault="00AB755C" w:rsidP="00AB755C">
      <w:pPr>
        <w:spacing w:after="120"/>
        <w:ind w:left="1134" w:right="1134"/>
        <w:jc w:val="both"/>
      </w:pPr>
      <w:r>
        <w:t>24.</w:t>
      </w:r>
      <w:r>
        <w:tab/>
        <w:t>Рабочая группа утвердила поправки, принятые Совместным совещанием на его весенней сессии 2022 года и воспроизведенные в неофициальном документе INF.10 на английском, русском и французском языках (см. приложение II).</w:t>
      </w:r>
    </w:p>
    <w:p w14:paraId="29D13549" w14:textId="6B158C2E" w:rsidR="00AB755C" w:rsidRPr="00240C3C" w:rsidRDefault="00AB755C" w:rsidP="00AB755C">
      <w:pPr>
        <w:pStyle w:val="HChG"/>
        <w:rPr>
          <w:rFonts w:eastAsiaTheme="minorHAnsi"/>
        </w:rPr>
      </w:pPr>
      <w:r>
        <w:rPr>
          <w:bCs/>
        </w:rPr>
        <w:lastRenderedPageBreak/>
        <w:tab/>
        <w:t>VI.</w:t>
      </w:r>
      <w:r>
        <w:tab/>
      </w:r>
      <w:r>
        <w:rPr>
          <w:bCs/>
        </w:rPr>
        <w:t xml:space="preserve">Предложения о внесении поправок в приложения A и B </w:t>
      </w:r>
      <w:r>
        <w:rPr>
          <w:bCs/>
        </w:rPr>
        <w:br/>
        <w:t>к ДОПОГ (пункт 5 повестки дня)</w:t>
      </w:r>
    </w:p>
    <w:p w14:paraId="59F60570" w14:textId="77777777" w:rsidR="00AB755C" w:rsidRPr="00240C3C" w:rsidRDefault="00AB755C" w:rsidP="00AB755C">
      <w:pPr>
        <w:pStyle w:val="H1G"/>
      </w:pPr>
      <w:r>
        <w:rPr>
          <w:bCs/>
        </w:rPr>
        <w:tab/>
        <w:t>A.</w:t>
      </w:r>
      <w:r>
        <w:tab/>
      </w:r>
      <w:r>
        <w:rPr>
          <w:bCs/>
        </w:rPr>
        <w:t>Конструкция и допущение к перевозке транспортных средств</w:t>
      </w:r>
    </w:p>
    <w:p w14:paraId="4E3B844F" w14:textId="77777777"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tab/>
        <w:t>1.</w:t>
      </w:r>
      <w:r>
        <w:tab/>
      </w:r>
      <w:r>
        <w:rPr>
          <w:b/>
          <w:bCs/>
        </w:rPr>
        <w:t>Презентация электромобиля</w:t>
      </w:r>
    </w:p>
    <w:p w14:paraId="5C4FB6BF" w14:textId="77777777" w:rsidR="00AB755C" w:rsidRPr="00240C3C" w:rsidRDefault="00AB755C" w:rsidP="00AB755C">
      <w:pPr>
        <w:spacing w:after="120"/>
        <w:ind w:left="2694" w:right="1134" w:hanging="1560"/>
        <w:jc w:val="both"/>
      </w:pPr>
      <w:r>
        <w:rPr>
          <w:i/>
          <w:iCs/>
        </w:rPr>
        <w:t>Неофициальный документ</w:t>
      </w:r>
      <w:r>
        <w:t>:</w:t>
      </w:r>
      <w:r>
        <w:tab/>
        <w:t>INF.23 (МОПАП)</w:t>
      </w:r>
    </w:p>
    <w:p w14:paraId="79229460" w14:textId="77777777" w:rsidR="00AB755C" w:rsidRPr="00240C3C" w:rsidRDefault="00AB755C" w:rsidP="00AB755C">
      <w:pPr>
        <w:pStyle w:val="SingleTxtG"/>
        <w:rPr>
          <w:rFonts w:eastAsiaTheme="minorHAnsi"/>
        </w:rPr>
      </w:pPr>
      <w:r>
        <w:t>25.</w:t>
      </w:r>
      <w:r>
        <w:tab/>
        <w:t>По приглашению неофициальной рабочей группы по электромобилям МОПАП организовала презентацию, посвященную критериям конструкции и элементам безопасности аккумуляторного грузового электромобиля. Делегаты, участвовавшие в работе сессии в очном режиме, также имели возможность увидеть аккумуляторный электромобиль, выставленный во Дворце Наций. Представитель МОПАП предложила делегациям, желающим получить дополнительную техническую информацию, присоединиться к неофициальной рабочей группе по электромобилям.</w:t>
      </w:r>
    </w:p>
    <w:p w14:paraId="3EA322A8" w14:textId="77777777"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tab/>
        <w:t>2.</w:t>
      </w:r>
      <w:r>
        <w:tab/>
      </w:r>
      <w:r>
        <w:rPr>
          <w:b/>
          <w:bCs/>
        </w:rPr>
        <w:t>Работа неофициальной рабочей группы по электромобилям</w:t>
      </w:r>
      <w:bookmarkStart w:id="6" w:name="_Hlk103239770"/>
      <w:bookmarkEnd w:id="6"/>
    </w:p>
    <w:p w14:paraId="13756392" w14:textId="0F3EB0CE" w:rsidR="00AB755C" w:rsidRPr="00240C3C" w:rsidRDefault="00AB755C" w:rsidP="00AB755C">
      <w:pPr>
        <w:spacing w:after="120"/>
        <w:ind w:left="3402" w:right="1134" w:hanging="2268"/>
      </w:pPr>
      <w:r>
        <w:rPr>
          <w:i/>
          <w:iCs/>
        </w:rPr>
        <w:t>Документ</w:t>
      </w:r>
      <w:r>
        <w:t>:</w:t>
      </w:r>
      <w:r>
        <w:tab/>
      </w:r>
      <w:r>
        <w:tab/>
      </w:r>
      <w:r>
        <w:tab/>
        <w:t xml:space="preserve">ECE/TRANS/WP.15/2022/5 </w:t>
      </w:r>
      <w:r>
        <w:br/>
      </w:r>
      <w:r>
        <w:tab/>
      </w:r>
      <w:r>
        <w:tab/>
        <w:t xml:space="preserve">(Нидерланды от имени неофициальной </w:t>
      </w:r>
      <w:r>
        <w:br/>
      </w:r>
      <w:r>
        <w:tab/>
      </w:r>
      <w:r>
        <w:tab/>
        <w:t>рабочей группы по электромобилям)</w:t>
      </w:r>
    </w:p>
    <w:p w14:paraId="19799808" w14:textId="56AA04FB" w:rsidR="00AB755C" w:rsidRPr="00240C3C" w:rsidRDefault="00AB755C" w:rsidP="00AB755C">
      <w:pPr>
        <w:spacing w:after="120"/>
        <w:ind w:left="3402" w:right="1134" w:hanging="2268"/>
      </w:pPr>
      <w:r>
        <w:rPr>
          <w:i/>
          <w:iCs/>
        </w:rPr>
        <w:t>Неофициальные документы</w:t>
      </w:r>
      <w:r>
        <w:t>:</w:t>
      </w:r>
      <w:r>
        <w:tab/>
        <w:t xml:space="preserve">INF.12 (МОПАП), INF.14 (Германия), </w:t>
      </w:r>
      <w:r>
        <w:br/>
      </w:r>
      <w:r>
        <w:tab/>
      </w:r>
      <w:r>
        <w:tab/>
        <w:t xml:space="preserve">INF.18 (Председатель неофициальной </w:t>
      </w:r>
      <w:r>
        <w:br/>
      </w:r>
      <w:r>
        <w:tab/>
      </w:r>
      <w:r>
        <w:tab/>
        <w:t>рабочей группы по электромобилям)</w:t>
      </w:r>
    </w:p>
    <w:p w14:paraId="68CA2306" w14:textId="77777777" w:rsidR="00AB755C" w:rsidRPr="00240C3C" w:rsidRDefault="00AB755C" w:rsidP="00AB755C">
      <w:pPr>
        <w:pStyle w:val="SingleTxtG"/>
      </w:pPr>
      <w:r>
        <w:t>26.</w:t>
      </w:r>
      <w:r>
        <w:tab/>
        <w:t xml:space="preserve">Представитель Нидерландов в качестве Председателя неофициальной рабочей группы по электромобилям сообщил о ходе работы группы и предлагаемых поправках, разрешающих допускать электромобили к перевозке опасных грузов. </w:t>
      </w:r>
    </w:p>
    <w:p w14:paraId="2DAE9F42" w14:textId="77777777" w:rsidR="00AB755C" w:rsidRPr="00240C3C" w:rsidRDefault="00AB755C" w:rsidP="00AB755C">
      <w:pPr>
        <w:pStyle w:val="SingleTxtG"/>
        <w:rPr>
          <w:rFonts w:eastAsiaTheme="minorHAnsi"/>
        </w:rPr>
      </w:pPr>
      <w:bookmarkStart w:id="7" w:name="_Hlk103602366"/>
      <w:r>
        <w:t>27.</w:t>
      </w:r>
      <w:r>
        <w:tab/>
        <w:t>Рабочая группа приняла предложенный неофициальной рабочей группой поэтапный подход, согласно которому сначала необходимо обсудить положения, позволяющие использовать аккумуляторные электромобили в качестве транспортных средств категории АТ. Рабочая группа отметила, что в рамках неофициальной группы будет продолжена работа по разработке положений, применимых к другим категориям транспортных средств, а также к другим типам двигателей.</w:t>
      </w:r>
    </w:p>
    <w:bookmarkEnd w:id="7"/>
    <w:p w14:paraId="1F20670B" w14:textId="77777777" w:rsidR="00AB755C" w:rsidRPr="00240C3C" w:rsidRDefault="00AB755C" w:rsidP="00AB755C">
      <w:pPr>
        <w:pStyle w:val="SingleTxtG"/>
        <w:rPr>
          <w:rFonts w:eastAsiaTheme="minorHAnsi"/>
        </w:rPr>
      </w:pPr>
      <w:r>
        <w:t>28.</w:t>
      </w:r>
      <w:r>
        <w:tab/>
        <w:t>Рабочая группа также отметила, что работа над положениями об электрических обогревательных приборах будет продолжена в рамках неофициальной группы и что принятие предлагаемых поправок с целью введении положений по этим обогревательным приборам является преждевременным.</w:t>
      </w:r>
    </w:p>
    <w:p w14:paraId="391DD016" w14:textId="77777777" w:rsidR="00AB755C" w:rsidRPr="00240C3C" w:rsidRDefault="00AB755C" w:rsidP="00AB755C">
      <w:pPr>
        <w:pStyle w:val="SingleTxtG"/>
      </w:pPr>
      <w:r>
        <w:t>29.</w:t>
      </w:r>
      <w:r>
        <w:tab/>
        <w:t xml:space="preserve">Рабочая группа приняла к сведению оговорки делегации Германии, изложенные в неофициальном документе INF.14, и рекомендации, сформулированные МОПАП в неофициальном документе INF.12. </w:t>
      </w:r>
    </w:p>
    <w:p w14:paraId="47C4B395" w14:textId="77777777" w:rsidR="00AB755C" w:rsidRPr="00240C3C" w:rsidRDefault="00AB755C" w:rsidP="00AB755C">
      <w:pPr>
        <w:pStyle w:val="SingleTxtG"/>
      </w:pPr>
      <w:r>
        <w:t>30.</w:t>
      </w:r>
      <w:r>
        <w:tab/>
        <w:t xml:space="preserve">После обсуждения Рабочей группе было предложено принять решение по предлагаемым поправкам, содержащимся в пунктах 1 и 3–8 приложения к неофициальному документу INF.18, без текста, заключенного в квадратные скобки в новом подразделе 9.2.4.6 (пункт 7). </w:t>
      </w:r>
    </w:p>
    <w:p w14:paraId="602A41EE" w14:textId="0A160686" w:rsidR="00AB755C" w:rsidRPr="00240C3C" w:rsidRDefault="00AB755C" w:rsidP="00AB755C">
      <w:pPr>
        <w:spacing w:after="120"/>
        <w:ind w:left="1134" w:right="1134"/>
        <w:jc w:val="both"/>
      </w:pPr>
      <w:r>
        <w:t>31.</w:t>
      </w:r>
      <w:r>
        <w:tab/>
        <w:t>Рабочая группа приняла эти предложения для вступления в силу 1 января 2023</w:t>
      </w:r>
      <w:r w:rsidR="004040E9">
        <w:rPr>
          <w:lang w:val="fr-CH"/>
        </w:rPr>
        <w:t> </w:t>
      </w:r>
      <w:r>
        <w:t>года с некоторыми редакционными изменениями (см. приложение I)</w:t>
      </w:r>
      <w:r>
        <w:rPr>
          <w:rStyle w:val="FootnoteReference"/>
        </w:rPr>
        <w:footnoteReference w:id="1"/>
      </w:r>
      <w:r>
        <w:t>.</w:t>
      </w:r>
    </w:p>
    <w:p w14:paraId="50302964" w14:textId="77777777" w:rsidR="00AB755C" w:rsidRPr="00240C3C" w:rsidRDefault="00AB755C" w:rsidP="00AB755C">
      <w:pPr>
        <w:spacing w:after="120"/>
        <w:ind w:left="1134" w:right="1134"/>
        <w:jc w:val="both"/>
      </w:pPr>
      <w:r>
        <w:t>32.</w:t>
      </w:r>
      <w:r>
        <w:tab/>
        <w:t xml:space="preserve">Рабочая группа поблагодарила участников и Председателя неофициальной рабочей группы за проделанную важную работу и призвала их продолжить эту работу. </w:t>
      </w:r>
    </w:p>
    <w:p w14:paraId="62B0CAAD" w14:textId="77777777" w:rsidR="00AB755C" w:rsidRPr="00240C3C" w:rsidRDefault="00AB755C" w:rsidP="00AB755C">
      <w:pPr>
        <w:spacing w:after="120"/>
        <w:ind w:left="1134" w:right="1134"/>
        <w:jc w:val="both"/>
      </w:pPr>
      <w:r>
        <w:t>33.</w:t>
      </w:r>
      <w:r>
        <w:tab/>
        <w:t xml:space="preserve">Рабочая группа приветствовала принятие этих новых положений, разрешающих использование аккумуляторных электромобилей в качестве транспортных средств категории AT, а также ожидаемые будущие изменения, направленные на обеспечение </w:t>
      </w:r>
      <w:r>
        <w:lastRenderedPageBreak/>
        <w:t>возможности использования альтернативных источников энергии для перевозки опасных грузов и соответствующие логике энергетического перехода и развития возобновляемых источников энергии.</w:t>
      </w:r>
    </w:p>
    <w:p w14:paraId="335C3786" w14:textId="77777777" w:rsidR="00AB755C" w:rsidRPr="00240C3C" w:rsidRDefault="00AB755C" w:rsidP="00AB755C">
      <w:pPr>
        <w:pStyle w:val="H23G"/>
        <w:rPr>
          <w:rFonts w:eastAsiaTheme="minorHAnsi"/>
        </w:rPr>
      </w:pPr>
      <w:r>
        <w:rPr>
          <w:bCs/>
        </w:rPr>
        <w:tab/>
        <w:t>3.</w:t>
      </w:r>
      <w:r>
        <w:tab/>
      </w:r>
      <w:r>
        <w:rPr>
          <w:bCs/>
        </w:rPr>
        <w:t>Стандарты на автомобильные электрические кабели</w:t>
      </w:r>
    </w:p>
    <w:p w14:paraId="73CAE000" w14:textId="0A49DF40" w:rsidR="00AB755C" w:rsidRPr="00240C3C" w:rsidRDefault="00AB755C" w:rsidP="00AB755C">
      <w:pPr>
        <w:spacing w:after="120"/>
        <w:ind w:left="3402" w:right="1134" w:hanging="2268"/>
      </w:pPr>
      <w:r>
        <w:rPr>
          <w:i/>
          <w:iCs/>
        </w:rPr>
        <w:t>Документ</w:t>
      </w:r>
      <w:r>
        <w:t>:</w:t>
      </w:r>
      <w:r>
        <w:tab/>
      </w:r>
      <w:r>
        <w:tab/>
      </w:r>
      <w:r>
        <w:tab/>
        <w:t xml:space="preserve">ECE/TRANS/WP.15/2022/4 </w:t>
      </w:r>
      <w:r>
        <w:br/>
      </w:r>
      <w:r>
        <w:tab/>
      </w:r>
      <w:r>
        <w:tab/>
        <w:t xml:space="preserve">(Нидерланды от имени неофициальной </w:t>
      </w:r>
      <w:r>
        <w:br/>
      </w:r>
      <w:r>
        <w:tab/>
      </w:r>
      <w:r>
        <w:tab/>
        <w:t>рабочей группы по электромобилям)</w:t>
      </w:r>
    </w:p>
    <w:p w14:paraId="4900556A" w14:textId="77777777" w:rsidR="00AB755C" w:rsidRPr="00240C3C" w:rsidRDefault="00AB755C" w:rsidP="00AB755C">
      <w:pPr>
        <w:pStyle w:val="SingleTxtG"/>
      </w:pPr>
      <w:r>
        <w:t>34.</w:t>
      </w:r>
      <w:r>
        <w:tab/>
        <w:t>Рабочая группа приняла изложенные в документе ECE/TRANS/WP.15/2022/4 предлагаемые поправки, предусматривающие обновление ссылок на стандарты на электрические кабели (см. приложение I).</w:t>
      </w:r>
    </w:p>
    <w:p w14:paraId="2CD98F43" w14:textId="77777777" w:rsidR="00AB755C" w:rsidRPr="00240C3C" w:rsidRDefault="00AB755C" w:rsidP="00AB755C">
      <w:pPr>
        <w:pStyle w:val="H1G"/>
      </w:pPr>
      <w:r>
        <w:rPr>
          <w:bCs/>
        </w:rPr>
        <w:tab/>
        <w:t>B.</w:t>
      </w:r>
      <w:r>
        <w:tab/>
      </w:r>
      <w:r>
        <w:rPr>
          <w:bCs/>
        </w:rPr>
        <w:t>Различные предложения</w:t>
      </w:r>
    </w:p>
    <w:p w14:paraId="3159C951" w14:textId="77777777" w:rsidR="00AB755C" w:rsidRPr="00E60984" w:rsidRDefault="00AB755C" w:rsidP="00AB755C">
      <w:pPr>
        <w:keepNext/>
        <w:keepLines/>
        <w:tabs>
          <w:tab w:val="right" w:pos="851"/>
        </w:tabs>
        <w:spacing w:before="240" w:after="120" w:line="240" w:lineRule="exact"/>
        <w:ind w:left="1134" w:right="1134" w:hanging="1134"/>
        <w:outlineLvl w:val="3"/>
        <w:rPr>
          <w:b/>
        </w:rPr>
      </w:pPr>
      <w:r>
        <w:rPr>
          <w:b/>
          <w:bCs/>
        </w:rPr>
        <w:tab/>
        <w:t>1.</w:t>
      </w:r>
      <w:r>
        <w:tab/>
      </w:r>
      <w:r>
        <w:rPr>
          <w:b/>
          <w:bCs/>
        </w:rPr>
        <w:t>Исправления к двадцать второму пересмотренному изданию Типовых правил</w:t>
      </w:r>
    </w:p>
    <w:p w14:paraId="5C8D094F" w14:textId="4F0656B7" w:rsidR="00AB755C" w:rsidRPr="00240C3C" w:rsidRDefault="00AB755C" w:rsidP="00AB755C">
      <w:pPr>
        <w:tabs>
          <w:tab w:val="left" w:pos="3969"/>
        </w:tabs>
        <w:spacing w:after="120"/>
        <w:ind w:left="3402" w:right="1134" w:hanging="2268"/>
        <w:jc w:val="both"/>
      </w:pPr>
      <w:r>
        <w:rPr>
          <w:i/>
          <w:iCs/>
        </w:rPr>
        <w:t>Неофициальный документ</w:t>
      </w:r>
      <w:r>
        <w:t>:</w:t>
      </w:r>
      <w:r>
        <w:tab/>
      </w:r>
      <w:r>
        <w:tab/>
        <w:t>INF.11 (секретариат)</w:t>
      </w:r>
    </w:p>
    <w:p w14:paraId="29AAF038" w14:textId="7C9AA03C" w:rsidR="00AB755C" w:rsidRPr="00240C3C" w:rsidRDefault="00AB755C" w:rsidP="00AB755C">
      <w:pPr>
        <w:spacing w:after="120"/>
        <w:ind w:left="1134" w:right="1134"/>
        <w:jc w:val="both"/>
      </w:pPr>
      <w:r>
        <w:t>35.</w:t>
      </w:r>
      <w:r>
        <w:tab/>
        <w:t>Рабочая группа подтвердила, что содержащиеся в неофициальном документе INF.11 исправления, принятые Подкомитетом экспертов по перевозке опасных грузов, должны быть отражены в проектах поправок, которые должны вступить в силу 1</w:t>
      </w:r>
      <w:r w:rsidR="004040E9">
        <w:rPr>
          <w:lang w:val="fr-CH"/>
        </w:rPr>
        <w:t> </w:t>
      </w:r>
      <w:r>
        <w:t>января 2023 года (см. приложение I).</w:t>
      </w:r>
    </w:p>
    <w:p w14:paraId="1DCE69FD" w14:textId="77777777"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tab/>
        <w:t>2.</w:t>
      </w:r>
      <w:r>
        <w:tab/>
      </w:r>
      <w:r>
        <w:rPr>
          <w:b/>
          <w:bCs/>
        </w:rPr>
        <w:t>Ссылка на раздел 5.4.2 Международного кодекса морской перевозки опасных грузов (МКМПОГ)</w:t>
      </w:r>
    </w:p>
    <w:p w14:paraId="12C4D9FE" w14:textId="77777777" w:rsidR="00AB755C" w:rsidRPr="00240C3C" w:rsidRDefault="00AB755C" w:rsidP="00AB755C">
      <w:pPr>
        <w:spacing w:after="120"/>
        <w:ind w:left="3402" w:right="1134" w:hanging="2268"/>
        <w:jc w:val="both"/>
      </w:pPr>
      <w:r>
        <w:rPr>
          <w:i/>
          <w:iCs/>
        </w:rPr>
        <w:t>Неофициальный документ</w:t>
      </w:r>
      <w:r>
        <w:t>:</w:t>
      </w:r>
      <w:r>
        <w:tab/>
        <w:t>INF.16 (секретариат)</w:t>
      </w:r>
    </w:p>
    <w:p w14:paraId="24EB98E7" w14:textId="622B523B" w:rsidR="00AB755C" w:rsidRPr="00240C3C" w:rsidRDefault="00AB755C" w:rsidP="00AB755C">
      <w:pPr>
        <w:pStyle w:val="SingleTxtG"/>
      </w:pPr>
      <w:r>
        <w:t>36.</w:t>
      </w:r>
      <w:r>
        <w:tab/>
        <w:t>Рабочая группа подтвердила, что сноска 6 в разделе 5.4.2 ДОПОГ, содержащая ссылку на раздел 5.4.2 МКМПОГ, должна быть обновлена с учетом Поправки 40</w:t>
      </w:r>
      <w:r w:rsidR="00DD235A" w:rsidRPr="00DD235A">
        <w:t>–</w:t>
      </w:r>
      <w:r>
        <w:t>20 к МКМПОГ. Соответствующие поправки были приняты для вступления в силу 1 января 2023 года (см. приложение I).</w:t>
      </w:r>
    </w:p>
    <w:p w14:paraId="7D558F29" w14:textId="77777777"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tab/>
        <w:t>3.</w:t>
      </w:r>
      <w:r>
        <w:tab/>
      </w:r>
      <w:r>
        <w:rPr>
          <w:b/>
          <w:bCs/>
        </w:rPr>
        <w:t>Главы 8.4 и 8.5: требования, касающиеся наблюдения за транспортными средствами</w:t>
      </w:r>
    </w:p>
    <w:p w14:paraId="56620F67" w14:textId="59F188CB" w:rsidR="00AB755C" w:rsidRPr="00240C3C" w:rsidRDefault="00AB755C" w:rsidP="00AB755C">
      <w:pPr>
        <w:spacing w:after="120"/>
        <w:ind w:left="3402" w:right="1134" w:hanging="2268"/>
        <w:jc w:val="both"/>
      </w:pPr>
      <w:r>
        <w:rPr>
          <w:i/>
          <w:iCs/>
        </w:rPr>
        <w:t>Документ</w:t>
      </w:r>
      <w:r>
        <w:t>:</w:t>
      </w:r>
      <w:r>
        <w:tab/>
      </w:r>
      <w:r>
        <w:tab/>
      </w:r>
      <w:r>
        <w:tab/>
        <w:t>ECE/TRANS/WP.15/2022/2 (Германия)</w:t>
      </w:r>
    </w:p>
    <w:p w14:paraId="0AF5D7D6" w14:textId="77777777" w:rsidR="00AB755C" w:rsidRPr="00240C3C" w:rsidRDefault="00AB755C" w:rsidP="00AB755C">
      <w:pPr>
        <w:pStyle w:val="SingleTxtG"/>
      </w:pPr>
      <w:r>
        <w:t>37.</w:t>
      </w:r>
      <w:r>
        <w:tab/>
        <w:t>Представитель Германии заявила, что с учетом замечаний, полученных до начала сессии, документ ECE/TRANS/WP.15/2022/2 был представлен не для принятия решения, а только для обсуждения.</w:t>
      </w:r>
    </w:p>
    <w:p w14:paraId="1465D20F" w14:textId="77777777" w:rsidR="00AB755C" w:rsidRPr="00240C3C" w:rsidRDefault="00AB755C" w:rsidP="00AB755C">
      <w:pPr>
        <w:pStyle w:val="SingleTxtG"/>
      </w:pPr>
      <w:r>
        <w:t>38.</w:t>
      </w:r>
      <w:r>
        <w:tab/>
        <w:t xml:space="preserve">Мнения разделились по поводу того, являются ли положения глав 8.4 и 8.5 избыточными по отношению к положениям главы 1.10, касающимся обеспечения безопасности, и следует ли исключить или обновить главы 8.4 и 8.5. </w:t>
      </w:r>
    </w:p>
    <w:p w14:paraId="21384E76" w14:textId="77777777" w:rsidR="00AB755C" w:rsidRPr="00240C3C" w:rsidRDefault="00AB755C" w:rsidP="00AB755C">
      <w:pPr>
        <w:pStyle w:val="SingleTxtG"/>
        <w:rPr>
          <w:rFonts w:eastAsiaTheme="minorHAnsi"/>
        </w:rPr>
      </w:pPr>
      <w:r>
        <w:t>39.</w:t>
      </w:r>
      <w:r>
        <w:tab/>
        <w:t xml:space="preserve">Представитель Германии отметила замечания, высказанные в ходе сессии, а также опасения по поводу предложений, сформулированных в документе ECE/TRANS/WP.15/2022/2. Она заявила, что Германия примет решение о целесообразности представления пересмотренного предложения с учетом высказанных замечаний и после обсуждения с экспертами по классу 1 вопроса о наблюдении за грузами взрывчатых веществ и изделий. </w:t>
      </w:r>
    </w:p>
    <w:p w14:paraId="0826C383" w14:textId="0C5AFE42"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tab/>
        <w:t>4.</w:t>
      </w:r>
      <w:r>
        <w:tab/>
      </w:r>
      <w:r>
        <w:rPr>
          <w:b/>
          <w:bCs/>
        </w:rPr>
        <w:t>Включение сверхбольших контейнеров-цистерн в образец отчета о</w:t>
      </w:r>
      <w:r w:rsidR="00FD5A3E">
        <w:rPr>
          <w:b/>
          <w:bCs/>
          <w:lang w:val="fr-CH"/>
        </w:rPr>
        <w:t> </w:t>
      </w:r>
      <w:r>
        <w:rPr>
          <w:b/>
          <w:bCs/>
        </w:rPr>
        <w:t>происшествиях во время перевозки опасных грузов</w:t>
      </w:r>
    </w:p>
    <w:p w14:paraId="5227265F" w14:textId="77777777" w:rsidR="00AB755C" w:rsidRPr="00240C3C" w:rsidRDefault="00AB755C" w:rsidP="00AB755C">
      <w:pPr>
        <w:spacing w:after="120"/>
        <w:ind w:left="3402" w:right="1134" w:hanging="2268"/>
        <w:jc w:val="both"/>
      </w:pPr>
      <w:r>
        <w:rPr>
          <w:i/>
          <w:iCs/>
        </w:rPr>
        <w:t>Неофициальный документ</w:t>
      </w:r>
      <w:r>
        <w:t>:</w:t>
      </w:r>
      <w:r>
        <w:tab/>
        <w:t>INF.13 (ОТИФ)</w:t>
      </w:r>
    </w:p>
    <w:p w14:paraId="42F7E3AD" w14:textId="77777777" w:rsidR="00AB755C" w:rsidRPr="00240C3C" w:rsidRDefault="00AB755C" w:rsidP="00AB755C">
      <w:pPr>
        <w:pStyle w:val="SingleTxtG"/>
        <w:rPr>
          <w:rFonts w:eastAsiaTheme="minorHAnsi"/>
        </w:rPr>
      </w:pPr>
      <w:r>
        <w:t>40.</w:t>
      </w:r>
      <w:r>
        <w:tab/>
        <w:t xml:space="preserve">Предложение, содержащееся в неофициальном документе INF.13, было принято для вступления в силу 1 января 2023 года (см. приложение I). </w:t>
      </w:r>
    </w:p>
    <w:p w14:paraId="3AE64388" w14:textId="3177C882"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lastRenderedPageBreak/>
        <w:tab/>
        <w:t>5.</w:t>
      </w:r>
      <w:r>
        <w:tab/>
      </w:r>
      <w:r>
        <w:rPr>
          <w:b/>
          <w:bCs/>
        </w:rPr>
        <w:t>Требования к обеспечению безопасности при перевозке опасных грузов в</w:t>
      </w:r>
      <w:r w:rsidR="00FD5A3E">
        <w:rPr>
          <w:b/>
          <w:bCs/>
          <w:lang w:val="fr-CH"/>
        </w:rPr>
        <w:t> </w:t>
      </w:r>
      <w:r>
        <w:rPr>
          <w:b/>
          <w:bCs/>
        </w:rPr>
        <w:t>соответствии с подразделом 1.1.3.6</w:t>
      </w:r>
    </w:p>
    <w:p w14:paraId="2EB99086" w14:textId="77777777" w:rsidR="00AB755C" w:rsidRPr="00240C3C" w:rsidRDefault="00AB755C" w:rsidP="00AB755C">
      <w:pPr>
        <w:spacing w:after="120"/>
        <w:ind w:left="3402" w:right="1134" w:hanging="2268"/>
        <w:jc w:val="both"/>
      </w:pPr>
      <w:r>
        <w:rPr>
          <w:i/>
          <w:iCs/>
        </w:rPr>
        <w:t>Документ</w:t>
      </w:r>
      <w:r>
        <w:t>:</w:t>
      </w:r>
      <w:r>
        <w:tab/>
      </w:r>
      <w:r>
        <w:tab/>
      </w:r>
      <w:r>
        <w:tab/>
        <w:t>ECE/TRANS/WP.15/2022/3 (Норвегия и Швеция)</w:t>
      </w:r>
    </w:p>
    <w:p w14:paraId="1FEA2F89" w14:textId="4DF3D1F2" w:rsidR="00AB755C" w:rsidRPr="00240C3C" w:rsidRDefault="00AB755C" w:rsidP="00AB755C">
      <w:pPr>
        <w:spacing w:after="120"/>
        <w:ind w:left="2694" w:right="1134" w:hanging="1560"/>
      </w:pPr>
      <w:r>
        <w:rPr>
          <w:i/>
          <w:iCs/>
        </w:rPr>
        <w:t>Неофициальные документы</w:t>
      </w:r>
      <w:r>
        <w:t>:</w:t>
      </w:r>
      <w:r>
        <w:tab/>
        <w:t xml:space="preserve">INF.19 (Норвегия и Швеция), </w:t>
      </w:r>
      <w:r>
        <w:br/>
      </w:r>
      <w:r>
        <w:tab/>
      </w:r>
      <w:r>
        <w:tab/>
      </w:r>
      <w:r>
        <w:tab/>
        <w:t>INF.26/Rev.1 (секретариат)</w:t>
      </w:r>
    </w:p>
    <w:p w14:paraId="762E5FDA" w14:textId="77777777" w:rsidR="00AB755C" w:rsidRPr="00240C3C" w:rsidRDefault="00AB755C" w:rsidP="00AB755C">
      <w:pPr>
        <w:spacing w:after="120"/>
        <w:ind w:left="1134" w:right="1134"/>
        <w:jc w:val="both"/>
      </w:pPr>
      <w:r>
        <w:t>41.</w:t>
      </w:r>
      <w:r>
        <w:tab/>
        <w:t>Вариант 1 был направлен на то, чтобы положения по обеспечению безопасности применялись ко всем грузам повышенной опасности без возможности применения изъятия в соответствии с подразделом 1.1.3.6.</w:t>
      </w:r>
    </w:p>
    <w:p w14:paraId="6C201A2A" w14:textId="77777777" w:rsidR="00AB755C" w:rsidRPr="00240C3C" w:rsidRDefault="00AB755C" w:rsidP="00AB755C">
      <w:pPr>
        <w:spacing w:after="120"/>
        <w:ind w:left="1134" w:right="1134"/>
        <w:jc w:val="both"/>
      </w:pPr>
      <w:r>
        <w:t>42.</w:t>
      </w:r>
      <w:r>
        <w:tab/>
        <w:t>Вариант 2 был направлен на то, чтобы распространить данную поправку только на грузы повышенной опасности класса 1.</w:t>
      </w:r>
    </w:p>
    <w:p w14:paraId="2698B3B9" w14:textId="77777777" w:rsidR="00AB755C" w:rsidRPr="00240C3C" w:rsidRDefault="00AB755C" w:rsidP="00AB755C">
      <w:pPr>
        <w:spacing w:after="120"/>
        <w:ind w:left="1134" w:right="1134"/>
        <w:jc w:val="both"/>
      </w:pPr>
      <w:r>
        <w:t>43.</w:t>
      </w:r>
      <w:r>
        <w:tab/>
        <w:t>Некоторые делегации выразили обеспокоенность по поводу последствий этих изменений для соответствующих отраслей. Ряд делегаций высказали пожелание получить больше статистических данных о рисках для безопасности, представляемых грузами в малых количествах, чтобы иметь возможность сформулировать свою позицию. Другие делегации указали, что представители промышленности и контролирующих служб в их странах выступают за принятие этих положений, чтобы повысить уровень безопасности перевозок, осуществляемых в соответствии с подразделом 1.1.3.6.</w:t>
      </w:r>
    </w:p>
    <w:p w14:paraId="4B337A6D" w14:textId="6D5131B4" w:rsidR="00AB755C" w:rsidRPr="00240C3C" w:rsidRDefault="00AB755C" w:rsidP="00AB755C">
      <w:pPr>
        <w:spacing w:after="120"/>
        <w:ind w:left="1134" w:right="1134"/>
        <w:jc w:val="both"/>
      </w:pPr>
      <w:r>
        <w:t>44.</w:t>
      </w:r>
      <w:r>
        <w:tab/>
        <w:t>Вариант</w:t>
      </w:r>
      <w:r w:rsidR="00FD5A3E">
        <w:rPr>
          <w:lang w:val="fr-CH"/>
        </w:rPr>
        <w:t> </w:t>
      </w:r>
      <w:r>
        <w:t>1, получивший незначительную поддержку, был исключен. В</w:t>
      </w:r>
      <w:r>
        <w:rPr>
          <w:lang w:val="fr-CH"/>
        </w:rPr>
        <w:t> </w:t>
      </w:r>
      <w:r>
        <w:t>результате голосования был принят вариант 2, который вступит в силу 1 января 2023</w:t>
      </w:r>
      <w:r w:rsidR="00FD5A3E">
        <w:rPr>
          <w:lang w:val="fr-CH"/>
        </w:rPr>
        <w:t> </w:t>
      </w:r>
      <w:r>
        <w:t xml:space="preserve">года. Рабочая группа также приняла сопутствующую поправку к пункту 1.10.4, содержащуюся в предложении 1 в неофициальном документе INF.19, и переходную меру, содержащуюся в качестве варианта 1 в неофициальном документе INF.26/Rev.1, с некоторыми редакционными изменениями (см. приложение I). </w:t>
      </w:r>
    </w:p>
    <w:p w14:paraId="10EC869C" w14:textId="77777777" w:rsidR="00AB755C" w:rsidRPr="00240C3C" w:rsidRDefault="00AB755C" w:rsidP="00AB755C">
      <w:pPr>
        <w:pStyle w:val="HChG"/>
        <w:rPr>
          <w:i/>
          <w:iCs/>
        </w:rPr>
      </w:pPr>
      <w:r>
        <w:rPr>
          <w:bCs/>
        </w:rPr>
        <w:tab/>
        <w:t>VII.</w:t>
      </w:r>
      <w:r>
        <w:tab/>
      </w:r>
      <w:r>
        <w:rPr>
          <w:bCs/>
        </w:rPr>
        <w:t>Толкование ДОПОГ (пункт 6 повестки дня)</w:t>
      </w:r>
      <w:r>
        <w:t xml:space="preserve"> </w:t>
      </w:r>
    </w:p>
    <w:p w14:paraId="5CF4CE6F" w14:textId="77777777" w:rsidR="00AB755C" w:rsidRPr="00240C3C" w:rsidRDefault="00AB755C" w:rsidP="00AB755C">
      <w:pPr>
        <w:pStyle w:val="H1G"/>
        <w:rPr>
          <w:rFonts w:eastAsiaTheme="minorHAnsi"/>
        </w:rPr>
      </w:pPr>
      <w:r>
        <w:rPr>
          <w:bCs/>
        </w:rPr>
        <w:tab/>
        <w:t>A.</w:t>
      </w:r>
      <w:r>
        <w:tab/>
      </w:r>
      <w:r>
        <w:rPr>
          <w:bCs/>
        </w:rPr>
        <w:t>Дистанционное обучение по вопросам ДОПОГ</w:t>
      </w:r>
    </w:p>
    <w:p w14:paraId="36A06845" w14:textId="327E5D62" w:rsidR="00AB755C" w:rsidRPr="00240C3C" w:rsidRDefault="00AB755C" w:rsidP="00AB755C">
      <w:pPr>
        <w:spacing w:after="120"/>
        <w:ind w:left="3402" w:right="1134" w:hanging="2268"/>
        <w:jc w:val="both"/>
      </w:pPr>
      <w:r>
        <w:rPr>
          <w:i/>
          <w:iCs/>
        </w:rPr>
        <w:t>Документ</w:t>
      </w:r>
      <w:r>
        <w:t>:</w:t>
      </w:r>
      <w:r>
        <w:tab/>
      </w:r>
      <w:r>
        <w:tab/>
      </w:r>
      <w:r>
        <w:tab/>
        <w:t>ECE/TRANS/WP.15/2022/1 (Швеция)</w:t>
      </w:r>
    </w:p>
    <w:p w14:paraId="42CCE0C7" w14:textId="77777777" w:rsidR="00AB755C" w:rsidRPr="00AB755C" w:rsidRDefault="00AB755C" w:rsidP="00AB755C">
      <w:pPr>
        <w:pStyle w:val="SingleTxtG"/>
      </w:pPr>
      <w:r>
        <w:t>45.</w:t>
      </w:r>
      <w:r>
        <w:tab/>
        <w:t>Представитель Швеции задала вопрос о том, позволяют ли положения главы 8.2 преподавателю проводить теоретическую</w:t>
      </w:r>
      <w:r w:rsidRPr="00AB755C">
        <w:t xml:space="preserve"> часть обучения по вопросам ДОПОГ дистанционно. </w:t>
      </w:r>
    </w:p>
    <w:p w14:paraId="48D81799" w14:textId="77777777" w:rsidR="00AB755C" w:rsidRPr="00AB755C" w:rsidRDefault="00AB755C" w:rsidP="00AB755C">
      <w:pPr>
        <w:pStyle w:val="SingleTxtG"/>
      </w:pPr>
      <w:r w:rsidRPr="00AB755C">
        <w:t>46.</w:t>
      </w:r>
      <w:r w:rsidRPr="00AB755C">
        <w:tab/>
        <w:t>Некоторые делегации высказали мнение, что ДОПОГ не запрещает, чтобы теоретическая часть обучения проводилась преподавателем дистанционно. Другие делегации сочли, что действующие положения не допускают возможности такого обучения. Несколько делегаций высказались за изменение положений главы 8.2, чтобы создать четкую основу для проведения дистанционного обучения, в частности для контролирования активного присутствия участников на протяжении всего курса и для обеспечения того, чтобы по своему качеству курсы дистанционного обучения были равноценны очным курсам.</w:t>
      </w:r>
    </w:p>
    <w:p w14:paraId="250E123D" w14:textId="77777777" w:rsidR="00AB755C" w:rsidRPr="00AB755C" w:rsidRDefault="00AB755C" w:rsidP="00AB755C">
      <w:pPr>
        <w:pStyle w:val="SingleTxtG"/>
      </w:pPr>
      <w:r w:rsidRPr="00AB755C">
        <w:t>47.</w:t>
      </w:r>
      <w:r w:rsidRPr="00AB755C">
        <w:tab/>
        <w:t xml:space="preserve">Рабочая группа с интересом отметила текущую работу неофициальной рабочей группы по электронному обучению Совместного совещания, мандат которой сосредоточен на электронном обучении (e-learning), но также охватывает дистанционное обучение (remote training). </w:t>
      </w:r>
    </w:p>
    <w:p w14:paraId="27DE76D8" w14:textId="77777777" w:rsidR="00AB755C" w:rsidRPr="00240C3C" w:rsidRDefault="00AB755C" w:rsidP="00AB755C">
      <w:pPr>
        <w:pStyle w:val="H1G"/>
        <w:rPr>
          <w:rFonts w:eastAsiaTheme="minorHAnsi"/>
        </w:rPr>
      </w:pPr>
      <w:r>
        <w:rPr>
          <w:bCs/>
        </w:rPr>
        <w:tab/>
        <w:t>B.</w:t>
      </w:r>
      <w:r>
        <w:tab/>
      </w:r>
      <w:r>
        <w:rPr>
          <w:bCs/>
        </w:rPr>
        <w:t>Требования в отношении обеспечения безопасности</w:t>
      </w:r>
    </w:p>
    <w:p w14:paraId="1C81F74A" w14:textId="77777777" w:rsidR="00AB755C" w:rsidRPr="00240C3C" w:rsidRDefault="00AB755C" w:rsidP="00AB755C">
      <w:pPr>
        <w:spacing w:after="120"/>
        <w:ind w:left="3402" w:right="1134" w:hanging="2268"/>
        <w:jc w:val="both"/>
      </w:pPr>
      <w:r>
        <w:rPr>
          <w:i/>
          <w:iCs/>
        </w:rPr>
        <w:t>Неофициальный документ</w:t>
      </w:r>
      <w:r>
        <w:t>:</w:t>
      </w:r>
      <w:r>
        <w:tab/>
        <w:t>INF.4 (Швеция)</w:t>
      </w:r>
    </w:p>
    <w:p w14:paraId="40F89BEA" w14:textId="77777777" w:rsidR="00AB755C" w:rsidRPr="00AB755C" w:rsidRDefault="00AB755C" w:rsidP="00AB755C">
      <w:pPr>
        <w:pStyle w:val="SingleTxtG"/>
      </w:pPr>
      <w:r>
        <w:t>48.</w:t>
      </w:r>
      <w:r>
        <w:tab/>
        <w:t>Несколько делегаций отметили, что перевозка и погрузка-разгрузка взрывчатых веществ и изделий также регули</w:t>
      </w:r>
      <w:r w:rsidRPr="00AB755C">
        <w:t xml:space="preserve">руются на национальном уровне и что в этой связи могут применяться положения, дополняющие положения ДОПОГ, в частности в </w:t>
      </w:r>
      <w:r w:rsidRPr="00AB755C">
        <w:lastRenderedPageBreak/>
        <w:t>отношении запирающих устройств транспортных средств и их кузовов или систем сигнализации.</w:t>
      </w:r>
    </w:p>
    <w:p w14:paraId="1C82252B" w14:textId="77777777" w:rsidR="00AB755C" w:rsidRPr="00AB755C" w:rsidRDefault="00AB755C" w:rsidP="00AB755C">
      <w:pPr>
        <w:pStyle w:val="SingleTxtG"/>
      </w:pPr>
      <w:r w:rsidRPr="00AB755C">
        <w:t>49.</w:t>
      </w:r>
      <w:r w:rsidRPr="00AB755C">
        <w:tab/>
        <w:t>Выступившие делегации не поддержали идею сделать обязательным использование закрытых транспортных средств для перевозки грузов повышенной опасности класса 1.</w:t>
      </w:r>
    </w:p>
    <w:p w14:paraId="47D8AF33" w14:textId="77777777" w:rsidR="00AB755C" w:rsidRPr="00240C3C" w:rsidRDefault="00AB755C" w:rsidP="00AB755C">
      <w:pPr>
        <w:pStyle w:val="SingleTxtG"/>
      </w:pPr>
      <w:r w:rsidRPr="00AB755C">
        <w:t>50.</w:t>
      </w:r>
      <w:r w:rsidRPr="00AB755C">
        <w:tab/>
        <w:t>Несколько делегаций высказали мнение, что положения о запирании грузовых отделений можно было бы уточнить, определив минимальные требования к типу используемых запирающих устр</w:t>
      </w:r>
      <w:r>
        <w:t>ойств, например путем ссылки на какой-либо стандарт. Представитель Швеции указала, что она может подготовить предложение о соответствующей поправке к требованиям, изложенным в положении S1 (7).</w:t>
      </w:r>
    </w:p>
    <w:p w14:paraId="5EC6036E" w14:textId="0CD41BA6" w:rsidR="00AB755C" w:rsidRPr="00240C3C" w:rsidRDefault="00AB755C" w:rsidP="00AB755C">
      <w:pPr>
        <w:pStyle w:val="SingleTxtG"/>
      </w:pPr>
      <w:r>
        <w:t>51.</w:t>
      </w:r>
      <w:r>
        <w:tab/>
        <w:t>Что касается вопроса об устройствах, оборудовании или системах защиты от угона, требуемых согласно пункту 1.10.3.3 для грузов повышенной опасности, то выступившие делегации высказали мнение, что эти положения были намеренно сформулированы широко, чтобы у операторов была возможность выбора наилучшего способа защиты в зависимости от конфигурации и перевозимых грузов. Хотя пункт</w:t>
      </w:r>
      <w:r w:rsidR="00DD235A">
        <w:rPr>
          <w:lang w:val="fr-CH"/>
        </w:rPr>
        <w:t> </w:t>
      </w:r>
      <w:r>
        <w:t>1.10.3.3 не требовал установки системы сигнализации на транспортных средствах, это могло быть предписано в других правилах, применимых на национальном уровне.</w:t>
      </w:r>
    </w:p>
    <w:p w14:paraId="6D7E6CDF" w14:textId="77777777" w:rsidR="00AB755C" w:rsidRPr="00240C3C" w:rsidRDefault="00AB755C" w:rsidP="00AB755C">
      <w:pPr>
        <w:pStyle w:val="H1G"/>
        <w:rPr>
          <w:rFonts w:eastAsiaTheme="minorHAnsi"/>
        </w:rPr>
      </w:pPr>
      <w:r>
        <w:rPr>
          <w:bCs/>
        </w:rPr>
        <w:tab/>
        <w:t>C.</w:t>
      </w:r>
      <w:r>
        <w:tab/>
      </w:r>
      <w:r>
        <w:rPr>
          <w:bCs/>
        </w:rPr>
        <w:t>Определение закрытых транспортных средств</w:t>
      </w:r>
    </w:p>
    <w:p w14:paraId="2623A604" w14:textId="77777777" w:rsidR="00AB755C" w:rsidRPr="00240C3C" w:rsidRDefault="00AB755C" w:rsidP="00AB755C">
      <w:pPr>
        <w:spacing w:after="120"/>
        <w:ind w:left="3402" w:right="1134" w:hanging="2268"/>
        <w:jc w:val="both"/>
      </w:pPr>
      <w:r>
        <w:rPr>
          <w:i/>
          <w:iCs/>
        </w:rPr>
        <w:t>Неофициальный документ</w:t>
      </w:r>
      <w:r>
        <w:t>:</w:t>
      </w:r>
      <w:r>
        <w:tab/>
        <w:t>INF.20 (Норвегия)</w:t>
      </w:r>
    </w:p>
    <w:p w14:paraId="40A4BCCC" w14:textId="59D490BC" w:rsidR="00AB755C" w:rsidRPr="00240C3C" w:rsidRDefault="00AB755C" w:rsidP="00AB755C">
      <w:pPr>
        <w:pStyle w:val="SingleTxtG"/>
      </w:pPr>
      <w:r>
        <w:t>52.</w:t>
      </w:r>
      <w:r>
        <w:tab/>
        <w:t>Представитель Норвегии пожелал узнать мнение участников о том, следует ли рассматривать прицеп, представленный в неофициальном документе INF.20, как крытое брезентом транспортное средство или как закрытое транспортное средство. Мнения участников разделились, и несколько делегаций пожелали получить больше времени</w:t>
      </w:r>
      <w:r w:rsidR="00FD5A3E">
        <w:t>,</w:t>
      </w:r>
      <w:r>
        <w:t xml:space="preserve"> для того чтобы сформулировать окончательную позицию </w:t>
      </w:r>
      <w:proofErr w:type="gramStart"/>
      <w:r>
        <w:t>по этому</w:t>
      </w:r>
      <w:proofErr w:type="gramEnd"/>
      <w:r>
        <w:t xml:space="preserve"> поздно поставленному вопросу. Рабочая группа решила, что обсуждение данного документа будет проведено на следующей сессии и что необходимо проверить согласованность определений в вариантах на различных языках.</w:t>
      </w:r>
    </w:p>
    <w:p w14:paraId="0AEBB3AE" w14:textId="77777777" w:rsidR="00AB755C" w:rsidRPr="00240C3C" w:rsidRDefault="00AB755C" w:rsidP="00AB755C">
      <w:pPr>
        <w:pStyle w:val="H1G"/>
        <w:rPr>
          <w:rFonts w:eastAsiaTheme="minorHAnsi"/>
        </w:rPr>
      </w:pPr>
      <w:r>
        <w:rPr>
          <w:bCs/>
        </w:rPr>
        <w:tab/>
        <w:t>D.</w:t>
      </w:r>
      <w:r>
        <w:tab/>
      </w:r>
      <w:r>
        <w:rPr>
          <w:bCs/>
        </w:rPr>
        <w:t>Масса нетто взрывчатого вещества</w:t>
      </w:r>
    </w:p>
    <w:p w14:paraId="0F58DE53" w14:textId="77777777" w:rsidR="00AB755C" w:rsidRPr="00240C3C" w:rsidRDefault="00AB755C" w:rsidP="00AB755C">
      <w:pPr>
        <w:spacing w:after="120"/>
        <w:ind w:left="3402" w:right="1134" w:hanging="2268"/>
        <w:jc w:val="both"/>
      </w:pPr>
      <w:r>
        <w:rPr>
          <w:i/>
          <w:iCs/>
        </w:rPr>
        <w:t>Неофициальный документ</w:t>
      </w:r>
      <w:r>
        <w:t>:</w:t>
      </w:r>
      <w:r>
        <w:tab/>
        <w:t>INF.8 (Франция)</w:t>
      </w:r>
    </w:p>
    <w:p w14:paraId="5F55CDE6" w14:textId="77777777" w:rsidR="00AB755C" w:rsidRPr="00240C3C" w:rsidRDefault="00AB755C" w:rsidP="00AB755C">
      <w:pPr>
        <w:tabs>
          <w:tab w:val="left" w:pos="708"/>
        </w:tabs>
        <w:spacing w:after="120"/>
        <w:ind w:left="1134" w:right="1134"/>
        <w:jc w:val="both"/>
      </w:pPr>
      <w:r>
        <w:t>53.</w:t>
      </w:r>
      <w:r>
        <w:tab/>
        <w:t>Выступившие делегации подтвердили, что количество пиротехнических веществ должно учитываться при расчете массы нетто взрывчатого вещества, упомянутой в подразделе 7.5.5.2 и других положениях ДОПОГ, в которых используется это понятие, в частности в подразделе 1.1.3.6 и положениях об ограничениях проезда через туннели.</w:t>
      </w:r>
    </w:p>
    <w:p w14:paraId="79C8CFC9" w14:textId="77777777" w:rsidR="00AB755C" w:rsidRPr="00240C3C" w:rsidRDefault="00AB755C" w:rsidP="00AB755C">
      <w:pPr>
        <w:tabs>
          <w:tab w:val="left" w:pos="708"/>
        </w:tabs>
        <w:spacing w:after="120"/>
        <w:ind w:left="1134" w:right="1134"/>
        <w:jc w:val="both"/>
      </w:pPr>
      <w:r>
        <w:t>54.</w:t>
      </w:r>
      <w:r>
        <w:tab/>
        <w:t>Рабочая группа решила, что, возможно, было бы полезно уточнить определение массы нетто взрывчатого вещества в ДОПОГ. Было отмечено, что это определение взято из Типовых правил. Данный вопрос следует обсудить в Подкомитете экспертов по перевозке опасных грузов.</w:t>
      </w:r>
    </w:p>
    <w:p w14:paraId="27D84D0E" w14:textId="1319E78E" w:rsidR="00AB755C" w:rsidRPr="00240C3C" w:rsidRDefault="00AB755C" w:rsidP="00AB755C">
      <w:pPr>
        <w:pStyle w:val="H1G"/>
        <w:rPr>
          <w:rFonts w:eastAsiaTheme="minorHAnsi"/>
        </w:rPr>
      </w:pPr>
      <w:r>
        <w:rPr>
          <w:bCs/>
        </w:rPr>
        <w:tab/>
        <w:t>E.</w:t>
      </w:r>
      <w:r>
        <w:tab/>
      </w:r>
      <w:r>
        <w:rPr>
          <w:bCs/>
        </w:rPr>
        <w:t>Свидетельство ДОПОГ о допущении транспортного средства к</w:t>
      </w:r>
      <w:r w:rsidR="00DA4EC5">
        <w:rPr>
          <w:bCs/>
        </w:rPr>
        <w:t> </w:t>
      </w:r>
      <w:r>
        <w:rPr>
          <w:bCs/>
        </w:rPr>
        <w:t>перевозке</w:t>
      </w:r>
    </w:p>
    <w:p w14:paraId="3010CF74" w14:textId="77777777" w:rsidR="00AB755C" w:rsidRPr="00240C3C" w:rsidRDefault="00AB755C" w:rsidP="00AB755C">
      <w:pPr>
        <w:spacing w:after="120"/>
        <w:ind w:left="2694" w:right="1134" w:hanging="1560"/>
        <w:jc w:val="both"/>
      </w:pPr>
      <w:r>
        <w:rPr>
          <w:i/>
          <w:iCs/>
        </w:rPr>
        <w:t>Неофициальные документы</w:t>
      </w:r>
      <w:r>
        <w:t>:</w:t>
      </w:r>
      <w:r>
        <w:tab/>
        <w:t>INF.24 (Австрия), INF.27 и Add.1 (Польша)</w:t>
      </w:r>
    </w:p>
    <w:p w14:paraId="0FF365EB" w14:textId="77777777" w:rsidR="00AB755C" w:rsidRPr="00240C3C" w:rsidRDefault="00AB755C" w:rsidP="00AB755C">
      <w:pPr>
        <w:pStyle w:val="SingleTxtG"/>
      </w:pPr>
      <w:r>
        <w:t>55.</w:t>
      </w:r>
      <w:r>
        <w:tab/>
        <w:t xml:space="preserve">Выступившие делегации высказали мнение, что на свидетельства о допущении к перевозке можно дополнительно наносить такие элементы защиты, как голограмма, печать изображения, видимого только при ультрафиолетовом освещении, или гильоширный рисунок, не ставя под сомнение их действительность c точки зрения требований пункта 9.1.3.3. </w:t>
      </w:r>
    </w:p>
    <w:p w14:paraId="07999482" w14:textId="77777777" w:rsidR="00AB755C" w:rsidRPr="00240C3C" w:rsidRDefault="00AB755C" w:rsidP="00AB755C">
      <w:pPr>
        <w:pStyle w:val="SingleTxtG"/>
      </w:pPr>
      <w:r>
        <w:lastRenderedPageBreak/>
        <w:t xml:space="preserve">56. </w:t>
      </w:r>
      <w:r>
        <w:tab/>
        <w:t>Было также отмечено, что пункт 9.1.3.3 не требует, чтобы розовая диагональная полоса проходила от одной стороны страницы до другой. На некоторых свидетельствах она проходит только от одной стороны таблицы до другой.</w:t>
      </w:r>
    </w:p>
    <w:p w14:paraId="29E2F22E" w14:textId="77777777" w:rsidR="00AB755C" w:rsidRPr="00240C3C" w:rsidRDefault="00AB755C" w:rsidP="00AB755C">
      <w:pPr>
        <w:pStyle w:val="SingleTxtG"/>
      </w:pPr>
      <w:r>
        <w:t>57.</w:t>
      </w:r>
      <w:r>
        <w:tab/>
        <w:t>Несколько делегаций подтвердили, что было бы желательно в будущем внести изменения в пункт 9.1.3.3, чтобы четко предусмотреть возможность для стран, желающих это сделать, наносить дополнительные элементы защиты на выдаваемые ими свидетельства о допущении.</w:t>
      </w:r>
    </w:p>
    <w:p w14:paraId="027195F9" w14:textId="77777777" w:rsidR="00AB755C" w:rsidRPr="00240C3C" w:rsidRDefault="00AB755C" w:rsidP="00AB755C">
      <w:pPr>
        <w:pStyle w:val="SingleTxtG"/>
      </w:pPr>
      <w:r>
        <w:t>58.</w:t>
      </w:r>
      <w:r>
        <w:tab/>
        <w:t>Рабочая группа предложила компетентному органу Польши и всем компетентным органам стран, выдающих свидетельства с элементами защиты, передать эту информацию в секретариат для публикации на веб-сайте Европейской экономической комиссии.</w:t>
      </w:r>
    </w:p>
    <w:p w14:paraId="5A931AF7" w14:textId="77777777" w:rsidR="00AB755C" w:rsidRPr="00176C2E" w:rsidRDefault="00AB755C" w:rsidP="00AB755C">
      <w:pPr>
        <w:keepNext/>
        <w:keepLines/>
        <w:tabs>
          <w:tab w:val="right" w:pos="851"/>
        </w:tabs>
        <w:spacing w:before="360" w:after="240" w:line="300" w:lineRule="exact"/>
        <w:ind w:left="1134" w:right="1134" w:hanging="1134"/>
        <w:rPr>
          <w:b/>
          <w:sz w:val="28"/>
          <w:szCs w:val="28"/>
        </w:rPr>
      </w:pPr>
      <w:r>
        <w:rPr>
          <w:b/>
          <w:bCs/>
        </w:rPr>
        <w:tab/>
      </w:r>
      <w:r w:rsidRPr="00176C2E">
        <w:rPr>
          <w:b/>
          <w:bCs/>
          <w:sz w:val="28"/>
          <w:szCs w:val="28"/>
        </w:rPr>
        <w:t>VIII.</w:t>
      </w:r>
      <w:r w:rsidRPr="00176C2E">
        <w:rPr>
          <w:sz w:val="28"/>
          <w:szCs w:val="28"/>
        </w:rPr>
        <w:tab/>
      </w:r>
      <w:r w:rsidRPr="00176C2E">
        <w:rPr>
          <w:b/>
          <w:bCs/>
          <w:sz w:val="28"/>
          <w:szCs w:val="28"/>
        </w:rPr>
        <w:t>Программа работы (пункт 7 повестки дня)</w:t>
      </w:r>
    </w:p>
    <w:p w14:paraId="587E67B3" w14:textId="63D4ED1A" w:rsidR="00AB755C" w:rsidRPr="00240C3C" w:rsidRDefault="00AB755C" w:rsidP="00AB755C">
      <w:pPr>
        <w:tabs>
          <w:tab w:val="left" w:pos="708"/>
        </w:tabs>
        <w:spacing w:after="120"/>
        <w:ind w:left="1134" w:right="1134"/>
        <w:jc w:val="both"/>
      </w:pPr>
      <w:r>
        <w:t>59.</w:t>
      </w:r>
      <w:r>
        <w:tab/>
        <w:t xml:space="preserve">Сто двенадцатую сессию Рабочей группы было запланировано провести </w:t>
      </w:r>
      <w:r w:rsidR="00DA4EC5">
        <w:br/>
      </w:r>
      <w:r>
        <w:t>8–11 ноября 2022 года. Пункты повестки дня следующей сессии будут такими же, как и на сто одиннадцатой сессии, с добавлением пункта, посвященного выборам должностных лиц.</w:t>
      </w:r>
    </w:p>
    <w:p w14:paraId="045D1313" w14:textId="77777777" w:rsidR="00AB755C" w:rsidRPr="00240C3C" w:rsidRDefault="00AB755C" w:rsidP="00AB755C">
      <w:pPr>
        <w:pStyle w:val="HChG"/>
      </w:pPr>
      <w:r>
        <w:rPr>
          <w:bCs/>
        </w:rPr>
        <w:tab/>
        <w:t>IX.</w:t>
      </w:r>
      <w:r>
        <w:tab/>
      </w:r>
      <w:r>
        <w:rPr>
          <w:bCs/>
        </w:rPr>
        <w:t>Прочие вопросы (пункт 8 повестки дня)</w:t>
      </w:r>
    </w:p>
    <w:p w14:paraId="01B1799A" w14:textId="77777777" w:rsidR="00AB755C" w:rsidRPr="00240C3C" w:rsidRDefault="00AB755C" w:rsidP="00AB755C">
      <w:pPr>
        <w:pStyle w:val="H1G"/>
      </w:pPr>
      <w:r>
        <w:rPr>
          <w:bCs/>
        </w:rPr>
        <w:tab/>
        <w:t>A.</w:t>
      </w:r>
      <w:r>
        <w:tab/>
      </w:r>
      <w:r>
        <w:rPr>
          <w:bCs/>
        </w:rPr>
        <w:t>Циклическая экономика и устойчивое использование природных ресурсов</w:t>
      </w:r>
    </w:p>
    <w:p w14:paraId="1092B72E" w14:textId="77777777" w:rsidR="00AB755C" w:rsidRPr="00240C3C" w:rsidRDefault="00AB755C" w:rsidP="00AB755C">
      <w:pPr>
        <w:spacing w:after="120"/>
        <w:ind w:left="3402" w:right="1134" w:hanging="2268"/>
        <w:jc w:val="both"/>
      </w:pPr>
      <w:r>
        <w:rPr>
          <w:i/>
          <w:iCs/>
        </w:rPr>
        <w:t>Неофициальный документ</w:t>
      </w:r>
      <w:r>
        <w:t>:</w:t>
      </w:r>
      <w:r>
        <w:tab/>
        <w:t>INF.21 (секретариат)</w:t>
      </w:r>
    </w:p>
    <w:p w14:paraId="678A15F6" w14:textId="77777777" w:rsidR="00AB755C" w:rsidRPr="00240C3C" w:rsidRDefault="00AB755C" w:rsidP="00AB755C">
      <w:pPr>
        <w:pStyle w:val="SingleTxtG"/>
        <w:rPr>
          <w:rFonts w:eastAsiaTheme="minorHAnsi"/>
        </w:rPr>
      </w:pPr>
      <w:r>
        <w:t>60.</w:t>
      </w:r>
      <w:r>
        <w:tab/>
        <w:t xml:space="preserve">Рабочая группа решила сохранить этот пункт в повестке дня следующей сессии, и тем делегациям, которые пожелают сделать это, было предложено представить информацию по этому вопросу на следующей сессии Рабочей группы. </w:t>
      </w:r>
    </w:p>
    <w:p w14:paraId="37795C54" w14:textId="77777777" w:rsidR="00AB755C" w:rsidRPr="00240C3C" w:rsidRDefault="00AB755C" w:rsidP="00AB755C">
      <w:pPr>
        <w:pStyle w:val="SingleTxtG"/>
        <w:rPr>
          <w:rFonts w:eastAsiaTheme="minorHAnsi"/>
        </w:rPr>
      </w:pPr>
      <w:r>
        <w:t>61.</w:t>
      </w:r>
      <w:r>
        <w:tab/>
        <w:t>Было разъяснено, что включенные в ДОПОГ положения, связанные с циклической экономикой, такие как положения о таре, использованных батареях или перевозке отходов, являются результатом согласования с Типовыми правилами и работы Совместного совещания. Было предложено, чтобы обсуждение этих вопросов проводились в основном на Совместном совещании. Рабочая группа просила секретариат скоординировать свои действия с секретариатом Совместного совещания, с тем чтобы эти вопросы можно было обсудить на его заседаниях.</w:t>
      </w:r>
    </w:p>
    <w:p w14:paraId="45D7D3D0" w14:textId="77777777" w:rsidR="00AB755C" w:rsidRPr="00AB755C" w:rsidRDefault="00AB755C" w:rsidP="00AB755C">
      <w:pPr>
        <w:pStyle w:val="H1G"/>
        <w:rPr>
          <w:i/>
          <w:iCs/>
        </w:rPr>
      </w:pPr>
      <w:r>
        <w:rPr>
          <w:bCs/>
        </w:rPr>
        <w:tab/>
        <w:t>B.</w:t>
      </w:r>
      <w:r>
        <w:tab/>
      </w:r>
      <w:r>
        <w:tab/>
      </w:r>
      <w:r>
        <w:rPr>
          <w:bCs/>
        </w:rPr>
        <w:t>Другие вопросы</w:t>
      </w:r>
    </w:p>
    <w:p w14:paraId="03E5AF7A" w14:textId="77777777" w:rsidR="00AB755C" w:rsidRPr="00240C3C" w:rsidRDefault="00AB755C" w:rsidP="00AB755C">
      <w:pPr>
        <w:keepNext/>
        <w:keepLines/>
        <w:tabs>
          <w:tab w:val="right" w:pos="851"/>
        </w:tabs>
        <w:spacing w:before="240" w:after="120" w:line="240" w:lineRule="exact"/>
        <w:ind w:left="1134" w:right="1134" w:hanging="1134"/>
        <w:outlineLvl w:val="3"/>
        <w:rPr>
          <w:b/>
        </w:rPr>
      </w:pPr>
      <w:r>
        <w:rPr>
          <w:b/>
          <w:bCs/>
        </w:rPr>
        <w:tab/>
        <w:t>1.</w:t>
      </w:r>
      <w:r>
        <w:tab/>
      </w:r>
      <w:r>
        <w:rPr>
          <w:b/>
          <w:bCs/>
        </w:rPr>
        <w:t>Таблица В ДОПОГ</w:t>
      </w:r>
    </w:p>
    <w:p w14:paraId="1D8997CA" w14:textId="77777777" w:rsidR="00AB755C" w:rsidRPr="00240C3C" w:rsidRDefault="00AB755C" w:rsidP="00AB755C">
      <w:pPr>
        <w:spacing w:after="120"/>
        <w:ind w:left="3402" w:right="1134" w:hanging="2268"/>
        <w:jc w:val="both"/>
      </w:pPr>
      <w:r>
        <w:rPr>
          <w:i/>
          <w:iCs/>
        </w:rPr>
        <w:t>Неофициальный документ</w:t>
      </w:r>
      <w:r>
        <w:t>:</w:t>
      </w:r>
      <w:r>
        <w:tab/>
        <w:t>INF.22 и Add.1 (секретариат)</w:t>
      </w:r>
    </w:p>
    <w:p w14:paraId="4290EA43" w14:textId="77777777" w:rsidR="00AB755C" w:rsidRPr="00240C3C" w:rsidRDefault="00AB755C" w:rsidP="00AB755C">
      <w:pPr>
        <w:spacing w:after="120"/>
        <w:ind w:left="1134" w:right="1134"/>
        <w:jc w:val="both"/>
      </w:pPr>
      <w:r>
        <w:t>62.</w:t>
      </w:r>
      <w:r>
        <w:tab/>
        <w:t>Рабочая группа приняла к сведению изменения, которые будут внесены в таблицу В раздела 3.2.2 в издании ДОПОГ 2023 года.</w:t>
      </w:r>
    </w:p>
    <w:p w14:paraId="4C77E9ED" w14:textId="77777777" w:rsidR="00AB755C" w:rsidRPr="00240C3C" w:rsidRDefault="00AB755C" w:rsidP="00AB755C">
      <w:pPr>
        <w:keepNext/>
        <w:keepLines/>
        <w:tabs>
          <w:tab w:val="right" w:pos="851"/>
        </w:tabs>
        <w:spacing w:before="240" w:after="120" w:line="240" w:lineRule="exact"/>
        <w:ind w:left="1134" w:right="1134" w:hanging="1134"/>
        <w:rPr>
          <w:b/>
        </w:rPr>
      </w:pPr>
      <w:r>
        <w:rPr>
          <w:b/>
          <w:bCs/>
        </w:rPr>
        <w:tab/>
        <w:t>2.</w:t>
      </w:r>
      <w:r>
        <w:tab/>
      </w:r>
      <w:r>
        <w:rPr>
          <w:b/>
          <w:bCs/>
        </w:rPr>
        <w:t>Поправки для издания ДОПОГ 2023 года</w:t>
      </w:r>
    </w:p>
    <w:p w14:paraId="2F55FDEB" w14:textId="3ACCCF62" w:rsidR="00AB755C" w:rsidRPr="00240C3C" w:rsidRDefault="00AB755C" w:rsidP="00AB755C">
      <w:pPr>
        <w:tabs>
          <w:tab w:val="left" w:pos="708"/>
        </w:tabs>
        <w:spacing w:after="120"/>
        <w:ind w:left="1134" w:right="1134"/>
        <w:jc w:val="both"/>
      </w:pPr>
      <w:r>
        <w:t>63.</w:t>
      </w:r>
      <w:r>
        <w:tab/>
        <w:t>Поправки, принятые на предыдущих сессиях для вступления в силу 1 января 2023 года, уже были распространены в документе ECE/TRANS/WP.15/256. Рабочая группа поручила секретариату распространить поправки, принятые на сто одиннадцатой сессии, которые также должны вступить в силу 1 января 2023 года, в виде исправления (ECE/TRANS/WP.15/256/Corr.1) в случае поправок, вносящих изменения в ранее принятые поправки, и в виде добавления (ECE/TRANS/WP.15/256/Add.1) в случае новых поправок.</w:t>
      </w:r>
    </w:p>
    <w:p w14:paraId="10FAEB87" w14:textId="77777777" w:rsidR="00AB755C" w:rsidRPr="00240C3C" w:rsidRDefault="00AB755C" w:rsidP="00AB755C">
      <w:pPr>
        <w:tabs>
          <w:tab w:val="left" w:pos="708"/>
        </w:tabs>
        <w:spacing w:after="120"/>
        <w:ind w:left="1134" w:right="1134"/>
        <w:jc w:val="both"/>
      </w:pPr>
      <w:r>
        <w:lastRenderedPageBreak/>
        <w:t>64.</w:t>
      </w:r>
      <w:r>
        <w:tab/>
        <w:t>Председателю было предложено передать все поправки Генеральному секретарю через правительство ее страны, чтобы они были сообщены договаривающимся сторонам ДОПОГ 1 июля 2022 года для принятия в соответствии с процедурой, изложенной в статье 14 ДОПОГ.</w:t>
      </w:r>
    </w:p>
    <w:p w14:paraId="052A54A4" w14:textId="77777777" w:rsidR="00AB755C" w:rsidRPr="00240C3C" w:rsidRDefault="00AB755C" w:rsidP="00AB755C">
      <w:pPr>
        <w:pStyle w:val="H23G"/>
      </w:pPr>
      <w:r>
        <w:rPr>
          <w:bCs/>
        </w:rPr>
        <w:tab/>
        <w:t>3.</w:t>
      </w:r>
      <w:r>
        <w:tab/>
      </w:r>
      <w:r>
        <w:rPr>
          <w:bCs/>
        </w:rPr>
        <w:t>Свидетельства ДОПОГ о подготовке водителя</w:t>
      </w:r>
      <w:r>
        <w:t xml:space="preserve"> </w:t>
      </w:r>
    </w:p>
    <w:p w14:paraId="43FDCCB4" w14:textId="77777777" w:rsidR="00AB755C" w:rsidRPr="00240C3C" w:rsidRDefault="00AB755C" w:rsidP="00AB755C">
      <w:pPr>
        <w:spacing w:after="120"/>
        <w:ind w:left="2694" w:right="1134" w:hanging="1560"/>
        <w:jc w:val="both"/>
      </w:pPr>
      <w:r>
        <w:rPr>
          <w:i/>
          <w:iCs/>
        </w:rPr>
        <w:t>Неофициальный документ</w:t>
      </w:r>
      <w:r>
        <w:t>:</w:t>
      </w:r>
      <w:r>
        <w:tab/>
        <w:t>INF.25 (Северная Македония)</w:t>
      </w:r>
    </w:p>
    <w:p w14:paraId="7AA2E6E9" w14:textId="4466668E" w:rsidR="00AB755C" w:rsidRPr="00240C3C" w:rsidRDefault="00AB755C" w:rsidP="00AB755C">
      <w:pPr>
        <w:pStyle w:val="SingleTxtG"/>
        <w:rPr>
          <w:rFonts w:eastAsiaTheme="minorHAnsi"/>
        </w:rPr>
      </w:pPr>
      <w:r>
        <w:t>65.</w:t>
      </w:r>
      <w:r>
        <w:tab/>
        <w:t>Рабочая группа приняла к сведению информацию, предоставленную представителем Северной Македонии, относительно выданных некачественных свидетельств, которые в настоящее время заменяются. Секретариат подтвердил, что эта информация была опубликована на веб-сайте Европейской экономической комиссии на странице, посвященной свидетельствам ДОПОГ (</w:t>
      </w:r>
      <w:hyperlink r:id="rId8" w:history="1">
        <w:r w:rsidR="00DA4EC5" w:rsidRPr="005A4924">
          <w:rPr>
            <w:rStyle w:val="Hyperlink"/>
          </w:rPr>
          <w:t>https://unece.org/adr-certificates-0</w:t>
        </w:r>
      </w:hyperlink>
      <w:r>
        <w:t>).</w:t>
      </w:r>
    </w:p>
    <w:p w14:paraId="56816A76" w14:textId="77777777" w:rsidR="00AB755C" w:rsidRPr="00240C3C" w:rsidRDefault="00AB755C" w:rsidP="00AB755C">
      <w:pPr>
        <w:pStyle w:val="SingleTxtG"/>
        <w:rPr>
          <w:rFonts w:eastAsiaTheme="minorHAnsi"/>
        </w:rPr>
      </w:pPr>
      <w:r>
        <w:t>66.</w:t>
      </w:r>
      <w:r>
        <w:tab/>
        <w:t>Рабочая группа поблагодарила представителя Северной Македонии за эту полезную для контролирующих органов информацию. Она также приветствовала участие Северной Македонии в ее работе и призвала представителя Северной Македонии продолжать участвовать в ее совещаниях.</w:t>
      </w:r>
    </w:p>
    <w:p w14:paraId="3DDE0769" w14:textId="77777777" w:rsidR="00AB755C" w:rsidRPr="00240C3C" w:rsidRDefault="00AB755C" w:rsidP="00AB755C">
      <w:pPr>
        <w:pStyle w:val="H23G"/>
      </w:pPr>
      <w:r>
        <w:rPr>
          <w:bCs/>
        </w:rPr>
        <w:tab/>
        <w:t>4.</w:t>
      </w:r>
      <w:r>
        <w:tab/>
      </w:r>
      <w:r>
        <w:rPr>
          <w:bCs/>
        </w:rPr>
        <w:t>Транспортное сообщество</w:t>
      </w:r>
    </w:p>
    <w:p w14:paraId="09CF191F" w14:textId="77777777" w:rsidR="00AB755C" w:rsidRDefault="00AB755C" w:rsidP="00AB755C">
      <w:pPr>
        <w:pStyle w:val="SingleTxtG"/>
        <w:rPr>
          <w:rFonts w:eastAsiaTheme="minorHAnsi"/>
        </w:rPr>
      </w:pPr>
      <w:r>
        <w:t>67.</w:t>
      </w:r>
      <w:r>
        <w:tab/>
        <w:t xml:space="preserve">Представитель Транспортного сообщества рассказала об этой международной организации и проводимой ею работе в области перевозки опасных грузов и содействия применению МПОГ, ДОПОГ и ВОПОГ. </w:t>
      </w:r>
    </w:p>
    <w:p w14:paraId="690362CC" w14:textId="77777777" w:rsidR="00AB755C" w:rsidRPr="00240C3C" w:rsidRDefault="00AB755C" w:rsidP="00AB755C">
      <w:pPr>
        <w:pStyle w:val="H23G"/>
      </w:pPr>
      <w:r>
        <w:rPr>
          <w:bCs/>
        </w:rPr>
        <w:tab/>
        <w:t>5.</w:t>
      </w:r>
      <w:r>
        <w:tab/>
      </w:r>
      <w:r>
        <w:rPr>
          <w:bCs/>
        </w:rPr>
        <w:t>Выражение признательности</w:t>
      </w:r>
    </w:p>
    <w:p w14:paraId="41F21037" w14:textId="77777777" w:rsidR="00AB755C" w:rsidRPr="00240C3C" w:rsidRDefault="00AB755C" w:rsidP="00AB755C">
      <w:pPr>
        <w:pStyle w:val="SingleTxtG"/>
        <w:rPr>
          <w:rFonts w:eastAsiaTheme="minorHAnsi"/>
        </w:rPr>
      </w:pPr>
      <w:r>
        <w:t>68.</w:t>
      </w:r>
      <w:r>
        <w:tab/>
        <w:t>Рабочая группа была проинформирована о том, что г-н Филип Раук из Бельгии, который участвовал в ее деятельности в течение семи лет, работает теперь в другой службе и больше не занимается вопросами перевозки опасных грузов. Она поблагодарила его за активное участие в ее работе и за его глубокие знания французского языка и юридических текстов и пожелала ему успехов в выполнении его новых обязанностей.</w:t>
      </w:r>
    </w:p>
    <w:p w14:paraId="7E64DB3A" w14:textId="77777777" w:rsidR="00AB755C" w:rsidRPr="00240C3C" w:rsidRDefault="00AB755C" w:rsidP="00AB755C">
      <w:pPr>
        <w:spacing w:after="120"/>
        <w:ind w:left="1134" w:right="1134"/>
        <w:jc w:val="both"/>
      </w:pPr>
      <w:r>
        <w:t>69.</w:t>
      </w:r>
      <w:r>
        <w:tab/>
        <w:t xml:space="preserve">Рабочая группа была проинформирована о том, что г-н Давид Манюэль Жилабер из Швейцарии участвует в работе сессии в последний раз, поскольку вскоре выйдет на пенсию. </w:t>
      </w:r>
    </w:p>
    <w:p w14:paraId="7E3B4AAF" w14:textId="6C68796F" w:rsidR="00AB755C" w:rsidRPr="00240C3C" w:rsidRDefault="00AB755C" w:rsidP="00AB755C">
      <w:pPr>
        <w:spacing w:after="120"/>
        <w:ind w:left="1134" w:right="1134"/>
        <w:jc w:val="both"/>
      </w:pPr>
      <w:r>
        <w:t>70.</w:t>
      </w:r>
      <w:r>
        <w:tab/>
        <w:t>Г-н Жилабер начал представлять Швейцарию на сессиях Рабочей группы, Совместного совещания и Подкомитета экспертов по перевозке опасных грузов в 1996</w:t>
      </w:r>
      <w:r w:rsidR="00DA4EC5">
        <w:t> </w:t>
      </w:r>
      <w:r>
        <w:t xml:space="preserve">году. Таким образом, он активно участвовал в работе этих органов в период бурной деятельности, а именно в период работы по изменению структуры МПОГ и ДОПОГ, за которой через несколько лет последовало введение мер по обеспечению безопасности, предусмотренных в главе 1.10, и мер, связанных с ограничениями проезда через туннели, и это лишь самые сложные и противоречивые направления деятельности. Он также успешно провел переговоры от имени правительства своей страны с целью получения Швейцарией статуса эксперта при Экономическом и Социальном Совете Организации Объединенных Наций для участия в работе Подкомитета. Рабочая группа сердечно поблагодарила его за активный вклад в ее работу и пожелала ему долгой и счастливой жизни на пенсии. </w:t>
      </w:r>
    </w:p>
    <w:p w14:paraId="43AD1D46" w14:textId="77777777" w:rsidR="00AB755C" w:rsidRPr="00240C3C" w:rsidRDefault="00AB755C" w:rsidP="00AB755C">
      <w:pPr>
        <w:pStyle w:val="H23G"/>
      </w:pPr>
      <w:r>
        <w:rPr>
          <w:bCs/>
        </w:rPr>
        <w:tab/>
        <w:t>6.</w:t>
      </w:r>
      <w:r>
        <w:tab/>
      </w:r>
      <w:r>
        <w:rPr>
          <w:bCs/>
        </w:rPr>
        <w:t>Показатели устойчивой связанности инфраструктуры внутреннего транспорта (ПУСИВТ)</w:t>
      </w:r>
    </w:p>
    <w:p w14:paraId="6348F074" w14:textId="77777777" w:rsidR="00AB755C" w:rsidRPr="00240C3C" w:rsidRDefault="00AB755C" w:rsidP="00AB755C">
      <w:pPr>
        <w:spacing w:after="120"/>
        <w:ind w:left="2694" w:right="1134" w:hanging="1560"/>
        <w:jc w:val="both"/>
      </w:pPr>
      <w:r>
        <w:rPr>
          <w:i/>
          <w:iCs/>
        </w:rPr>
        <w:t>Неофициальный документ</w:t>
      </w:r>
      <w:r>
        <w:t>:</w:t>
      </w:r>
      <w:r>
        <w:tab/>
        <w:t>INF.28 (секретариат)</w:t>
      </w:r>
    </w:p>
    <w:p w14:paraId="003D6CCF" w14:textId="77777777" w:rsidR="00AB755C" w:rsidRPr="00240C3C" w:rsidRDefault="00AB755C" w:rsidP="00AB755C">
      <w:pPr>
        <w:spacing w:after="120"/>
        <w:ind w:left="1134" w:right="1134"/>
        <w:jc w:val="both"/>
      </w:pPr>
      <w:r>
        <w:t>71.</w:t>
      </w:r>
      <w:r>
        <w:tab/>
        <w:t>Секретарь Рабочей группы по тенденциям и экономике транспорта (WP.5) представил ПУСИВТ, которые включают кластер показателей, связанных с ДОПОГ.</w:t>
      </w:r>
    </w:p>
    <w:p w14:paraId="4F83EC6F" w14:textId="77777777" w:rsidR="00AB755C" w:rsidRPr="009E0129" w:rsidRDefault="00AB755C" w:rsidP="00AB755C">
      <w:pPr>
        <w:keepNext/>
        <w:keepLines/>
        <w:tabs>
          <w:tab w:val="right" w:pos="851"/>
        </w:tabs>
        <w:spacing w:before="360" w:after="240" w:line="300" w:lineRule="exact"/>
        <w:ind w:left="1134" w:right="1134" w:hanging="1134"/>
        <w:rPr>
          <w:b/>
          <w:sz w:val="28"/>
          <w:szCs w:val="28"/>
        </w:rPr>
      </w:pPr>
      <w:r>
        <w:rPr>
          <w:b/>
          <w:bCs/>
        </w:rPr>
        <w:lastRenderedPageBreak/>
        <w:tab/>
      </w:r>
      <w:r w:rsidRPr="009E0129">
        <w:rPr>
          <w:b/>
          <w:bCs/>
          <w:sz w:val="28"/>
          <w:szCs w:val="28"/>
        </w:rPr>
        <w:t>X.</w:t>
      </w:r>
      <w:r w:rsidRPr="009E0129">
        <w:rPr>
          <w:sz w:val="28"/>
          <w:szCs w:val="28"/>
        </w:rPr>
        <w:tab/>
      </w:r>
      <w:r w:rsidRPr="009E0129">
        <w:rPr>
          <w:b/>
          <w:bCs/>
          <w:sz w:val="28"/>
          <w:szCs w:val="28"/>
        </w:rPr>
        <w:t>Утверждение доклада (пункт 9 повестки дня)</w:t>
      </w:r>
    </w:p>
    <w:p w14:paraId="131230C0" w14:textId="77777777" w:rsidR="00AB755C" w:rsidRPr="00240C3C" w:rsidRDefault="00AB755C" w:rsidP="00AB755C">
      <w:pPr>
        <w:spacing w:after="120"/>
        <w:ind w:left="1134" w:right="1134"/>
        <w:jc w:val="both"/>
      </w:pPr>
      <w:r>
        <w:t>72.</w:t>
      </w:r>
      <w:r>
        <w:tab/>
        <w:t>Рабочая группа утвердила доклад о работе своей сто одиннадцатой сессии и приложения к нему на основе проекта, подготовленного секретариатом.</w:t>
      </w:r>
    </w:p>
    <w:p w14:paraId="3BE4F01F" w14:textId="413599D0" w:rsidR="00AB755C" w:rsidRPr="00240C3C" w:rsidRDefault="00AB755C" w:rsidP="00AB755C">
      <w:pPr>
        <w:spacing w:after="120"/>
        <w:ind w:left="1134" w:right="1134"/>
        <w:jc w:val="both"/>
      </w:pPr>
      <w:r>
        <w:t>73.</w:t>
      </w:r>
      <w:r>
        <w:tab/>
        <w:t xml:space="preserve">В соответствии со специальными процедурами принятия решений на официальных совещаниях с дистанционным участием, принятыми Исполнительным комитетом (ECE/EX/2020/L.12), решения, принятые Рабочей группой, были опубликованы и сообщены всем постоянным представительствам в Женеве </w:t>
      </w:r>
      <w:r w:rsidR="00DD235A">
        <w:br/>
      </w:r>
      <w:r>
        <w:t xml:space="preserve">(см. </w:t>
      </w:r>
      <w:hyperlink r:id="rId9" w:history="1">
        <w:r w:rsidR="00DD235A" w:rsidRPr="005A4924">
          <w:rPr>
            <w:rStyle w:val="Hyperlink"/>
          </w:rPr>
          <w:t>https://unece.org/silence-procedure</w:t>
        </w:r>
      </w:hyperlink>
      <w:r>
        <w:t>).</w:t>
      </w:r>
    </w:p>
    <w:p w14:paraId="58DC9BD8" w14:textId="77777777" w:rsidR="00AB755C" w:rsidRPr="00240C3C" w:rsidRDefault="00AB755C" w:rsidP="00AB755C">
      <w:pPr>
        <w:spacing w:after="120"/>
        <w:ind w:left="1134" w:right="1134"/>
        <w:jc w:val="both"/>
      </w:pPr>
      <w:r>
        <w:t>74.</w:t>
      </w:r>
      <w:r>
        <w:tab/>
        <w:t>После опубликования никаких возражений не поступило. Решения считаются принятыми.</w:t>
      </w:r>
    </w:p>
    <w:p w14:paraId="22538B5B" w14:textId="77777777" w:rsidR="00AB755C" w:rsidRPr="00240C3C" w:rsidRDefault="00AB755C" w:rsidP="00AB755C">
      <w:pPr>
        <w:suppressAutoHyphens w:val="0"/>
        <w:spacing w:after="200" w:line="276" w:lineRule="auto"/>
      </w:pPr>
      <w:r w:rsidRPr="00240C3C">
        <w:br w:type="page"/>
      </w:r>
    </w:p>
    <w:p w14:paraId="7A15EC62" w14:textId="77777777" w:rsidR="00AB755C" w:rsidRPr="00010CB8" w:rsidRDefault="00AB755C" w:rsidP="00DD235A">
      <w:pPr>
        <w:pStyle w:val="HChG"/>
      </w:pPr>
      <w:r w:rsidRPr="00010CB8">
        <w:lastRenderedPageBreak/>
        <w:t>Приложение I</w:t>
      </w:r>
    </w:p>
    <w:p w14:paraId="361A72FF" w14:textId="6097CFDC" w:rsidR="00AB755C" w:rsidRPr="00010CB8" w:rsidRDefault="00AB755C" w:rsidP="00DD235A">
      <w:pPr>
        <w:pStyle w:val="HChG"/>
      </w:pPr>
      <w:r>
        <w:tab/>
      </w:r>
      <w:r>
        <w:tab/>
      </w:r>
      <w:r w:rsidRPr="00010CB8">
        <w:t>Проекты поправок к приложениям А и В к ДОПОГ, принятые Рабочей группой для вступления в силу 1</w:t>
      </w:r>
      <w:r w:rsidR="00DA4EC5">
        <w:t> </w:t>
      </w:r>
      <w:r w:rsidRPr="00010CB8">
        <w:t>января 2023 года</w:t>
      </w:r>
    </w:p>
    <w:p w14:paraId="2FBA832B" w14:textId="1177A9E5" w:rsidR="00AB755C" w:rsidRPr="00240C3C" w:rsidRDefault="00DD235A" w:rsidP="00DD235A">
      <w:pPr>
        <w:pStyle w:val="SingleTxtG"/>
      </w:pPr>
      <w:r>
        <w:tab/>
      </w:r>
      <w:r w:rsidR="00AB755C">
        <w:t>Принятые поправки изменяют или дополняют поправки, принятые на предыдущей сессии (см. ECE/TRANS/WP.15/256). Они были представлены в ходе сессии в качестве документов ECE/TRANS/WP.15/2022/R.2 и Add.1.</w:t>
      </w:r>
    </w:p>
    <w:p w14:paraId="2146DCFE" w14:textId="36BD74FB" w:rsidR="00AB755C" w:rsidRPr="00240C3C" w:rsidRDefault="00DD235A" w:rsidP="00DD235A">
      <w:pPr>
        <w:pStyle w:val="SingleTxtG"/>
      </w:pPr>
      <w:r>
        <w:tab/>
      </w:r>
      <w:r w:rsidR="00AB755C">
        <w:t>Поправки, изменяющие ранее принятые поправки, воспроизведены в документе ECE/TRANS/WP.15/256/Corr.1.</w:t>
      </w:r>
    </w:p>
    <w:p w14:paraId="3698C3FB" w14:textId="1D3DA344" w:rsidR="00AB755C" w:rsidRPr="00240C3C" w:rsidRDefault="00DD235A" w:rsidP="00DD235A">
      <w:pPr>
        <w:pStyle w:val="SingleTxtG"/>
      </w:pPr>
      <w:r>
        <w:tab/>
      </w:r>
      <w:r w:rsidR="00AB755C">
        <w:t>Новые поправки воспроизведены в документе ECE/TRANS/WP.15/256/Add.1.</w:t>
      </w:r>
    </w:p>
    <w:p w14:paraId="1DA34782" w14:textId="77777777" w:rsidR="00AB755C" w:rsidRPr="00240C3C" w:rsidRDefault="00AB755C" w:rsidP="00AB755C">
      <w:pPr>
        <w:suppressAutoHyphens w:val="0"/>
        <w:spacing w:after="200" w:line="276" w:lineRule="auto"/>
      </w:pPr>
      <w:r w:rsidRPr="00240C3C">
        <w:br w:type="page"/>
      </w:r>
    </w:p>
    <w:p w14:paraId="1BFAF91B" w14:textId="77777777" w:rsidR="00AB755C" w:rsidRPr="00010CB8" w:rsidRDefault="00AB755C" w:rsidP="00DD235A">
      <w:pPr>
        <w:pStyle w:val="HChG"/>
      </w:pPr>
      <w:r w:rsidRPr="00010CB8">
        <w:lastRenderedPageBreak/>
        <w:t>Приложение II</w:t>
      </w:r>
    </w:p>
    <w:p w14:paraId="0633411A" w14:textId="2834CC56" w:rsidR="00AB755C" w:rsidRPr="00010CB8" w:rsidRDefault="00AB755C" w:rsidP="00DD235A">
      <w:pPr>
        <w:pStyle w:val="HChG"/>
      </w:pPr>
      <w:r>
        <w:tab/>
      </w:r>
      <w:r>
        <w:tab/>
      </w:r>
      <w:r w:rsidRPr="00010CB8">
        <w:t>Проекты поправок к приложениям А и В к ДОПОГ, принятые Рабочей группой для вступления в силу 1</w:t>
      </w:r>
      <w:r w:rsidR="00DA4EC5">
        <w:t> </w:t>
      </w:r>
      <w:r w:rsidRPr="00010CB8">
        <w:t>января 2025 года</w:t>
      </w:r>
    </w:p>
    <w:p w14:paraId="77553013" w14:textId="77777777" w:rsidR="00AB755C" w:rsidRPr="00240C3C" w:rsidRDefault="00AB755C" w:rsidP="00AB755C">
      <w:pPr>
        <w:pStyle w:val="SingleTxtG"/>
        <w:ind w:right="1133"/>
      </w:pPr>
      <w:r>
        <w:rPr>
          <w:i/>
          <w:iCs/>
        </w:rPr>
        <w:t>(Справочный документ: ECE/TRANS/WP.15/AC.1/164, приложение I, B.)</w:t>
      </w:r>
    </w:p>
    <w:p w14:paraId="1A223A7F" w14:textId="77777777" w:rsidR="00AB755C" w:rsidRPr="00240C3C" w:rsidRDefault="00AB755C" w:rsidP="00AB755C">
      <w:pPr>
        <w:pStyle w:val="H1G"/>
      </w:pPr>
      <w:r>
        <w:tab/>
      </w:r>
      <w:r>
        <w:tab/>
      </w:r>
      <w:r>
        <w:rPr>
          <w:bCs/>
        </w:rPr>
        <w:t>Глава 3.2, таблица A</w:t>
      </w:r>
    </w:p>
    <w:p w14:paraId="2E2ADBB3" w14:textId="0C8FBE8F" w:rsidR="00AB755C" w:rsidRPr="00240C3C" w:rsidRDefault="00DA4EC5" w:rsidP="00AB755C">
      <w:pPr>
        <w:pStyle w:val="SingleTxtG"/>
        <w:ind w:right="1133"/>
      </w:pPr>
      <w:r>
        <w:tab/>
      </w:r>
      <w:r w:rsidR="00AB755C">
        <w:t>Для № ООН 3082: включить «650» в колонку 6.</w:t>
      </w:r>
    </w:p>
    <w:p w14:paraId="3D3B3965" w14:textId="77777777" w:rsidR="00AB755C" w:rsidRPr="002F4EEE" w:rsidRDefault="00AB755C" w:rsidP="00AB755C">
      <w:pPr>
        <w:pStyle w:val="H1G"/>
      </w:pPr>
      <w:r>
        <w:tab/>
      </w:r>
      <w:r>
        <w:tab/>
      </w:r>
      <w:r>
        <w:rPr>
          <w:bCs/>
        </w:rPr>
        <w:t>Глава 3.3</w:t>
      </w:r>
    </w:p>
    <w:p w14:paraId="2415A997" w14:textId="6D94CCAF" w:rsidR="00AB755C" w:rsidRPr="009D0BD6" w:rsidRDefault="00AB755C" w:rsidP="00DD235A">
      <w:pPr>
        <w:pStyle w:val="SingleTxtG"/>
      </w:pPr>
      <w:r w:rsidRPr="009D0BD6">
        <w:t>СП 650</w:t>
      </w:r>
    </w:p>
    <w:p w14:paraId="6E17CDC9" w14:textId="77777777" w:rsidR="00AB755C" w:rsidRPr="00240C3C" w:rsidRDefault="00AB755C" w:rsidP="00DD235A">
      <w:pPr>
        <w:pStyle w:val="Bullet1G"/>
      </w:pPr>
      <w:r>
        <w:tab/>
        <w:t>В первом предложении заменить «на условиях, установленных для группы упаковки II» на «на условиях, установленных для № ООН 1263, группа упаковки II, или № ООН 3082, в зависимости от конкретного случая».</w:t>
      </w:r>
    </w:p>
    <w:p w14:paraId="223E803F" w14:textId="4F5CF93B" w:rsidR="00AB755C" w:rsidRPr="00240C3C" w:rsidRDefault="00AB755C" w:rsidP="00AB755C">
      <w:pPr>
        <w:pStyle w:val="Bullet1G"/>
        <w:numPr>
          <w:ilvl w:val="0"/>
          <w:numId w:val="22"/>
        </w:numPr>
        <w:kinsoku w:val="0"/>
        <w:overflowPunct w:val="0"/>
        <w:autoSpaceDE w:val="0"/>
        <w:autoSpaceDN w:val="0"/>
        <w:adjustRightInd w:val="0"/>
        <w:snapToGrid w:val="0"/>
      </w:pPr>
      <w:r>
        <w:tab/>
        <w:t xml:space="preserve">Во втором предложении после «группа упаковки II,» включить </w:t>
      </w:r>
      <w:r w:rsidR="00DA4EC5">
        <w:br/>
      </w:r>
      <w:r>
        <w:t>«и № ООН 3082».</w:t>
      </w:r>
    </w:p>
    <w:p w14:paraId="52CABDD6" w14:textId="77777777" w:rsidR="00AB755C" w:rsidRPr="00240C3C" w:rsidRDefault="00AB755C" w:rsidP="00AB755C">
      <w:pPr>
        <w:pStyle w:val="Bullet1G"/>
        <w:numPr>
          <w:ilvl w:val="0"/>
          <w:numId w:val="22"/>
        </w:numPr>
        <w:kinsoku w:val="0"/>
        <w:overflowPunct w:val="0"/>
        <w:autoSpaceDE w:val="0"/>
        <w:autoSpaceDN w:val="0"/>
        <w:adjustRightInd w:val="0"/>
        <w:snapToGrid w:val="0"/>
      </w:pPr>
      <w:r>
        <w:tab/>
        <w:t>В пункте a) в конце добавить новое предложение следующего содержания: «Разрешается совместная упаковка отходов, отнесенных к № ООН 1263, и отходов краски на водной основе, отнесенных к № ООН 3082;».</w:t>
      </w:r>
    </w:p>
    <w:p w14:paraId="46E1A97C" w14:textId="77777777" w:rsidR="00AB755C" w:rsidRPr="00240C3C" w:rsidRDefault="00AB755C" w:rsidP="00AB755C">
      <w:pPr>
        <w:pStyle w:val="Bullet1G"/>
        <w:numPr>
          <w:ilvl w:val="0"/>
          <w:numId w:val="22"/>
        </w:numPr>
        <w:kinsoku w:val="0"/>
        <w:overflowPunct w:val="0"/>
        <w:autoSpaceDE w:val="0"/>
        <w:autoSpaceDN w:val="0"/>
        <w:adjustRightInd w:val="0"/>
        <w:snapToGrid w:val="0"/>
      </w:pPr>
      <w:r>
        <w:tab/>
        <w:t>В пункте d) после первого предложения включить два новых предложения следующего содержания: «Отходы, отнесенные к № ООН 1263, могут смешиваться с отходами краски на водной основе, отнесенными к № ООН 3082, и грузиться вместе с ними в одно и то же транспортное средство или один и тот же контейнер. В случае такой совместной погрузки все содержимое должно быть отнесено к № ООН 1263.».</w:t>
      </w:r>
    </w:p>
    <w:p w14:paraId="5A2FE5B8" w14:textId="77777777" w:rsidR="00AB755C" w:rsidRDefault="00AB755C" w:rsidP="00AB755C">
      <w:pPr>
        <w:pStyle w:val="Bullet1G"/>
        <w:numPr>
          <w:ilvl w:val="0"/>
          <w:numId w:val="22"/>
        </w:numPr>
        <w:kinsoku w:val="0"/>
        <w:overflowPunct w:val="0"/>
        <w:autoSpaceDE w:val="0"/>
        <w:autoSpaceDN w:val="0"/>
        <w:adjustRightInd w:val="0"/>
        <w:snapToGrid w:val="0"/>
      </w:pPr>
      <w:r>
        <w:tab/>
        <w:t>В пункте e) после «транспортном документе» добавить «с указанием соответствующего(их) номера(ов) ООН». В конце добавить:</w:t>
      </w:r>
    </w:p>
    <w:p w14:paraId="7A8C9E5B" w14:textId="77777777" w:rsidR="00AB755C" w:rsidRDefault="00AB755C" w:rsidP="00AB755C">
      <w:pPr>
        <w:pStyle w:val="SingleTxtG"/>
        <w:ind w:left="1701" w:right="1133" w:hanging="567"/>
      </w:pPr>
      <w:r>
        <w:tab/>
        <w:t>«, или</w:t>
      </w:r>
    </w:p>
    <w:p w14:paraId="7FA3F314" w14:textId="77777777" w:rsidR="00AB755C" w:rsidRPr="00240C3C" w:rsidRDefault="00AB755C" w:rsidP="00AB755C">
      <w:pPr>
        <w:pStyle w:val="SingleTxtG"/>
        <w:ind w:left="1701" w:right="1133" w:hanging="567"/>
      </w:pPr>
      <w:r>
        <w:tab/>
        <w:t>“UN 3082 ОТХОДЫ ВЕЩЕСТВА, ОПАСНОГО ДЛЯ ОКРУЖАЮЩЕЙ СРЕДЫ, ЖИДКОГО, Н.У.К. (КРАСКА), 9, III (ДОПОГ:), (-)”, или</w:t>
      </w:r>
    </w:p>
    <w:p w14:paraId="4FB1475E" w14:textId="77777777" w:rsidR="00AB755C" w:rsidRPr="00240C3C" w:rsidRDefault="00AB755C" w:rsidP="00AB755C">
      <w:pPr>
        <w:pStyle w:val="SingleTxtG"/>
        <w:ind w:left="1701" w:right="1133" w:hanging="567"/>
      </w:pPr>
      <w:r>
        <w:tab/>
        <w:t>“UN 3082 ОТХОДЫ ВЕЩЕСТВА, ОПАСНОГО ДЛЯ ОКРУЖАЮЩЕЙ СРЕДЫ, ЖИДКОГО, Н.У.К. (КРАСКА), 9, ГУ III (ДОПОГ:), (-)”.».</w:t>
      </w:r>
    </w:p>
    <w:p w14:paraId="5F0BB9C9" w14:textId="77777777" w:rsidR="00AB755C" w:rsidRPr="00240C3C" w:rsidRDefault="00AB755C" w:rsidP="00AB755C">
      <w:pPr>
        <w:pStyle w:val="H1G"/>
      </w:pPr>
      <w:r>
        <w:tab/>
      </w:r>
      <w:r>
        <w:tab/>
      </w:r>
      <w:r>
        <w:rPr>
          <w:bCs/>
        </w:rPr>
        <w:t>Глава 4.3</w:t>
      </w:r>
    </w:p>
    <w:p w14:paraId="5FE34FA6" w14:textId="77777777" w:rsidR="00AB755C" w:rsidRPr="00240C3C" w:rsidRDefault="00AB755C" w:rsidP="00AB755C">
      <w:pPr>
        <w:pStyle w:val="SingleTxtG"/>
        <w:ind w:right="991"/>
        <w:jc w:val="left"/>
        <w:rPr>
          <w:bCs/>
        </w:rPr>
      </w:pPr>
      <w:r>
        <w:t>4.3.2.2.3</w:t>
      </w:r>
      <w:r>
        <w:tab/>
        <w:t>Изменить следующим образом:</w:t>
      </w:r>
    </w:p>
    <w:p w14:paraId="2E738845" w14:textId="77777777" w:rsidR="00AB755C" w:rsidRPr="00240C3C" w:rsidRDefault="00AB755C" w:rsidP="00AB755C">
      <w:pPr>
        <w:pStyle w:val="SingleTxtG"/>
        <w:ind w:left="2268" w:hanging="1134"/>
        <w:rPr>
          <w:bCs/>
          <w:iCs/>
        </w:rPr>
      </w:pPr>
      <w:r>
        <w:t>«4.3.2.2.3</w:t>
      </w:r>
      <w:r>
        <w:tab/>
        <w:t>Положения пунктов 4.3.2.2.1 а)–d) выше не применяются к цистернам, в которых перевозятся жидкости при температуре выше 50 °C.</w:t>
      </w:r>
    </w:p>
    <w:p w14:paraId="213F874D" w14:textId="3FBD9B24" w:rsidR="00AB755C" w:rsidRPr="00240C3C" w:rsidRDefault="00AB755C" w:rsidP="00AB755C">
      <w:pPr>
        <w:pStyle w:val="SingleTxtG"/>
        <w:ind w:left="2268"/>
        <w:rPr>
          <w:iCs/>
        </w:rPr>
      </w:pPr>
      <w:r>
        <w:t>Степень наполнения</w:t>
      </w:r>
    </w:p>
    <w:p w14:paraId="1D364C59" w14:textId="77777777" w:rsidR="00AB755C" w:rsidRPr="00240C3C" w:rsidRDefault="00AB755C" w:rsidP="00AB755C">
      <w:pPr>
        <w:pStyle w:val="Bullet2G"/>
        <w:numPr>
          <w:ilvl w:val="0"/>
          <w:numId w:val="0"/>
        </w:numPr>
        <w:ind w:left="2694" w:hanging="426"/>
        <w:rPr>
          <w:iCs/>
        </w:rPr>
      </w:pPr>
      <w:r>
        <w:t>–</w:t>
      </w:r>
      <w:r>
        <w:tab/>
        <w:t>жидкими веществами, перевозимыми при температуре выше 50 °C;</w:t>
      </w:r>
    </w:p>
    <w:p w14:paraId="471BAEB9" w14:textId="77777777" w:rsidR="00AB755C" w:rsidRPr="00240C3C" w:rsidRDefault="00AB755C" w:rsidP="00AB755C">
      <w:pPr>
        <w:pStyle w:val="Bullet2G"/>
        <w:numPr>
          <w:ilvl w:val="0"/>
          <w:numId w:val="0"/>
        </w:numPr>
        <w:ind w:left="2694" w:hanging="426"/>
        <w:rPr>
          <w:iCs/>
        </w:rPr>
      </w:pPr>
      <w:r>
        <w:t>–</w:t>
      </w:r>
      <w:r>
        <w:tab/>
        <w:t>жидкими веществами, имеющими температуру ниже 50 °C во время наполнения, но предназначенными для нагревания до температуры выше 50 °C во время перевозки; и</w:t>
      </w:r>
    </w:p>
    <w:p w14:paraId="171FC865" w14:textId="2D474854" w:rsidR="00AB755C" w:rsidRPr="00240C3C" w:rsidRDefault="00AB755C" w:rsidP="00700C8F">
      <w:pPr>
        <w:pStyle w:val="Bullet2G"/>
        <w:pageBreakBefore/>
        <w:numPr>
          <w:ilvl w:val="0"/>
          <w:numId w:val="0"/>
        </w:numPr>
        <w:ind w:left="2693" w:hanging="425"/>
        <w:rPr>
          <w:iCs/>
        </w:rPr>
      </w:pPr>
      <w:r>
        <w:lastRenderedPageBreak/>
        <w:t>–</w:t>
      </w:r>
      <w:r>
        <w:tab/>
        <w:t>твердыми веществами, перевозимыми при температуре, превышающей их температуру плавления,</w:t>
      </w:r>
      <w:r w:rsidR="00B06073">
        <w:t xml:space="preserve"> </w:t>
      </w:r>
      <w:r>
        <w:t xml:space="preserve">должна быть с самого начала такой, чтобы в любой момент во время перевозки цистерна была наполнена не более чем на 95 % вместимости. </w:t>
      </w:r>
    </w:p>
    <w:p w14:paraId="395778C6" w14:textId="199DF1B4" w:rsidR="00AB755C" w:rsidRPr="00240C3C" w:rsidRDefault="00AB755C" w:rsidP="00AB755C">
      <w:pPr>
        <w:pStyle w:val="SingleTxtG"/>
        <w:ind w:left="2268"/>
        <w:rPr>
          <w:iCs/>
        </w:rPr>
      </w:pPr>
      <w:r>
        <w:t>Максимальная степень наполнения должна определяться по следующей формуле:</w:t>
      </w:r>
    </w:p>
    <w:p w14:paraId="6BC1129A" w14:textId="66F15E92" w:rsidR="00AB755C" w:rsidRPr="009A3B72" w:rsidRDefault="00700C8F" w:rsidP="00AB755C">
      <w:pPr>
        <w:jc w:val="center"/>
        <w:rPr>
          <w:iCs/>
        </w:rPr>
      </w:pPr>
      <m:oMath>
        <m:r>
          <m:rPr>
            <m:nor/>
          </m:rPr>
          <w:rPr>
            <w:rFonts w:ascii="Cambria Math"/>
          </w:rPr>
          <m:t>с</m:t>
        </m:r>
        <m:r>
          <m:rPr>
            <m:nor/>
          </m:rPr>
          <m:t>тепень наполнения</m:t>
        </m:r>
        <m:r>
          <m:rPr>
            <m:nor/>
          </m:rPr>
          <w:rPr>
            <w:iCs/>
          </w:rPr>
          <m:t xml:space="preserve"> </m:t>
        </m:r>
        <m:r>
          <m:rPr>
            <m:sty m:val="p"/>
          </m:rPr>
          <w:rPr>
            <w:rFonts w:ascii="Cambria Math" w:hAnsi="Cambria Math"/>
          </w:rPr>
          <m:t>=</m:t>
        </m:r>
        <m:r>
          <m:rPr>
            <m:nor/>
          </m:rPr>
          <w:rPr>
            <w:iCs/>
          </w:rPr>
          <m:t xml:space="preserve"> 95 </m:t>
        </m:r>
        <m:f>
          <m:fPr>
            <m:ctrlPr>
              <w:rPr>
                <w:rFonts w:ascii="Cambria Math" w:hAnsi="Cambria Math"/>
              </w:rPr>
            </m:ctrlPr>
          </m:fPr>
          <m:num>
            <m:sSub>
              <m:sSubPr>
                <m:ctrlPr>
                  <w:rPr>
                    <w:rFonts w:ascii="Cambria Math" w:hAnsi="Cambria Math"/>
                  </w:rPr>
                </m:ctrlPr>
              </m:sSubPr>
              <m:e>
                <m:r>
                  <m:rPr>
                    <m:sty m:val="p"/>
                  </m:rPr>
                  <w:rPr>
                    <w:rFonts w:ascii="Cambria Math" w:hAnsi="Cambria Math"/>
                    <w:lang w:val="fr-FR"/>
                  </w:rPr>
                  <m:t>d</m:t>
                </m:r>
              </m:e>
              <m:sub>
                <m:r>
                  <m:rPr>
                    <m:sty m:val="p"/>
                  </m:rPr>
                  <w:rPr>
                    <w:rFonts w:ascii="Cambria Math" w:hAnsi="Cambria Math"/>
                    <w:lang w:val="fr-FR"/>
                  </w:rPr>
                  <m:t>r</m:t>
                </m:r>
              </m:sub>
            </m:sSub>
          </m:num>
          <m:den>
            <m:sSub>
              <m:sSubPr>
                <m:ctrlPr>
                  <w:rPr>
                    <w:rFonts w:ascii="Cambria Math" w:hAnsi="Cambria Math"/>
                  </w:rPr>
                </m:ctrlPr>
              </m:sSubPr>
              <m:e>
                <m:r>
                  <m:rPr>
                    <m:sty m:val="p"/>
                  </m:rPr>
                  <w:rPr>
                    <w:rFonts w:ascii="Cambria Math" w:hAnsi="Cambria Math"/>
                    <w:lang w:val="fr-FR"/>
                  </w:rPr>
                  <m:t>d</m:t>
                </m:r>
              </m:e>
              <m:sub>
                <m:r>
                  <m:rPr>
                    <m:sty m:val="p"/>
                  </m:rPr>
                  <w:rPr>
                    <w:rFonts w:ascii="Cambria Math" w:hAnsi="Cambria Math"/>
                    <w:lang w:val="fr-FR"/>
                  </w:rPr>
                  <m:t>f</m:t>
                </m:r>
              </m:sub>
            </m:sSub>
          </m:den>
        </m:f>
      </m:oMath>
      <w:r w:rsidR="00AB755C" w:rsidRPr="009A3B72">
        <w:t xml:space="preserve"> % </w:t>
      </w:r>
      <w:r w:rsidR="00AB755C">
        <w:t>вместимости</w:t>
      </w:r>
      <w:r w:rsidR="00AB755C" w:rsidRPr="009A3B72">
        <w:t>,</w:t>
      </w:r>
    </w:p>
    <w:p w14:paraId="68F39381" w14:textId="77777777" w:rsidR="00AB755C" w:rsidRPr="00240C3C" w:rsidRDefault="00AB755C" w:rsidP="00AB755C">
      <w:pPr>
        <w:pStyle w:val="SingleTxtG"/>
        <w:ind w:left="2268"/>
        <w:rPr>
          <w:b/>
          <w:bCs/>
          <w:iCs/>
        </w:rPr>
      </w:pPr>
      <w:r>
        <w:t>где d</w:t>
      </w:r>
      <w:r w:rsidRPr="009A3B72">
        <w:rPr>
          <w:vertAlign w:val="subscript"/>
        </w:rPr>
        <w:t>f</w:t>
      </w:r>
      <w:r>
        <w:t xml:space="preserve"> и d</w:t>
      </w:r>
      <w:r w:rsidRPr="009A3B72">
        <w:rPr>
          <w:vertAlign w:val="subscript"/>
        </w:rPr>
        <w:t>r</w:t>
      </w:r>
      <w:r>
        <w:t xml:space="preserve"> — плотность вещества при средней температуре во время наполнения и при максимальной средней объемной температуре во время перевозки соответственно.</w:t>
      </w:r>
    </w:p>
    <w:p w14:paraId="636EBBEA" w14:textId="3EBF0E60" w:rsidR="00AB755C" w:rsidRPr="009A3B72" w:rsidRDefault="00AB755C" w:rsidP="00AB755C">
      <w:pPr>
        <w:pStyle w:val="SingleTxtG"/>
        <w:ind w:left="2268"/>
      </w:pPr>
      <w:r>
        <w:t xml:space="preserve">В цистернах, оборудованных нагревательным устройством, температура должна регулироваться таким образом, чтобы в любой момент во время перевозки не превышалась максимальная степень наполнения, равная </w:t>
      </w:r>
      <w:r w:rsidR="009D0BD6">
        <w:br/>
      </w:r>
      <w:r>
        <w:t>95 % вместимости.».</w:t>
      </w:r>
    </w:p>
    <w:p w14:paraId="2A2BEA1C" w14:textId="77777777" w:rsidR="00AB755C" w:rsidRPr="00240C3C" w:rsidRDefault="00AB755C" w:rsidP="00AB755C">
      <w:pPr>
        <w:pStyle w:val="H1G"/>
      </w:pPr>
      <w:r>
        <w:tab/>
      </w:r>
      <w:r>
        <w:tab/>
      </w:r>
      <w:r>
        <w:rPr>
          <w:bCs/>
        </w:rPr>
        <w:t>Глава 6.8</w:t>
      </w:r>
    </w:p>
    <w:p w14:paraId="71C0EF70" w14:textId="77777777" w:rsidR="00AB755C" w:rsidRPr="00240C3C" w:rsidRDefault="00AB755C" w:rsidP="00AB755C">
      <w:pPr>
        <w:pStyle w:val="SingleTxtG"/>
        <w:ind w:left="2268" w:right="1133" w:hanging="1134"/>
        <w:rPr>
          <w:bCs/>
        </w:rPr>
      </w:pPr>
      <w:r>
        <w:t>6.8.2.1.20</w:t>
      </w:r>
      <w:r>
        <w:tab/>
        <w:t>Первая поправка не касается текста на русском языке.</w:t>
      </w:r>
    </w:p>
    <w:p w14:paraId="11AE8F88" w14:textId="3929E5ED" w:rsidR="00AB755C" w:rsidRPr="00240C3C" w:rsidRDefault="00AB755C" w:rsidP="00AB755C">
      <w:pPr>
        <w:pStyle w:val="SingleTxtG"/>
        <w:ind w:left="2268" w:right="1133" w:hanging="1134"/>
        <w:rPr>
          <w:bCs/>
        </w:rPr>
      </w:pPr>
      <w:r>
        <w:tab/>
      </w:r>
      <w:r w:rsidR="009D0BD6">
        <w:tab/>
      </w:r>
      <w:r>
        <w:t>В левой колонке в последнем абзаце подпункта b) 1. после слов «волногасящих переборок» включить «, используемых в качестве усиливающих элементов,».</w:t>
      </w:r>
    </w:p>
    <w:p w14:paraId="70C500FC" w14:textId="77777777" w:rsidR="00AB755C" w:rsidRPr="00240C3C" w:rsidRDefault="00AB755C" w:rsidP="00AB755C">
      <w:pPr>
        <w:spacing w:before="240"/>
        <w:jc w:val="center"/>
        <w:rPr>
          <w:u w:val="single"/>
        </w:rPr>
      </w:pPr>
      <w:r w:rsidRPr="00240C3C">
        <w:rPr>
          <w:u w:val="single"/>
        </w:rPr>
        <w:tab/>
      </w:r>
      <w:r w:rsidRPr="00240C3C">
        <w:rPr>
          <w:u w:val="single"/>
        </w:rPr>
        <w:tab/>
      </w:r>
      <w:r w:rsidRPr="00240C3C">
        <w:rPr>
          <w:u w:val="single"/>
        </w:rPr>
        <w:tab/>
      </w:r>
    </w:p>
    <w:p w14:paraId="47B4CA22" w14:textId="77777777" w:rsidR="00E12C5F" w:rsidRPr="008D53B6" w:rsidRDefault="00E12C5F" w:rsidP="00D9145B"/>
    <w:sectPr w:rsidR="00E12C5F" w:rsidRPr="008D53B6" w:rsidSect="00AB755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3AB1" w14:textId="77777777" w:rsidR="007E21D7" w:rsidRPr="00A312BC" w:rsidRDefault="007E21D7" w:rsidP="00A312BC"/>
  </w:endnote>
  <w:endnote w:type="continuationSeparator" w:id="0">
    <w:p w14:paraId="49183C2B" w14:textId="77777777" w:rsidR="007E21D7" w:rsidRPr="00A312BC" w:rsidRDefault="007E21D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BFC" w14:textId="7154510C" w:rsidR="00AB755C" w:rsidRPr="00AB755C" w:rsidRDefault="00AB755C">
    <w:pPr>
      <w:pStyle w:val="Footer"/>
    </w:pPr>
    <w:r w:rsidRPr="00AB755C">
      <w:rPr>
        <w:b/>
        <w:sz w:val="18"/>
      </w:rPr>
      <w:fldChar w:fldCharType="begin"/>
    </w:r>
    <w:r w:rsidRPr="00AB755C">
      <w:rPr>
        <w:b/>
        <w:sz w:val="18"/>
      </w:rPr>
      <w:instrText xml:space="preserve"> PAGE  \* MERGEFORMAT </w:instrText>
    </w:r>
    <w:r w:rsidRPr="00AB755C">
      <w:rPr>
        <w:b/>
        <w:sz w:val="18"/>
      </w:rPr>
      <w:fldChar w:fldCharType="separate"/>
    </w:r>
    <w:r w:rsidRPr="00AB755C">
      <w:rPr>
        <w:b/>
        <w:noProof/>
        <w:sz w:val="18"/>
      </w:rPr>
      <w:t>2</w:t>
    </w:r>
    <w:r w:rsidRPr="00AB755C">
      <w:rPr>
        <w:b/>
        <w:sz w:val="18"/>
      </w:rPr>
      <w:fldChar w:fldCharType="end"/>
    </w:r>
    <w:r>
      <w:rPr>
        <w:b/>
        <w:sz w:val="18"/>
      </w:rPr>
      <w:tab/>
    </w:r>
    <w:r>
      <w:t>GE.22-08031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219F" w14:textId="663EC0FD" w:rsidR="00AB755C" w:rsidRPr="00AB755C" w:rsidRDefault="00AB755C" w:rsidP="00AB755C">
    <w:pPr>
      <w:pStyle w:val="Footer"/>
      <w:tabs>
        <w:tab w:val="clear" w:pos="9639"/>
        <w:tab w:val="right" w:pos="9638"/>
      </w:tabs>
      <w:rPr>
        <w:b/>
        <w:sz w:val="18"/>
      </w:rPr>
    </w:pPr>
    <w:r>
      <w:t>GE.22-08031</w:t>
    </w:r>
    <w:r>
      <w:tab/>
    </w:r>
    <w:r w:rsidRPr="00AB755C">
      <w:rPr>
        <w:b/>
        <w:sz w:val="18"/>
      </w:rPr>
      <w:fldChar w:fldCharType="begin"/>
    </w:r>
    <w:r w:rsidRPr="00AB755C">
      <w:rPr>
        <w:b/>
        <w:sz w:val="18"/>
      </w:rPr>
      <w:instrText xml:space="preserve"> PAGE  \* MERGEFORMAT </w:instrText>
    </w:r>
    <w:r w:rsidRPr="00AB755C">
      <w:rPr>
        <w:b/>
        <w:sz w:val="18"/>
      </w:rPr>
      <w:fldChar w:fldCharType="separate"/>
    </w:r>
    <w:r w:rsidRPr="00AB755C">
      <w:rPr>
        <w:b/>
        <w:noProof/>
        <w:sz w:val="18"/>
      </w:rPr>
      <w:t>3</w:t>
    </w:r>
    <w:r w:rsidRPr="00AB75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B51" w14:textId="765E2C09" w:rsidR="00042B72" w:rsidRPr="00AB755C" w:rsidRDefault="00AB755C" w:rsidP="00AB755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F0A4D04" wp14:editId="2913D9F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08031  (</w:t>
    </w:r>
    <w:proofErr w:type="gramEnd"/>
    <w:r>
      <w:t>R)</w:t>
    </w:r>
    <w:r>
      <w:rPr>
        <w:noProof/>
      </w:rPr>
      <w:drawing>
        <wp:anchor distT="0" distB="0" distL="114300" distR="114300" simplePos="0" relativeHeight="251659264" behindDoc="0" locked="0" layoutInCell="1" allowOverlap="1" wp14:anchorId="17CA0C9F" wp14:editId="41A38AE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070622 </w:t>
    </w:r>
    <w:r w:rsidR="008423F9">
      <w:rPr>
        <w:lang w:val="fr-CH"/>
      </w:rPr>
      <w:t>10</w:t>
    </w:r>
    <w:r>
      <w:rPr>
        <w:lang w:val="fr-CH"/>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DCD6" w14:textId="77777777" w:rsidR="007E21D7" w:rsidRPr="001075E9" w:rsidRDefault="007E21D7" w:rsidP="001075E9">
      <w:pPr>
        <w:tabs>
          <w:tab w:val="right" w:pos="2155"/>
        </w:tabs>
        <w:spacing w:after="80" w:line="240" w:lineRule="auto"/>
        <w:ind w:left="680"/>
        <w:rPr>
          <w:u w:val="single"/>
        </w:rPr>
      </w:pPr>
      <w:r>
        <w:rPr>
          <w:u w:val="single"/>
        </w:rPr>
        <w:tab/>
      </w:r>
    </w:p>
  </w:footnote>
  <w:footnote w:type="continuationSeparator" w:id="0">
    <w:p w14:paraId="3FAB5475" w14:textId="77777777" w:rsidR="007E21D7" w:rsidRDefault="007E21D7" w:rsidP="00407B78">
      <w:pPr>
        <w:tabs>
          <w:tab w:val="right" w:pos="2155"/>
        </w:tabs>
        <w:spacing w:after="80"/>
        <w:ind w:left="680"/>
        <w:rPr>
          <w:u w:val="single"/>
        </w:rPr>
      </w:pPr>
      <w:r>
        <w:rPr>
          <w:u w:val="single"/>
        </w:rPr>
        <w:tab/>
      </w:r>
    </w:p>
  </w:footnote>
  <w:footnote w:id="1">
    <w:p w14:paraId="01A98988" w14:textId="77777777" w:rsidR="00AB755C" w:rsidRPr="00240C3C" w:rsidRDefault="00AB755C" w:rsidP="00AB755C">
      <w:pPr>
        <w:pStyle w:val="FootnoteText"/>
        <w:widowControl w:val="0"/>
        <w:tabs>
          <w:tab w:val="clear" w:pos="1021"/>
          <w:tab w:val="right" w:pos="1020"/>
        </w:tabs>
      </w:pPr>
      <w:r>
        <w:tab/>
      </w:r>
      <w:r>
        <w:rPr>
          <w:rStyle w:val="FootnoteReference"/>
        </w:rPr>
        <w:footnoteRef/>
      </w:r>
      <w:r>
        <w:tab/>
        <w:t xml:space="preserve">Формулировки ссылок на Правила ООН были адаптированы после сессии с учетом терминологии, используемой в ДОПОГ.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6B3A" w14:textId="7F1F8456" w:rsidR="00AB755C" w:rsidRPr="00AB755C" w:rsidRDefault="00C869F2">
    <w:pPr>
      <w:pStyle w:val="Header"/>
    </w:pPr>
    <w:r>
      <w:fldChar w:fldCharType="begin"/>
    </w:r>
    <w:r>
      <w:instrText xml:space="preserve"> TITLE  \* MERGEFORMAT </w:instrText>
    </w:r>
    <w:r>
      <w:fldChar w:fldCharType="separate"/>
    </w:r>
    <w:r w:rsidR="006F3D18">
      <w:t>ECE/TRANS/WP.15/258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3B80" w14:textId="59089D94" w:rsidR="00AB755C" w:rsidRPr="00AB755C" w:rsidRDefault="00C869F2" w:rsidP="00AB755C">
    <w:pPr>
      <w:pStyle w:val="Header"/>
      <w:jc w:val="right"/>
    </w:pPr>
    <w:r>
      <w:fldChar w:fldCharType="begin"/>
    </w:r>
    <w:r>
      <w:instrText xml:space="preserve"> TITLE  \* MERGEFORMAT </w:instrText>
    </w:r>
    <w:r>
      <w:fldChar w:fldCharType="separate"/>
    </w:r>
    <w:r w:rsidR="006F3D18">
      <w:t>ECE/TRANS/WP.15/258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7"/>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D7"/>
    <w:rsid w:val="00003650"/>
    <w:rsid w:val="00032B2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55E6"/>
    <w:rsid w:val="001C7A89"/>
    <w:rsid w:val="001D2DF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4AA4"/>
    <w:rsid w:val="00364E89"/>
    <w:rsid w:val="00381C24"/>
    <w:rsid w:val="00387CD4"/>
    <w:rsid w:val="003958D0"/>
    <w:rsid w:val="003A0D43"/>
    <w:rsid w:val="003A48CE"/>
    <w:rsid w:val="003B00E5"/>
    <w:rsid w:val="003D3539"/>
    <w:rsid w:val="003E0B46"/>
    <w:rsid w:val="004040E9"/>
    <w:rsid w:val="00407B78"/>
    <w:rsid w:val="004145FC"/>
    <w:rsid w:val="00424203"/>
    <w:rsid w:val="00436085"/>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6314"/>
    <w:rsid w:val="00617A43"/>
    <w:rsid w:val="006345DB"/>
    <w:rsid w:val="00640F49"/>
    <w:rsid w:val="00680D03"/>
    <w:rsid w:val="00681A10"/>
    <w:rsid w:val="006A1ED8"/>
    <w:rsid w:val="006C2031"/>
    <w:rsid w:val="006D461A"/>
    <w:rsid w:val="006F35EE"/>
    <w:rsid w:val="006F3D18"/>
    <w:rsid w:val="00700C8F"/>
    <w:rsid w:val="007021FF"/>
    <w:rsid w:val="00712895"/>
    <w:rsid w:val="00734ACB"/>
    <w:rsid w:val="00757357"/>
    <w:rsid w:val="00792497"/>
    <w:rsid w:val="007E21D7"/>
    <w:rsid w:val="00806737"/>
    <w:rsid w:val="008242E7"/>
    <w:rsid w:val="00825F8D"/>
    <w:rsid w:val="00834B71"/>
    <w:rsid w:val="008423F9"/>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0BD6"/>
    <w:rsid w:val="009D7E7D"/>
    <w:rsid w:val="00A14DA8"/>
    <w:rsid w:val="00A312BC"/>
    <w:rsid w:val="00A84021"/>
    <w:rsid w:val="00A84D35"/>
    <w:rsid w:val="00A917B3"/>
    <w:rsid w:val="00AB4B51"/>
    <w:rsid w:val="00AB755C"/>
    <w:rsid w:val="00B06073"/>
    <w:rsid w:val="00B10CC7"/>
    <w:rsid w:val="00B36DF7"/>
    <w:rsid w:val="00B539E7"/>
    <w:rsid w:val="00B62458"/>
    <w:rsid w:val="00BC18B2"/>
    <w:rsid w:val="00BD33EE"/>
    <w:rsid w:val="00BE1CC7"/>
    <w:rsid w:val="00BF3E1A"/>
    <w:rsid w:val="00C058F2"/>
    <w:rsid w:val="00C106D6"/>
    <w:rsid w:val="00C119AE"/>
    <w:rsid w:val="00C60F0C"/>
    <w:rsid w:val="00C62D32"/>
    <w:rsid w:val="00C71E84"/>
    <w:rsid w:val="00C805C9"/>
    <w:rsid w:val="00C869F2"/>
    <w:rsid w:val="00C92939"/>
    <w:rsid w:val="00CA1679"/>
    <w:rsid w:val="00CB151C"/>
    <w:rsid w:val="00CE5A1A"/>
    <w:rsid w:val="00CF55F6"/>
    <w:rsid w:val="00D33D63"/>
    <w:rsid w:val="00D5253A"/>
    <w:rsid w:val="00D873A8"/>
    <w:rsid w:val="00D90028"/>
    <w:rsid w:val="00D90138"/>
    <w:rsid w:val="00D9145B"/>
    <w:rsid w:val="00DA4EC5"/>
    <w:rsid w:val="00DA6514"/>
    <w:rsid w:val="00DC2066"/>
    <w:rsid w:val="00DD235A"/>
    <w:rsid w:val="00DD78D1"/>
    <w:rsid w:val="00DE32CD"/>
    <w:rsid w:val="00DF5767"/>
    <w:rsid w:val="00DF71B9"/>
    <w:rsid w:val="00E12C5F"/>
    <w:rsid w:val="00E73F76"/>
    <w:rsid w:val="00EA2C9F"/>
    <w:rsid w:val="00EA420E"/>
    <w:rsid w:val="00EB5E3A"/>
    <w:rsid w:val="00ED0BDA"/>
    <w:rsid w:val="00EE142A"/>
    <w:rsid w:val="00EF1360"/>
    <w:rsid w:val="00EF3220"/>
    <w:rsid w:val="00F2523A"/>
    <w:rsid w:val="00F43903"/>
    <w:rsid w:val="00F94155"/>
    <w:rsid w:val="00F9783F"/>
    <w:rsid w:val="00FD2EF7"/>
    <w:rsid w:val="00FD5A3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41B78"/>
  <w15:docId w15:val="{7E82D6B5-BBB9-4F8D-A5F7-76BEF51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AB755C"/>
    <w:rPr>
      <w:lang w:val="ru-RU" w:eastAsia="en-US"/>
    </w:rPr>
  </w:style>
  <w:style w:type="character" w:customStyle="1" w:styleId="HChGChar">
    <w:name w:val="_ H _Ch_G Char"/>
    <w:link w:val="HChG"/>
    <w:rsid w:val="00AB755C"/>
    <w:rPr>
      <w:b/>
      <w:sz w:val="28"/>
      <w:lang w:val="ru-RU" w:eastAsia="ru-RU"/>
    </w:rPr>
  </w:style>
  <w:style w:type="character" w:customStyle="1" w:styleId="H23GChar">
    <w:name w:val="_ H_2/3_G Char"/>
    <w:link w:val="H23G"/>
    <w:locked/>
    <w:rsid w:val="00AB755C"/>
    <w:rPr>
      <w:b/>
      <w:lang w:val="ru-RU" w:eastAsia="ru-RU"/>
    </w:rPr>
  </w:style>
  <w:style w:type="character" w:styleId="UnresolvedMention">
    <w:name w:val="Unresolved Mention"/>
    <w:basedOn w:val="DefaultParagraphFont"/>
    <w:uiPriority w:val="99"/>
    <w:semiHidden/>
    <w:unhideWhenUsed/>
    <w:rsid w:val="00DD235A"/>
    <w:rPr>
      <w:color w:val="605E5C"/>
      <w:shd w:val="clear" w:color="auto" w:fill="E1DFDD"/>
    </w:rPr>
  </w:style>
  <w:style w:type="paragraph" w:customStyle="1" w:styleId="Default">
    <w:name w:val="Default"/>
    <w:rsid w:val="00DA6514"/>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adr-certificates-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silence-procedur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5407</Words>
  <Characters>30826</Characters>
  <Application>Microsoft Office Word</Application>
  <DocSecurity>0</DocSecurity>
  <Lines>256</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ECE/TRANS/WP.15/258</vt:lpstr>
      <vt:lpstr>A/</vt:lpstr>
      <vt:lpstr>A/</vt:lpstr>
    </vt:vector>
  </TitlesOfParts>
  <Company>DCM</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ECE/TRANS/WP.15/258</dc:title>
  <dc:subject/>
  <dc:creator>Elena IZOTOVA</dc:creator>
  <cp:keywords/>
  <cp:lastModifiedBy>Christine Barrio-Champeau</cp:lastModifiedBy>
  <cp:revision>2</cp:revision>
  <cp:lastPrinted>2022-06-10T08:29:00Z</cp:lastPrinted>
  <dcterms:created xsi:type="dcterms:W3CDTF">2022-06-10T12:16:00Z</dcterms:created>
  <dcterms:modified xsi:type="dcterms:W3CDTF">2022-06-10T12:16:00Z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