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41F2" w14:textId="6170B656" w:rsidR="00277F70" w:rsidRPr="00A47D25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 w:bidi="fr-FR"/>
        </w:rPr>
      </w:pPr>
      <w:r w:rsidRPr="00A47D25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D25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="00B27134" w:rsidRPr="00A47D25">
        <w:rPr>
          <w:rFonts w:ascii="Arial" w:eastAsia="Arial" w:hAnsi="Arial" w:cs="Arial"/>
          <w:bCs/>
          <w:szCs w:val="24"/>
          <w:lang w:eastAsia="de-DE"/>
        </w:rPr>
        <w:t>2</w:t>
      </w:r>
      <w:r w:rsidRPr="00A47D25">
        <w:rPr>
          <w:rFonts w:ascii="Arial" w:eastAsia="Arial" w:hAnsi="Arial" w:cs="Arial"/>
          <w:bCs/>
          <w:szCs w:val="24"/>
          <w:lang w:eastAsia="de-DE"/>
        </w:rPr>
        <w:t>/</w:t>
      </w:r>
      <w:r w:rsidR="00B27134" w:rsidRPr="00A47D25">
        <w:rPr>
          <w:rFonts w:ascii="Arial" w:eastAsia="Arial" w:hAnsi="Arial" w:cs="Arial"/>
          <w:bCs/>
          <w:szCs w:val="24"/>
          <w:lang w:eastAsia="de-DE"/>
        </w:rPr>
        <w:t>40</w:t>
      </w:r>
    </w:p>
    <w:p w14:paraId="20DAC2EC" w14:textId="77777777" w:rsidR="00277F70" w:rsidRPr="00A47D25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A47D25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0A0E90A9" w:rsidR="00277F70" w:rsidRPr="00A47D25" w:rsidRDefault="00B27134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A47D25">
        <w:rPr>
          <w:rFonts w:ascii="Arial" w:eastAsia="Arial" w:hAnsi="Arial" w:cs="Arial"/>
          <w:szCs w:val="24"/>
          <w:lang w:eastAsia="de-DE"/>
        </w:rPr>
        <w:t>24</w:t>
      </w:r>
      <w:r w:rsidR="00B809C2" w:rsidRPr="00A47D25">
        <w:rPr>
          <w:rFonts w:ascii="Arial" w:eastAsia="Arial" w:hAnsi="Arial" w:cs="Arial"/>
          <w:szCs w:val="24"/>
          <w:lang w:eastAsia="de-DE"/>
        </w:rPr>
        <w:t xml:space="preserve">. </w:t>
      </w:r>
      <w:r w:rsidRPr="00A47D25">
        <w:rPr>
          <w:rFonts w:ascii="Arial" w:eastAsia="Arial" w:hAnsi="Arial" w:cs="Arial"/>
          <w:szCs w:val="24"/>
          <w:lang w:eastAsia="de-DE"/>
        </w:rPr>
        <w:t>Mai</w:t>
      </w:r>
      <w:r w:rsidR="00277F70" w:rsidRPr="00A47D25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A47D25">
        <w:rPr>
          <w:rFonts w:ascii="Arial" w:eastAsia="Arial" w:hAnsi="Arial" w:cs="Arial"/>
          <w:szCs w:val="24"/>
          <w:lang w:eastAsia="de-DE"/>
        </w:rPr>
        <w:t>2</w:t>
      </w:r>
      <w:r w:rsidRPr="00A47D25">
        <w:rPr>
          <w:rFonts w:ascii="Arial" w:eastAsia="Arial" w:hAnsi="Arial" w:cs="Arial"/>
          <w:szCs w:val="24"/>
          <w:lang w:eastAsia="de-DE"/>
        </w:rPr>
        <w:t>2</w:t>
      </w:r>
    </w:p>
    <w:p w14:paraId="2C6BC17E" w14:textId="3C4E98CA" w:rsidR="00277F70" w:rsidRPr="00A47D25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A47D25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A47D25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B27134" w:rsidRPr="00A47D25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3CEACF79" w14:textId="77777777" w:rsidR="00277F70" w:rsidRPr="00A47D25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A47D25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4B307765" w14:textId="77777777" w:rsidR="00B27134" w:rsidRPr="00A47D25" w:rsidRDefault="00B27134" w:rsidP="00B2713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A47D25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A47D25">
        <w:rPr>
          <w:rFonts w:ascii="Arial" w:eastAsia="Calibri" w:hAnsi="Arial"/>
          <w:sz w:val="16"/>
        </w:rPr>
        <w:t xml:space="preserve">BINNENWASSERSTRAẞEN (ADN) </w:t>
      </w:r>
      <w:r w:rsidRPr="00A47D25">
        <w:rPr>
          <w:rFonts w:ascii="Arial" w:hAnsi="Arial"/>
          <w:sz w:val="16"/>
        </w:rPr>
        <w:t>BEIGEFÜGTE VERORDNUNG (SICHERHEITSAUSSCHUSS)</w:t>
      </w:r>
    </w:p>
    <w:p w14:paraId="1D6135E2" w14:textId="77777777" w:rsidR="00B27134" w:rsidRPr="00A47D25" w:rsidRDefault="00B27134" w:rsidP="00B2713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A47D25">
        <w:rPr>
          <w:rFonts w:ascii="Arial" w:hAnsi="Arial"/>
          <w:sz w:val="16"/>
          <w:szCs w:val="24"/>
        </w:rPr>
        <w:t>(40. Tagung, Genf, 22. – 26. August 2022)</w:t>
      </w:r>
    </w:p>
    <w:p w14:paraId="355CF0ED" w14:textId="77777777" w:rsidR="00B27134" w:rsidRPr="00A47D25" w:rsidRDefault="00B27134" w:rsidP="00B2713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A47D25">
        <w:rPr>
          <w:rFonts w:ascii="Arial" w:hAnsi="Arial" w:cs="Arial"/>
          <w:sz w:val="16"/>
          <w:szCs w:val="16"/>
          <w:lang w:eastAsia="en-US"/>
        </w:rPr>
        <w:t>Punkt 4 b) zur vorläufigen Tagesordnung</w:t>
      </w:r>
    </w:p>
    <w:p w14:paraId="4993750F" w14:textId="77777777" w:rsidR="00B27134" w:rsidRPr="00A47D25" w:rsidRDefault="00B27134" w:rsidP="00B27134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A47D25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5313DDD7" w14:textId="77777777" w:rsidR="00B27134" w:rsidRPr="00A47D25" w:rsidRDefault="00E75FEC" w:rsidP="00B27134">
      <w:pPr>
        <w:pStyle w:val="HChG"/>
        <w:spacing w:line="240" w:lineRule="atLeast"/>
        <w:ind w:firstLine="0"/>
        <w:rPr>
          <w:bCs/>
          <w:szCs w:val="24"/>
          <w:lang w:val="de-DE"/>
        </w:rPr>
      </w:pPr>
      <w:bookmarkStart w:id="0" w:name="_Hlk33099965"/>
      <w:r w:rsidRPr="00A47D25">
        <w:rPr>
          <w:bCs/>
          <w:szCs w:val="24"/>
          <w:lang w:val="de-DE"/>
        </w:rPr>
        <w:t>Entgasen von Binnentankschiffen an Annahmestellen – Federbelastetes Niederdruckventil</w:t>
      </w:r>
    </w:p>
    <w:bookmarkEnd w:id="0"/>
    <w:p w14:paraId="4182DA61" w14:textId="1F214593" w:rsidR="00277F70" w:rsidRPr="00162BEF" w:rsidRDefault="00277F70" w:rsidP="00B27134">
      <w:pPr>
        <w:pStyle w:val="HChG"/>
        <w:spacing w:line="240" w:lineRule="atLeast"/>
        <w:ind w:firstLine="0"/>
        <w:rPr>
          <w:b w:val="0"/>
          <w:sz w:val="20"/>
          <w:lang w:val="de-DE"/>
        </w:rPr>
      </w:pPr>
      <w:r w:rsidRPr="00A47D25">
        <w:rPr>
          <w:sz w:val="24"/>
          <w:lang w:val="de-DE"/>
        </w:rPr>
        <w:t xml:space="preserve">Vorgelegt von </w:t>
      </w:r>
      <w:r w:rsidR="00EA3FF0" w:rsidRPr="00A47D25">
        <w:rPr>
          <w:sz w:val="24"/>
          <w:lang w:val="de-DE"/>
        </w:rPr>
        <w:t>Deutschland</w:t>
      </w:r>
      <w:r w:rsidR="00B27134" w:rsidRPr="00A47D25">
        <w:rPr>
          <w:sz w:val="24"/>
          <w:lang w:val="de-DE"/>
        </w:rPr>
        <w:t xml:space="preserve"> und den Niederlanden</w:t>
      </w:r>
      <w:r w:rsidR="00B27134" w:rsidRPr="00162BEF">
        <w:rPr>
          <w:sz w:val="20"/>
          <w:lang w:val="de-DE" w:eastAsia="en-US"/>
        </w:rPr>
        <w:footnoteReference w:customMarkFollows="1" w:id="1"/>
        <w:t>*</w:t>
      </w:r>
      <w:r w:rsidR="00B27134" w:rsidRPr="00162BEF">
        <w:rPr>
          <w:sz w:val="20"/>
          <w:vertAlign w:val="superscript"/>
          <w:lang w:val="de-DE" w:eastAsia="en-US"/>
        </w:rPr>
        <w:t xml:space="preserve">, </w:t>
      </w:r>
      <w:r w:rsidR="00B27134" w:rsidRPr="00162BEF">
        <w:rPr>
          <w:sz w:val="20"/>
          <w:lang w:val="de-DE" w:eastAsia="en-US"/>
        </w:rPr>
        <w:footnoteReference w:customMarkFollows="1" w:id="2"/>
        <w:t>**</w:t>
      </w:r>
    </w:p>
    <w:tbl>
      <w:tblPr>
        <w:tblStyle w:val="Grilledutableau1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062"/>
      </w:tblGrid>
      <w:tr w:rsidR="00B27134" w:rsidRPr="00A47D25" w14:paraId="7CD8D3DE" w14:textId="77777777" w:rsidTr="00F25414">
        <w:trPr>
          <w:jc w:val="center"/>
        </w:trPr>
        <w:tc>
          <w:tcPr>
            <w:tcW w:w="9062" w:type="dxa"/>
            <w:shd w:val="clear" w:color="auto" w:fill="auto"/>
          </w:tcPr>
          <w:p w14:paraId="010A2277" w14:textId="21170169" w:rsidR="00B27134" w:rsidRPr="00A47D25" w:rsidRDefault="007F5EEA" w:rsidP="00B27134">
            <w:pPr>
              <w:widowControl/>
              <w:overflowPunct/>
              <w:autoSpaceDE/>
              <w:autoSpaceDN/>
              <w:adjustRightInd/>
              <w:spacing w:before="240" w:after="120"/>
              <w:ind w:left="255" w:firstLine="0"/>
              <w:jc w:val="left"/>
              <w:textAlignment w:val="auto"/>
              <w:rPr>
                <w:i/>
                <w:sz w:val="24"/>
                <w:lang w:val="de-DE"/>
              </w:rPr>
            </w:pPr>
            <w:bookmarkStart w:id="1" w:name="_Hlk33099984"/>
            <w:r>
              <w:rPr>
                <w:i/>
                <w:sz w:val="24"/>
                <w:lang w:val="de-DE"/>
              </w:rPr>
              <w:t>Zusammenfassung</w:t>
            </w:r>
          </w:p>
        </w:tc>
      </w:tr>
      <w:tr w:rsidR="00B27134" w:rsidRPr="00A47D25" w14:paraId="2FB15792" w14:textId="77777777" w:rsidTr="00F25414">
        <w:trPr>
          <w:jc w:val="center"/>
        </w:trPr>
        <w:tc>
          <w:tcPr>
            <w:tcW w:w="9062" w:type="dxa"/>
            <w:shd w:val="clear" w:color="auto" w:fill="auto"/>
          </w:tcPr>
          <w:p w14:paraId="2544E509" w14:textId="7DFE8BED" w:rsidR="00B27134" w:rsidRPr="00A47D25" w:rsidRDefault="00B27134" w:rsidP="00B2713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/>
              <w:ind w:left="2835" w:right="139" w:hanging="2835"/>
              <w:jc w:val="left"/>
              <w:textAlignment w:val="auto"/>
              <w:rPr>
                <w:lang w:val="de-DE"/>
              </w:rPr>
            </w:pPr>
            <w:r w:rsidRPr="00A47D25">
              <w:rPr>
                <w:b/>
                <w:iCs/>
                <w:lang w:val="de-DE"/>
              </w:rPr>
              <w:tab/>
            </w:r>
            <w:r w:rsidR="007F5EEA">
              <w:rPr>
                <w:b/>
                <w:lang w:val="de-DE"/>
              </w:rPr>
              <w:t>Verbundene Dokumente</w:t>
            </w:r>
            <w:r w:rsidRPr="00A47D25">
              <w:rPr>
                <w:bCs/>
                <w:lang w:val="de-DE"/>
              </w:rPr>
              <w:t>:</w:t>
            </w:r>
            <w:r w:rsidRPr="00A47D25">
              <w:rPr>
                <w:lang w:val="de-DE"/>
              </w:rPr>
              <w:tab/>
              <w:t>ECE/TRANS/WP.15/AC.2/2020/36 – (</w:t>
            </w:r>
            <w:r w:rsidR="007F5EEA">
              <w:rPr>
                <w:lang w:val="de-DE"/>
              </w:rPr>
              <w:t>Niederlande</w:t>
            </w:r>
            <w:r w:rsidRPr="00A47D25">
              <w:rPr>
                <w:lang w:val="de-DE"/>
              </w:rPr>
              <w:t>)</w:t>
            </w:r>
          </w:p>
          <w:p w14:paraId="5F13532C" w14:textId="4346D213" w:rsidR="00B27134" w:rsidRPr="00A47D25" w:rsidRDefault="00B27134" w:rsidP="00B27134">
            <w:pPr>
              <w:widowControl/>
              <w:overflowPunct/>
              <w:autoSpaceDE/>
              <w:autoSpaceDN/>
              <w:adjustRightInd/>
              <w:ind w:left="1701" w:firstLine="1145"/>
              <w:jc w:val="left"/>
              <w:textAlignment w:val="auto"/>
              <w:rPr>
                <w:lang w:val="de-DE"/>
              </w:rPr>
            </w:pPr>
            <w:r w:rsidRPr="00A47D25">
              <w:rPr>
                <w:lang w:val="de-DE"/>
              </w:rPr>
              <w:t>ECE/TRANS/WP.15/AC.2/2021/3 – (</w:t>
            </w:r>
            <w:r w:rsidR="007F5EEA">
              <w:rPr>
                <w:lang w:val="de-DE"/>
              </w:rPr>
              <w:t>Deutschland</w:t>
            </w:r>
            <w:r w:rsidRPr="00A47D25">
              <w:rPr>
                <w:lang w:val="de-DE"/>
              </w:rPr>
              <w:t>)</w:t>
            </w:r>
          </w:p>
          <w:p w14:paraId="036AB513" w14:textId="254FD760" w:rsidR="00B27134" w:rsidRPr="00A47D25" w:rsidRDefault="00B27134" w:rsidP="00B27134">
            <w:pPr>
              <w:widowControl/>
              <w:overflowPunct/>
              <w:autoSpaceDE/>
              <w:autoSpaceDN/>
              <w:adjustRightInd/>
              <w:ind w:left="1701" w:firstLine="1145"/>
              <w:jc w:val="left"/>
              <w:textAlignment w:val="auto"/>
              <w:rPr>
                <w:lang w:val="de-DE"/>
              </w:rPr>
            </w:pPr>
            <w:r w:rsidRPr="00A47D25">
              <w:rPr>
                <w:lang w:val="de-DE"/>
              </w:rPr>
              <w:t xml:space="preserve">ECE/TRANS/WP.15/AC.2/76, </w:t>
            </w:r>
            <w:r w:rsidR="007F5EEA">
              <w:rPr>
                <w:lang w:val="de-DE"/>
              </w:rPr>
              <w:t>Nrn</w:t>
            </w:r>
            <w:r w:rsidRPr="00A47D25">
              <w:rPr>
                <w:lang w:val="de-DE"/>
              </w:rPr>
              <w:t xml:space="preserve">. 67-70 – </w:t>
            </w:r>
            <w:r w:rsidR="007F5EEA">
              <w:rPr>
                <w:lang w:val="de-DE"/>
              </w:rPr>
              <w:t>Bericht der 37. Sitzung</w:t>
            </w:r>
          </w:p>
        </w:tc>
      </w:tr>
      <w:tr w:rsidR="00B27134" w:rsidRPr="00A47D25" w14:paraId="63F22C2A" w14:textId="77777777" w:rsidTr="00F25414">
        <w:trPr>
          <w:trHeight w:val="55"/>
          <w:jc w:val="center"/>
        </w:trPr>
        <w:tc>
          <w:tcPr>
            <w:tcW w:w="9062" w:type="dxa"/>
            <w:shd w:val="clear" w:color="auto" w:fill="auto"/>
          </w:tcPr>
          <w:p w14:paraId="41794252" w14:textId="77777777" w:rsidR="00B27134" w:rsidRPr="00A47D25" w:rsidRDefault="00B27134" w:rsidP="00B2713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/>
              <w:ind w:left="2835" w:right="139" w:hanging="2835"/>
              <w:jc w:val="left"/>
              <w:textAlignment w:val="auto"/>
              <w:rPr>
                <w:b/>
                <w:lang w:val="de-DE"/>
              </w:rPr>
            </w:pPr>
          </w:p>
        </w:tc>
      </w:tr>
    </w:tbl>
    <w:p w14:paraId="5C952212" w14:textId="33E0C007" w:rsidR="00B27134" w:rsidRPr="00A47D25" w:rsidRDefault="00B27134" w:rsidP="00B2713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A47D25">
        <w:rPr>
          <w:b/>
          <w:sz w:val="28"/>
        </w:rPr>
        <w:tab/>
      </w:r>
      <w:r w:rsidRPr="00A47D25">
        <w:rPr>
          <w:b/>
          <w:sz w:val="28"/>
        </w:rPr>
        <w:tab/>
      </w:r>
      <w:r w:rsidR="00F25414" w:rsidRPr="00A47D25">
        <w:rPr>
          <w:b/>
          <w:sz w:val="28"/>
        </w:rPr>
        <w:t>Einleitung</w:t>
      </w:r>
    </w:p>
    <w:p w14:paraId="6048EC12" w14:textId="1AFF99D4" w:rsidR="00B27134" w:rsidRPr="00B22C3B" w:rsidRDefault="00B27134" w:rsidP="00BA737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22C3B">
        <w:t>1.</w:t>
      </w:r>
      <w:r w:rsidRPr="00B22C3B">
        <w:tab/>
      </w:r>
      <w:r w:rsidR="000C0D7C" w:rsidRPr="00B22C3B">
        <w:t xml:space="preserve">Der Sicherheitsausschuss hat auf seiner siebenunddreißigsten </w:t>
      </w:r>
      <w:r w:rsidR="00FC1D10" w:rsidRPr="00B22C3B">
        <w:t>Sitz</w:t>
      </w:r>
      <w:r w:rsidR="000C0D7C" w:rsidRPr="00B22C3B">
        <w:t xml:space="preserve">ung auf der Grundlage der Dokumente ECE/TRANS/WP.15/AC.2/2020/36 und ECE/TRANS/WP.15/AC.2/2021/3 einige Änderungsvorschläge zur Verbesserung der Vorschriften </w:t>
      </w:r>
      <w:r w:rsidR="00125C30" w:rsidRPr="00B22C3B">
        <w:t>zum</w:t>
      </w:r>
      <w:r w:rsidR="000C0D7C" w:rsidRPr="00B22C3B">
        <w:t xml:space="preserve"> Entgas</w:t>
      </w:r>
      <w:r w:rsidR="00125C30" w:rsidRPr="00B22C3B">
        <w:t>e</w:t>
      </w:r>
      <w:r w:rsidR="000C0D7C" w:rsidRPr="00B22C3B">
        <w:t xml:space="preserve">n von </w:t>
      </w:r>
      <w:r w:rsidR="0015423F" w:rsidRPr="00B22C3B">
        <w:t>Güter</w:t>
      </w:r>
      <w:r w:rsidR="000C0D7C" w:rsidRPr="00B22C3B">
        <w:t xml:space="preserve">schiffen </w:t>
      </w:r>
      <w:r w:rsidR="008D773F" w:rsidRPr="00B22C3B">
        <w:t>a</w:t>
      </w:r>
      <w:r w:rsidR="000C0D7C" w:rsidRPr="00B22C3B">
        <w:t>n Entgasungs</w:t>
      </w:r>
      <w:r w:rsidR="008D773F" w:rsidRPr="00B22C3B">
        <w:t>stell</w:t>
      </w:r>
      <w:r w:rsidR="000C0D7C" w:rsidRPr="00B22C3B">
        <w:t>en diskutiert.</w:t>
      </w:r>
      <w:r w:rsidRPr="00B22C3B">
        <w:t xml:space="preserve"> </w:t>
      </w:r>
      <w:r w:rsidR="009C588A" w:rsidRPr="00B22C3B">
        <w:t xml:space="preserve">Zu den Vorschlägen für ein zusätzliches Ventil in der </w:t>
      </w:r>
      <w:r w:rsidR="00AF70B7" w:rsidRPr="00B22C3B">
        <w:t>Öffnung für die Zufuhr von Umgebungsluft</w:t>
      </w:r>
      <w:r w:rsidR="009C588A" w:rsidRPr="00B22C3B">
        <w:t xml:space="preserve"> in einen zu entgasenden Ladetank forderte der Sicherheitsausschuss </w:t>
      </w:r>
      <w:r w:rsidR="00121022" w:rsidRPr="00B22C3B">
        <w:t xml:space="preserve">zur Entscheidungsfindung </w:t>
      </w:r>
      <w:r w:rsidR="009C588A" w:rsidRPr="00B22C3B">
        <w:t>ein zusätzliches Dokument an.</w:t>
      </w:r>
    </w:p>
    <w:p w14:paraId="68955F14" w14:textId="22E93EDE" w:rsidR="00B27134" w:rsidRPr="00B22C3B" w:rsidRDefault="00B27134" w:rsidP="00BA7378">
      <w:pPr>
        <w:keepNext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22C3B">
        <w:t>2.</w:t>
      </w:r>
      <w:r w:rsidRPr="00B22C3B">
        <w:tab/>
      </w:r>
      <w:r w:rsidR="00BA7378" w:rsidRPr="00B22C3B">
        <w:t>Der Sicherheitsausschuss kam zu den folgenden Schlussfolgerungen:</w:t>
      </w:r>
    </w:p>
    <w:p w14:paraId="20BBDB46" w14:textId="1B09D899" w:rsidR="007F5EEA" w:rsidRPr="00537F69" w:rsidRDefault="007F5EEA" w:rsidP="00666327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iCs/>
        </w:rPr>
      </w:pPr>
      <w:r>
        <w:rPr>
          <w:iCs/>
        </w:rPr>
        <w:t>„</w:t>
      </w:r>
      <w:r w:rsidRPr="007F5EEA">
        <w:rPr>
          <w:iCs/>
        </w:rPr>
        <w:t>69.</w:t>
      </w:r>
      <w:r w:rsidRPr="007F5EEA">
        <w:rPr>
          <w:iCs/>
        </w:rPr>
        <w:tab/>
        <w:t>Der Sicherheitsausschuss war sich einig, dass der Einbau von Niederdruckventilen oder zusätzlichen Unterdruckventilen nicht zwingend erforderlich ist.</w:t>
      </w:r>
      <w:r w:rsidRPr="00537F69">
        <w:rPr>
          <w:iCs/>
        </w:rPr>
        <w:t xml:space="preserve"> </w:t>
      </w:r>
      <w:r w:rsidRPr="007F5EEA">
        <w:rPr>
          <w:iCs/>
        </w:rPr>
        <w:t>Der Vertreter Deutschlands unterstrich, dass die Vorschriften für die Entgasung von Schiffen an Annahmestellen präzisiert werden müssen.</w:t>
      </w:r>
    </w:p>
    <w:p w14:paraId="63C8D49D" w14:textId="3B78C6D3" w:rsidR="007F5EEA" w:rsidRPr="00537F69" w:rsidRDefault="007F5EEA" w:rsidP="007F5EEA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iCs/>
        </w:rPr>
      </w:pPr>
      <w:r w:rsidRPr="007F5EEA">
        <w:rPr>
          <w:iCs/>
        </w:rPr>
        <w:t>70.</w:t>
      </w:r>
      <w:r w:rsidRPr="007F5EEA">
        <w:rPr>
          <w:iCs/>
        </w:rPr>
        <w:tab/>
        <w:t>Der Sicherheitsausschuss beschloss, die Vorschläge auf seiner nächsten Sitzung einer abschließenden Prüfung zu unterziehen.</w:t>
      </w:r>
      <w:r>
        <w:rPr>
          <w:iCs/>
        </w:rPr>
        <w:t>“</w:t>
      </w:r>
    </w:p>
    <w:p w14:paraId="3192C9D2" w14:textId="77777777" w:rsidR="00B22C3B" w:rsidRDefault="00B22C3B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highlight w:val="yellow"/>
        </w:rPr>
      </w:pPr>
      <w:r>
        <w:rPr>
          <w:highlight w:val="yellow"/>
        </w:rPr>
        <w:br w:type="page"/>
      </w:r>
    </w:p>
    <w:p w14:paraId="1CE95AEF" w14:textId="483EF03A" w:rsidR="00B27134" w:rsidRPr="00B22C3B" w:rsidRDefault="00B27134" w:rsidP="00D51C9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22C3B">
        <w:lastRenderedPageBreak/>
        <w:t>3.</w:t>
      </w:r>
      <w:r w:rsidRPr="00B22C3B">
        <w:tab/>
      </w:r>
      <w:r w:rsidR="00CE32A9" w:rsidRPr="00B22C3B">
        <w:t>Deutschland und die Niederlande haben in bilateralen Gesprächen und unter Beteiligung von Vertretern</w:t>
      </w:r>
      <w:r w:rsidR="007B2099" w:rsidRPr="00B22C3B">
        <w:t xml:space="preserve"> der </w:t>
      </w:r>
      <w:r w:rsidR="00CE32A9" w:rsidRPr="00B22C3B">
        <w:t xml:space="preserve">Europäischen Binnenschifffahrts-Union </w:t>
      </w:r>
      <w:r w:rsidR="007B2099" w:rsidRPr="00B22C3B">
        <w:t xml:space="preserve">(EBU) und der </w:t>
      </w:r>
      <w:r w:rsidR="00CE32A9" w:rsidRPr="00B22C3B">
        <w:t xml:space="preserve">Europäischen Schifferorganisation </w:t>
      </w:r>
      <w:r w:rsidR="007B2099" w:rsidRPr="00B22C3B">
        <w:t xml:space="preserve">(ESO) ihre früheren Dokumente überarbeitet und bitten den Sicherheitsausschuss, den folgenden </w:t>
      </w:r>
      <w:r w:rsidR="00F32881" w:rsidRPr="00B22C3B">
        <w:t>modifizierten</w:t>
      </w:r>
      <w:r w:rsidR="007B2099" w:rsidRPr="00B22C3B">
        <w:t xml:space="preserve"> Ansatz zu diskutieren.</w:t>
      </w:r>
      <w:r w:rsidRPr="00B22C3B">
        <w:t xml:space="preserve"> </w:t>
      </w:r>
      <w:r w:rsidR="00F32881" w:rsidRPr="00B22C3B">
        <w:t>Die in den Absätzen 4 und 5 des Dokuments ECE/TRANS/WP.15/AC.2/2021/3 (Deutschland) enthaltene Begründung bleibt</w:t>
      </w:r>
      <w:r w:rsidR="00D51C95" w:rsidRPr="00B22C3B">
        <w:t xml:space="preserve"> im Wesentlichen</w:t>
      </w:r>
      <w:r w:rsidR="00F32881" w:rsidRPr="00B22C3B">
        <w:t xml:space="preserve"> gültig.</w:t>
      </w:r>
    </w:p>
    <w:p w14:paraId="3F5255B2" w14:textId="0951835C" w:rsidR="00B27134" w:rsidRPr="00537F69" w:rsidRDefault="00B27134" w:rsidP="00B2713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B22C3B">
        <w:rPr>
          <w:b/>
          <w:sz w:val="28"/>
        </w:rPr>
        <w:tab/>
      </w:r>
      <w:r w:rsidRPr="00B22C3B">
        <w:rPr>
          <w:b/>
          <w:sz w:val="28"/>
        </w:rPr>
        <w:tab/>
      </w:r>
      <w:r w:rsidR="009D45FB" w:rsidRPr="00A47D25">
        <w:rPr>
          <w:b/>
          <w:sz w:val="28"/>
        </w:rPr>
        <w:t>Vorschläge für Änderungen</w:t>
      </w:r>
    </w:p>
    <w:p w14:paraId="54AE6375" w14:textId="4E58738D" w:rsidR="00B27134" w:rsidRPr="00537F69" w:rsidRDefault="009D45FB" w:rsidP="00B2713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bCs/>
          <w:u w:val="single"/>
        </w:rPr>
      </w:pPr>
      <w:r w:rsidRPr="00A47D25">
        <w:t>(Einfügungen sind fett markiert und unterstrichen, gestrichener Text ist durchgestrichen</w:t>
      </w:r>
      <w:r w:rsidR="00B27134" w:rsidRPr="00A47D25">
        <w:t>)</w:t>
      </w:r>
    </w:p>
    <w:p w14:paraId="412A5885" w14:textId="0ECC2523" w:rsidR="00B27134" w:rsidRPr="00537F69" w:rsidRDefault="00B27134" w:rsidP="00F2541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B6ABF">
        <w:t>4.</w:t>
      </w:r>
      <w:r w:rsidRPr="00FB6ABF">
        <w:tab/>
        <w:t xml:space="preserve">1.4.2.2.1, </w:t>
      </w:r>
      <w:r w:rsidR="00FB6ABF" w:rsidRPr="00FB6ABF">
        <w:t>Buchstabe</w:t>
      </w:r>
      <w:r w:rsidRPr="00FB6ABF">
        <w:t xml:space="preserve"> i)</w:t>
      </w:r>
      <w:r w:rsidR="00FB6ABF" w:rsidRPr="00FB6ABF">
        <w:t xml:space="preserve"> erhält folgenden Wortlaut</w:t>
      </w:r>
      <w:r w:rsidRPr="00FB6ABF">
        <w:t>:</w:t>
      </w:r>
    </w:p>
    <w:p w14:paraId="328EC817" w14:textId="7EEA5072" w:rsidR="00A47D25" w:rsidRPr="00537F69" w:rsidRDefault="00A47D25" w:rsidP="00B27134">
      <w:pPr>
        <w:widowControl/>
        <w:suppressAutoHyphens/>
        <w:overflowPunct/>
        <w:autoSpaceDE/>
        <w:autoSpaceDN/>
        <w:adjustRightInd/>
        <w:spacing w:after="120" w:line="240" w:lineRule="atLeast"/>
        <w:ind w:left="1689" w:right="1134" w:firstLine="0"/>
        <w:textAlignment w:val="auto"/>
      </w:pPr>
      <w:r w:rsidRPr="00FB6ABF">
        <w:t>„</w:t>
      </w:r>
      <w:r w:rsidR="009D45FB" w:rsidRPr="00FB6ABF">
        <w:t>sich zu vergewissern, dass beim Laden, Befördern, Löschen</w:t>
      </w:r>
      <w:r w:rsidRPr="00FB6ABF">
        <w:t xml:space="preserve">, </w:t>
      </w:r>
      <w:r w:rsidRPr="00FB6ABF">
        <w:rPr>
          <w:b/>
          <w:bCs/>
          <w:u w:val="single"/>
        </w:rPr>
        <w:t>Entgasen</w:t>
      </w:r>
      <w:r w:rsidR="009D45FB" w:rsidRPr="00FB6ABF">
        <w:t xml:space="preserve"> und sonstigen Handhaben von gefährlichen Gütern in Laderäume oder Ladetanks die besonderen Vorschriften beachtet werden;</w:t>
      </w:r>
      <w:r w:rsidRPr="00FB6ABF">
        <w:t>“.</w:t>
      </w:r>
    </w:p>
    <w:p w14:paraId="67AC1E2B" w14:textId="32F90F0D" w:rsidR="00B27134" w:rsidRPr="00537F69" w:rsidRDefault="00B27134" w:rsidP="00F2541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B6ABF">
        <w:t>5.</w:t>
      </w:r>
      <w:r w:rsidRPr="00FB6ABF">
        <w:tab/>
        <w:t xml:space="preserve">1.4.3.8.1, </w:t>
      </w:r>
      <w:r w:rsidR="00FB6ABF" w:rsidRPr="00FB6ABF">
        <w:t xml:space="preserve">Buchstabe </w:t>
      </w:r>
      <w:r w:rsidRPr="00FB6ABF">
        <w:t xml:space="preserve">b) </w:t>
      </w:r>
      <w:r w:rsidR="00FB6ABF" w:rsidRPr="00FB6ABF">
        <w:t>erhält folgenden Wortlaut</w:t>
      </w:r>
      <w:r w:rsidRPr="00FB6ABF">
        <w:t>:</w:t>
      </w:r>
    </w:p>
    <w:p w14:paraId="33851AA1" w14:textId="2C03D139" w:rsidR="00A47D25" w:rsidRPr="00537F69" w:rsidRDefault="00A47D25" w:rsidP="00B2713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 w:rsidRPr="00FB6ABF">
        <w:t xml:space="preserve">„sicherzustellen, dass, soweit gemäß Absatz 7.2.3.7.2.3 erforderlich, in </w:t>
      </w:r>
      <w:r w:rsidRPr="00FB6ABF">
        <w:rPr>
          <w:b/>
          <w:bCs/>
          <w:u w:val="single"/>
        </w:rPr>
        <w:t>allen</w:t>
      </w:r>
      <w:r w:rsidRPr="00FB6ABF">
        <w:t xml:space="preserve"> </w:t>
      </w:r>
      <w:r w:rsidRPr="00FB6ABF">
        <w:rPr>
          <w:strike/>
        </w:rPr>
        <w:t>der</w:t>
      </w:r>
      <w:r w:rsidRPr="00FB6ABF">
        <w:t xml:space="preserve"> Leitung</w:t>
      </w:r>
      <w:r w:rsidRPr="00FB6ABF">
        <w:rPr>
          <w:b/>
          <w:bCs/>
          <w:u w:val="single"/>
        </w:rPr>
        <w:t>en</w:t>
      </w:r>
      <w:r w:rsidRPr="00FB6ABF">
        <w:t xml:space="preserve"> der Annahmestelle, die an das zu entgasende Schiff angeschlossen </w:t>
      </w:r>
      <w:r w:rsidR="00CD48E7" w:rsidRPr="00FB6ABF">
        <w:rPr>
          <w:b/>
          <w:bCs/>
          <w:u w:val="single"/>
        </w:rPr>
        <w:t>sind</w:t>
      </w:r>
      <w:r w:rsidR="00CD48E7" w:rsidRPr="00FB6ABF">
        <w:t xml:space="preserve"> </w:t>
      </w:r>
      <w:r w:rsidRPr="00FB6ABF">
        <w:rPr>
          <w:strike/>
        </w:rPr>
        <w:t>ist</w:t>
      </w:r>
      <w:r w:rsidRPr="00FB6ABF">
        <w:t xml:space="preserve">, </w:t>
      </w:r>
      <w:r w:rsidRPr="00FB6ABF">
        <w:rPr>
          <w:strike/>
        </w:rPr>
        <w:t>eine</w:t>
      </w:r>
      <w:r w:rsidRPr="00FB6ABF">
        <w:t xml:space="preserve"> Flammendurchschlagsicherung</w:t>
      </w:r>
      <w:r w:rsidRPr="00FB6ABF">
        <w:rPr>
          <w:b/>
          <w:bCs/>
          <w:u w:val="single"/>
        </w:rPr>
        <w:t>en</w:t>
      </w:r>
      <w:r w:rsidRPr="00FB6ABF">
        <w:t xml:space="preserve"> vorhanden </w:t>
      </w:r>
      <w:r w:rsidR="00CD48E7" w:rsidRPr="00FB6ABF">
        <w:rPr>
          <w:b/>
          <w:bCs/>
          <w:u w:val="single"/>
        </w:rPr>
        <w:t>sind</w:t>
      </w:r>
      <w:r w:rsidR="00CD48E7" w:rsidRPr="00FB6ABF">
        <w:t xml:space="preserve"> </w:t>
      </w:r>
      <w:r w:rsidRPr="00FB6ABF">
        <w:rPr>
          <w:strike/>
        </w:rPr>
        <w:t>ist</w:t>
      </w:r>
      <w:r w:rsidRPr="00FB6ABF">
        <w:t xml:space="preserve">, welche das Schiff gegen Detonation und Flammendurchschlag von der Annahmestelle aus </w:t>
      </w:r>
      <w:r w:rsidR="00F11201" w:rsidRPr="00FB6ABF">
        <w:rPr>
          <w:b/>
          <w:bCs/>
          <w:u w:val="single"/>
        </w:rPr>
        <w:t>schützten</w:t>
      </w:r>
      <w:r w:rsidR="00F11201" w:rsidRPr="00FB6ABF">
        <w:t xml:space="preserve"> </w:t>
      </w:r>
      <w:r w:rsidRPr="00FB6ABF">
        <w:rPr>
          <w:strike/>
        </w:rPr>
        <w:t>schützt</w:t>
      </w:r>
      <w:r w:rsidRPr="00FB6ABF">
        <w:t>.“.</w:t>
      </w:r>
    </w:p>
    <w:p w14:paraId="2BF0667C" w14:textId="391342DE" w:rsidR="00B27134" w:rsidRPr="00B22C3B" w:rsidRDefault="00B27134" w:rsidP="00B2713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22C3B">
        <w:t>6.</w:t>
      </w:r>
      <w:r w:rsidRPr="00B22C3B">
        <w:tab/>
        <w:t xml:space="preserve">7.2.3.7.2.3 </w:t>
      </w:r>
      <w:r w:rsidR="00FB6ABF" w:rsidRPr="00B22C3B">
        <w:t>erhält folgenden Wortlaut</w:t>
      </w:r>
      <w:r w:rsidRPr="00B22C3B">
        <w:t>:</w:t>
      </w:r>
    </w:p>
    <w:p w14:paraId="40F8AF94" w14:textId="5700C6CD" w:rsidR="00A47D25" w:rsidRPr="00537F69" w:rsidRDefault="00A47D25" w:rsidP="00A47D25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>
        <w:t>„Das Entgasen an Annahmestellen kann durch die Lade- und Löschleitung oder die Gasabfuhrleitung erfolgen, um die Gase und Dämpfe aus den Ladetanks zu entfernen, wobei die jeweils andere Leitung dazu dient, eine Überschreitung des höchstzulässigen Über- oder Unterdrucks der Ladetanks zu verhindern.</w:t>
      </w:r>
    </w:p>
    <w:p w14:paraId="1F74AA31" w14:textId="714E8101" w:rsidR="00A47D25" w:rsidRPr="00537F69" w:rsidRDefault="00A47D25" w:rsidP="00A47D25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>
        <w:t xml:space="preserve">Die Leitungen müssen Teil eines geschlossenen Systems sein oder, wenn sie dazu dienen, eine Überschreitung des höchstzulässigen Unterdrucks in den Ladetanks zu verhindern, mit einem fest eingebauten oder beweglichen, </w:t>
      </w:r>
      <w:r w:rsidRPr="00EF10FF">
        <w:rPr>
          <w:strike/>
        </w:rPr>
        <w:t>federbelasteten Niederdruckventil</w:t>
      </w:r>
      <w:r>
        <w:t xml:space="preserve"> </w:t>
      </w:r>
      <w:r w:rsidR="00EF10FF" w:rsidRPr="00EF10FF">
        <w:rPr>
          <w:b/>
          <w:bCs/>
          <w:u w:val="single"/>
        </w:rPr>
        <w:t>zusätzlichen Unterdruckventil nach den Unterabschnitten 9.3.2.62 oder 9.3.3.62</w:t>
      </w:r>
      <w:r w:rsidR="00EF10FF">
        <w:t xml:space="preserve"> </w:t>
      </w:r>
      <w:r>
        <w:t>mit Flammendurchschlagsicherung (Explosionsgruppe / -</w:t>
      </w:r>
      <w:proofErr w:type="spellStart"/>
      <w:r>
        <w:t>untergruppe</w:t>
      </w:r>
      <w:proofErr w:type="spellEnd"/>
      <w:r>
        <w:t xml:space="preserve"> nach Unterabschnitt 3.2.3.2 Tabelle C, Spalte (16)) versehen sein, falls Explosionsschutz erforderlich ist (Unterabschnitt 3.2.3.2 Tabelle C, Spalte (17)).</w:t>
      </w:r>
      <w:r w:rsidRPr="00537F69">
        <w:t xml:space="preserve"> </w:t>
      </w:r>
      <w:r w:rsidRPr="005235E9">
        <w:rPr>
          <w:strike/>
        </w:rPr>
        <w:t>Das Niederdruckventil muss so eingebaut sein, dass das Unterdruckventil unter normalen Betriebsbedingungen nicht betätigt wird</w:t>
      </w:r>
      <w:r>
        <w:t>.</w:t>
      </w:r>
      <w:r w:rsidRPr="00537F69">
        <w:t xml:space="preserve"> </w:t>
      </w:r>
      <w:r>
        <w:t>Ein fest eingebautes Ventil oder die Öffnung, an die ein bewegliches Ventil angeschlossen ist, muss mit einem Blindflansch geschlossen bleiben, wenn das Schiff nicht an einer Annahmestelle entgast wird.</w:t>
      </w:r>
    </w:p>
    <w:p w14:paraId="4FA2C644" w14:textId="2F99F2AA" w:rsidR="00A47D25" w:rsidRPr="00537F69" w:rsidRDefault="00A47D25" w:rsidP="00A47D25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>
        <w:t>Alle zwischen dem zu entgasenden Schiff und der Annahmestelle angeschlossenen Leitungen müssen mit einer geeigneten Flammendurchschlagsicherung versehen sein, falls Explosionsschutz erforderlich ist (Unterabschnitt 3.2.3.2 Tabelle C, Spalte (17)).</w:t>
      </w:r>
      <w:r w:rsidRPr="00537F69">
        <w:t xml:space="preserve"> </w:t>
      </w:r>
      <w:r>
        <w:t>Die Anforderungen für die Leitungen an Bord sind:</w:t>
      </w:r>
      <w:r w:rsidRPr="00537F69">
        <w:t xml:space="preserve"> </w:t>
      </w:r>
      <w:r>
        <w:t>Explosionsgruppe / -</w:t>
      </w:r>
      <w:proofErr w:type="spellStart"/>
      <w:r>
        <w:t>untergruppe</w:t>
      </w:r>
      <w:proofErr w:type="spellEnd"/>
      <w:r>
        <w:t xml:space="preserve"> nach Unterabschnitt 3.2.3.2 Tabelle C, Spalte (16).“.</w:t>
      </w:r>
    </w:p>
    <w:p w14:paraId="4B014845" w14:textId="77777777" w:rsidR="00B22C3B" w:rsidRDefault="00B22C3B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highlight w:val="yellow"/>
        </w:rPr>
      </w:pPr>
      <w:r>
        <w:rPr>
          <w:highlight w:val="yellow"/>
        </w:rPr>
        <w:br w:type="page"/>
      </w:r>
    </w:p>
    <w:p w14:paraId="0B2E6B6B" w14:textId="2F0AC3AB" w:rsidR="00B27134" w:rsidRPr="00B22C3B" w:rsidRDefault="00B27134" w:rsidP="00412D9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22C3B">
        <w:lastRenderedPageBreak/>
        <w:t>7.</w:t>
      </w:r>
      <w:r w:rsidRPr="00B22C3B">
        <w:tab/>
      </w:r>
      <w:r w:rsidR="002F1508" w:rsidRPr="00B22C3B">
        <w:t>Absatz 8.6.4, Frage 6.2, wie folgt ändern und Fußnote *** mit folgenden Wortlaut hinzufügen:</w:t>
      </w:r>
    </w:p>
    <w:tbl>
      <w:tblPr>
        <w:tblW w:w="746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09"/>
        <w:gridCol w:w="798"/>
      </w:tblGrid>
      <w:tr w:rsidR="003022EE" w:rsidRPr="00C10097" w14:paraId="44D73EFA" w14:textId="77777777" w:rsidTr="003022EE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32CC47" w14:textId="04C2E950" w:rsidR="003022EE" w:rsidRPr="00537F69" w:rsidRDefault="003022EE" w:rsidP="000136FF">
            <w:pPr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785" w:hanging="801"/>
              <w:jc w:val="left"/>
              <w:textAlignment w:val="auto"/>
            </w:pPr>
            <w:r w:rsidRPr="003022EE">
              <w:t>6.2</w:t>
            </w:r>
            <w:r>
              <w:t xml:space="preserve"> </w:t>
            </w:r>
            <w:r w:rsidRPr="00A47D25">
              <w:rPr>
                <w:b/>
                <w:bCs/>
                <w:u w:val="single"/>
              </w:rPr>
              <w:t>a)</w:t>
            </w:r>
            <w:r w:rsidRPr="00537F69">
              <w:tab/>
            </w:r>
            <w:r w:rsidRPr="003022EE">
              <w:t xml:space="preserve">Ist die Zuluftöffnung </w:t>
            </w:r>
            <w:r w:rsidR="00375CAD" w:rsidRPr="00375CAD">
              <w:rPr>
                <w:b/>
                <w:u w:val="single"/>
              </w:rPr>
              <w:t>für den Druckausgleich im Ladetank</w:t>
            </w:r>
            <w:r w:rsidR="00375CAD" w:rsidRPr="003022EE">
              <w:t xml:space="preserve"> </w:t>
            </w:r>
            <w:r w:rsidRPr="003022EE">
              <w:t xml:space="preserve">Teil eines geschlossenen Systems oder mit einem </w:t>
            </w:r>
            <w:r w:rsidR="00375CAD" w:rsidRPr="00375CAD">
              <w:rPr>
                <w:b/>
                <w:u w:val="single"/>
              </w:rPr>
              <w:t>zusätzlichen Unterdruckventil</w:t>
            </w:r>
            <w:r w:rsidR="00375CAD" w:rsidRPr="00E75FEC">
              <w:rPr>
                <w:bCs/>
                <w:u w:val="single"/>
              </w:rPr>
              <w:t xml:space="preserve"> </w:t>
            </w:r>
            <w:r w:rsidRPr="00375CAD">
              <w:rPr>
                <w:strike/>
              </w:rPr>
              <w:t>federbelasteten Niederdruckventil</w:t>
            </w:r>
            <w:r w:rsidRPr="003022EE">
              <w:t xml:space="preserve"> </w:t>
            </w:r>
            <w:r w:rsidR="00375CAD" w:rsidRPr="00375CAD">
              <w:rPr>
                <w:b/>
                <w:bCs/>
                <w:u w:val="single"/>
              </w:rPr>
              <w:t>an Bord</w:t>
            </w:r>
            <w:r w:rsidR="00375CAD">
              <w:rPr>
                <w:b/>
                <w:bCs/>
                <w:u w:val="single"/>
              </w:rPr>
              <w:t xml:space="preserve"> des Schiffes</w:t>
            </w:r>
            <w:r w:rsidR="00375CAD">
              <w:t xml:space="preserve"> </w:t>
            </w:r>
            <w:r w:rsidRPr="003022EE">
              <w:t>versehen?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FD3A099" w14:textId="57E8E8F6" w:rsidR="003022EE" w:rsidRPr="00537F69" w:rsidRDefault="003022EE" w:rsidP="003022EE">
            <w:pPr>
              <w:suppressAutoHyphens/>
              <w:overflowPunct/>
              <w:autoSpaceDE/>
              <w:autoSpaceDN/>
              <w:adjustRightInd/>
              <w:spacing w:line="240" w:lineRule="atLeast"/>
              <w:jc w:val="left"/>
              <w:textAlignment w:val="auto"/>
              <w:rPr>
                <w:b/>
                <w:bCs/>
                <w:u w:val="single"/>
              </w:rPr>
            </w:pPr>
            <w:r w:rsidRPr="00A47D25">
              <w:rPr>
                <w:b/>
                <w:bCs/>
                <w:u w:val="single"/>
              </w:rPr>
              <w:t>O</w:t>
            </w:r>
            <w:r w:rsidRPr="00A47D25">
              <w:rPr>
                <w:b/>
                <w:bCs/>
                <w:sz w:val="18"/>
                <w:szCs w:val="22"/>
                <w:u w:val="single"/>
              </w:rPr>
              <w:t>**</w:t>
            </w:r>
            <w:r>
              <w:rPr>
                <w:b/>
                <w:bCs/>
                <w:sz w:val="18"/>
                <w:szCs w:val="22"/>
                <w:u w:val="single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5017E" w14:textId="78B28B48" w:rsidR="003022EE" w:rsidRPr="003022EE" w:rsidRDefault="003022EE" w:rsidP="003022EE">
            <w:pPr>
              <w:suppressAutoHyphens/>
              <w:overflowPunct/>
              <w:autoSpaceDE/>
              <w:autoSpaceDN/>
              <w:adjustRightInd/>
              <w:spacing w:line="240" w:lineRule="atLeast"/>
              <w:jc w:val="left"/>
              <w:textAlignment w:val="auto"/>
            </w:pPr>
          </w:p>
        </w:tc>
      </w:tr>
      <w:tr w:rsidR="00B27134" w:rsidRPr="003D45F7" w14:paraId="54E0244E" w14:textId="77777777" w:rsidTr="00CC24B3">
        <w:trPr>
          <w:cantSplit/>
        </w:trPr>
        <w:tc>
          <w:tcPr>
            <w:tcW w:w="5954" w:type="dxa"/>
            <w:vAlign w:val="center"/>
          </w:tcPr>
          <w:p w14:paraId="2C4C4172" w14:textId="0027AA75" w:rsidR="00B27134" w:rsidRPr="003D45F7" w:rsidRDefault="00B27134" w:rsidP="000136FF">
            <w:pPr>
              <w:widowControl/>
              <w:tabs>
                <w:tab w:val="left" w:pos="170"/>
              </w:tabs>
              <w:suppressAutoHyphens/>
              <w:overflowPunct/>
              <w:autoSpaceDE/>
              <w:autoSpaceDN/>
              <w:adjustRightInd/>
              <w:spacing w:after="120" w:line="240" w:lineRule="atLeast"/>
              <w:ind w:left="774" w:hanging="774"/>
              <w:jc w:val="left"/>
              <w:textAlignment w:val="auto"/>
            </w:pPr>
            <w:bookmarkStart w:id="2" w:name="_Hlk98835269"/>
            <w:r w:rsidRPr="003D45F7">
              <w:rPr>
                <w:b/>
                <w:bCs/>
                <w:u w:val="single"/>
              </w:rPr>
              <w:t>6.2 b)</w:t>
            </w:r>
            <w:r w:rsidRPr="003D45F7">
              <w:rPr>
                <w:b/>
                <w:bCs/>
                <w:u w:val="single"/>
              </w:rPr>
              <w:tab/>
            </w:r>
            <w:r w:rsidR="000136FF" w:rsidRPr="003D45F7">
              <w:rPr>
                <w:b/>
                <w:bCs/>
                <w:u w:val="single"/>
              </w:rPr>
              <w:t>Ist die Zuluftöffnung für den Druckausgleich im Ladetank Teil eines geschlossenen Systems oder</w:t>
            </w:r>
            <w:r w:rsidR="004D6495" w:rsidRPr="003D45F7">
              <w:rPr>
                <w:b/>
                <w:bCs/>
                <w:u w:val="single"/>
              </w:rPr>
              <w:t xml:space="preserve"> </w:t>
            </w:r>
            <w:r w:rsidR="000136FF" w:rsidRPr="003D45F7">
              <w:rPr>
                <w:b/>
                <w:bCs/>
                <w:u w:val="single"/>
              </w:rPr>
              <w:t>an Land mit einem zusätzlichen Unterdruckventil versehen?</w:t>
            </w:r>
          </w:p>
        </w:tc>
        <w:tc>
          <w:tcPr>
            <w:tcW w:w="709" w:type="dxa"/>
            <w:vAlign w:val="center"/>
          </w:tcPr>
          <w:p w14:paraId="04777C39" w14:textId="77777777" w:rsidR="00B27134" w:rsidRPr="003D45F7" w:rsidRDefault="00B27134" w:rsidP="00B27134">
            <w:pPr>
              <w:widowControl/>
              <w:tabs>
                <w:tab w:val="left" w:pos="170"/>
              </w:tabs>
              <w:suppressAutoHyphens/>
              <w:overflowPunct/>
              <w:autoSpaceDE/>
              <w:autoSpaceDN/>
              <w:adjustRightInd/>
              <w:spacing w:line="240" w:lineRule="atLeast"/>
              <w:ind w:left="170" w:firstLine="0"/>
              <w:jc w:val="left"/>
              <w:textAlignment w:val="auto"/>
              <w:rPr>
                <w:u w:val="single"/>
              </w:rPr>
            </w:pPr>
          </w:p>
        </w:tc>
        <w:tc>
          <w:tcPr>
            <w:tcW w:w="798" w:type="dxa"/>
            <w:vAlign w:val="center"/>
          </w:tcPr>
          <w:p w14:paraId="76E546F5" w14:textId="1DD74226" w:rsidR="00B27134" w:rsidRPr="003D45F7" w:rsidRDefault="00B27134" w:rsidP="00B27134">
            <w:pPr>
              <w:widowControl/>
              <w:tabs>
                <w:tab w:val="left" w:pos="170"/>
              </w:tabs>
              <w:suppressAutoHyphens/>
              <w:overflowPunct/>
              <w:autoSpaceDE/>
              <w:autoSpaceDN/>
              <w:adjustRightInd/>
              <w:spacing w:line="240" w:lineRule="atLeast"/>
              <w:ind w:left="170" w:firstLine="0"/>
              <w:jc w:val="left"/>
              <w:textAlignment w:val="auto"/>
              <w:rPr>
                <w:b/>
                <w:bCs/>
                <w:u w:val="single"/>
              </w:rPr>
            </w:pPr>
            <w:r w:rsidRPr="003D45F7">
              <w:t>O</w:t>
            </w:r>
            <w:r w:rsidRPr="003D45F7">
              <w:rPr>
                <w:sz w:val="18"/>
                <w:szCs w:val="22"/>
              </w:rPr>
              <w:t>**</w:t>
            </w:r>
            <w:r w:rsidR="000136FF" w:rsidRPr="003D45F7">
              <w:rPr>
                <w:sz w:val="18"/>
                <w:szCs w:val="22"/>
              </w:rPr>
              <w:t>)</w:t>
            </w:r>
            <w:r w:rsidRPr="003D45F7">
              <w:rPr>
                <w:sz w:val="18"/>
                <w:szCs w:val="22"/>
              </w:rPr>
              <w:t>,</w:t>
            </w:r>
            <w:r w:rsidRPr="003D45F7">
              <w:rPr>
                <w:b/>
                <w:bCs/>
                <w:sz w:val="18"/>
                <w:szCs w:val="22"/>
                <w:u w:val="single"/>
              </w:rPr>
              <w:t xml:space="preserve"> ***</w:t>
            </w:r>
            <w:r w:rsidR="003022EE" w:rsidRPr="003D45F7">
              <w:rPr>
                <w:b/>
                <w:bCs/>
                <w:sz w:val="18"/>
                <w:szCs w:val="22"/>
                <w:u w:val="single"/>
              </w:rPr>
              <w:t>)</w:t>
            </w:r>
          </w:p>
        </w:tc>
      </w:tr>
      <w:bookmarkEnd w:id="2"/>
    </w:tbl>
    <w:p w14:paraId="287ED9EF" w14:textId="77777777" w:rsidR="003022EE" w:rsidRPr="003D45F7" w:rsidRDefault="003022EE" w:rsidP="003022EE">
      <w:pPr>
        <w:widowControl/>
        <w:suppressAutoHyphens/>
        <w:overflowPunct/>
        <w:autoSpaceDE/>
        <w:autoSpaceDN/>
        <w:adjustRightInd/>
        <w:spacing w:line="240" w:lineRule="atLeast"/>
        <w:ind w:left="1418" w:right="-568" w:hanging="284"/>
        <w:textAlignment w:val="auto"/>
        <w:rPr>
          <w:rFonts w:cs="Arial"/>
          <w:iCs/>
          <w:sz w:val="16"/>
          <w:szCs w:val="16"/>
          <w:lang w:eastAsia="en-US"/>
        </w:rPr>
      </w:pPr>
    </w:p>
    <w:p w14:paraId="257B60A5" w14:textId="77777777" w:rsidR="003022EE" w:rsidRPr="003D45F7" w:rsidRDefault="003022EE" w:rsidP="000136FF">
      <w:pPr>
        <w:widowControl/>
        <w:tabs>
          <w:tab w:val="left" w:pos="1985"/>
        </w:tabs>
        <w:suppressAutoHyphens/>
        <w:overflowPunct/>
        <w:autoSpaceDE/>
        <w:autoSpaceDN/>
        <w:adjustRightInd/>
        <w:spacing w:line="240" w:lineRule="atLeast"/>
        <w:ind w:left="1701" w:right="-568" w:hanging="567"/>
        <w:textAlignment w:val="auto"/>
        <w:rPr>
          <w:bCs/>
          <w:i/>
          <w:iCs/>
          <w:sz w:val="18"/>
          <w:szCs w:val="18"/>
          <w:lang w:eastAsia="en-US"/>
        </w:rPr>
      </w:pPr>
      <w:r w:rsidRPr="003D45F7">
        <w:rPr>
          <w:rFonts w:cs="Arial"/>
          <w:sz w:val="18"/>
          <w:szCs w:val="18"/>
          <w:vertAlign w:val="superscript"/>
        </w:rPr>
        <w:t>*)</w:t>
      </w:r>
      <w:r w:rsidRPr="003D45F7">
        <w:rPr>
          <w:rFonts w:eastAsia="Arial" w:cs="Arial"/>
          <w:sz w:val="18"/>
          <w:szCs w:val="18"/>
        </w:rPr>
        <w:t xml:space="preserve"> </w:t>
      </w:r>
      <w:r w:rsidRPr="003D45F7">
        <w:rPr>
          <w:rFonts w:eastAsia="Arial" w:cs="Arial"/>
          <w:sz w:val="18"/>
          <w:szCs w:val="18"/>
        </w:rPr>
        <w:tab/>
      </w:r>
      <w:r w:rsidRPr="003D45F7">
        <w:rPr>
          <w:rFonts w:eastAsia="Arial" w:cs="Arial"/>
          <w:i/>
          <w:sz w:val="18"/>
          <w:szCs w:val="18"/>
        </w:rPr>
        <w:t>Gilt nicht, wenn die Luftströme durch Unterdruck erzeugt werden.</w:t>
      </w:r>
    </w:p>
    <w:p w14:paraId="093763F9" w14:textId="77777777" w:rsidR="003022EE" w:rsidRPr="003D45F7" w:rsidRDefault="003022EE" w:rsidP="000136FF">
      <w:pPr>
        <w:widowControl/>
        <w:tabs>
          <w:tab w:val="left" w:pos="1985"/>
        </w:tabs>
        <w:suppressAutoHyphens/>
        <w:overflowPunct/>
        <w:autoSpaceDE/>
        <w:autoSpaceDN/>
        <w:adjustRightInd/>
        <w:spacing w:line="240" w:lineRule="atLeast"/>
        <w:ind w:left="1701" w:right="-568" w:hanging="567"/>
        <w:textAlignment w:val="auto"/>
        <w:rPr>
          <w:rFonts w:eastAsia="Arial" w:cs="Arial"/>
          <w:i/>
          <w:sz w:val="18"/>
          <w:szCs w:val="18"/>
        </w:rPr>
      </w:pPr>
      <w:r w:rsidRPr="003D45F7">
        <w:rPr>
          <w:rFonts w:cs="Arial"/>
          <w:sz w:val="18"/>
          <w:szCs w:val="18"/>
          <w:vertAlign w:val="superscript"/>
        </w:rPr>
        <w:t>**)</w:t>
      </w:r>
      <w:r w:rsidRPr="003D45F7">
        <w:rPr>
          <w:rFonts w:cs="Arial"/>
          <w:sz w:val="18"/>
          <w:szCs w:val="18"/>
          <w:vertAlign w:val="superscript"/>
        </w:rPr>
        <w:tab/>
      </w:r>
      <w:r w:rsidRPr="003D45F7">
        <w:rPr>
          <w:rFonts w:eastAsia="Arial" w:cs="Arial"/>
          <w:i/>
          <w:sz w:val="18"/>
          <w:szCs w:val="18"/>
        </w:rPr>
        <w:t>Gilt nur, wenn die Luftströme durch Unterdruck erzeugt werden.</w:t>
      </w:r>
    </w:p>
    <w:p w14:paraId="09010519" w14:textId="33AD7265" w:rsidR="00B27134" w:rsidRPr="003D45F7" w:rsidRDefault="00B27134" w:rsidP="005E3FB8">
      <w:pPr>
        <w:widowControl/>
        <w:tabs>
          <w:tab w:val="left" w:pos="1985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rFonts w:eastAsia="Arial" w:cs="Arial"/>
          <w:i/>
          <w:sz w:val="18"/>
          <w:szCs w:val="18"/>
        </w:rPr>
      </w:pPr>
      <w:r w:rsidRPr="003D45F7">
        <w:rPr>
          <w:rFonts w:eastAsia="Arial" w:cs="Arial"/>
          <w:b/>
          <w:bCs/>
          <w:i/>
          <w:sz w:val="18"/>
          <w:szCs w:val="18"/>
          <w:u w:val="single"/>
          <w:vertAlign w:val="superscript"/>
        </w:rPr>
        <w:t>***</w:t>
      </w:r>
      <w:r w:rsidR="000136FF" w:rsidRPr="003D45F7">
        <w:rPr>
          <w:rFonts w:eastAsia="Arial" w:cs="Arial"/>
          <w:b/>
          <w:bCs/>
          <w:i/>
          <w:sz w:val="18"/>
          <w:szCs w:val="18"/>
          <w:u w:val="single"/>
          <w:vertAlign w:val="superscript"/>
        </w:rPr>
        <w:t>)</w:t>
      </w:r>
      <w:r w:rsidRPr="003D45F7">
        <w:rPr>
          <w:rFonts w:eastAsia="Arial" w:cs="Arial"/>
          <w:b/>
          <w:bCs/>
          <w:i/>
          <w:sz w:val="18"/>
          <w:szCs w:val="18"/>
          <w:u w:val="single"/>
        </w:rPr>
        <w:tab/>
      </w:r>
      <w:r w:rsidR="005462C6" w:rsidRPr="003D45F7">
        <w:rPr>
          <w:rFonts w:eastAsia="Arial" w:cs="Arial"/>
          <w:b/>
          <w:bCs/>
          <w:i/>
          <w:sz w:val="18"/>
          <w:szCs w:val="18"/>
          <w:u w:val="single"/>
        </w:rPr>
        <w:t xml:space="preserve">Gilt nur, wenn sich die Zuluftöffnung in den Leitungen der landseitigen </w:t>
      </w:r>
      <w:r w:rsidR="00134276" w:rsidRPr="003D45F7">
        <w:rPr>
          <w:rFonts w:eastAsia="Arial" w:cs="Arial"/>
          <w:b/>
          <w:bCs/>
          <w:i/>
          <w:sz w:val="18"/>
          <w:szCs w:val="18"/>
          <w:u w:val="single"/>
        </w:rPr>
        <w:t>Annahmestelle</w:t>
      </w:r>
      <w:r w:rsidR="005462C6" w:rsidRPr="003D45F7">
        <w:rPr>
          <w:rFonts w:eastAsia="Arial" w:cs="Arial"/>
          <w:b/>
          <w:bCs/>
          <w:i/>
          <w:sz w:val="18"/>
          <w:szCs w:val="18"/>
          <w:u w:val="single"/>
        </w:rPr>
        <w:t xml:space="preserve"> befindet</w:t>
      </w:r>
      <w:r w:rsidR="00815430" w:rsidRPr="003D45F7">
        <w:rPr>
          <w:rFonts w:eastAsia="Arial" w:cs="Arial"/>
          <w:b/>
          <w:bCs/>
          <w:i/>
          <w:sz w:val="18"/>
          <w:szCs w:val="18"/>
          <w:u w:val="single"/>
        </w:rPr>
        <w:t>.</w:t>
      </w:r>
    </w:p>
    <w:p w14:paraId="072D39BF" w14:textId="5C6D11C9" w:rsidR="00B27134" w:rsidRPr="003D45F7" w:rsidRDefault="00B27134" w:rsidP="00F2541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t>8.</w:t>
      </w:r>
      <w:r w:rsidRPr="003D45F7">
        <w:tab/>
        <w:t>9.3.1.62</w:t>
      </w:r>
      <w:r w:rsidR="004D6495" w:rsidRPr="003D45F7">
        <w:t xml:space="preserve"> Streichen</w:t>
      </w:r>
    </w:p>
    <w:p w14:paraId="6D0D078F" w14:textId="4AD29827" w:rsidR="00B27134" w:rsidRPr="003D45F7" w:rsidRDefault="00B27134" w:rsidP="00C7213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t>9.</w:t>
      </w:r>
      <w:r w:rsidRPr="003D45F7">
        <w:tab/>
      </w:r>
      <w:r w:rsidR="00970620" w:rsidRPr="003D45F7">
        <w:t xml:space="preserve">Die Unterabschnitte 9.3.2.62 und 9.3.3.62 </w:t>
      </w:r>
      <w:r w:rsidR="00C7213F" w:rsidRPr="003D45F7">
        <w:t xml:space="preserve">erhalten </w:t>
      </w:r>
      <w:r w:rsidR="00970620" w:rsidRPr="003D45F7">
        <w:t xml:space="preserve">den folgenden neuen </w:t>
      </w:r>
      <w:r w:rsidR="00C7213F" w:rsidRPr="003D45F7">
        <w:t>Wortlaut</w:t>
      </w:r>
      <w:r w:rsidR="00970620" w:rsidRPr="003D45F7">
        <w:t xml:space="preserve"> (</w:t>
      </w:r>
      <w:bookmarkStart w:id="3" w:name="_Hlk106094948"/>
      <w:r w:rsidR="00C240FB" w:rsidRPr="003D45F7">
        <w:t>„</w:t>
      </w:r>
      <w:bookmarkEnd w:id="3"/>
      <w:r w:rsidR="00970620" w:rsidRPr="003D45F7">
        <w:t>x</w:t>
      </w:r>
      <w:bookmarkStart w:id="4" w:name="_Hlk106094965"/>
      <w:r w:rsidR="00C240FB" w:rsidRPr="003D45F7">
        <w:t>“</w:t>
      </w:r>
      <w:bookmarkEnd w:id="4"/>
      <w:r w:rsidR="00970620" w:rsidRPr="003D45F7">
        <w:t xml:space="preserve"> </w:t>
      </w:r>
      <w:r w:rsidR="00C7213F" w:rsidRPr="003D45F7">
        <w:t>steht für</w:t>
      </w:r>
      <w:r w:rsidR="00970620" w:rsidRPr="003D45F7">
        <w:t xml:space="preserve"> 2 oder 3):</w:t>
      </w:r>
    </w:p>
    <w:p w14:paraId="27E7FB7A" w14:textId="190FC816" w:rsidR="00B27134" w:rsidRPr="003D45F7" w:rsidRDefault="00B27134" w:rsidP="00F2541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</w:pPr>
      <w:r w:rsidRPr="003D45F7">
        <w:tab/>
      </w:r>
      <w:r w:rsidR="00C7213F" w:rsidRPr="003D45F7">
        <w:t>„</w:t>
      </w:r>
      <w:r w:rsidRPr="003D45F7">
        <w:rPr>
          <w:b/>
          <w:bCs/>
        </w:rPr>
        <w:t>9.3.x.62</w:t>
      </w:r>
      <w:r w:rsidRPr="003D45F7">
        <w:rPr>
          <w:b/>
          <w:bCs/>
        </w:rPr>
        <w:tab/>
      </w:r>
      <w:bookmarkStart w:id="5" w:name="_Hlk53046288"/>
      <w:bookmarkEnd w:id="5"/>
      <w:r w:rsidR="0078421A" w:rsidRPr="003D45F7">
        <w:rPr>
          <w:b/>
          <w:bCs/>
          <w:lang w:eastAsia="de-DE"/>
        </w:rPr>
        <w:t>Zusätzliches Unterdruckventil zum Entgasen an Annahmestellen</w:t>
      </w:r>
    </w:p>
    <w:p w14:paraId="09A73AFC" w14:textId="77A82A41" w:rsidR="00B27134" w:rsidRPr="003D45F7" w:rsidRDefault="00B27134" w:rsidP="00DB2089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b/>
          <w:bCs/>
          <w:u w:val="single"/>
        </w:rPr>
      </w:pPr>
      <w:r w:rsidRPr="003D45F7">
        <w:tab/>
      </w:r>
      <w:r w:rsidR="00B52043" w:rsidRPr="003D45F7">
        <w:rPr>
          <w:b/>
          <w:bCs/>
          <w:u w:val="single"/>
        </w:rPr>
        <w:t xml:space="preserve">Eine Öffnung in der </w:t>
      </w:r>
      <w:r w:rsidR="00597CFA" w:rsidRPr="003D45F7">
        <w:rPr>
          <w:b/>
          <w:bCs/>
          <w:u w:val="single"/>
        </w:rPr>
        <w:t>Lade</w:t>
      </w:r>
      <w:r w:rsidR="00B52043" w:rsidRPr="003D45F7">
        <w:rPr>
          <w:b/>
          <w:bCs/>
          <w:u w:val="single"/>
        </w:rPr>
        <w:t>- und</w:t>
      </w:r>
      <w:r w:rsidR="00597CFA" w:rsidRPr="003D45F7">
        <w:rPr>
          <w:b/>
          <w:bCs/>
          <w:u w:val="single"/>
        </w:rPr>
        <w:t xml:space="preserve"> Lösch</w:t>
      </w:r>
      <w:r w:rsidR="00B52043" w:rsidRPr="003D45F7">
        <w:rPr>
          <w:b/>
          <w:bCs/>
          <w:u w:val="single"/>
        </w:rPr>
        <w:t xml:space="preserve">leitung oder in der </w:t>
      </w:r>
      <w:r w:rsidR="00F47474" w:rsidRPr="003D45F7">
        <w:rPr>
          <w:b/>
          <w:bCs/>
          <w:u w:val="single"/>
        </w:rPr>
        <w:t>Gasabfuhr</w:t>
      </w:r>
      <w:r w:rsidR="00B52043" w:rsidRPr="003D45F7">
        <w:rPr>
          <w:b/>
          <w:bCs/>
          <w:u w:val="single"/>
        </w:rPr>
        <w:t xml:space="preserve">leitung, die in </w:t>
      </w:r>
      <w:r w:rsidR="00F47474" w:rsidRPr="003D45F7">
        <w:rPr>
          <w:b/>
          <w:bCs/>
          <w:u w:val="single"/>
        </w:rPr>
        <w:t>Annahmestellen</w:t>
      </w:r>
      <w:r w:rsidR="00B52043" w:rsidRPr="003D45F7">
        <w:rPr>
          <w:b/>
          <w:bCs/>
          <w:u w:val="single"/>
        </w:rPr>
        <w:t xml:space="preserve"> </w:t>
      </w:r>
      <w:r w:rsidR="00F47474" w:rsidRPr="003D45F7">
        <w:rPr>
          <w:b/>
          <w:bCs/>
          <w:u w:val="single"/>
        </w:rPr>
        <w:t>für die Zufuhr</w:t>
      </w:r>
      <w:r w:rsidR="00B52043" w:rsidRPr="003D45F7">
        <w:rPr>
          <w:b/>
          <w:bCs/>
          <w:u w:val="single"/>
        </w:rPr>
        <w:t xml:space="preserve"> von Umgebungsluft verwendet wird, um eine Überschreitung des höchstzulässigen Unterdrucks</w:t>
      </w:r>
      <w:r w:rsidR="008E41B1" w:rsidRPr="003D45F7">
        <w:rPr>
          <w:b/>
          <w:bCs/>
          <w:u w:val="single"/>
        </w:rPr>
        <w:t xml:space="preserve"> zu verhindern </w:t>
      </w:r>
      <w:r w:rsidR="00B52043" w:rsidRPr="003D45F7">
        <w:rPr>
          <w:b/>
          <w:bCs/>
          <w:u w:val="single"/>
        </w:rPr>
        <w:t xml:space="preserve">(siehe </w:t>
      </w:r>
      <w:r w:rsidR="008F353F" w:rsidRPr="003D45F7">
        <w:rPr>
          <w:b/>
          <w:bCs/>
          <w:u w:val="single"/>
        </w:rPr>
        <w:t xml:space="preserve">Absatz </w:t>
      </w:r>
      <w:r w:rsidR="00B52043" w:rsidRPr="003D45F7">
        <w:rPr>
          <w:b/>
          <w:bCs/>
          <w:u w:val="single"/>
        </w:rPr>
        <w:t xml:space="preserve">7.2.3.7.2.3), muss mit einem </w:t>
      </w:r>
      <w:r w:rsidR="008E3677" w:rsidRPr="003D45F7">
        <w:rPr>
          <w:b/>
          <w:bCs/>
          <w:u w:val="single"/>
        </w:rPr>
        <w:t>beweglichen</w:t>
      </w:r>
      <w:r w:rsidR="00B52043" w:rsidRPr="003D45F7">
        <w:rPr>
          <w:b/>
          <w:bCs/>
          <w:u w:val="single"/>
        </w:rPr>
        <w:t xml:space="preserve"> oder fest </w:t>
      </w:r>
      <w:r w:rsidR="007145FA" w:rsidRPr="003D45F7">
        <w:rPr>
          <w:b/>
          <w:bCs/>
          <w:u w:val="single"/>
        </w:rPr>
        <w:t>eingebauten</w:t>
      </w:r>
      <w:r w:rsidR="00B52043" w:rsidRPr="003D45F7">
        <w:rPr>
          <w:b/>
          <w:bCs/>
          <w:u w:val="single"/>
        </w:rPr>
        <w:t xml:space="preserve"> </w:t>
      </w:r>
      <w:r w:rsidR="0040493E" w:rsidRPr="003D45F7">
        <w:rPr>
          <w:b/>
          <w:bCs/>
          <w:u w:val="single"/>
        </w:rPr>
        <w:t xml:space="preserve">zusätzlichen </w:t>
      </w:r>
      <w:r w:rsidR="00B52043" w:rsidRPr="003D45F7">
        <w:rPr>
          <w:b/>
          <w:bCs/>
          <w:u w:val="single"/>
        </w:rPr>
        <w:t>Unterdruckventil versehen sein.</w:t>
      </w:r>
      <w:r w:rsidRPr="003D45F7">
        <w:rPr>
          <w:b/>
          <w:bCs/>
          <w:u w:val="single"/>
        </w:rPr>
        <w:t xml:space="preserve"> </w:t>
      </w:r>
      <w:r w:rsidR="00D27A03" w:rsidRPr="003D45F7">
        <w:rPr>
          <w:b/>
          <w:bCs/>
          <w:u w:val="single"/>
        </w:rPr>
        <w:t>Erfolgt die Zufuhr der Umgebungsluft über einen landseitig endenden Schlauch, so ist das offene Ende des Schlauches in gleicher Weise mit einem solchen Ventil auszurüsten.</w:t>
      </w:r>
    </w:p>
    <w:p w14:paraId="6F8E89D8" w14:textId="402941E3" w:rsidR="00B27134" w:rsidRPr="003D45F7" w:rsidRDefault="00B27134" w:rsidP="00793B49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b/>
          <w:bCs/>
          <w:u w:val="single"/>
        </w:rPr>
      </w:pPr>
      <w:r w:rsidRPr="003D45F7">
        <w:tab/>
      </w:r>
      <w:r w:rsidR="00117FE3" w:rsidRPr="003D45F7">
        <w:rPr>
          <w:b/>
          <w:bCs/>
          <w:u w:val="single"/>
        </w:rPr>
        <w:t>Der A</w:t>
      </w:r>
      <w:r w:rsidR="00FB1AC2" w:rsidRPr="003D45F7">
        <w:rPr>
          <w:b/>
          <w:bCs/>
          <w:u w:val="single"/>
        </w:rPr>
        <w:t>nsprech</w:t>
      </w:r>
      <w:r w:rsidR="00117FE3" w:rsidRPr="003D45F7">
        <w:rPr>
          <w:b/>
          <w:bCs/>
          <w:u w:val="single"/>
        </w:rPr>
        <w:t>druck des zusätzlichen Unterdruckventils muss so eingestellt sein, dass das in Absatz 9.3.x.22.4 genannte Unterdruckventil während de</w:t>
      </w:r>
      <w:r w:rsidR="002E1F1B" w:rsidRPr="003D45F7">
        <w:rPr>
          <w:b/>
          <w:bCs/>
          <w:u w:val="single"/>
        </w:rPr>
        <w:t>s</w:t>
      </w:r>
      <w:r w:rsidR="00117FE3" w:rsidRPr="003D45F7">
        <w:rPr>
          <w:b/>
          <w:bCs/>
          <w:u w:val="single"/>
        </w:rPr>
        <w:t xml:space="preserve"> Entgas</w:t>
      </w:r>
      <w:r w:rsidR="002E1F1B" w:rsidRPr="003D45F7">
        <w:rPr>
          <w:b/>
          <w:bCs/>
          <w:u w:val="single"/>
        </w:rPr>
        <w:t>e</w:t>
      </w:r>
      <w:r w:rsidR="00117FE3" w:rsidRPr="003D45F7">
        <w:rPr>
          <w:b/>
          <w:bCs/>
          <w:u w:val="single"/>
        </w:rPr>
        <w:t>n</w:t>
      </w:r>
      <w:r w:rsidR="002E1F1B" w:rsidRPr="003D45F7">
        <w:rPr>
          <w:b/>
          <w:bCs/>
          <w:u w:val="single"/>
        </w:rPr>
        <w:t>s</w:t>
      </w:r>
      <w:r w:rsidR="00117FE3" w:rsidRPr="003D45F7">
        <w:rPr>
          <w:b/>
          <w:bCs/>
          <w:u w:val="single"/>
        </w:rPr>
        <w:t xml:space="preserve"> </w:t>
      </w:r>
      <w:r w:rsidR="00FD40B6" w:rsidRPr="003D45F7">
        <w:rPr>
          <w:b/>
          <w:bCs/>
          <w:u w:val="single"/>
        </w:rPr>
        <w:t xml:space="preserve">unter normalen </w:t>
      </w:r>
      <w:r w:rsidR="00904B48" w:rsidRPr="003D45F7">
        <w:rPr>
          <w:b/>
          <w:bCs/>
          <w:u w:val="single"/>
        </w:rPr>
        <w:t>Be</w:t>
      </w:r>
      <w:r w:rsidR="00FD40B6" w:rsidRPr="003D45F7">
        <w:rPr>
          <w:b/>
          <w:bCs/>
          <w:u w:val="single"/>
        </w:rPr>
        <w:t>t</w:t>
      </w:r>
      <w:r w:rsidR="00904B48" w:rsidRPr="003D45F7">
        <w:rPr>
          <w:b/>
          <w:bCs/>
          <w:u w:val="single"/>
        </w:rPr>
        <w:t>rieb</w:t>
      </w:r>
      <w:r w:rsidR="00FD40B6" w:rsidRPr="003D45F7">
        <w:rPr>
          <w:b/>
          <w:bCs/>
          <w:u w:val="single"/>
        </w:rPr>
        <w:t xml:space="preserve">sbedingungen </w:t>
      </w:r>
      <w:r w:rsidR="00117FE3" w:rsidRPr="003D45F7">
        <w:rPr>
          <w:b/>
          <w:bCs/>
          <w:u w:val="single"/>
        </w:rPr>
        <w:t xml:space="preserve">nicht </w:t>
      </w:r>
      <w:r w:rsidR="002E1F1B" w:rsidRPr="003D45F7">
        <w:rPr>
          <w:b/>
          <w:bCs/>
          <w:u w:val="single"/>
        </w:rPr>
        <w:t>anspricht</w:t>
      </w:r>
      <w:r w:rsidR="00117FE3" w:rsidRPr="003D45F7">
        <w:rPr>
          <w:b/>
          <w:bCs/>
          <w:u w:val="single"/>
        </w:rPr>
        <w:t>.</w:t>
      </w:r>
    </w:p>
    <w:p w14:paraId="4A4B1B6E" w14:textId="79D9BC77" w:rsidR="00B27134" w:rsidRPr="003D45F7" w:rsidRDefault="00B27134" w:rsidP="00FB225C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b/>
          <w:bCs/>
          <w:u w:val="single"/>
        </w:rPr>
      </w:pPr>
      <w:r w:rsidRPr="003D45F7">
        <w:tab/>
      </w:r>
      <w:r w:rsidR="0078421A" w:rsidRPr="003D45F7">
        <w:rPr>
          <w:b/>
          <w:bCs/>
          <w:u w:val="single"/>
          <w:lang w:eastAsia="de-DE"/>
        </w:rPr>
        <w:t>Wenn die Schiffsstoffliste nach Absatz 1.16.1.2.5 Stoffe enthält, für die nach Unterabschnitt 3.2.3.2 Tabelle C, Spalte (17) Explosionsschutz erforderlich ist, muss dieses zusätzliche Unterdruckventil mit einer deflagrationssicheren Flammendurchschlagsicherung versehen sein.</w:t>
      </w:r>
      <w:r w:rsidRPr="003D45F7">
        <w:rPr>
          <w:b/>
          <w:bCs/>
          <w:u w:val="single"/>
        </w:rPr>
        <w:t xml:space="preserve"> </w:t>
      </w:r>
      <w:r w:rsidR="00793B49" w:rsidRPr="003D45F7">
        <w:rPr>
          <w:b/>
          <w:bCs/>
          <w:u w:val="single"/>
        </w:rPr>
        <w:t>Wenn das Schiff nicht an einer Annahmestelle entgast wird, muss das fest eingebaute Ventil oder die Öffnung, an die ein bewegliches Ventil angeschlossen ist, mit einem Blindflansch verschlossen sein.</w:t>
      </w:r>
    </w:p>
    <w:p w14:paraId="3E681D75" w14:textId="0FA21D9F" w:rsidR="00B27134" w:rsidRPr="00B22C3B" w:rsidRDefault="00B27134" w:rsidP="0023019B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</w:pPr>
      <w:r w:rsidRPr="003D45F7">
        <w:tab/>
      </w:r>
      <w:r w:rsidR="00082DA3" w:rsidRPr="00935C58">
        <w:rPr>
          <w:b/>
          <w:bCs/>
          <w:u w:val="single"/>
        </w:rPr>
        <w:t>Bem</w:t>
      </w:r>
      <w:r w:rsidR="00082DA3" w:rsidRPr="003D45F7">
        <w:rPr>
          <w:b/>
          <w:bCs/>
          <w:i/>
          <w:iCs/>
          <w:u w:val="single"/>
        </w:rPr>
        <w:t>.</w:t>
      </w:r>
      <w:r w:rsidRPr="003D45F7">
        <w:rPr>
          <w:b/>
          <w:bCs/>
          <w:u w:val="single"/>
        </w:rPr>
        <w:t xml:space="preserve"> </w:t>
      </w:r>
      <w:r w:rsidR="00131F4C" w:rsidRPr="003D45F7">
        <w:rPr>
          <w:b/>
          <w:bCs/>
          <w:u w:val="single"/>
        </w:rPr>
        <w:t xml:space="preserve">Für das Öffnen dieser Öffnung gilt </w:t>
      </w:r>
      <w:r w:rsidR="00082DA3" w:rsidRPr="003D45F7">
        <w:rPr>
          <w:b/>
          <w:bCs/>
          <w:u w:val="single"/>
        </w:rPr>
        <w:t>Absatz 7.2.4.22.1</w:t>
      </w:r>
      <w:r w:rsidR="00131F4C" w:rsidRPr="003D45F7">
        <w:rPr>
          <w:b/>
          <w:bCs/>
          <w:u w:val="single"/>
        </w:rPr>
        <w:t>.</w:t>
      </w:r>
      <w:r w:rsidR="0023019B" w:rsidRPr="003D45F7">
        <w:t>“</w:t>
      </w:r>
    </w:p>
    <w:p w14:paraId="3B3EEAD2" w14:textId="7CE5BC84" w:rsidR="00B27134" w:rsidRPr="003D45F7" w:rsidRDefault="00B27134" w:rsidP="0023019B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bookmarkStart w:id="6" w:name="_Hlk53050363"/>
      <w:bookmarkEnd w:id="6"/>
      <w:r w:rsidRPr="00B22C3B">
        <w:rPr>
          <w:b/>
          <w:sz w:val="28"/>
        </w:rPr>
        <w:tab/>
      </w:r>
      <w:r w:rsidRPr="00B22C3B">
        <w:rPr>
          <w:b/>
          <w:sz w:val="28"/>
        </w:rPr>
        <w:tab/>
      </w:r>
      <w:r w:rsidR="0023019B" w:rsidRPr="003D45F7">
        <w:rPr>
          <w:b/>
          <w:sz w:val="28"/>
        </w:rPr>
        <w:t>Begründung</w:t>
      </w:r>
    </w:p>
    <w:p w14:paraId="77C3418B" w14:textId="058ABCD9" w:rsidR="00B27134" w:rsidRPr="003D45F7" w:rsidRDefault="00B27134" w:rsidP="0049378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t>10.</w:t>
      </w:r>
      <w:r w:rsidRPr="003D45F7">
        <w:tab/>
      </w:r>
      <w:r w:rsidR="00C30089" w:rsidRPr="003D45F7">
        <w:t>Die vorgeschlagenen Änderungen tragen de</w:t>
      </w:r>
      <w:r w:rsidR="00D215B7" w:rsidRPr="003D45F7">
        <w:t>m</w:t>
      </w:r>
      <w:r w:rsidR="00C30089" w:rsidRPr="003D45F7">
        <w:t xml:space="preserve"> </w:t>
      </w:r>
      <w:r w:rsidR="00D215B7" w:rsidRPr="003D45F7">
        <w:t>Umstand</w:t>
      </w:r>
      <w:r w:rsidR="00C30089" w:rsidRPr="003D45F7">
        <w:t xml:space="preserve"> Rechnung, </w:t>
      </w:r>
      <w:r w:rsidR="00D215B7" w:rsidRPr="003D45F7">
        <w:t>dass</w:t>
      </w:r>
      <w:r w:rsidR="00C30089" w:rsidRPr="003D45F7">
        <w:t xml:space="preserve"> </w:t>
      </w:r>
      <w:r w:rsidR="009E6981" w:rsidRPr="003D45F7">
        <w:t>von der</w:t>
      </w:r>
      <w:r w:rsidR="00C30089" w:rsidRPr="003D45F7">
        <w:t xml:space="preserve"> Anforderung einer </w:t>
      </w:r>
      <w:r w:rsidR="00B6095C" w:rsidRPr="003D45F7">
        <w:t>„</w:t>
      </w:r>
      <w:r w:rsidR="00C30089" w:rsidRPr="003D45F7">
        <w:t>federbelasteten</w:t>
      </w:r>
      <w:r w:rsidR="00B6095C" w:rsidRPr="003D45F7">
        <w:t>“</w:t>
      </w:r>
      <w:r w:rsidR="00C30089" w:rsidRPr="003D45F7">
        <w:t xml:space="preserve"> Ausführung des zusätzlichen Unterdruckventils ab</w:t>
      </w:r>
      <w:r w:rsidR="009E6981" w:rsidRPr="003D45F7">
        <w:t>ge</w:t>
      </w:r>
      <w:r w:rsidR="00C30089" w:rsidRPr="003D45F7">
        <w:t>sehen</w:t>
      </w:r>
      <w:r w:rsidR="00D215B7" w:rsidRPr="003D45F7">
        <w:t xml:space="preserve"> </w:t>
      </w:r>
      <w:r w:rsidR="009E6981" w:rsidRPr="003D45F7">
        <w:t>werden muss</w:t>
      </w:r>
      <w:r w:rsidR="00C30089" w:rsidRPr="003D45F7">
        <w:t xml:space="preserve">, da ein federbelastetes Niederdruckventil, </w:t>
      </w:r>
      <w:r w:rsidR="007E090F" w:rsidRPr="003D45F7">
        <w:t>das</w:t>
      </w:r>
      <w:r w:rsidR="00C30089" w:rsidRPr="003D45F7">
        <w:t xml:space="preserve"> so eingebaut ist, dass </w:t>
      </w:r>
      <w:r w:rsidR="00CF26F7" w:rsidRPr="003D45F7">
        <w:t>es</w:t>
      </w:r>
      <w:r w:rsidR="00C30089" w:rsidRPr="003D45F7">
        <w:t xml:space="preserve"> das Öffnen des Unterdruckventils unter normalen </w:t>
      </w:r>
      <w:r w:rsidR="00904B48" w:rsidRPr="003D45F7">
        <w:t>Betrieb</w:t>
      </w:r>
      <w:r w:rsidR="00C30089" w:rsidRPr="003D45F7">
        <w:t>sbedingungen verhindert, in der Praxis nicht realisierbar ist.</w:t>
      </w:r>
      <w:r w:rsidRPr="003D45F7">
        <w:t xml:space="preserve"> </w:t>
      </w:r>
      <w:r w:rsidR="00202DA3" w:rsidRPr="003D45F7">
        <w:t xml:space="preserve">Darüber hinaus soll mit den Änderungen klargestellt werden, dass das zusätzliche Unterdruckventil </w:t>
      </w:r>
      <w:r w:rsidR="00666327" w:rsidRPr="003D45F7">
        <w:t>in Fällen</w:t>
      </w:r>
      <w:r w:rsidR="00202DA3" w:rsidRPr="003D45F7">
        <w:t xml:space="preserve"> verwendet werden muss, </w:t>
      </w:r>
      <w:r w:rsidR="00666327" w:rsidRPr="003D45F7">
        <w:t>in denen</w:t>
      </w:r>
      <w:r w:rsidR="00202DA3" w:rsidRPr="003D45F7">
        <w:t xml:space="preserve"> während des Entgasens an der Öffnung für die Zufuhr von Umgebungsluft kein Luftstrom von Land </w:t>
      </w:r>
      <w:r w:rsidR="00761103" w:rsidRPr="003D45F7">
        <w:t>zugeführt</w:t>
      </w:r>
      <w:r w:rsidR="00202DA3" w:rsidRPr="003D45F7">
        <w:t xml:space="preserve"> </w:t>
      </w:r>
      <w:r w:rsidR="00761103" w:rsidRPr="003D45F7">
        <w:t>wird</w:t>
      </w:r>
      <w:r w:rsidR="00202DA3" w:rsidRPr="003D45F7">
        <w:t xml:space="preserve">, um einen unerwünschten </w:t>
      </w:r>
      <w:r w:rsidR="00524470" w:rsidRPr="003D45F7">
        <w:t xml:space="preserve">inneren </w:t>
      </w:r>
      <w:r w:rsidR="00202DA3" w:rsidRPr="003D45F7">
        <w:t>Unterdruck im Ladetank zu verhindern.</w:t>
      </w:r>
      <w:r w:rsidRPr="003D45F7">
        <w:t xml:space="preserve"> </w:t>
      </w:r>
      <w:r w:rsidR="00524470" w:rsidRPr="003D45F7">
        <w:t>Die vorgeschlagenen Änderungen in den Absätzen 6, 7 und 9 spiegeln dies wider.</w:t>
      </w:r>
    </w:p>
    <w:p w14:paraId="18B667BC" w14:textId="3D58A7CF" w:rsidR="00B27134" w:rsidRPr="003D45F7" w:rsidRDefault="00B27134" w:rsidP="00F25DC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lastRenderedPageBreak/>
        <w:t>11.</w:t>
      </w:r>
      <w:r w:rsidRPr="003D45F7">
        <w:tab/>
      </w:r>
      <w:r w:rsidR="0049378B" w:rsidRPr="003D45F7">
        <w:t xml:space="preserve">Die Änderungen in Absatz 4 </w:t>
      </w:r>
      <w:r w:rsidR="006A7952" w:rsidRPr="003D45F7">
        <w:t>dienen der Klärung</w:t>
      </w:r>
      <w:r w:rsidR="0049378B" w:rsidRPr="003D45F7">
        <w:t xml:space="preserve"> de</w:t>
      </w:r>
      <w:r w:rsidR="006A7952" w:rsidRPr="003D45F7">
        <w:t>r</w:t>
      </w:r>
      <w:r w:rsidR="0049378B" w:rsidRPr="003D45F7">
        <w:t xml:space="preserve"> Verantwortung des Beförderers, da es</w:t>
      </w:r>
      <w:r w:rsidR="00F25DC6" w:rsidRPr="003D45F7">
        <w:t xml:space="preserve"> sich</w:t>
      </w:r>
      <w:r w:rsidR="0049378B" w:rsidRPr="003D45F7">
        <w:t xml:space="preserve"> nicht </w:t>
      </w:r>
      <w:r w:rsidR="00F25DC6" w:rsidRPr="003D45F7">
        <w:t>von selbst versteh</w:t>
      </w:r>
      <w:r w:rsidR="0049378B" w:rsidRPr="003D45F7">
        <w:t>t, d</w:t>
      </w:r>
      <w:r w:rsidR="00F25DC6" w:rsidRPr="003D45F7">
        <w:t>ass d</w:t>
      </w:r>
      <w:r w:rsidR="0049378B" w:rsidRPr="003D45F7">
        <w:t xml:space="preserve">as </w:t>
      </w:r>
      <w:r w:rsidR="007B37A0" w:rsidRPr="003D45F7">
        <w:t>„</w:t>
      </w:r>
      <w:r w:rsidR="0049378B" w:rsidRPr="003D45F7">
        <w:t>Entgasen</w:t>
      </w:r>
      <w:r w:rsidR="007B37A0" w:rsidRPr="003D45F7">
        <w:t>“</w:t>
      </w:r>
      <w:r w:rsidR="0049378B" w:rsidRPr="003D45F7">
        <w:t xml:space="preserve"> </w:t>
      </w:r>
      <w:r w:rsidR="00F25DC6" w:rsidRPr="003D45F7">
        <w:t>zum</w:t>
      </w:r>
      <w:r w:rsidR="0049378B" w:rsidRPr="003D45F7">
        <w:t xml:space="preserve"> </w:t>
      </w:r>
      <w:r w:rsidR="00DC2C83" w:rsidRPr="003D45F7">
        <w:t>„</w:t>
      </w:r>
      <w:r w:rsidR="00F875B3" w:rsidRPr="003D45F7">
        <w:t>sonstigen</w:t>
      </w:r>
      <w:r w:rsidR="0049378B" w:rsidRPr="003D45F7">
        <w:t xml:space="preserve"> Handhab</w:t>
      </w:r>
      <w:r w:rsidR="00F875B3" w:rsidRPr="003D45F7">
        <w:t>e</w:t>
      </w:r>
      <w:r w:rsidR="0049378B" w:rsidRPr="003D45F7">
        <w:t>n der Ladung</w:t>
      </w:r>
      <w:r w:rsidR="00DC2C83" w:rsidRPr="003D45F7">
        <w:t>“</w:t>
      </w:r>
      <w:r w:rsidR="0049378B" w:rsidRPr="003D45F7">
        <w:t xml:space="preserve"> </w:t>
      </w:r>
      <w:r w:rsidR="00F25DC6" w:rsidRPr="003D45F7">
        <w:t>gehört</w:t>
      </w:r>
      <w:r w:rsidR="0049378B" w:rsidRPr="003D45F7">
        <w:t>.</w:t>
      </w:r>
    </w:p>
    <w:p w14:paraId="28B6630D" w14:textId="33775962" w:rsidR="00B27134" w:rsidRPr="003D45F7" w:rsidRDefault="00B27134" w:rsidP="00F4256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t>12.</w:t>
      </w:r>
      <w:r w:rsidRPr="003D45F7">
        <w:tab/>
      </w:r>
      <w:r w:rsidR="00F25DC6" w:rsidRPr="003D45F7">
        <w:t xml:space="preserve">Die Änderung in Absatz 5 trägt der Möglichkeit Rechnung, dass während eines Entgasungsvorgangs mehr als eine </w:t>
      </w:r>
      <w:r w:rsidR="00C10038" w:rsidRPr="003D45F7">
        <w:t>L</w:t>
      </w:r>
      <w:r w:rsidR="00F25DC6" w:rsidRPr="003D45F7">
        <w:t xml:space="preserve">eitung </w:t>
      </w:r>
      <w:r w:rsidR="00F42568" w:rsidRPr="003D45F7">
        <w:t>von</w:t>
      </w:r>
      <w:r w:rsidR="00F25DC6" w:rsidRPr="003D45F7">
        <w:t xml:space="preserve"> der A</w:t>
      </w:r>
      <w:r w:rsidR="00C10038" w:rsidRPr="003D45F7">
        <w:t>nnahmestell</w:t>
      </w:r>
      <w:r w:rsidR="00F25DC6" w:rsidRPr="003D45F7">
        <w:t xml:space="preserve">e </w:t>
      </w:r>
      <w:r w:rsidR="00F42568" w:rsidRPr="003D45F7">
        <w:t>an das</w:t>
      </w:r>
      <w:r w:rsidR="00F25DC6" w:rsidRPr="003D45F7">
        <w:t xml:space="preserve"> Schiff angeschlossen </w:t>
      </w:r>
      <w:r w:rsidR="00F42568" w:rsidRPr="003D45F7">
        <w:t>sein</w:t>
      </w:r>
      <w:r w:rsidR="00F25DC6" w:rsidRPr="003D45F7">
        <w:t xml:space="preserve"> kann.</w:t>
      </w:r>
    </w:p>
    <w:p w14:paraId="7802B5B2" w14:textId="1B855C0A" w:rsidR="00B27134" w:rsidRPr="003D45F7" w:rsidRDefault="00B27134" w:rsidP="00D42C8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t>14.</w:t>
      </w:r>
      <w:r w:rsidRPr="003D45F7">
        <w:tab/>
      </w:r>
      <w:r w:rsidR="00F42568" w:rsidRPr="003D45F7">
        <w:t xml:space="preserve">Die erste Änderung in </w:t>
      </w:r>
      <w:r w:rsidR="00BD188A" w:rsidRPr="003D45F7">
        <w:t xml:space="preserve">Absatz </w:t>
      </w:r>
      <w:r w:rsidR="00F42568" w:rsidRPr="003D45F7">
        <w:t xml:space="preserve">7.2.3.7.2.3 spiegelt die Umbenennung des federbelasteten Niederdruckventils in zusätzliches </w:t>
      </w:r>
      <w:r w:rsidR="003A0543" w:rsidRPr="003D45F7">
        <w:t>Unterdruck</w:t>
      </w:r>
      <w:r w:rsidR="00F42568" w:rsidRPr="003D45F7">
        <w:t>ventil wider.</w:t>
      </w:r>
      <w:r w:rsidRPr="003D45F7">
        <w:t xml:space="preserve"> </w:t>
      </w:r>
      <w:r w:rsidR="003A0543" w:rsidRPr="003D45F7">
        <w:t>Als zweites wird vorgeschlagen, die Anforderung an den Ansprechdruck und d</w:t>
      </w:r>
      <w:r w:rsidR="009E4EBC" w:rsidRPr="003D45F7">
        <w:t>as</w:t>
      </w:r>
      <w:r w:rsidR="003A0543" w:rsidRPr="003D45F7">
        <w:t xml:space="preserve"> </w:t>
      </w:r>
      <w:r w:rsidR="009E4EBC" w:rsidRPr="003D45F7">
        <w:t>Schließen</w:t>
      </w:r>
      <w:r w:rsidR="003A0543" w:rsidRPr="003D45F7">
        <w:t xml:space="preserve"> des fest </w:t>
      </w:r>
      <w:r w:rsidR="006025DC" w:rsidRPr="003D45F7">
        <w:t>eingebauten</w:t>
      </w:r>
      <w:r w:rsidR="003A0543" w:rsidRPr="003D45F7">
        <w:t xml:space="preserve"> zusätzlichen Unterdruckventils oder </w:t>
      </w:r>
      <w:r w:rsidR="006025DC" w:rsidRPr="003D45F7">
        <w:t>das</w:t>
      </w:r>
      <w:r w:rsidR="003A0543" w:rsidRPr="003D45F7">
        <w:t xml:space="preserve"> Öffn</w:t>
      </w:r>
      <w:r w:rsidR="006025DC" w:rsidRPr="003D45F7">
        <w:t>e</w:t>
      </w:r>
      <w:r w:rsidR="003A0543" w:rsidRPr="003D45F7">
        <w:t>n d</w:t>
      </w:r>
      <w:r w:rsidR="002A40BD" w:rsidRPr="003D45F7">
        <w:t>e</w:t>
      </w:r>
      <w:r w:rsidR="003A0543" w:rsidRPr="003D45F7">
        <w:t xml:space="preserve">s </w:t>
      </w:r>
      <w:r w:rsidR="006025DC" w:rsidRPr="003D45F7">
        <w:t>bewegliche</w:t>
      </w:r>
      <w:r w:rsidR="002A40BD" w:rsidRPr="003D45F7">
        <w:t>n</w:t>
      </w:r>
      <w:r w:rsidR="003A0543" w:rsidRPr="003D45F7">
        <w:t xml:space="preserve"> Unterdruckventil</w:t>
      </w:r>
      <w:r w:rsidR="002A40BD" w:rsidRPr="003D45F7">
        <w:t>s</w:t>
      </w:r>
      <w:r w:rsidR="003A0543" w:rsidRPr="003D45F7">
        <w:t xml:space="preserve"> mit Blindflansch in Kapitel 9 zu verschieben.</w:t>
      </w:r>
    </w:p>
    <w:p w14:paraId="1B0174EA" w14:textId="42F63E1B" w:rsidR="00B27134" w:rsidRPr="003D45F7" w:rsidRDefault="00B27134" w:rsidP="006909D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t>15.</w:t>
      </w:r>
      <w:r w:rsidRPr="003D45F7">
        <w:tab/>
      </w:r>
      <w:r w:rsidR="00857FC6" w:rsidRPr="003D45F7">
        <w:t xml:space="preserve">Die vorgeschlagenen Änderungen in Abschnitt 8.6.4 dienen der Klarstellung und sind eine Folgeänderung zur </w:t>
      </w:r>
      <w:r w:rsidR="006909DF" w:rsidRPr="003D45F7">
        <w:t>Neufassung</w:t>
      </w:r>
      <w:r w:rsidR="00857FC6" w:rsidRPr="003D45F7">
        <w:t xml:space="preserve"> von Unterabschnitt 9.3.x.62.</w:t>
      </w:r>
    </w:p>
    <w:p w14:paraId="21EEE33E" w14:textId="1440E705" w:rsidR="00B27134" w:rsidRPr="003D45F7" w:rsidRDefault="00B27134" w:rsidP="00AD12B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t>16.</w:t>
      </w:r>
      <w:r w:rsidRPr="003D45F7">
        <w:tab/>
      </w:r>
      <w:r w:rsidR="00AD12BC" w:rsidRPr="003D45F7">
        <w:t>Der neue Wortlaut der Absätze 9.3.2.62 und 9.3.3.62 enthält folgende Änderungen:</w:t>
      </w:r>
    </w:p>
    <w:p w14:paraId="649077C5" w14:textId="1CAF0554" w:rsidR="00B27134" w:rsidRPr="003D45F7" w:rsidRDefault="00AD12BC" w:rsidP="00995757">
      <w:pPr>
        <w:pStyle w:val="ListParagraph"/>
        <w:widowControl/>
        <w:numPr>
          <w:ilvl w:val="0"/>
          <w:numId w:val="3"/>
        </w:numPr>
        <w:tabs>
          <w:tab w:val="num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/>
        <w:textAlignment w:val="auto"/>
      </w:pPr>
      <w:r w:rsidRPr="003D45F7">
        <w:t>In der englischen Fassung wird „</w:t>
      </w:r>
      <w:proofErr w:type="spellStart"/>
      <w:r w:rsidRPr="003D45F7">
        <w:t>aperture</w:t>
      </w:r>
      <w:proofErr w:type="spellEnd"/>
      <w:r w:rsidRPr="003D45F7">
        <w:t>“ durch „</w:t>
      </w:r>
      <w:proofErr w:type="spellStart"/>
      <w:r w:rsidRPr="003D45F7">
        <w:t>opening</w:t>
      </w:r>
      <w:proofErr w:type="spellEnd"/>
      <w:r w:rsidRPr="003D45F7">
        <w:t>“ ersetzt, de</w:t>
      </w:r>
      <w:r w:rsidR="00995757" w:rsidRPr="003D45F7">
        <w:t>n</w:t>
      </w:r>
      <w:r w:rsidRPr="003D45F7">
        <w:t xml:space="preserve"> im ADN üblicherweise verwendete</w:t>
      </w:r>
      <w:r w:rsidR="00995757" w:rsidRPr="003D45F7">
        <w:t>n</w:t>
      </w:r>
      <w:r w:rsidRPr="003D45F7">
        <w:t xml:space="preserve"> Begriff;</w:t>
      </w:r>
    </w:p>
    <w:p w14:paraId="154FADE4" w14:textId="2DF4F5AF" w:rsidR="00B27134" w:rsidRPr="003D45F7" w:rsidRDefault="00995757" w:rsidP="002036BE">
      <w:pPr>
        <w:pStyle w:val="ListParagraph"/>
        <w:widowControl/>
        <w:numPr>
          <w:ilvl w:val="0"/>
          <w:numId w:val="3"/>
        </w:numPr>
        <w:tabs>
          <w:tab w:val="num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/>
        <w:textAlignment w:val="auto"/>
      </w:pPr>
      <w:r w:rsidRPr="003D45F7">
        <w:t xml:space="preserve">Der Wortlaut wird klarer gefasst, insofern als die Öffnung an Bord des Schiffes für die Zufuhr von Umgebungsluft und nicht </w:t>
      </w:r>
      <w:r w:rsidR="002036BE" w:rsidRPr="003D45F7">
        <w:t>für die</w:t>
      </w:r>
      <w:r w:rsidRPr="003D45F7">
        <w:t xml:space="preserve"> Ab</w:t>
      </w:r>
      <w:r w:rsidR="002036BE" w:rsidRPr="003D45F7">
        <w:t>fuhr</w:t>
      </w:r>
      <w:r w:rsidRPr="003D45F7">
        <w:t xml:space="preserve"> von Gas/Dämpfen aus dem Ladetank dient;</w:t>
      </w:r>
    </w:p>
    <w:p w14:paraId="2CCEB7D4" w14:textId="2323B4B6" w:rsidR="00B27134" w:rsidRPr="003D45F7" w:rsidRDefault="009D4D04" w:rsidP="00EC526F">
      <w:pPr>
        <w:pStyle w:val="ListParagraph"/>
        <w:widowControl/>
        <w:numPr>
          <w:ilvl w:val="0"/>
          <w:numId w:val="3"/>
        </w:numPr>
        <w:tabs>
          <w:tab w:val="num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/>
        <w:textAlignment w:val="auto"/>
      </w:pPr>
      <w:r w:rsidRPr="003D45F7">
        <w:t xml:space="preserve">Deutschland und die Niederlande sind darauf hingewiesen worden, dass die </w:t>
      </w:r>
      <w:r w:rsidR="005D208F" w:rsidRPr="003D45F7">
        <w:t>Annahmestellen</w:t>
      </w:r>
      <w:r w:rsidRPr="003D45F7">
        <w:t xml:space="preserve"> </w:t>
      </w:r>
      <w:r w:rsidR="00383A7B" w:rsidRPr="003D45F7">
        <w:t>zum Teil</w:t>
      </w:r>
      <w:r w:rsidRPr="003D45F7">
        <w:t xml:space="preserve"> zwei Schläuche für den Anschluss an den Ladetank an Bord des Schiffes bereitstellen.</w:t>
      </w:r>
      <w:r w:rsidR="00B27134" w:rsidRPr="003D45F7">
        <w:t xml:space="preserve"> </w:t>
      </w:r>
      <w:r w:rsidR="00383A7B" w:rsidRPr="003D45F7">
        <w:t xml:space="preserve">Ein Schlauch ist für die </w:t>
      </w:r>
      <w:r w:rsidR="008A434D" w:rsidRPr="003D45F7">
        <w:t>Abfuhr</w:t>
      </w:r>
      <w:r w:rsidR="00383A7B" w:rsidRPr="003D45F7">
        <w:t xml:space="preserve"> von Gas/Dämpfen aus dem Ladetank bestimmt, der andere Schlauch </w:t>
      </w:r>
      <w:r w:rsidR="008A434D" w:rsidRPr="003D45F7">
        <w:t xml:space="preserve">wird </w:t>
      </w:r>
      <w:r w:rsidR="00383A7B" w:rsidRPr="003D45F7">
        <w:t>an Land geführt</w:t>
      </w:r>
      <w:r w:rsidR="001E12A5" w:rsidRPr="003D45F7">
        <w:t xml:space="preserve"> und dient</w:t>
      </w:r>
      <w:r w:rsidR="00383A7B" w:rsidRPr="003D45F7">
        <w:t xml:space="preserve"> </w:t>
      </w:r>
      <w:r w:rsidR="00183C2F" w:rsidRPr="003D45F7">
        <w:t>der</w:t>
      </w:r>
      <w:r w:rsidR="00383A7B" w:rsidRPr="003D45F7">
        <w:t xml:space="preserve"> </w:t>
      </w:r>
      <w:r w:rsidR="001E12A5" w:rsidRPr="003D45F7">
        <w:t>Zufuhr</w:t>
      </w:r>
      <w:r w:rsidR="00383A7B" w:rsidRPr="003D45F7">
        <w:t xml:space="preserve"> von Umgebungsluft.</w:t>
      </w:r>
      <w:r w:rsidR="00B27134" w:rsidRPr="003D45F7">
        <w:t xml:space="preserve"> </w:t>
      </w:r>
      <w:r w:rsidR="001E12A5" w:rsidRPr="003D45F7">
        <w:t>Da bei diesem Verfahren die gleichen Gefahren und Risiken auftreten, wird vorgeschlagen, das landseitige Ende des Schlauch</w:t>
      </w:r>
      <w:r w:rsidR="000375A9" w:rsidRPr="003D45F7">
        <w:t>e</w:t>
      </w:r>
      <w:r w:rsidR="001E12A5" w:rsidRPr="003D45F7">
        <w:t>s auf die gleiche Weise zu schützen.</w:t>
      </w:r>
    </w:p>
    <w:p w14:paraId="116F1C1B" w14:textId="4D64FCB4" w:rsidR="00B27134" w:rsidRPr="003D45F7" w:rsidRDefault="00B27134" w:rsidP="00827BB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t>17.</w:t>
      </w:r>
      <w:r w:rsidRPr="003D45F7">
        <w:tab/>
      </w:r>
      <w:r w:rsidR="00EC526F" w:rsidRPr="003D45F7">
        <w:t>Bei Schiffen des Typs G erfolgt das Entgasen nicht über ein zusätzliches Unterdruckventil für die Zufuhr von Umgebungsluft, um eine Überschreitung des höchstzulässigen Unterdrucks zu verhindern.</w:t>
      </w:r>
      <w:r w:rsidRPr="003D45F7">
        <w:t xml:space="preserve"> </w:t>
      </w:r>
      <w:r w:rsidR="00827BBC" w:rsidRPr="003D45F7">
        <w:t>Daher brauchen die Anforderungen an das zusätzliche Unterdruckventil nicht in Kapitel 9.3.1 aufgenommen zu werden.</w:t>
      </w:r>
    </w:p>
    <w:p w14:paraId="6E95F459" w14:textId="369CFE78" w:rsidR="00B27134" w:rsidRPr="003D45F7" w:rsidRDefault="00B27134" w:rsidP="00827BBC">
      <w:pPr>
        <w:keepNext/>
        <w:keepLines/>
        <w:widowControl/>
        <w:tabs>
          <w:tab w:val="right" w:pos="851"/>
          <w:tab w:val="left" w:pos="1134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left="0" w:right="1134" w:firstLine="0"/>
        <w:jc w:val="left"/>
        <w:textAlignment w:val="auto"/>
        <w:rPr>
          <w:b/>
          <w:sz w:val="28"/>
        </w:rPr>
      </w:pPr>
      <w:r w:rsidRPr="003D45F7">
        <w:rPr>
          <w:b/>
          <w:sz w:val="28"/>
        </w:rPr>
        <w:tab/>
      </w:r>
      <w:r w:rsidR="00775BCD" w:rsidRPr="003D45F7">
        <w:rPr>
          <w:b/>
          <w:sz w:val="28"/>
        </w:rPr>
        <w:tab/>
      </w:r>
      <w:r w:rsidR="00827BBC" w:rsidRPr="003D45F7">
        <w:rPr>
          <w:b/>
          <w:sz w:val="28"/>
        </w:rPr>
        <w:t>Umsetzbarkeit</w:t>
      </w:r>
    </w:p>
    <w:p w14:paraId="09CBF18C" w14:textId="28530521" w:rsidR="00B27134" w:rsidRPr="003D45F7" w:rsidRDefault="00B27134" w:rsidP="00BB7DA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t>18.</w:t>
      </w:r>
      <w:r w:rsidRPr="003D45F7">
        <w:tab/>
      </w:r>
      <w:r w:rsidR="004D6CD6" w:rsidRPr="003D45F7">
        <w:t>Dieser Vorschlag dient der Berichtigung der Bezeichnung des Ventils, das während des Entgasens an der Öffnung der Leitung verwendet werden soll, um einen unerwünschten Unterdruck zu verhindern.</w:t>
      </w:r>
      <w:r w:rsidRPr="003D45F7">
        <w:t xml:space="preserve"> </w:t>
      </w:r>
      <w:r w:rsidR="00E14030" w:rsidRPr="003D45F7">
        <w:t xml:space="preserve">Das Ventil kann nicht federbelastet sein und gleichzeitig die Betätigung des Unterdruckventils verhindern; </w:t>
      </w:r>
      <w:r w:rsidR="002B412A" w:rsidRPr="003D45F7">
        <w:t>der Verzicht auf die Feder (</w:t>
      </w:r>
      <w:r w:rsidR="000539AF" w:rsidRPr="003D45F7">
        <w:t>und die Anwendung</w:t>
      </w:r>
      <w:r w:rsidR="002B412A" w:rsidRPr="003D45F7">
        <w:t xml:space="preserve"> anderer Techniken wie Gewicht/Schwerkraft) ermöglicht ein früheres Öffnen als bei </w:t>
      </w:r>
      <w:r w:rsidR="000539AF" w:rsidRPr="003D45F7">
        <w:t>herkömmlichen</w:t>
      </w:r>
      <w:r w:rsidR="002B412A" w:rsidRPr="003D45F7">
        <w:t xml:space="preserve"> Unterdruckventilen.</w:t>
      </w:r>
      <w:r w:rsidRPr="003D45F7">
        <w:t xml:space="preserve"> </w:t>
      </w:r>
      <w:r w:rsidR="00BB7DAB" w:rsidRPr="003D45F7">
        <w:t>Dieser Vorschlag erhöht somit die Umsetzbarkeit des ADN.</w:t>
      </w:r>
      <w:r w:rsidRPr="003D45F7">
        <w:t xml:space="preserve"> </w:t>
      </w:r>
      <w:r w:rsidR="00BB7DAB" w:rsidRPr="003D45F7">
        <w:t>Alle anderen Vorschläge sind Folgeänderungen oder Klarstellungen.</w:t>
      </w:r>
    </w:p>
    <w:p w14:paraId="6FFE3B08" w14:textId="3E895D88" w:rsidR="00B27134" w:rsidRPr="003D45F7" w:rsidRDefault="00B27134" w:rsidP="00791001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sz w:val="28"/>
        </w:rPr>
      </w:pPr>
      <w:r w:rsidRPr="003D45F7">
        <w:rPr>
          <w:b/>
          <w:sz w:val="28"/>
        </w:rPr>
        <w:tab/>
      </w:r>
      <w:r w:rsidRPr="003D45F7">
        <w:rPr>
          <w:b/>
          <w:sz w:val="28"/>
        </w:rPr>
        <w:tab/>
      </w:r>
      <w:r w:rsidR="00791001" w:rsidRPr="003D45F7">
        <w:rPr>
          <w:b/>
          <w:sz w:val="28"/>
        </w:rPr>
        <w:t>Vollziehbarkeit</w:t>
      </w:r>
    </w:p>
    <w:p w14:paraId="072BA46F" w14:textId="4AA75F7B" w:rsidR="00B27134" w:rsidRPr="003D45F7" w:rsidRDefault="00B27134" w:rsidP="00B82ED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t>19.</w:t>
      </w:r>
      <w:r w:rsidRPr="003D45F7">
        <w:tab/>
      </w:r>
      <w:r w:rsidR="00791001" w:rsidRPr="003D45F7">
        <w:t xml:space="preserve">Dadurch, dass das Ventil nicht mehr als federbelastetes Ventil bezeichnet wird, wird die Vollziehbarkeit des ADN erhöht, da die </w:t>
      </w:r>
      <w:r w:rsidR="00A06340" w:rsidRPr="003D45F7">
        <w:t>nicht realisierbare Anforderung</w:t>
      </w:r>
      <w:r w:rsidR="00EA6B0E" w:rsidRPr="003D45F7">
        <w:t xml:space="preserve"> </w:t>
      </w:r>
      <w:r w:rsidR="00791001" w:rsidRPr="003D45F7">
        <w:t xml:space="preserve">eines federbelasteten Niederdruckventils, das die </w:t>
      </w:r>
      <w:r w:rsidR="00D6439D" w:rsidRPr="003D45F7">
        <w:t>Betätigung</w:t>
      </w:r>
      <w:r w:rsidR="00791001" w:rsidRPr="003D45F7">
        <w:t xml:space="preserve"> des </w:t>
      </w:r>
      <w:r w:rsidR="00D6439D" w:rsidRPr="003D45F7">
        <w:t>Unterdruck</w:t>
      </w:r>
      <w:r w:rsidR="00791001" w:rsidRPr="003D45F7">
        <w:t xml:space="preserve">ventils verhindert, aus dem ADN </w:t>
      </w:r>
      <w:r w:rsidR="00A06340" w:rsidRPr="003D45F7">
        <w:t>gestrichen</w:t>
      </w:r>
      <w:r w:rsidR="00791001" w:rsidRPr="003D45F7">
        <w:t xml:space="preserve"> wird.</w:t>
      </w:r>
    </w:p>
    <w:p w14:paraId="304FF9FC" w14:textId="74C30697" w:rsidR="00B27134" w:rsidRPr="003D45F7" w:rsidRDefault="00B27134" w:rsidP="00B27134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3D45F7">
        <w:rPr>
          <w:b/>
          <w:sz w:val="28"/>
        </w:rPr>
        <w:lastRenderedPageBreak/>
        <w:tab/>
      </w:r>
      <w:r w:rsidRPr="003D45F7">
        <w:rPr>
          <w:b/>
          <w:sz w:val="28"/>
        </w:rPr>
        <w:tab/>
      </w:r>
      <w:r w:rsidR="00B34659" w:rsidRPr="003D45F7">
        <w:rPr>
          <w:b/>
          <w:sz w:val="28"/>
        </w:rPr>
        <w:t>Zu ergreifende Maßnahme</w:t>
      </w:r>
    </w:p>
    <w:p w14:paraId="07361337" w14:textId="2C07EAD7" w:rsidR="00B27134" w:rsidRPr="003D45F7" w:rsidRDefault="00B27134" w:rsidP="00B924B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3D45F7">
        <w:t>20.</w:t>
      </w:r>
      <w:r w:rsidRPr="003D45F7">
        <w:tab/>
      </w:r>
      <w:r w:rsidR="005075DC" w:rsidRPr="003D45F7">
        <w:t xml:space="preserve">Der Sicherheitsausschuss wird </w:t>
      </w:r>
      <w:r w:rsidR="00B924BC" w:rsidRPr="003D45F7">
        <w:t>gebeten</w:t>
      </w:r>
      <w:r w:rsidR="005075DC" w:rsidRPr="003D45F7">
        <w:t xml:space="preserve">, die </w:t>
      </w:r>
      <w:r w:rsidR="00DA1443" w:rsidRPr="003D45F7">
        <w:t>in</w:t>
      </w:r>
      <w:r w:rsidR="005075DC" w:rsidRPr="003D45F7">
        <w:t xml:space="preserve"> den </w:t>
      </w:r>
      <w:r w:rsidR="00DA1443" w:rsidRPr="003D45F7">
        <w:t>Absätzen</w:t>
      </w:r>
      <w:r w:rsidR="005075DC" w:rsidRPr="003D45F7">
        <w:t xml:space="preserve"> 4 bis 9 vorgeschlagenen Änderungen zu prüfen und die </w:t>
      </w:r>
      <w:r w:rsidR="00B924BC" w:rsidRPr="003D45F7">
        <w:t>aus seiner Sicht</w:t>
      </w:r>
      <w:r w:rsidR="005075DC" w:rsidRPr="003D45F7">
        <w:t xml:space="preserve"> </w:t>
      </w:r>
      <w:r w:rsidR="00B924BC" w:rsidRPr="003D45F7">
        <w:t>notwendigen</w:t>
      </w:r>
      <w:r w:rsidR="005075DC" w:rsidRPr="003D45F7">
        <w:t xml:space="preserve"> Maßnahmen zu ergreifen.</w:t>
      </w:r>
    </w:p>
    <w:p w14:paraId="408BD037" w14:textId="693AEA35" w:rsidR="00B27134" w:rsidRPr="00A47D25" w:rsidRDefault="00B27134" w:rsidP="00B27134">
      <w:pPr>
        <w:widowControl/>
        <w:suppressAutoHyphens/>
        <w:overflowPunct/>
        <w:autoSpaceDE/>
        <w:autoSpaceDN/>
        <w:adjustRightInd/>
        <w:spacing w:before="240" w:line="240" w:lineRule="atLeast"/>
        <w:ind w:left="0" w:firstLine="0"/>
        <w:jc w:val="center"/>
        <w:textAlignment w:val="auto"/>
      </w:pPr>
      <w:r w:rsidRPr="003D45F7">
        <w:t>***</w:t>
      </w:r>
    </w:p>
    <w:p w14:paraId="140D730F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23A40C61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0FE5A4E2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464E8C6E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72852DA5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5F54D965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05106BD6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0B1E252D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6E23661C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335B3A92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117E7E0B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311BDF8E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077BC2FA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6AC1EB7A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6ADD7DA3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31706E1B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552273BA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1B8FC872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62E95040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60D85A0B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01AFA401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302C7840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7329CF6F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14F954D5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5005A416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2E356722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259B33B6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138DD173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64610C69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20675831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5090874B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32994C19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020695FF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2A416028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4E9C81A8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2151048E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78A38EAD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29034282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1B1CB7B4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65B4540E" w14:textId="77777777" w:rsidR="007B2099" w:rsidRPr="007B2099" w:rsidRDefault="007B209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color w:val="FFFFFF"/>
          <w:lang w:eastAsia="de-DE"/>
        </w:rPr>
      </w:pPr>
    </w:p>
    <w:p w14:paraId="44BED743" w14:textId="534050B0" w:rsidR="00B27134" w:rsidRPr="00A47D25" w:rsidRDefault="00B27134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lang w:eastAsia="de-DE"/>
        </w:rPr>
      </w:pPr>
    </w:p>
    <w:bookmarkEnd w:id="1"/>
    <w:sectPr w:rsidR="00B27134" w:rsidRPr="00A47D25" w:rsidSect="00D3674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AA26" w14:textId="3EC90E08" w:rsidR="00D36741" w:rsidRPr="00B34659" w:rsidRDefault="00B34659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B34659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m</w:t>
    </w:r>
    <w:r w:rsidRPr="00B34659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Pr="00B34659">
      <w:rPr>
        <w:rFonts w:ascii="Arial" w:hAnsi="Arial"/>
        <w:noProof/>
        <w:snapToGrid w:val="0"/>
        <w:sz w:val="12"/>
        <w:szCs w:val="24"/>
        <w:lang w:val="fr-FR"/>
      </w:rPr>
      <w:t>2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_</w:t>
    </w:r>
    <w:r w:rsidRPr="00B34659">
      <w:rPr>
        <w:rFonts w:ascii="Arial" w:hAnsi="Arial"/>
        <w:noProof/>
        <w:snapToGrid w:val="0"/>
        <w:sz w:val="12"/>
        <w:szCs w:val="24"/>
        <w:lang w:val="fr-FR"/>
      </w:rPr>
      <w:t>40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2762" w14:textId="47EB3706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</w:t>
    </w:r>
    <w:r w:rsidR="0078421A">
      <w:rPr>
        <w:rFonts w:ascii="Arial" w:hAnsi="Arial"/>
        <w:noProof/>
        <w:snapToGrid w:val="0"/>
        <w:sz w:val="12"/>
        <w:szCs w:val="24"/>
        <w:lang w:val="en-US"/>
      </w:rPr>
      <w:t>2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78421A">
      <w:rPr>
        <w:rFonts w:ascii="Arial" w:hAnsi="Arial"/>
        <w:noProof/>
        <w:snapToGrid w:val="0"/>
        <w:sz w:val="12"/>
        <w:szCs w:val="24"/>
        <w:lang w:val="en-US"/>
      </w:rPr>
      <w:t>40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0D8F5B2C" w14:textId="5B9AD4C1" w:rsidR="00B27134" w:rsidRPr="004E6757" w:rsidRDefault="00B27134" w:rsidP="00B27134">
      <w:pPr>
        <w:pStyle w:val="FootnoteText"/>
        <w:rPr>
          <w:sz w:val="16"/>
          <w:szCs w:val="16"/>
        </w:rPr>
      </w:pPr>
      <w:r w:rsidRPr="004E6757">
        <w:rPr>
          <w:rStyle w:val="FootnoteReference"/>
        </w:rPr>
        <w:tab/>
        <w:t>*</w:t>
      </w:r>
      <w:r w:rsidRPr="004E6757">
        <w:rPr>
          <w:rStyle w:val="FootnoteReference"/>
        </w:rPr>
        <w:tab/>
      </w:r>
      <w:r w:rsidRPr="004E6757">
        <w:rPr>
          <w:sz w:val="16"/>
          <w:szCs w:val="16"/>
        </w:rPr>
        <w:t>Von der UNECE in Englisch, Französisch und Russisch unter dem Aktenzeichen ECE/TRANS/WP.15/AC.2/2022/</w:t>
      </w:r>
      <w:r w:rsidR="007313D9">
        <w:rPr>
          <w:sz w:val="16"/>
          <w:szCs w:val="16"/>
        </w:rPr>
        <w:t>40</w:t>
      </w:r>
      <w:r w:rsidRPr="004E6757">
        <w:rPr>
          <w:sz w:val="16"/>
          <w:szCs w:val="16"/>
        </w:rPr>
        <w:t>verteilt.</w:t>
      </w:r>
    </w:p>
  </w:footnote>
  <w:footnote w:id="2">
    <w:p w14:paraId="4FA96EEA" w14:textId="77777777" w:rsidR="00B27134" w:rsidRPr="00B27134" w:rsidRDefault="00B27134" w:rsidP="00B27134">
      <w:pPr>
        <w:pStyle w:val="FootnoteText"/>
        <w:rPr>
          <w:sz w:val="16"/>
          <w:szCs w:val="16"/>
        </w:rPr>
      </w:pPr>
      <w:r w:rsidRPr="00B27134">
        <w:rPr>
          <w:rStyle w:val="FootnoteReference"/>
        </w:rPr>
        <w:tab/>
        <w:t>**</w:t>
      </w:r>
      <w:r w:rsidRPr="00B27134">
        <w:rPr>
          <w:rStyle w:val="FootnoteReference"/>
        </w:rPr>
        <w:tab/>
      </w:r>
      <w:r w:rsidRPr="00B27134">
        <w:rPr>
          <w:sz w:val="16"/>
          <w:szCs w:val="16"/>
        </w:rPr>
        <w:t>A/76/6 (Kap. 20) Abs.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95E" w14:textId="06EE3136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</w:t>
    </w:r>
    <w:r w:rsidR="007313D9">
      <w:rPr>
        <w:rFonts w:ascii="Arial" w:hAnsi="Arial"/>
        <w:snapToGrid w:val="0"/>
        <w:sz w:val="16"/>
        <w:szCs w:val="16"/>
        <w:lang w:val="en-US"/>
      </w:rPr>
      <w:t>2022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7313D9">
      <w:rPr>
        <w:rFonts w:ascii="Arial" w:hAnsi="Arial"/>
        <w:snapToGrid w:val="0"/>
        <w:sz w:val="16"/>
        <w:szCs w:val="16"/>
        <w:lang w:val="en-US"/>
      </w:rPr>
      <w:t>40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7E64" w14:textId="7EDD40B6" w:rsidR="00724E6F" w:rsidRPr="003D45F7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bookmarkStart w:id="7" w:name="_Hlk19605293"/>
    <w:bookmarkStart w:id="8" w:name="_Hlk19605294"/>
    <w:r w:rsidRPr="003D45F7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3D45F7" w:rsidRPr="003D45F7">
      <w:rPr>
        <w:rFonts w:ascii="Arial" w:hAnsi="Arial"/>
        <w:snapToGrid w:val="0"/>
        <w:sz w:val="16"/>
        <w:szCs w:val="16"/>
        <w:lang w:val="fr-FR"/>
      </w:rPr>
      <w:t>2</w:t>
    </w:r>
    <w:r w:rsidR="003D45F7">
      <w:rPr>
        <w:rFonts w:ascii="Arial" w:hAnsi="Arial"/>
        <w:snapToGrid w:val="0"/>
        <w:sz w:val="16"/>
        <w:szCs w:val="16"/>
        <w:lang w:val="fr-FR"/>
      </w:rPr>
      <w:t>/40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60EB"/>
    <w:multiLevelType w:val="hybridMultilevel"/>
    <w:tmpl w:val="A0FEB11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36FF"/>
    <w:rsid w:val="000375A9"/>
    <w:rsid w:val="000539AF"/>
    <w:rsid w:val="00082DA3"/>
    <w:rsid w:val="0009215A"/>
    <w:rsid w:val="00094A98"/>
    <w:rsid w:val="000A563B"/>
    <w:rsid w:val="000B2B01"/>
    <w:rsid w:val="000C0D7C"/>
    <w:rsid w:val="000C6E63"/>
    <w:rsid w:val="000D45A5"/>
    <w:rsid w:val="000D549E"/>
    <w:rsid w:val="000E12CF"/>
    <w:rsid w:val="000E2AEC"/>
    <w:rsid w:val="00117FE3"/>
    <w:rsid w:val="00121022"/>
    <w:rsid w:val="00125C30"/>
    <w:rsid w:val="00131F4C"/>
    <w:rsid w:val="00134276"/>
    <w:rsid w:val="0015423F"/>
    <w:rsid w:val="00155C7C"/>
    <w:rsid w:val="00160AF1"/>
    <w:rsid w:val="00162BEF"/>
    <w:rsid w:val="00183C2F"/>
    <w:rsid w:val="001C60D6"/>
    <w:rsid w:val="001E12A5"/>
    <w:rsid w:val="00202DA3"/>
    <w:rsid w:val="002036BE"/>
    <w:rsid w:val="00222245"/>
    <w:rsid w:val="00225E1F"/>
    <w:rsid w:val="0023019B"/>
    <w:rsid w:val="00277F70"/>
    <w:rsid w:val="002A40BD"/>
    <w:rsid w:val="002B412A"/>
    <w:rsid w:val="002E1F1B"/>
    <w:rsid w:val="002E6F67"/>
    <w:rsid w:val="002F1508"/>
    <w:rsid w:val="002F1CA1"/>
    <w:rsid w:val="003022EE"/>
    <w:rsid w:val="003371F2"/>
    <w:rsid w:val="00375CAD"/>
    <w:rsid w:val="00380EC1"/>
    <w:rsid w:val="00383A7B"/>
    <w:rsid w:val="00387BCB"/>
    <w:rsid w:val="003A0543"/>
    <w:rsid w:val="003B3B76"/>
    <w:rsid w:val="003D45F7"/>
    <w:rsid w:val="003E12AD"/>
    <w:rsid w:val="003E6913"/>
    <w:rsid w:val="003F5E68"/>
    <w:rsid w:val="0040493E"/>
    <w:rsid w:val="004076CE"/>
    <w:rsid w:val="00412D97"/>
    <w:rsid w:val="00422C66"/>
    <w:rsid w:val="00437763"/>
    <w:rsid w:val="00454F9B"/>
    <w:rsid w:val="00483782"/>
    <w:rsid w:val="0049378B"/>
    <w:rsid w:val="004A7663"/>
    <w:rsid w:val="004D6495"/>
    <w:rsid w:val="004D6CD6"/>
    <w:rsid w:val="004E10A8"/>
    <w:rsid w:val="004E2AEF"/>
    <w:rsid w:val="004E64FE"/>
    <w:rsid w:val="004F06F2"/>
    <w:rsid w:val="004F4C20"/>
    <w:rsid w:val="005075DC"/>
    <w:rsid w:val="00515E2D"/>
    <w:rsid w:val="005235E9"/>
    <w:rsid w:val="00524470"/>
    <w:rsid w:val="00537F69"/>
    <w:rsid w:val="005462C6"/>
    <w:rsid w:val="00591A7D"/>
    <w:rsid w:val="00591ECD"/>
    <w:rsid w:val="00597CFA"/>
    <w:rsid w:val="005C2135"/>
    <w:rsid w:val="005D208F"/>
    <w:rsid w:val="005E3FB8"/>
    <w:rsid w:val="006025DC"/>
    <w:rsid w:val="0063076E"/>
    <w:rsid w:val="00635226"/>
    <w:rsid w:val="00643AEA"/>
    <w:rsid w:val="00666327"/>
    <w:rsid w:val="00685194"/>
    <w:rsid w:val="006909DF"/>
    <w:rsid w:val="0069704F"/>
    <w:rsid w:val="006A7952"/>
    <w:rsid w:val="006B10A8"/>
    <w:rsid w:val="006B4FAE"/>
    <w:rsid w:val="006B5E51"/>
    <w:rsid w:val="006E493E"/>
    <w:rsid w:val="007145FA"/>
    <w:rsid w:val="00720516"/>
    <w:rsid w:val="00720AE0"/>
    <w:rsid w:val="00724E6F"/>
    <w:rsid w:val="007313D9"/>
    <w:rsid w:val="007360AA"/>
    <w:rsid w:val="00751575"/>
    <w:rsid w:val="00761103"/>
    <w:rsid w:val="00775BCD"/>
    <w:rsid w:val="0078421A"/>
    <w:rsid w:val="00791001"/>
    <w:rsid w:val="00793B49"/>
    <w:rsid w:val="007B2099"/>
    <w:rsid w:val="007B37A0"/>
    <w:rsid w:val="007C4366"/>
    <w:rsid w:val="007C441F"/>
    <w:rsid w:val="007C72B0"/>
    <w:rsid w:val="007E090F"/>
    <w:rsid w:val="007E21FD"/>
    <w:rsid w:val="007F5EEA"/>
    <w:rsid w:val="00815430"/>
    <w:rsid w:val="00827BBC"/>
    <w:rsid w:val="00827D8E"/>
    <w:rsid w:val="00830501"/>
    <w:rsid w:val="00857FC6"/>
    <w:rsid w:val="00861AB6"/>
    <w:rsid w:val="00863D48"/>
    <w:rsid w:val="00886679"/>
    <w:rsid w:val="00895F87"/>
    <w:rsid w:val="00897E13"/>
    <w:rsid w:val="008A434D"/>
    <w:rsid w:val="008A541F"/>
    <w:rsid w:val="008C3BF5"/>
    <w:rsid w:val="008D773F"/>
    <w:rsid w:val="008E0E25"/>
    <w:rsid w:val="008E3677"/>
    <w:rsid w:val="008E41B1"/>
    <w:rsid w:val="008F353F"/>
    <w:rsid w:val="008F4F6A"/>
    <w:rsid w:val="008F7238"/>
    <w:rsid w:val="00904B48"/>
    <w:rsid w:val="00915992"/>
    <w:rsid w:val="00930EFD"/>
    <w:rsid w:val="009336A4"/>
    <w:rsid w:val="00935C58"/>
    <w:rsid w:val="009545CD"/>
    <w:rsid w:val="00970620"/>
    <w:rsid w:val="009873A1"/>
    <w:rsid w:val="0099467F"/>
    <w:rsid w:val="00995757"/>
    <w:rsid w:val="009A356E"/>
    <w:rsid w:val="009A5ADD"/>
    <w:rsid w:val="009A6E3D"/>
    <w:rsid w:val="009C033F"/>
    <w:rsid w:val="009C588A"/>
    <w:rsid w:val="009D45FB"/>
    <w:rsid w:val="009D4D04"/>
    <w:rsid w:val="009D5560"/>
    <w:rsid w:val="009E4EBC"/>
    <w:rsid w:val="009E6981"/>
    <w:rsid w:val="00A0258A"/>
    <w:rsid w:val="00A02FB6"/>
    <w:rsid w:val="00A06340"/>
    <w:rsid w:val="00A229B4"/>
    <w:rsid w:val="00A47D25"/>
    <w:rsid w:val="00A857CC"/>
    <w:rsid w:val="00A97CEA"/>
    <w:rsid w:val="00AC78AF"/>
    <w:rsid w:val="00AD12BC"/>
    <w:rsid w:val="00AE0AFB"/>
    <w:rsid w:val="00AE5AF2"/>
    <w:rsid w:val="00AF70B7"/>
    <w:rsid w:val="00B22C3B"/>
    <w:rsid w:val="00B27134"/>
    <w:rsid w:val="00B302EA"/>
    <w:rsid w:val="00B34659"/>
    <w:rsid w:val="00B4533C"/>
    <w:rsid w:val="00B52043"/>
    <w:rsid w:val="00B6095C"/>
    <w:rsid w:val="00B809C2"/>
    <w:rsid w:val="00B82ED3"/>
    <w:rsid w:val="00B924BC"/>
    <w:rsid w:val="00BA54C5"/>
    <w:rsid w:val="00BA7378"/>
    <w:rsid w:val="00BB0DBC"/>
    <w:rsid w:val="00BB2AFE"/>
    <w:rsid w:val="00BB7DAB"/>
    <w:rsid w:val="00BC22A5"/>
    <w:rsid w:val="00BD188A"/>
    <w:rsid w:val="00C00404"/>
    <w:rsid w:val="00C10038"/>
    <w:rsid w:val="00C125FE"/>
    <w:rsid w:val="00C240FB"/>
    <w:rsid w:val="00C30089"/>
    <w:rsid w:val="00C35BA4"/>
    <w:rsid w:val="00C7213F"/>
    <w:rsid w:val="00C8278B"/>
    <w:rsid w:val="00C94048"/>
    <w:rsid w:val="00CD48E7"/>
    <w:rsid w:val="00CE32A9"/>
    <w:rsid w:val="00CF1246"/>
    <w:rsid w:val="00CF26F7"/>
    <w:rsid w:val="00D12776"/>
    <w:rsid w:val="00D15348"/>
    <w:rsid w:val="00D215B7"/>
    <w:rsid w:val="00D25F16"/>
    <w:rsid w:val="00D27A03"/>
    <w:rsid w:val="00D36741"/>
    <w:rsid w:val="00D42C85"/>
    <w:rsid w:val="00D45DD4"/>
    <w:rsid w:val="00D4726C"/>
    <w:rsid w:val="00D51C95"/>
    <w:rsid w:val="00D54D31"/>
    <w:rsid w:val="00D56AFD"/>
    <w:rsid w:val="00D63E14"/>
    <w:rsid w:val="00D6439D"/>
    <w:rsid w:val="00DA1443"/>
    <w:rsid w:val="00DB18A7"/>
    <w:rsid w:val="00DB2089"/>
    <w:rsid w:val="00DB57E7"/>
    <w:rsid w:val="00DC2C83"/>
    <w:rsid w:val="00E04049"/>
    <w:rsid w:val="00E14030"/>
    <w:rsid w:val="00E25418"/>
    <w:rsid w:val="00E37FFD"/>
    <w:rsid w:val="00E41049"/>
    <w:rsid w:val="00E565DE"/>
    <w:rsid w:val="00E569AC"/>
    <w:rsid w:val="00E727CB"/>
    <w:rsid w:val="00E75FEC"/>
    <w:rsid w:val="00E83D57"/>
    <w:rsid w:val="00EA3FF0"/>
    <w:rsid w:val="00EA6B0E"/>
    <w:rsid w:val="00EC22B5"/>
    <w:rsid w:val="00EC526F"/>
    <w:rsid w:val="00ED557F"/>
    <w:rsid w:val="00EE66ED"/>
    <w:rsid w:val="00EF10FF"/>
    <w:rsid w:val="00F11201"/>
    <w:rsid w:val="00F25414"/>
    <w:rsid w:val="00F25DC6"/>
    <w:rsid w:val="00F32881"/>
    <w:rsid w:val="00F42568"/>
    <w:rsid w:val="00F42D64"/>
    <w:rsid w:val="00F47474"/>
    <w:rsid w:val="00F47F05"/>
    <w:rsid w:val="00F875B3"/>
    <w:rsid w:val="00FA05B8"/>
    <w:rsid w:val="00FA20A1"/>
    <w:rsid w:val="00FB1AC2"/>
    <w:rsid w:val="00FB225C"/>
    <w:rsid w:val="00FB6ABF"/>
    <w:rsid w:val="00FC1D10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table" w:customStyle="1" w:styleId="Grilledutableau1">
    <w:name w:val="Grille du tableau1"/>
    <w:basedOn w:val="TableNormal"/>
    <w:next w:val="TableGrid"/>
    <w:semiHidden/>
    <w:rsid w:val="00B27134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F112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1201"/>
  </w:style>
  <w:style w:type="character" w:customStyle="1" w:styleId="CommentTextChar">
    <w:name w:val="Comment Text Char"/>
    <w:basedOn w:val="DefaultParagraphFont"/>
    <w:link w:val="CommentText"/>
    <w:rsid w:val="00F11201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201"/>
    <w:rPr>
      <w:b/>
      <w:bCs/>
      <w:lang w:eastAsia="fr-FR"/>
    </w:rPr>
  </w:style>
  <w:style w:type="paragraph" w:customStyle="1" w:styleId="N3">
    <w:name w:val="N3"/>
    <w:basedOn w:val="Normal"/>
    <w:rsid w:val="003022EE"/>
    <w:pPr>
      <w:widowControl/>
      <w:tabs>
        <w:tab w:val="left" w:pos="170"/>
      </w:tabs>
    </w:pPr>
    <w:rPr>
      <w:rFonts w:ascii="Tms Rmn" w:hAnsi="Tms Rmn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FB046CD-7078-4B9E-B6CE-C4C6C876A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18117-4AC8-4F6E-8DB9-11C1A11D92C4}"/>
</file>

<file path=customXml/itemProps3.xml><?xml version="1.0" encoding="utf-8"?>
<ds:datastoreItem xmlns:ds="http://schemas.openxmlformats.org/officeDocument/2006/customXml" ds:itemID="{54F2E9F6-3E64-4BAA-AD71-F38B15420701}"/>
</file>

<file path=customXml/itemProps4.xml><?xml version="1.0" encoding="utf-8"?>
<ds:datastoreItem xmlns:ds="http://schemas.openxmlformats.org/officeDocument/2006/customXml" ds:itemID="{2E4B041D-5183-4568-9834-F0C0C776B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1369</Words>
  <Characters>9443</Characters>
  <Application>Microsoft Office Word</Application>
  <DocSecurity>4</DocSecurity>
  <Lines>78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ND</cp:lastModifiedBy>
  <cp:revision>2</cp:revision>
  <cp:lastPrinted>2019-11-12T10:07:00Z</cp:lastPrinted>
  <dcterms:created xsi:type="dcterms:W3CDTF">2022-06-16T10:20:00Z</dcterms:created>
  <dcterms:modified xsi:type="dcterms:W3CDTF">2022-06-16T10:20:00Z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