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1413E8" w14:paraId="696F3F97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51B6D9D" w14:textId="77777777" w:rsidR="00132EA9" w:rsidRPr="00DB58B5" w:rsidRDefault="00132EA9" w:rsidP="001413E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848DBD4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262BE9" w14:textId="5B6D65F5" w:rsidR="00132EA9" w:rsidRPr="001413E8" w:rsidRDefault="001413E8" w:rsidP="001413E8">
            <w:pPr>
              <w:jc w:val="right"/>
              <w:rPr>
                <w:lang w:val="en-US"/>
              </w:rPr>
            </w:pPr>
            <w:r w:rsidRPr="001413E8">
              <w:rPr>
                <w:sz w:val="40"/>
                <w:lang w:val="en-US"/>
              </w:rPr>
              <w:t>ST</w:t>
            </w:r>
            <w:r w:rsidRPr="001413E8">
              <w:rPr>
                <w:lang w:val="en-US"/>
              </w:rPr>
              <w:t>/SG/AC.10/C.3/119/Add.1</w:t>
            </w:r>
          </w:p>
        </w:tc>
      </w:tr>
      <w:tr w:rsidR="00132EA9" w:rsidRPr="00DB58B5" w14:paraId="6BDE30EC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BE77BAA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2B995DA" wp14:editId="14B69B0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80139B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F042135" w14:textId="77777777" w:rsidR="00132EA9" w:rsidRDefault="001413E8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0B0F0BF8" w14:textId="77777777" w:rsidR="001413E8" w:rsidRDefault="001413E8" w:rsidP="001413E8">
            <w:pPr>
              <w:spacing w:line="240" w:lineRule="exact"/>
            </w:pPr>
            <w:r>
              <w:t>14 avril 2022</w:t>
            </w:r>
          </w:p>
          <w:p w14:paraId="418B8DB4" w14:textId="77777777" w:rsidR="001413E8" w:rsidRDefault="001413E8" w:rsidP="001413E8">
            <w:pPr>
              <w:spacing w:line="240" w:lineRule="exact"/>
            </w:pPr>
            <w:r>
              <w:t>Français</w:t>
            </w:r>
          </w:p>
          <w:p w14:paraId="0E7CFC0D" w14:textId="10E657FD" w:rsidR="001413E8" w:rsidRPr="00DB58B5" w:rsidRDefault="001413E8" w:rsidP="001413E8">
            <w:pPr>
              <w:spacing w:line="240" w:lineRule="exact"/>
            </w:pPr>
            <w:r>
              <w:t>Original : anglais</w:t>
            </w:r>
          </w:p>
        </w:tc>
      </w:tr>
    </w:tbl>
    <w:p w14:paraId="12027943" w14:textId="77777777" w:rsidR="001413E8" w:rsidRPr="00CA0680" w:rsidRDefault="001413E8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proofErr w:type="gramStart"/>
      <w:r w:rsidRPr="00CA0680"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03F2BBE3" w14:textId="77777777" w:rsidR="001413E8" w:rsidRPr="00CA0680" w:rsidRDefault="001413E8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14:paraId="3AA8D0DE" w14:textId="77777777" w:rsidR="00D75F9D" w:rsidRPr="00560079" w:rsidRDefault="00D75F9D" w:rsidP="00D75F9D">
      <w:pPr>
        <w:spacing w:before="120"/>
        <w:rPr>
          <w:b/>
        </w:rPr>
      </w:pPr>
      <w:r>
        <w:rPr>
          <w:b/>
          <w:bCs/>
          <w:lang w:val="fr-FR"/>
        </w:rPr>
        <w:t>Soixantième session</w:t>
      </w:r>
    </w:p>
    <w:p w14:paraId="7961A3EB" w14:textId="77777777" w:rsidR="00D75F9D" w:rsidRPr="00560079" w:rsidRDefault="00D75F9D" w:rsidP="00D75F9D">
      <w:r>
        <w:rPr>
          <w:lang w:val="fr-FR"/>
        </w:rPr>
        <w:t xml:space="preserve">Genève, 27 juin-6 juillet 2022 </w:t>
      </w:r>
    </w:p>
    <w:p w14:paraId="31DA7551" w14:textId="77777777" w:rsidR="00D75F9D" w:rsidRPr="00560079" w:rsidRDefault="00D75F9D" w:rsidP="00D75F9D">
      <w:r>
        <w:rPr>
          <w:lang w:val="fr-FR"/>
        </w:rPr>
        <w:t>Point 1 de l’ordre du jour provisoire</w:t>
      </w:r>
    </w:p>
    <w:p w14:paraId="24D38383" w14:textId="77777777" w:rsidR="00D75F9D" w:rsidRPr="00560079" w:rsidRDefault="00D75F9D" w:rsidP="00D75F9D">
      <w:pPr>
        <w:rPr>
          <w:b/>
        </w:rPr>
      </w:pPr>
      <w:r>
        <w:rPr>
          <w:b/>
          <w:bCs/>
          <w:lang w:val="fr-FR"/>
        </w:rPr>
        <w:t>Adoption de l’ordre du jour</w:t>
      </w:r>
    </w:p>
    <w:p w14:paraId="6168FF52" w14:textId="77777777" w:rsidR="00D75F9D" w:rsidRPr="00560079" w:rsidRDefault="00D75F9D" w:rsidP="00EF27B9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Ordre du jour provisoire de la soixantième session</w:t>
      </w:r>
    </w:p>
    <w:p w14:paraId="1417D89D" w14:textId="77777777" w:rsidR="00D75F9D" w:rsidRPr="00560079" w:rsidRDefault="00D75F9D" w:rsidP="00EF27B9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14:paraId="71DDC11F" w14:textId="77777777" w:rsidR="00D75F9D" w:rsidRPr="00560079" w:rsidRDefault="00D75F9D" w:rsidP="00EF27B9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Liste des documents</w:t>
      </w:r>
    </w:p>
    <w:p w14:paraId="6346A40B" w14:textId="1506A929" w:rsidR="00D75F9D" w:rsidRPr="00560079" w:rsidRDefault="00EF27B9" w:rsidP="00EF27B9">
      <w:pPr>
        <w:pStyle w:val="H1G"/>
      </w:pPr>
      <w:r>
        <w:rPr>
          <w:lang w:val="fr-FR"/>
        </w:rPr>
        <w:tab/>
      </w:r>
      <w:r w:rsidR="00D75F9D">
        <w:rPr>
          <w:lang w:val="fr-FR"/>
        </w:rPr>
        <w:t>1.</w:t>
      </w:r>
      <w:r w:rsidR="00D75F9D">
        <w:rPr>
          <w:lang w:val="fr-FR"/>
        </w:rPr>
        <w:tab/>
        <w:t>Adoption de l’ordre du jour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19"/>
        <w:gridCol w:w="4986"/>
      </w:tblGrid>
      <w:tr w:rsidR="00D75F9D" w:rsidRPr="00FA261D" w14:paraId="1DD0377F" w14:textId="77777777" w:rsidTr="00EF27B9">
        <w:tc>
          <w:tcPr>
            <w:tcW w:w="3402" w:type="dxa"/>
            <w:hideMark/>
          </w:tcPr>
          <w:p w14:paraId="2810157C" w14:textId="77777777" w:rsidR="00D75F9D" w:rsidRDefault="00D75F9D" w:rsidP="00241A6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ST/SG/AC.10/C.3/119</w:t>
            </w:r>
          </w:p>
        </w:tc>
        <w:tc>
          <w:tcPr>
            <w:tcW w:w="4821" w:type="dxa"/>
            <w:hideMark/>
          </w:tcPr>
          <w:p w14:paraId="0C150793" w14:textId="77777777" w:rsidR="00D75F9D" w:rsidRPr="00560079" w:rsidRDefault="00D75F9D" w:rsidP="00241A6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Ordre du jour provisoire de la soixantième session</w:t>
            </w:r>
          </w:p>
        </w:tc>
      </w:tr>
      <w:tr w:rsidR="00D75F9D" w:rsidRPr="00FA261D" w14:paraId="4D0D3A10" w14:textId="77777777" w:rsidTr="00EF27B9">
        <w:tc>
          <w:tcPr>
            <w:tcW w:w="3402" w:type="dxa"/>
            <w:hideMark/>
          </w:tcPr>
          <w:p w14:paraId="57EDB33D" w14:textId="77777777" w:rsidR="00D75F9D" w:rsidRPr="00D75F9D" w:rsidRDefault="00D75F9D" w:rsidP="00241A6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560079">
              <w:rPr>
                <w:lang w:val="en-US"/>
              </w:rPr>
              <w:t>ST/SG/AC.10/C.3/119/Add.1</w:t>
            </w:r>
          </w:p>
        </w:tc>
        <w:tc>
          <w:tcPr>
            <w:tcW w:w="4821" w:type="dxa"/>
            <w:hideMark/>
          </w:tcPr>
          <w:p w14:paraId="55021C87" w14:textId="77777777" w:rsidR="00D75F9D" w:rsidRPr="00560079" w:rsidRDefault="00D75F9D" w:rsidP="00241A6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Liste des documents et annotations</w:t>
            </w:r>
          </w:p>
        </w:tc>
      </w:tr>
    </w:tbl>
    <w:p w14:paraId="0F795B8C" w14:textId="77777777" w:rsidR="00D75F9D" w:rsidRDefault="00D75F9D" w:rsidP="00EF27B9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Documents de référence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19"/>
        <w:gridCol w:w="4986"/>
      </w:tblGrid>
      <w:tr w:rsidR="00D75F9D" w:rsidRPr="00FA261D" w14:paraId="3F54A6A1" w14:textId="77777777" w:rsidTr="00EF27B9">
        <w:tc>
          <w:tcPr>
            <w:tcW w:w="3402" w:type="dxa"/>
            <w:hideMark/>
          </w:tcPr>
          <w:p w14:paraId="3DB9B445" w14:textId="77777777" w:rsidR="00D75F9D" w:rsidRPr="00601CF2" w:rsidRDefault="00D75F9D" w:rsidP="00241A6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ST/SG/AC.10/1/Rev.22</w:t>
            </w:r>
          </w:p>
        </w:tc>
        <w:tc>
          <w:tcPr>
            <w:tcW w:w="4821" w:type="dxa"/>
            <w:hideMark/>
          </w:tcPr>
          <w:p w14:paraId="18458D91" w14:textId="77777777" w:rsidR="00D75F9D" w:rsidRPr="00560079" w:rsidRDefault="00D75F9D" w:rsidP="00241A64">
            <w:pPr>
              <w:spacing w:before="40" w:after="120"/>
            </w:pPr>
            <w:r>
              <w:rPr>
                <w:lang w:val="fr-FR"/>
              </w:rPr>
              <w:t>Recommandations relatives au transport des marchandises dangereuses, Règlement type, vingt-deuxième édition révisée</w:t>
            </w:r>
          </w:p>
        </w:tc>
      </w:tr>
      <w:tr w:rsidR="00D75F9D" w:rsidRPr="00FA261D" w14:paraId="3779C5F1" w14:textId="77777777" w:rsidTr="00EF27B9">
        <w:tc>
          <w:tcPr>
            <w:tcW w:w="3402" w:type="dxa"/>
            <w:hideMark/>
          </w:tcPr>
          <w:p w14:paraId="2D8935BF" w14:textId="77777777" w:rsidR="00D75F9D" w:rsidRPr="00D75F9D" w:rsidRDefault="00D75F9D" w:rsidP="00241A6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560079">
              <w:rPr>
                <w:lang w:val="en-US"/>
              </w:rPr>
              <w:t>ST/SG/AC.10/11/Rev.7 et Amend.1</w:t>
            </w:r>
          </w:p>
        </w:tc>
        <w:tc>
          <w:tcPr>
            <w:tcW w:w="4821" w:type="dxa"/>
            <w:hideMark/>
          </w:tcPr>
          <w:p w14:paraId="03DFB044" w14:textId="77777777" w:rsidR="00D75F9D" w:rsidRPr="00560079" w:rsidRDefault="00D75F9D" w:rsidP="00241A64">
            <w:pPr>
              <w:spacing w:before="40" w:after="120"/>
            </w:pPr>
            <w:r>
              <w:rPr>
                <w:lang w:val="fr-FR"/>
              </w:rPr>
              <w:t>Recommandations relatives au transport des marchandises dangereuses, Manuel d’épreuves et de critères, septième édition révisée et amendement 1</w:t>
            </w:r>
          </w:p>
        </w:tc>
      </w:tr>
      <w:tr w:rsidR="00D75F9D" w:rsidRPr="00FA261D" w14:paraId="3098C9F9" w14:textId="77777777" w:rsidTr="00EF27B9">
        <w:tc>
          <w:tcPr>
            <w:tcW w:w="3402" w:type="dxa"/>
            <w:hideMark/>
          </w:tcPr>
          <w:p w14:paraId="55AB92F4" w14:textId="77777777" w:rsidR="00D75F9D" w:rsidRPr="00601CF2" w:rsidRDefault="00D75F9D" w:rsidP="00241A6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ST/SG/AC.10/30/Rev.9</w:t>
            </w:r>
          </w:p>
        </w:tc>
        <w:tc>
          <w:tcPr>
            <w:tcW w:w="4821" w:type="dxa"/>
            <w:hideMark/>
          </w:tcPr>
          <w:p w14:paraId="323183C4" w14:textId="77777777" w:rsidR="00D75F9D" w:rsidRPr="00560079" w:rsidRDefault="00D75F9D" w:rsidP="00241A6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Système général harmonisé de classification et d’étiquetage des produits chimiques (SGH), neuvième édition révisée</w:t>
            </w:r>
          </w:p>
        </w:tc>
      </w:tr>
      <w:tr w:rsidR="00D75F9D" w:rsidRPr="00FA261D" w14:paraId="1D9D8365" w14:textId="77777777" w:rsidTr="00EF27B9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93224" w14:textId="77777777" w:rsidR="00D75F9D" w:rsidRDefault="00D75F9D" w:rsidP="00241A6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ST/SG/AC.10/C.3/118 et Add.1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5835E" w14:textId="12424503" w:rsidR="00D75F9D" w:rsidRPr="00560079" w:rsidRDefault="00D75F9D" w:rsidP="00241A6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Rapport du Sous-Comité d’experts du transport des</w:t>
            </w:r>
            <w:r w:rsidR="00A4478D">
              <w:rPr>
                <w:lang w:val="fr-FR"/>
              </w:rPr>
              <w:t> </w:t>
            </w:r>
            <w:r>
              <w:rPr>
                <w:lang w:val="fr-FR"/>
              </w:rPr>
              <w:t>marchandises dangereuses sur sa cinquante-neuvième session</w:t>
            </w:r>
          </w:p>
        </w:tc>
      </w:tr>
      <w:tr w:rsidR="00D75F9D" w:rsidRPr="00FA261D" w14:paraId="7BEE7CCE" w14:textId="77777777" w:rsidTr="00EF27B9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66FCA" w14:textId="77777777" w:rsidR="00D75F9D" w:rsidRDefault="00D75F9D" w:rsidP="00241A6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ST/SG/AC.10/C.4/82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77C4" w14:textId="77777777" w:rsidR="00D75F9D" w:rsidRPr="00560079" w:rsidRDefault="00D75F9D" w:rsidP="00241A6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Rapport du Sous-Comité d’experts du Système général harmonisé de classification et d’étiquetage des produits chimiques sur sa quarante et unième session</w:t>
            </w:r>
          </w:p>
        </w:tc>
      </w:tr>
    </w:tbl>
    <w:p w14:paraId="0736EC8A" w14:textId="122E28FF" w:rsidR="00D75F9D" w:rsidRPr="00560079" w:rsidRDefault="00FB3AD7" w:rsidP="00FB3AD7">
      <w:pPr>
        <w:pStyle w:val="H1G"/>
      </w:pPr>
      <w:r>
        <w:rPr>
          <w:lang w:val="fr-FR"/>
        </w:rPr>
        <w:lastRenderedPageBreak/>
        <w:tab/>
      </w:r>
      <w:r w:rsidR="00D75F9D">
        <w:rPr>
          <w:lang w:val="fr-FR"/>
        </w:rPr>
        <w:t>2.</w:t>
      </w:r>
      <w:r w:rsidR="00D75F9D">
        <w:rPr>
          <w:lang w:val="fr-FR"/>
        </w:rPr>
        <w:tab/>
        <w:t>Explosifs et questions connexes</w:t>
      </w:r>
    </w:p>
    <w:p w14:paraId="611D2DCB" w14:textId="0FE783B9" w:rsidR="00D75F9D" w:rsidRPr="00560079" w:rsidRDefault="00FB3AD7" w:rsidP="00FB3AD7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a)</w:t>
      </w:r>
      <w:r w:rsidR="00D75F9D">
        <w:rPr>
          <w:lang w:val="fr-FR"/>
        </w:rPr>
        <w:tab/>
        <w:t>Examen des épreuves de la série 6</w:t>
      </w:r>
    </w:p>
    <w:p w14:paraId="37729F69" w14:textId="77777777" w:rsidR="00D75F9D" w:rsidRPr="00560079" w:rsidRDefault="00D75F9D" w:rsidP="00CC5AF7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435A50BE" w14:textId="3AAB0FEE" w:rsidR="00D75F9D" w:rsidRPr="00560079" w:rsidRDefault="00C2510D" w:rsidP="00C2510D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b)</w:t>
      </w:r>
      <w:r w:rsidR="00D75F9D">
        <w:rPr>
          <w:lang w:val="fr-FR"/>
        </w:rPr>
        <w:tab/>
        <w:t>Amélioration des épreuves de la série 8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19"/>
        <w:gridCol w:w="4986"/>
      </w:tblGrid>
      <w:tr w:rsidR="00D75F9D" w:rsidRPr="00FA261D" w14:paraId="795F624A" w14:textId="77777777" w:rsidTr="00D37FD1">
        <w:tc>
          <w:tcPr>
            <w:tcW w:w="3402" w:type="dxa"/>
          </w:tcPr>
          <w:p w14:paraId="7AD85B71" w14:textId="77777777" w:rsidR="00D75F9D" w:rsidRPr="00FA261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ST/SG/AC.10/C.3/2022/18 (IME)</w:t>
            </w:r>
          </w:p>
        </w:tc>
        <w:tc>
          <w:tcPr>
            <w:tcW w:w="4820" w:type="dxa"/>
          </w:tcPr>
          <w:p w14:paraId="5938F6C2" w14:textId="5D5FAE35" w:rsidR="00D75F9D" w:rsidRPr="00560079" w:rsidRDefault="00D75F9D" w:rsidP="00241A64">
            <w:pPr>
              <w:spacing w:before="40" w:after="120"/>
            </w:pPr>
            <w:r>
              <w:rPr>
                <w:lang w:val="fr-FR"/>
              </w:rPr>
              <w:t>Recommandations relatives à la série 8</w:t>
            </w:r>
            <w:r w:rsidR="00C2510D">
              <w:rPr>
                <w:lang w:val="fr-FR"/>
              </w:rPr>
              <w:t> </w:t>
            </w:r>
            <w:r>
              <w:rPr>
                <w:lang w:val="fr-FR"/>
              </w:rPr>
              <w:t xml:space="preserve">: applicabilité </w:t>
            </w:r>
            <w:r w:rsidR="00C2510D">
              <w:rPr>
                <w:lang w:val="fr-FR"/>
              </w:rPr>
              <w:br/>
            </w:r>
            <w:r>
              <w:rPr>
                <w:lang w:val="fr-FR"/>
              </w:rPr>
              <w:t>de la série</w:t>
            </w:r>
            <w:r w:rsidR="00C2510D">
              <w:rPr>
                <w:lang w:val="fr-FR"/>
              </w:rPr>
              <w:t> </w:t>
            </w:r>
            <w:r>
              <w:rPr>
                <w:lang w:val="fr-FR"/>
              </w:rPr>
              <w:t>8</w:t>
            </w:r>
            <w:r w:rsidR="00C2510D">
              <w:rPr>
                <w:lang w:val="fr-FR"/>
              </w:rPr>
              <w:t> d</w:t>
            </w:r>
            <w:r>
              <w:rPr>
                <w:lang w:val="fr-FR"/>
              </w:rPr>
              <w:t>)</w:t>
            </w:r>
          </w:p>
        </w:tc>
      </w:tr>
    </w:tbl>
    <w:p w14:paraId="5B4AADB6" w14:textId="4F8EEDC9" w:rsidR="00D75F9D" w:rsidRPr="00560079" w:rsidRDefault="00C2510D" w:rsidP="00C2510D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c)</w:t>
      </w:r>
      <w:r w:rsidR="00D75F9D">
        <w:rPr>
          <w:lang w:val="fr-FR"/>
        </w:rPr>
        <w:tab/>
        <w:t>Révision des épreuves des parties I, II et III du Manuel d’épreuves et de critères</w:t>
      </w:r>
    </w:p>
    <w:p w14:paraId="5AF710A2" w14:textId="77777777" w:rsidR="00D75F9D" w:rsidRPr="00560079" w:rsidRDefault="00D75F9D" w:rsidP="00CC5AF7">
      <w:pPr>
        <w:pStyle w:val="SingleTxtG"/>
        <w:ind w:firstLine="567"/>
      </w:pPr>
      <w:r w:rsidRPr="00CC5AF7">
        <w:t>Aucun document n’avait été soumis au titre de ce point de l’ordre du jour au moment de la rédaction du présent document.</w:t>
      </w:r>
    </w:p>
    <w:p w14:paraId="5345F7CF" w14:textId="4E4C4386" w:rsidR="00D75F9D" w:rsidRPr="00560079" w:rsidRDefault="00C2510D" w:rsidP="00C2510D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d)</w:t>
      </w:r>
      <w:r w:rsidR="00D75F9D">
        <w:rPr>
          <w:lang w:val="fr-FR"/>
        </w:rPr>
        <w:tab/>
        <w:t>Détonateurs normalisés «</w:t>
      </w:r>
      <w:r>
        <w:rPr>
          <w:lang w:val="fr-FR"/>
        </w:rPr>
        <w:t> </w:t>
      </w:r>
      <w:r w:rsidR="00D75F9D">
        <w:rPr>
          <w:lang w:val="fr-FR"/>
        </w:rPr>
        <w:t>UN</w:t>
      </w:r>
      <w:r>
        <w:rPr>
          <w:lang w:val="fr-FR"/>
        </w:rPr>
        <w:t> </w:t>
      </w:r>
      <w:r w:rsidR="00D75F9D">
        <w:rPr>
          <w:lang w:val="fr-FR"/>
        </w:rPr>
        <w:t>»</w:t>
      </w:r>
    </w:p>
    <w:p w14:paraId="3E409BB0" w14:textId="77777777" w:rsidR="00D75F9D" w:rsidRPr="00560079" w:rsidRDefault="00D75F9D" w:rsidP="00CC5AF7">
      <w:pPr>
        <w:pStyle w:val="SingleTxtG"/>
        <w:ind w:firstLine="567"/>
      </w:pPr>
      <w:r w:rsidRPr="00CC5AF7">
        <w:t>Aucun document n’avait été soumis au titre de ce point de l’ordre du jour au moment de la rédaction du présent document.</w:t>
      </w:r>
    </w:p>
    <w:p w14:paraId="4FA18075" w14:textId="282D0938" w:rsidR="00D75F9D" w:rsidRPr="00560079" w:rsidRDefault="00C2510D" w:rsidP="00C2510D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e)</w:t>
      </w:r>
      <w:r w:rsidR="00D75F9D">
        <w:rPr>
          <w:lang w:val="fr-FR"/>
        </w:rPr>
        <w:tab/>
        <w:t>Révision des instructions d’emballage relatives aux explosifs</w:t>
      </w:r>
    </w:p>
    <w:p w14:paraId="01C9FA53" w14:textId="74B7D89A" w:rsidR="00D75F9D" w:rsidRPr="00CC5AF7" w:rsidRDefault="00D75F9D" w:rsidP="00CC5AF7">
      <w:pPr>
        <w:pStyle w:val="SingleTxtG"/>
        <w:ind w:firstLine="567"/>
      </w:pPr>
      <w:r w:rsidRPr="00CC5AF7">
        <w:t>Aucun document n’avait été soumis au titre de ce point de l’ordre du jour au moment de la rédaction du présent document.</w:t>
      </w:r>
    </w:p>
    <w:p w14:paraId="3C94F242" w14:textId="62C76E5A" w:rsidR="00D75F9D" w:rsidRPr="00560079" w:rsidRDefault="00C2510D" w:rsidP="00C2510D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f)</w:t>
      </w:r>
      <w:r w:rsidR="00D75F9D">
        <w:rPr>
          <w:lang w:val="fr-FR"/>
        </w:rPr>
        <w:tab/>
        <w:t>Échantillons énergétiques</w:t>
      </w:r>
    </w:p>
    <w:p w14:paraId="391E98FC" w14:textId="77777777" w:rsidR="00D75F9D" w:rsidRPr="00560079" w:rsidRDefault="00D75F9D" w:rsidP="00CC5AF7">
      <w:pPr>
        <w:pStyle w:val="SingleTxtG"/>
        <w:ind w:firstLine="567"/>
      </w:pPr>
      <w:r w:rsidRPr="00CC5AF7">
        <w:t>Aucun document n’avait été soumis au titre de ce point de l’ordre du jour au moment de la rédaction du présent document.</w:t>
      </w:r>
    </w:p>
    <w:p w14:paraId="65DFBF35" w14:textId="17E157B4" w:rsidR="00D75F9D" w:rsidRPr="00560079" w:rsidRDefault="00C2510D" w:rsidP="00C2510D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g)</w:t>
      </w:r>
      <w:r w:rsidR="00D75F9D">
        <w:rPr>
          <w:lang w:val="fr-FR"/>
        </w:rPr>
        <w:tab/>
        <w:t>Questions liées à la définition des explosifs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19"/>
        <w:gridCol w:w="4986"/>
      </w:tblGrid>
      <w:tr w:rsidR="00D75F9D" w:rsidRPr="00FA261D" w14:paraId="669E0283" w14:textId="77777777" w:rsidTr="00D37FD1">
        <w:tc>
          <w:tcPr>
            <w:tcW w:w="3402" w:type="dxa"/>
          </w:tcPr>
          <w:p w14:paraId="53B72EEB" w14:textId="59730082" w:rsidR="00D75F9D" w:rsidRPr="00D75F9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 xml:space="preserve">ST/SG/AC.10/C.3/2022/36 </w:t>
            </w:r>
            <w:r w:rsidR="00D37FD1">
              <w:rPr>
                <w:lang w:val="en-US"/>
              </w:rPr>
              <w:br/>
            </w:r>
            <w:r w:rsidRPr="00560079">
              <w:rPr>
                <w:lang w:val="en-US"/>
              </w:rPr>
              <w:t>(COSTHA, SAAMI)</w:t>
            </w:r>
          </w:p>
        </w:tc>
        <w:tc>
          <w:tcPr>
            <w:tcW w:w="4820" w:type="dxa"/>
          </w:tcPr>
          <w:p w14:paraId="358FBEF8" w14:textId="65EDB0E1" w:rsidR="00D75F9D" w:rsidRPr="00560079" w:rsidRDefault="00D75F9D" w:rsidP="00241A64">
            <w:pPr>
              <w:spacing w:before="40" w:after="120"/>
            </w:pPr>
            <w:r>
              <w:rPr>
                <w:lang w:val="fr-FR"/>
              </w:rPr>
              <w:t>Exclure de la classe</w:t>
            </w:r>
            <w:r w:rsidR="00D37FD1">
              <w:rPr>
                <w:lang w:val="fr-FR"/>
              </w:rPr>
              <w:t> </w:t>
            </w:r>
            <w:r>
              <w:rPr>
                <w:lang w:val="fr-FR"/>
              </w:rPr>
              <w:t>1 les objets contenant des matières énergétiques qui présentent un risque très faible</w:t>
            </w:r>
          </w:p>
        </w:tc>
      </w:tr>
    </w:tbl>
    <w:p w14:paraId="56D3544C" w14:textId="151E3797" w:rsidR="00D75F9D" w:rsidRPr="00560079" w:rsidRDefault="00D75F9D" w:rsidP="00D75F9D">
      <w:pPr>
        <w:pStyle w:val="H23G"/>
        <w:keepNext w:val="0"/>
        <w:keepLines w:val="0"/>
        <w:ind w:hanging="459"/>
      </w:pPr>
      <w:r>
        <w:rPr>
          <w:bCs/>
          <w:lang w:val="fr-FR"/>
        </w:rPr>
        <w:t>h)</w:t>
      </w:r>
      <w:r>
        <w:rPr>
          <w:lang w:val="fr-FR"/>
        </w:rPr>
        <w:tab/>
      </w:r>
      <w:r>
        <w:rPr>
          <w:bCs/>
          <w:lang w:val="fr-FR"/>
        </w:rPr>
        <w:t xml:space="preserve">Examen des prescriptions en matière d’emballage et de transport des émulsions </w:t>
      </w:r>
      <w:r w:rsidR="00E512B0">
        <w:rPr>
          <w:bCs/>
          <w:lang w:val="fr-FR"/>
        </w:rPr>
        <w:br/>
      </w:r>
      <w:r>
        <w:rPr>
          <w:bCs/>
          <w:lang w:val="fr-FR"/>
        </w:rPr>
        <w:t>de nitrate d’ammonium</w:t>
      </w:r>
    </w:p>
    <w:p w14:paraId="0455D95B" w14:textId="77777777" w:rsidR="00D75F9D" w:rsidRPr="00560079" w:rsidRDefault="00D75F9D" w:rsidP="00E512B0">
      <w:pPr>
        <w:pStyle w:val="SingleTxtG"/>
        <w:ind w:firstLine="567"/>
      </w:pPr>
      <w:r>
        <w:rPr>
          <w:lang w:val="fr-FR"/>
        </w:rPr>
        <w:t xml:space="preserve">Aucun document n’avait été soumis au titre de ce point de l’ordre du jour au moment de la rédaction du présent document. </w:t>
      </w:r>
    </w:p>
    <w:p w14:paraId="6C802131" w14:textId="563ECE91" w:rsidR="00D75F9D" w:rsidRDefault="00E512B0" w:rsidP="00E512B0">
      <w:pPr>
        <w:pStyle w:val="H23G"/>
      </w:pPr>
      <w:r>
        <w:tab/>
      </w:r>
      <w:r w:rsidR="00D75F9D">
        <w:t>i)</w:t>
      </w:r>
      <w:r w:rsidR="00D75F9D">
        <w:tab/>
      </w:r>
      <w:r w:rsidR="00D75F9D">
        <w:rPr>
          <w:lang w:val="fr-FR"/>
        </w:rPr>
        <w:t>Autres questions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19"/>
        <w:gridCol w:w="4986"/>
      </w:tblGrid>
      <w:tr w:rsidR="00D75F9D" w:rsidRPr="00FA261D" w14:paraId="1D78E14C" w14:textId="77777777" w:rsidTr="00E512B0">
        <w:tc>
          <w:tcPr>
            <w:tcW w:w="3402" w:type="dxa"/>
          </w:tcPr>
          <w:p w14:paraId="0A864A4B" w14:textId="77777777" w:rsidR="00D75F9D" w:rsidRPr="00D75F9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ST/SG/AC.10/C.3/2022/9 (</w:t>
            </w:r>
            <w:proofErr w:type="spellStart"/>
            <w:r w:rsidRPr="00560079">
              <w:rPr>
                <w:lang w:val="en-US"/>
              </w:rPr>
              <w:t>Cefic</w:t>
            </w:r>
            <w:proofErr w:type="spellEnd"/>
            <w:r w:rsidRPr="00560079">
              <w:rPr>
                <w:lang w:val="en-US"/>
              </w:rPr>
              <w:t>)</w:t>
            </w:r>
          </w:p>
        </w:tc>
        <w:tc>
          <w:tcPr>
            <w:tcW w:w="4820" w:type="dxa"/>
          </w:tcPr>
          <w:p w14:paraId="5CDCCB87" w14:textId="55679364" w:rsidR="00D75F9D" w:rsidRPr="00560079" w:rsidRDefault="00D75F9D" w:rsidP="00241A64">
            <w:pPr>
              <w:spacing w:before="40" w:after="120"/>
            </w:pPr>
            <w:r>
              <w:rPr>
                <w:lang w:val="fr-FR"/>
              </w:rPr>
              <w:t>Ajout d’une nouvelle rubrique pour le 5</w:t>
            </w:r>
            <w:r w:rsidR="00E512B0">
              <w:rPr>
                <w:lang w:val="fr-FR"/>
              </w:rPr>
              <w:noBreakHyphen/>
            </w:r>
            <w:r>
              <w:rPr>
                <w:lang w:val="fr-FR"/>
              </w:rPr>
              <w:t>trifluorométhyltétrazole, sel de sodium (TFMT</w:t>
            </w:r>
            <w:r w:rsidR="00E512B0">
              <w:rPr>
                <w:lang w:val="fr-FR"/>
              </w:rPr>
              <w:noBreakHyphen/>
            </w:r>
            <w:r>
              <w:rPr>
                <w:lang w:val="fr-FR"/>
              </w:rPr>
              <w:t>Na) dans</w:t>
            </w:r>
            <w:r w:rsidR="00B8606B">
              <w:rPr>
                <w:lang w:val="fr-FR"/>
              </w:rPr>
              <w:t xml:space="preserve"> </w:t>
            </w:r>
            <w:r>
              <w:rPr>
                <w:lang w:val="fr-FR"/>
              </w:rPr>
              <w:t>l’acétone, comme matière explosible désensibilisée, dans la</w:t>
            </w:r>
            <w:r w:rsidR="00B8606B">
              <w:rPr>
                <w:lang w:val="fr-FR"/>
              </w:rPr>
              <w:t> </w:t>
            </w:r>
            <w:r>
              <w:rPr>
                <w:lang w:val="fr-FR"/>
              </w:rPr>
              <w:t>liste des marchandises dangereuses du Règlement type</w:t>
            </w:r>
          </w:p>
        </w:tc>
      </w:tr>
      <w:tr w:rsidR="00D75F9D" w:rsidRPr="00FA261D" w14:paraId="58B4034F" w14:textId="77777777" w:rsidTr="00E512B0">
        <w:tc>
          <w:tcPr>
            <w:tcW w:w="3402" w:type="dxa"/>
          </w:tcPr>
          <w:p w14:paraId="4167DFA0" w14:textId="77777777" w:rsidR="00D75F9D" w:rsidRPr="00D75F9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ST/SG/AC.10/C.3/2022/10 (</w:t>
            </w:r>
            <w:proofErr w:type="spellStart"/>
            <w:r w:rsidRPr="00560079">
              <w:rPr>
                <w:lang w:val="en-US"/>
              </w:rPr>
              <w:t>Cefic</w:t>
            </w:r>
            <w:proofErr w:type="spellEnd"/>
            <w:r w:rsidRPr="00560079">
              <w:rPr>
                <w:lang w:val="en-US"/>
              </w:rPr>
              <w:t>)</w:t>
            </w:r>
          </w:p>
        </w:tc>
        <w:tc>
          <w:tcPr>
            <w:tcW w:w="4820" w:type="dxa"/>
          </w:tcPr>
          <w:p w14:paraId="48FACDBF" w14:textId="77777777" w:rsidR="00D75F9D" w:rsidRPr="00560079" w:rsidRDefault="00D75F9D" w:rsidP="00241A64">
            <w:pPr>
              <w:spacing w:before="40" w:after="120"/>
            </w:pPr>
            <w:r w:rsidRPr="002E6058">
              <w:rPr>
                <w:lang w:val="fr-FR"/>
              </w:rPr>
              <w:t>Classement des membranes filtrantes en nitrocellulose servant aux fins de diagnostic et d</w:t>
            </w:r>
            <w:r>
              <w:rPr>
                <w:lang w:val="fr-FR"/>
              </w:rPr>
              <w:t>’</w:t>
            </w:r>
            <w:r w:rsidRPr="002E6058">
              <w:rPr>
                <w:lang w:val="fr-FR"/>
              </w:rPr>
              <w:t>autres applications en sciences de la vie</w:t>
            </w:r>
          </w:p>
        </w:tc>
      </w:tr>
    </w:tbl>
    <w:p w14:paraId="0CEFCF42" w14:textId="014DAF43" w:rsidR="00D75F9D" w:rsidRDefault="00DE239D" w:rsidP="0026547C">
      <w:pPr>
        <w:pStyle w:val="H1G"/>
        <w:spacing w:before="320"/>
      </w:pPr>
      <w:r>
        <w:rPr>
          <w:lang w:val="fr-FR"/>
        </w:rPr>
        <w:tab/>
      </w:r>
      <w:r w:rsidR="00D75F9D">
        <w:rPr>
          <w:lang w:val="fr-FR"/>
        </w:rPr>
        <w:t>3.</w:t>
      </w:r>
      <w:r w:rsidR="00D75F9D">
        <w:rPr>
          <w:lang w:val="fr-FR"/>
        </w:rPr>
        <w:tab/>
        <w:t>Inscription, classement et emballage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19"/>
        <w:gridCol w:w="4986"/>
      </w:tblGrid>
      <w:tr w:rsidR="00D75F9D" w:rsidRPr="00FA261D" w14:paraId="2D32362F" w14:textId="77777777" w:rsidTr="00DE239D">
        <w:tc>
          <w:tcPr>
            <w:tcW w:w="3402" w:type="dxa"/>
          </w:tcPr>
          <w:p w14:paraId="66EEDD7B" w14:textId="77777777" w:rsidR="00D75F9D" w:rsidRPr="00D75F9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ST/SG/AC.10/C.3/2022/1 (Canada)</w:t>
            </w:r>
          </w:p>
        </w:tc>
        <w:tc>
          <w:tcPr>
            <w:tcW w:w="4820" w:type="dxa"/>
          </w:tcPr>
          <w:p w14:paraId="74B3B4F6" w14:textId="45BA7707" w:rsidR="00D75F9D" w:rsidRPr="00560079" w:rsidRDefault="00D75F9D" w:rsidP="00241A64">
            <w:pPr>
              <w:spacing w:before="40" w:after="120"/>
            </w:pPr>
            <w:r>
              <w:rPr>
                <w:lang w:val="fr-FR"/>
              </w:rPr>
              <w:t xml:space="preserve">Corrections mineures aux désignations officielles de transport pour les </w:t>
            </w:r>
            <w:r w:rsidR="0026547C">
              <w:rPr>
                <w:lang w:val="fr-FR"/>
              </w:rPr>
              <w:t>Nos </w:t>
            </w:r>
            <w:r>
              <w:rPr>
                <w:lang w:val="fr-FR"/>
              </w:rPr>
              <w:t>ONU 0511, 0512 et 0513</w:t>
            </w:r>
          </w:p>
        </w:tc>
      </w:tr>
      <w:tr w:rsidR="00D75F9D" w:rsidRPr="00FA261D" w14:paraId="57AF5EAC" w14:textId="77777777" w:rsidTr="00DE239D">
        <w:tc>
          <w:tcPr>
            <w:tcW w:w="3402" w:type="dxa"/>
          </w:tcPr>
          <w:p w14:paraId="7A556371" w14:textId="5328628B" w:rsidR="00D75F9D" w:rsidRPr="00560079" w:rsidRDefault="00D75F9D" w:rsidP="00241A64">
            <w:pPr>
              <w:spacing w:before="40" w:after="120"/>
            </w:pPr>
            <w:r>
              <w:rPr>
                <w:lang w:val="fr-FR"/>
              </w:rPr>
              <w:t xml:space="preserve">ST/SG/AC.10/C.3/2022/2 </w:t>
            </w:r>
            <w:r w:rsidR="0026547C">
              <w:rPr>
                <w:lang w:val="fr-FR"/>
              </w:rPr>
              <w:br/>
            </w:r>
            <w:r>
              <w:rPr>
                <w:lang w:val="fr-FR"/>
              </w:rPr>
              <w:t xml:space="preserve">(Brésil, </w:t>
            </w:r>
            <w:r w:rsidR="0026547C">
              <w:rPr>
                <w:lang w:val="fr-FR"/>
              </w:rPr>
              <w:t xml:space="preserve">Espagne et </w:t>
            </w:r>
            <w:r>
              <w:rPr>
                <w:lang w:val="fr-FR"/>
              </w:rPr>
              <w:t>Mexique)</w:t>
            </w:r>
          </w:p>
        </w:tc>
        <w:tc>
          <w:tcPr>
            <w:tcW w:w="4820" w:type="dxa"/>
          </w:tcPr>
          <w:p w14:paraId="38D4D2FF" w14:textId="7CBB93D2" w:rsidR="00D75F9D" w:rsidRPr="00560079" w:rsidRDefault="00D75F9D" w:rsidP="00241A64">
            <w:pPr>
              <w:spacing w:before="40" w:after="120"/>
            </w:pPr>
            <w:r>
              <w:rPr>
                <w:lang w:val="fr-FR"/>
              </w:rPr>
              <w:t>Harmonisation de la traduction de «</w:t>
            </w:r>
            <w:r w:rsidR="0026547C">
              <w:rPr>
                <w:lang w:val="fr-FR"/>
              </w:rPr>
              <w:t> </w:t>
            </w:r>
            <w:r>
              <w:rPr>
                <w:lang w:val="fr-FR"/>
              </w:rPr>
              <w:t xml:space="preserve">base </w:t>
            </w:r>
            <w:proofErr w:type="spellStart"/>
            <w:r>
              <w:rPr>
                <w:lang w:val="fr-FR"/>
              </w:rPr>
              <w:t>material</w:t>
            </w:r>
            <w:proofErr w:type="spellEnd"/>
            <w:r w:rsidR="0026547C">
              <w:rPr>
                <w:lang w:val="fr-FR"/>
              </w:rPr>
              <w:t> </w:t>
            </w:r>
            <w:r>
              <w:rPr>
                <w:lang w:val="fr-FR"/>
              </w:rPr>
              <w:t>» dans la version espagnole</w:t>
            </w:r>
          </w:p>
        </w:tc>
      </w:tr>
      <w:tr w:rsidR="00D75F9D" w:rsidRPr="00FA261D" w14:paraId="0E88DB6B" w14:textId="77777777" w:rsidTr="00DE239D">
        <w:tc>
          <w:tcPr>
            <w:tcW w:w="3402" w:type="dxa"/>
          </w:tcPr>
          <w:p w14:paraId="7DCFC4BF" w14:textId="77777777" w:rsidR="00D75F9D" w:rsidRPr="00FA261D" w:rsidRDefault="00D75F9D" w:rsidP="00241A64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ST/SG/AC.10/C.3/2022/13 (Espagne)</w:t>
            </w:r>
          </w:p>
        </w:tc>
        <w:tc>
          <w:tcPr>
            <w:tcW w:w="4820" w:type="dxa"/>
          </w:tcPr>
          <w:p w14:paraId="26BBD28B" w14:textId="77777777" w:rsidR="00D75F9D" w:rsidRPr="00560079" w:rsidRDefault="00D75F9D" w:rsidP="00241A64">
            <w:pPr>
              <w:spacing w:before="40" w:after="120"/>
            </w:pPr>
            <w:r w:rsidRPr="0026547C">
              <w:t>Activité spécifique et activité massique</w:t>
            </w:r>
          </w:p>
        </w:tc>
      </w:tr>
      <w:tr w:rsidR="00D75F9D" w:rsidRPr="00FA261D" w14:paraId="5EAE5703" w14:textId="77777777" w:rsidTr="00DE239D">
        <w:tc>
          <w:tcPr>
            <w:tcW w:w="3402" w:type="dxa"/>
          </w:tcPr>
          <w:p w14:paraId="33563ED6" w14:textId="018E3F6B" w:rsidR="00D75F9D" w:rsidRPr="00560079" w:rsidRDefault="00D75F9D" w:rsidP="00241A64">
            <w:pPr>
              <w:spacing w:before="40" w:after="120"/>
            </w:pPr>
            <w:r>
              <w:rPr>
                <w:lang w:val="fr-FR"/>
              </w:rPr>
              <w:t xml:space="preserve">ST/SG/AC.10/C.3/2022/17 </w:t>
            </w:r>
            <w:r w:rsidR="00B8606B">
              <w:rPr>
                <w:lang w:val="fr-FR"/>
              </w:rPr>
              <w:br/>
            </w:r>
            <w:r>
              <w:rPr>
                <w:lang w:val="fr-FR"/>
              </w:rPr>
              <w:t>(Allemagne, Espagne)</w:t>
            </w:r>
          </w:p>
        </w:tc>
        <w:tc>
          <w:tcPr>
            <w:tcW w:w="4820" w:type="dxa"/>
          </w:tcPr>
          <w:p w14:paraId="0EB55C9B" w14:textId="77777777" w:rsidR="00D75F9D" w:rsidRPr="00560079" w:rsidRDefault="00D75F9D" w:rsidP="00241A64">
            <w:pPr>
              <w:spacing w:before="40" w:after="120"/>
            </w:pPr>
            <w:r w:rsidRPr="0026547C">
              <w:t>Affectation des objets aux groupes d’emballage</w:t>
            </w:r>
          </w:p>
        </w:tc>
      </w:tr>
      <w:tr w:rsidR="00D75F9D" w:rsidRPr="00FA261D" w14:paraId="585D6D06" w14:textId="77777777" w:rsidTr="00DE239D">
        <w:tc>
          <w:tcPr>
            <w:tcW w:w="3402" w:type="dxa"/>
          </w:tcPr>
          <w:p w14:paraId="614CEA7A" w14:textId="77777777" w:rsidR="00D75F9D" w:rsidRPr="00D75F9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ST/SG/AC.10/C.3/2022/19 (CGA, EIGA)</w:t>
            </w:r>
          </w:p>
        </w:tc>
        <w:tc>
          <w:tcPr>
            <w:tcW w:w="4820" w:type="dxa"/>
          </w:tcPr>
          <w:p w14:paraId="5ECC22BC" w14:textId="77777777" w:rsidR="00D75F9D" w:rsidRPr="00560079" w:rsidRDefault="00D75F9D" w:rsidP="00241A64">
            <w:pPr>
              <w:spacing w:before="40" w:after="120"/>
            </w:pPr>
            <w:r w:rsidRPr="0026547C">
              <w:t xml:space="preserve">Proposition d’ajout d’un numéro ONU pour le </w:t>
            </w:r>
            <w:proofErr w:type="spellStart"/>
            <w:r w:rsidRPr="0026547C">
              <w:t>disilane</w:t>
            </w:r>
            <w:proofErr w:type="spellEnd"/>
          </w:p>
        </w:tc>
      </w:tr>
      <w:tr w:rsidR="00D75F9D" w:rsidRPr="00FA261D" w14:paraId="1B3A572A" w14:textId="77777777" w:rsidTr="00DE239D">
        <w:tc>
          <w:tcPr>
            <w:tcW w:w="3402" w:type="dxa"/>
          </w:tcPr>
          <w:p w14:paraId="132C5A25" w14:textId="77777777" w:rsidR="00D75F9D" w:rsidRPr="00D75F9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</w:t>
            </w:r>
            <w:r>
              <w:rPr>
                <w:lang w:val="en-US"/>
              </w:rPr>
              <w:t>2</w:t>
            </w:r>
            <w:r w:rsidRPr="00560079">
              <w:rPr>
                <w:lang w:val="en-US"/>
              </w:rPr>
              <w:t>/22 (WCC)</w:t>
            </w:r>
          </w:p>
        </w:tc>
        <w:tc>
          <w:tcPr>
            <w:tcW w:w="4820" w:type="dxa"/>
          </w:tcPr>
          <w:p w14:paraId="278B048D" w14:textId="28ADFD78" w:rsidR="00D75F9D" w:rsidRPr="00560079" w:rsidRDefault="00D75F9D" w:rsidP="00241A64">
            <w:pPr>
              <w:spacing w:before="40" w:after="120"/>
            </w:pPr>
            <w:r w:rsidRPr="0026547C">
              <w:t>Dispositions relatives au transport de petites quantités de</w:t>
            </w:r>
            <w:r w:rsidR="00B132D7">
              <w:t> </w:t>
            </w:r>
            <w:r w:rsidRPr="0026547C">
              <w:t>peintures et d’encres d’imprimerie dangereuses pour l’environnement (et matières apparentées)</w:t>
            </w:r>
          </w:p>
        </w:tc>
      </w:tr>
      <w:tr w:rsidR="00D75F9D" w:rsidRPr="00FA261D" w14:paraId="332DF63B" w14:textId="77777777" w:rsidTr="00DE239D">
        <w:tc>
          <w:tcPr>
            <w:tcW w:w="3402" w:type="dxa"/>
          </w:tcPr>
          <w:p w14:paraId="282E93BE" w14:textId="77777777" w:rsidR="00D75F9D" w:rsidRPr="00560079" w:rsidRDefault="00D75F9D" w:rsidP="00241A64">
            <w:pPr>
              <w:spacing w:before="40" w:after="120"/>
            </w:pPr>
            <w:r>
              <w:rPr>
                <w:lang w:val="fr-FR"/>
              </w:rPr>
              <w:t>ST/SG/AC.10/C.3/2022/24 (Pays-Bas)</w:t>
            </w:r>
          </w:p>
        </w:tc>
        <w:tc>
          <w:tcPr>
            <w:tcW w:w="4820" w:type="dxa"/>
          </w:tcPr>
          <w:p w14:paraId="1DE69D51" w14:textId="77777777" w:rsidR="00D75F9D" w:rsidRPr="00560079" w:rsidRDefault="00D75F9D" w:rsidP="00241A64">
            <w:pPr>
              <w:spacing w:before="40" w:after="120"/>
            </w:pPr>
            <w:r w:rsidRPr="0026547C">
              <w:t xml:space="preserve">Révision du classement de l’hydroxyde de </w:t>
            </w:r>
            <w:proofErr w:type="spellStart"/>
            <w:r w:rsidRPr="0026547C">
              <w:t>tétraméthylammonium</w:t>
            </w:r>
            <w:proofErr w:type="spellEnd"/>
          </w:p>
        </w:tc>
      </w:tr>
      <w:tr w:rsidR="00D75F9D" w:rsidRPr="00FA261D" w14:paraId="63396F89" w14:textId="77777777" w:rsidTr="00DE239D">
        <w:tc>
          <w:tcPr>
            <w:tcW w:w="3402" w:type="dxa"/>
          </w:tcPr>
          <w:p w14:paraId="054C0C0E" w14:textId="77777777" w:rsidR="00D75F9D" w:rsidRPr="00D75F9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ST/SG/AC.10/C.3/2022/25 (COSTHA)</w:t>
            </w:r>
          </w:p>
        </w:tc>
        <w:tc>
          <w:tcPr>
            <w:tcW w:w="4820" w:type="dxa"/>
          </w:tcPr>
          <w:p w14:paraId="517727A9" w14:textId="77777777" w:rsidR="00D75F9D" w:rsidRPr="00560079" w:rsidRDefault="00D75F9D" w:rsidP="00241A64">
            <w:pPr>
              <w:spacing w:before="40" w:after="120"/>
            </w:pPr>
            <w:r w:rsidRPr="0026547C">
              <w:t>Dispositifs d’extinction de feu contenant une matière pyrotechnique</w:t>
            </w:r>
          </w:p>
        </w:tc>
      </w:tr>
      <w:tr w:rsidR="00D75F9D" w:rsidRPr="00FA261D" w14:paraId="1E6443D6" w14:textId="77777777" w:rsidTr="00DE239D">
        <w:tc>
          <w:tcPr>
            <w:tcW w:w="3402" w:type="dxa"/>
          </w:tcPr>
          <w:p w14:paraId="2D78BF40" w14:textId="77777777" w:rsidR="00D75F9D" w:rsidRPr="00D75F9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ST/SG/AC.10/C.3/2022/40 (Chine)</w:t>
            </w:r>
          </w:p>
        </w:tc>
        <w:tc>
          <w:tcPr>
            <w:tcW w:w="4820" w:type="dxa"/>
          </w:tcPr>
          <w:p w14:paraId="0C4DC3FC" w14:textId="766B1A0B" w:rsidR="00D75F9D" w:rsidRPr="00560079" w:rsidRDefault="00D75F9D" w:rsidP="00241A64">
            <w:pPr>
              <w:spacing w:before="40" w:after="120"/>
            </w:pPr>
            <w:r w:rsidRPr="0026547C">
              <w:t>Nouvelles dispositions spéciales et dispositions spéciales d’emballage du No</w:t>
            </w:r>
            <w:r w:rsidR="00B132D7">
              <w:t> </w:t>
            </w:r>
            <w:r w:rsidRPr="0026547C">
              <w:t>ONU 2029</w:t>
            </w:r>
          </w:p>
        </w:tc>
      </w:tr>
      <w:tr w:rsidR="00D75F9D" w:rsidRPr="00FA261D" w14:paraId="217ED625" w14:textId="77777777" w:rsidTr="00DE239D">
        <w:tc>
          <w:tcPr>
            <w:tcW w:w="3402" w:type="dxa"/>
          </w:tcPr>
          <w:p w14:paraId="078B1F72" w14:textId="77777777" w:rsidR="00D75F9D" w:rsidRPr="00D75F9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ST/SG/AC.10/C.3/2022/41 (Chine)</w:t>
            </w:r>
          </w:p>
        </w:tc>
        <w:tc>
          <w:tcPr>
            <w:tcW w:w="4820" w:type="dxa"/>
          </w:tcPr>
          <w:p w14:paraId="7F41FC73" w14:textId="77777777" w:rsidR="00D75F9D" w:rsidRPr="00560079" w:rsidRDefault="00D75F9D" w:rsidP="00241A64">
            <w:pPr>
              <w:spacing w:before="40" w:after="120"/>
            </w:pPr>
            <w:r w:rsidRPr="0026547C">
              <w:t>Proposition additionnelle pour le document ST/SG/AC.10/C.3/2021/52</w:t>
            </w:r>
          </w:p>
        </w:tc>
      </w:tr>
      <w:tr w:rsidR="00D75F9D" w:rsidRPr="00FA261D" w14:paraId="111B71D4" w14:textId="77777777" w:rsidTr="00DE239D">
        <w:tc>
          <w:tcPr>
            <w:tcW w:w="3402" w:type="dxa"/>
          </w:tcPr>
          <w:p w14:paraId="19EA016A" w14:textId="77777777" w:rsidR="00D75F9D" w:rsidRPr="00D75F9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ST/SG/AC.10/C.3/2022/43 (Chine)</w:t>
            </w:r>
          </w:p>
        </w:tc>
        <w:tc>
          <w:tcPr>
            <w:tcW w:w="4820" w:type="dxa"/>
          </w:tcPr>
          <w:p w14:paraId="41450D49" w14:textId="68D40C54" w:rsidR="00D75F9D" w:rsidRPr="00560079" w:rsidRDefault="00D75F9D" w:rsidP="00241A64">
            <w:pPr>
              <w:spacing w:before="40" w:after="120"/>
            </w:pPr>
            <w:r w:rsidRPr="0026547C">
              <w:t>Nouvelle rubrique ONU pour le N</w:t>
            </w:r>
            <w:r w:rsidR="008105EC">
              <w:noBreakHyphen/>
            </w:r>
            <w:proofErr w:type="spellStart"/>
            <w:r w:rsidRPr="0026547C">
              <w:t>Nitroaminoimidazoline</w:t>
            </w:r>
            <w:proofErr w:type="spellEnd"/>
          </w:p>
        </w:tc>
      </w:tr>
      <w:tr w:rsidR="00D75F9D" w:rsidRPr="00FA261D" w14:paraId="3B695CF3" w14:textId="77777777" w:rsidTr="00DE239D">
        <w:tc>
          <w:tcPr>
            <w:tcW w:w="3402" w:type="dxa"/>
          </w:tcPr>
          <w:p w14:paraId="64EA905B" w14:textId="77777777" w:rsidR="00D75F9D" w:rsidRPr="00D75F9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ST/SG/AC.10/C.3/2022/44 (Chine)</w:t>
            </w:r>
          </w:p>
        </w:tc>
        <w:tc>
          <w:tcPr>
            <w:tcW w:w="4820" w:type="dxa"/>
          </w:tcPr>
          <w:p w14:paraId="15B0D1B2" w14:textId="77777777" w:rsidR="00D75F9D" w:rsidRPr="00560079" w:rsidRDefault="00D75F9D" w:rsidP="00241A64">
            <w:pPr>
              <w:spacing w:before="40" w:after="120"/>
            </w:pPr>
            <w:r w:rsidRPr="0026547C">
              <w:t>Proposition d’exemption des objets manufacturés contenant de petites quantités de gallium (version actualisée du document ST/SG/AC.10/C.3/2021/53)</w:t>
            </w:r>
          </w:p>
        </w:tc>
      </w:tr>
    </w:tbl>
    <w:p w14:paraId="541FB476" w14:textId="29E9D712" w:rsidR="00D75F9D" w:rsidRPr="00560079" w:rsidRDefault="008105EC" w:rsidP="008105EC">
      <w:pPr>
        <w:pStyle w:val="H1G"/>
      </w:pPr>
      <w:r>
        <w:rPr>
          <w:lang w:val="fr-FR"/>
        </w:rPr>
        <w:tab/>
      </w:r>
      <w:r w:rsidR="00D75F9D">
        <w:rPr>
          <w:lang w:val="fr-FR"/>
        </w:rPr>
        <w:t>4.</w:t>
      </w:r>
      <w:r w:rsidR="00D75F9D">
        <w:rPr>
          <w:lang w:val="fr-FR"/>
        </w:rPr>
        <w:tab/>
        <w:t>Systèmes de stockage de l’électricité</w:t>
      </w:r>
    </w:p>
    <w:p w14:paraId="5F5AF911" w14:textId="0AEC9E3E" w:rsidR="00D75F9D" w:rsidRPr="00560079" w:rsidRDefault="008105EC" w:rsidP="008105EC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a)</w:t>
      </w:r>
      <w:r w:rsidR="00D75F9D">
        <w:rPr>
          <w:lang w:val="fr-FR"/>
        </w:rPr>
        <w:tab/>
        <w:t>Épreuves pour les batteries au lithium</w:t>
      </w:r>
    </w:p>
    <w:p w14:paraId="4011F816" w14:textId="77777777" w:rsidR="00D75F9D" w:rsidRPr="00560079" w:rsidRDefault="00D75F9D" w:rsidP="00244ED9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0C6747F3" w14:textId="14C885C9" w:rsidR="00D75F9D" w:rsidRPr="00560079" w:rsidRDefault="00241A64" w:rsidP="00241A64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b)</w:t>
      </w:r>
      <w:r w:rsidR="00D75F9D">
        <w:rPr>
          <w:lang w:val="fr-FR"/>
        </w:rPr>
        <w:tab/>
        <w:t>Système de classification des batteries au lithium en fonction du danger</w:t>
      </w:r>
    </w:p>
    <w:p w14:paraId="713FF497" w14:textId="77777777" w:rsidR="00D75F9D" w:rsidRPr="00560079" w:rsidRDefault="00D75F9D" w:rsidP="00244ED9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3D97315A" w14:textId="6BC1225E" w:rsidR="00D75F9D" w:rsidRDefault="00241A64" w:rsidP="00241A64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c)</w:t>
      </w:r>
      <w:r w:rsidR="00D75F9D">
        <w:rPr>
          <w:lang w:val="fr-FR"/>
        </w:rPr>
        <w:tab/>
        <w:t>Dispositions relatives au transport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19"/>
        <w:gridCol w:w="4986"/>
      </w:tblGrid>
      <w:tr w:rsidR="00D75F9D" w:rsidRPr="00FA261D" w14:paraId="740BE7B6" w14:textId="77777777" w:rsidTr="00241A64">
        <w:tc>
          <w:tcPr>
            <w:tcW w:w="3402" w:type="dxa"/>
          </w:tcPr>
          <w:p w14:paraId="6C4D2422" w14:textId="77777777" w:rsidR="00D75F9D" w:rsidRPr="00D75F9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ST/SG/AC.10/C.3/2022/20 (IATA)</w:t>
            </w:r>
          </w:p>
        </w:tc>
        <w:tc>
          <w:tcPr>
            <w:tcW w:w="4820" w:type="dxa"/>
          </w:tcPr>
          <w:p w14:paraId="66700F68" w14:textId="77777777" w:rsidR="00D75F9D" w:rsidRPr="00560079" w:rsidRDefault="00D75F9D" w:rsidP="00241A64">
            <w:pPr>
              <w:spacing w:before="40" w:after="120"/>
            </w:pPr>
            <w:r>
              <w:rPr>
                <w:lang w:val="fr-FR"/>
              </w:rPr>
              <w:t>Applicabilité de la « mise à disposition » du procès-verbal d’épreuve pour les piles au lithium</w:t>
            </w:r>
          </w:p>
        </w:tc>
      </w:tr>
      <w:tr w:rsidR="00D75F9D" w:rsidRPr="00FA261D" w14:paraId="00CCEE3D" w14:textId="77777777" w:rsidTr="00241A64">
        <w:tc>
          <w:tcPr>
            <w:tcW w:w="3402" w:type="dxa"/>
          </w:tcPr>
          <w:p w14:paraId="07C536A5" w14:textId="3E8E76D7" w:rsidR="00D75F9D" w:rsidRPr="00D75F9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 xml:space="preserve">ST/SG/AC.10/C.3/2022/30 (Belgique) </w:t>
            </w:r>
            <w:r w:rsidR="004E2B09">
              <w:rPr>
                <w:lang w:val="en-US"/>
              </w:rPr>
              <w:br/>
            </w:r>
            <w:r w:rsidRPr="00560079">
              <w:rPr>
                <w:lang w:val="en-US"/>
              </w:rPr>
              <w:t>+ ST/SG/AC.10/C.3/2022/32 (RECHARGE, PRBA)</w:t>
            </w:r>
          </w:p>
        </w:tc>
        <w:tc>
          <w:tcPr>
            <w:tcW w:w="4820" w:type="dxa"/>
          </w:tcPr>
          <w:p w14:paraId="33CDFF6E" w14:textId="77777777" w:rsidR="00D75F9D" w:rsidRPr="00560079" w:rsidRDefault="00D75F9D" w:rsidP="00241A64">
            <w:pPr>
              <w:spacing w:before="40" w:after="120"/>
            </w:pPr>
            <w:r>
              <w:rPr>
                <w:lang w:val="fr-FR"/>
              </w:rPr>
              <w:t>Dispositions du 2.9.4 applicables aux piles au lithium transportées conformément à la disposition spéciale 310</w:t>
            </w:r>
          </w:p>
        </w:tc>
      </w:tr>
      <w:tr w:rsidR="00D75F9D" w:rsidRPr="00FA261D" w14:paraId="587D1E7A" w14:textId="77777777" w:rsidTr="00241A64">
        <w:tc>
          <w:tcPr>
            <w:tcW w:w="3402" w:type="dxa"/>
          </w:tcPr>
          <w:p w14:paraId="50DC5461" w14:textId="7A71FEDA" w:rsidR="00D75F9D" w:rsidRPr="00D75F9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 xml:space="preserve">ST/SG/AC.10/C.3/2022/37 </w:t>
            </w:r>
            <w:r w:rsidR="004E2B09">
              <w:rPr>
                <w:lang w:val="en-US"/>
              </w:rPr>
              <w:br/>
            </w:r>
            <w:r w:rsidRPr="00560079">
              <w:rPr>
                <w:lang w:val="en-US"/>
              </w:rPr>
              <w:t>(PRBA, RECHARGE)</w:t>
            </w:r>
          </w:p>
        </w:tc>
        <w:tc>
          <w:tcPr>
            <w:tcW w:w="4820" w:type="dxa"/>
          </w:tcPr>
          <w:p w14:paraId="2F9DEC40" w14:textId="77777777" w:rsidR="00D75F9D" w:rsidRPr="00560079" w:rsidRDefault="00D75F9D" w:rsidP="00241A64">
            <w:pPr>
              <w:spacing w:before="40" w:after="120"/>
            </w:pPr>
            <w:r>
              <w:rPr>
                <w:lang w:val="fr-FR"/>
              </w:rPr>
              <w:t>Proposition d’amendement à l’instruction d’emballage LP903</w:t>
            </w:r>
          </w:p>
        </w:tc>
      </w:tr>
      <w:tr w:rsidR="00D75F9D" w:rsidRPr="00FA261D" w14:paraId="16ACFD83" w14:textId="77777777" w:rsidTr="00241A64">
        <w:tc>
          <w:tcPr>
            <w:tcW w:w="3402" w:type="dxa"/>
          </w:tcPr>
          <w:p w14:paraId="5307163F" w14:textId="024AEEDB" w:rsidR="00D75F9D" w:rsidRPr="00FA261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 xml:space="preserve">ST/SG/AC.10/C.3/2022/38 </w:t>
            </w:r>
            <w:r w:rsidR="004E2B09">
              <w:rPr>
                <w:lang w:val="en-US"/>
              </w:rPr>
              <w:br/>
            </w:r>
            <w:r w:rsidRPr="00560079">
              <w:rPr>
                <w:lang w:val="en-US"/>
              </w:rPr>
              <w:t>(PRBA, RECHARGE, MDTC)</w:t>
            </w:r>
          </w:p>
        </w:tc>
        <w:tc>
          <w:tcPr>
            <w:tcW w:w="4820" w:type="dxa"/>
          </w:tcPr>
          <w:p w14:paraId="51ED4641" w14:textId="77777777" w:rsidR="00D75F9D" w:rsidRPr="00560079" w:rsidRDefault="00D75F9D" w:rsidP="00241A64">
            <w:pPr>
              <w:spacing w:before="40" w:after="120"/>
            </w:pPr>
            <w:r>
              <w:rPr>
                <w:lang w:val="fr-FR"/>
              </w:rPr>
              <w:t>Résumé du procès-verbal d’épreuve pour les piles au lithium</w:t>
            </w:r>
          </w:p>
        </w:tc>
      </w:tr>
      <w:tr w:rsidR="00D75F9D" w:rsidRPr="00FA261D" w14:paraId="04D3C160" w14:textId="77777777" w:rsidTr="00241A64">
        <w:tc>
          <w:tcPr>
            <w:tcW w:w="3402" w:type="dxa"/>
          </w:tcPr>
          <w:p w14:paraId="05865286" w14:textId="77777777" w:rsidR="00D75F9D" w:rsidRPr="00D75F9D" w:rsidRDefault="00D75F9D" w:rsidP="00241A64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ST/SG/AC.10/C.3/2022/42 (Chine)</w:t>
            </w:r>
          </w:p>
        </w:tc>
        <w:tc>
          <w:tcPr>
            <w:tcW w:w="4820" w:type="dxa"/>
          </w:tcPr>
          <w:p w14:paraId="0D18A08C" w14:textId="3BC59AED" w:rsidR="00D75F9D" w:rsidRPr="00560079" w:rsidRDefault="00D75F9D" w:rsidP="00241A64">
            <w:pPr>
              <w:spacing w:before="40" w:after="120"/>
            </w:pPr>
            <w:r>
              <w:rPr>
                <w:lang w:val="fr-FR"/>
              </w:rPr>
              <w:t xml:space="preserve">Amendements à l’instruction d’emballage P903 </w:t>
            </w:r>
            <w:r w:rsidR="004E2B09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alinéa</w:t>
            </w:r>
            <w:r w:rsidR="004E2B09">
              <w:rPr>
                <w:lang w:val="fr-FR"/>
              </w:rPr>
              <w:t> </w:t>
            </w:r>
            <w:r>
              <w:rPr>
                <w:lang w:val="fr-FR"/>
              </w:rPr>
              <w:t>2)</w:t>
            </w:r>
          </w:p>
        </w:tc>
      </w:tr>
    </w:tbl>
    <w:p w14:paraId="4AAE4149" w14:textId="5CFAF088" w:rsidR="00D75F9D" w:rsidRPr="00560079" w:rsidRDefault="007642AB" w:rsidP="007642AB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d)</w:t>
      </w:r>
      <w:r w:rsidR="00D75F9D">
        <w:rPr>
          <w:lang w:val="fr-FR"/>
        </w:rPr>
        <w:tab/>
        <w:t>Batteries au lithium endommagées ou défectueuses</w:t>
      </w:r>
    </w:p>
    <w:p w14:paraId="1A0B7D51" w14:textId="77777777" w:rsidR="00D75F9D" w:rsidRPr="00560079" w:rsidRDefault="00D75F9D" w:rsidP="00244ED9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45D34034" w14:textId="21EA7955" w:rsidR="00D75F9D" w:rsidRPr="00560079" w:rsidRDefault="007642AB" w:rsidP="007642AB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e)</w:t>
      </w:r>
      <w:r w:rsidR="00D75F9D">
        <w:rPr>
          <w:lang w:val="fr-FR"/>
        </w:rPr>
        <w:tab/>
        <w:t>Batteries au sodium ionique</w:t>
      </w:r>
    </w:p>
    <w:p w14:paraId="5452D212" w14:textId="77777777" w:rsidR="00D75F9D" w:rsidRPr="00560079" w:rsidRDefault="00D75F9D" w:rsidP="00244ED9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0851EBD0" w14:textId="1B902549" w:rsidR="00D75F9D" w:rsidRPr="00560079" w:rsidRDefault="007642AB" w:rsidP="007642AB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f)</w:t>
      </w:r>
      <w:r w:rsidR="00D75F9D">
        <w:rPr>
          <w:lang w:val="fr-FR"/>
        </w:rPr>
        <w:tab/>
        <w:t>Autres questions</w:t>
      </w:r>
    </w:p>
    <w:p w14:paraId="49D033EC" w14:textId="77777777" w:rsidR="00D75F9D" w:rsidRPr="00560079" w:rsidRDefault="00D75F9D" w:rsidP="00244ED9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5364C8C3" w14:textId="3E85061A" w:rsidR="00D75F9D" w:rsidRPr="00560079" w:rsidRDefault="007642AB" w:rsidP="007642AB">
      <w:pPr>
        <w:pStyle w:val="H1G"/>
      </w:pPr>
      <w:r>
        <w:rPr>
          <w:lang w:val="fr-FR"/>
        </w:rPr>
        <w:tab/>
      </w:r>
      <w:r w:rsidR="00D75F9D">
        <w:rPr>
          <w:lang w:val="fr-FR"/>
        </w:rPr>
        <w:t>5.</w:t>
      </w:r>
      <w:r w:rsidR="00D75F9D">
        <w:rPr>
          <w:lang w:val="fr-FR"/>
        </w:rPr>
        <w:tab/>
        <w:t>Transport de gaz</w:t>
      </w:r>
    </w:p>
    <w:p w14:paraId="5C76CD7C" w14:textId="1047D649" w:rsidR="00D75F9D" w:rsidRPr="00560079" w:rsidRDefault="007642AB" w:rsidP="007642AB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a)</w:t>
      </w:r>
      <w:r w:rsidR="00D75F9D">
        <w:rPr>
          <w:lang w:val="fr-FR"/>
        </w:rPr>
        <w:tab/>
        <w:t>Reconnaissance universelle des récipients à pression ONU et non ONU</w:t>
      </w:r>
    </w:p>
    <w:p w14:paraId="54B5F66C" w14:textId="77777777" w:rsidR="00D75F9D" w:rsidRPr="00560079" w:rsidRDefault="00D75F9D" w:rsidP="00244ED9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63BB680C" w14:textId="2EF462E5" w:rsidR="00D75F9D" w:rsidRPr="00560079" w:rsidRDefault="007642AB" w:rsidP="007642AB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b)</w:t>
      </w:r>
      <w:r w:rsidR="00D75F9D">
        <w:rPr>
          <w:lang w:val="fr-FR"/>
        </w:rPr>
        <w:tab/>
        <w:t>Gaz de la division 2.2 transportés en quantités limitées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19"/>
        <w:gridCol w:w="4986"/>
      </w:tblGrid>
      <w:tr w:rsidR="00D75F9D" w:rsidRPr="00FA261D" w14:paraId="34E6299C" w14:textId="77777777" w:rsidTr="007642AB">
        <w:tc>
          <w:tcPr>
            <w:tcW w:w="3402" w:type="dxa"/>
          </w:tcPr>
          <w:p w14:paraId="279373E5" w14:textId="77777777" w:rsidR="00D75F9D" w:rsidRPr="00D75F9D" w:rsidRDefault="00D75F9D" w:rsidP="00177D69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ST/SG/AC.10/C.3/2022/26 (COSTHA)</w:t>
            </w:r>
          </w:p>
        </w:tc>
        <w:tc>
          <w:tcPr>
            <w:tcW w:w="4820" w:type="dxa"/>
          </w:tcPr>
          <w:p w14:paraId="5ED1E25E" w14:textId="406D36D8" w:rsidR="00D75F9D" w:rsidRPr="00560079" w:rsidRDefault="00D75F9D" w:rsidP="00177D69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Augmentation du volume des gaz comprimés de la division</w:t>
            </w:r>
            <w:r w:rsidR="00E713CB">
              <w:rPr>
                <w:lang w:val="fr-FR"/>
              </w:rPr>
              <w:t> </w:t>
            </w:r>
            <w:r>
              <w:rPr>
                <w:lang w:val="fr-FR"/>
              </w:rPr>
              <w:t>2.2 transportés en quantités limitées</w:t>
            </w:r>
          </w:p>
        </w:tc>
      </w:tr>
    </w:tbl>
    <w:p w14:paraId="7CD70A01" w14:textId="2C7B8E1C" w:rsidR="00D75F9D" w:rsidRDefault="00E713CB" w:rsidP="00E713CB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c)</w:t>
      </w:r>
      <w:r w:rsidR="00D75F9D">
        <w:rPr>
          <w:lang w:val="fr-FR"/>
        </w:rPr>
        <w:tab/>
        <w:t>Autres questions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01"/>
        <w:gridCol w:w="4960"/>
      </w:tblGrid>
      <w:tr w:rsidR="00D75F9D" w:rsidRPr="00FA261D" w14:paraId="416D26D6" w14:textId="77777777" w:rsidTr="00E713CB">
        <w:tc>
          <w:tcPr>
            <w:tcW w:w="3402" w:type="dxa"/>
          </w:tcPr>
          <w:p w14:paraId="60A7BB60" w14:textId="77777777" w:rsidR="00D75F9D" w:rsidRPr="00D75F9D" w:rsidRDefault="00D75F9D" w:rsidP="00177D69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ST/SG/AC.10/C.3/2022/14 (ISO)</w:t>
            </w:r>
          </w:p>
        </w:tc>
        <w:tc>
          <w:tcPr>
            <w:tcW w:w="4820" w:type="dxa"/>
          </w:tcPr>
          <w:p w14:paraId="1DCC4B30" w14:textId="77777777" w:rsidR="00D75F9D" w:rsidRPr="00560079" w:rsidRDefault="00D75F9D" w:rsidP="00177D69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Normes ISO mises à jour dans la classe 2</w:t>
            </w:r>
          </w:p>
        </w:tc>
      </w:tr>
    </w:tbl>
    <w:p w14:paraId="1377B4A4" w14:textId="0A41B3EB" w:rsidR="00D75F9D" w:rsidRPr="00560079" w:rsidRDefault="00E713CB" w:rsidP="00E713CB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6.</w:t>
      </w:r>
      <w:r w:rsidR="00D75F9D">
        <w:rPr>
          <w:lang w:val="fr-FR"/>
        </w:rPr>
        <w:tab/>
        <w:t xml:space="preserve">Propositions diverses d’amendements au Règlement type </w:t>
      </w:r>
      <w:r>
        <w:rPr>
          <w:lang w:val="fr-FR"/>
        </w:rPr>
        <w:br/>
      </w:r>
      <w:r w:rsidR="00D75F9D">
        <w:rPr>
          <w:lang w:val="fr-FR"/>
        </w:rPr>
        <w:t>pour le transport des marchandises dangereuses</w:t>
      </w:r>
    </w:p>
    <w:p w14:paraId="7259A355" w14:textId="159FF72B" w:rsidR="00D75F9D" w:rsidRPr="00560079" w:rsidRDefault="00E713CB" w:rsidP="00E713CB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a)</w:t>
      </w:r>
      <w:r w:rsidR="00D75F9D">
        <w:rPr>
          <w:lang w:val="fr-FR"/>
        </w:rPr>
        <w:tab/>
        <w:t>Marquage et étiquetage</w:t>
      </w:r>
    </w:p>
    <w:p w14:paraId="73DBF713" w14:textId="77777777" w:rsidR="00D75F9D" w:rsidRPr="00560079" w:rsidRDefault="00D75F9D" w:rsidP="00244ED9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58A29634" w14:textId="34D9FA53" w:rsidR="00D75F9D" w:rsidRPr="00560079" w:rsidRDefault="00E713CB" w:rsidP="00E713CB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b)</w:t>
      </w:r>
      <w:r w:rsidR="00D75F9D">
        <w:rPr>
          <w:lang w:val="fr-FR"/>
        </w:rPr>
        <w:tab/>
        <w:t>Emballages, y compris l’utilisation des matières plastiques recyclées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19"/>
        <w:gridCol w:w="4986"/>
      </w:tblGrid>
      <w:tr w:rsidR="00D75F9D" w:rsidRPr="00FA261D" w14:paraId="35EF67D9" w14:textId="77777777" w:rsidTr="009A37B9">
        <w:tc>
          <w:tcPr>
            <w:tcW w:w="3402" w:type="dxa"/>
          </w:tcPr>
          <w:p w14:paraId="70691DEE" w14:textId="77777777" w:rsidR="00D75F9D" w:rsidRPr="00D75F9D" w:rsidRDefault="00D75F9D" w:rsidP="009A37B9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ST/SG/AC.10/C.3/2022/8 (EIGA)</w:t>
            </w:r>
          </w:p>
        </w:tc>
        <w:tc>
          <w:tcPr>
            <w:tcW w:w="4820" w:type="dxa"/>
          </w:tcPr>
          <w:p w14:paraId="0BAE39E3" w14:textId="2579F4BF" w:rsidR="00D75F9D" w:rsidRPr="00560079" w:rsidRDefault="00D75F9D" w:rsidP="009A37B9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 xml:space="preserve">Correction à apporter à l’instruction d’emballage P200 pour </w:t>
            </w:r>
            <w:proofErr w:type="gramStart"/>
            <w:r>
              <w:rPr>
                <w:lang w:val="fr-FR"/>
              </w:rPr>
              <w:t>les  Nos</w:t>
            </w:r>
            <w:proofErr w:type="gramEnd"/>
            <w:r w:rsidR="009A37B9">
              <w:rPr>
                <w:lang w:val="fr-FR"/>
              </w:rPr>
              <w:t> </w:t>
            </w:r>
            <w:r>
              <w:rPr>
                <w:lang w:val="fr-FR"/>
              </w:rPr>
              <w:t>ONU 1001 et 3374</w:t>
            </w:r>
          </w:p>
        </w:tc>
      </w:tr>
      <w:tr w:rsidR="00D75F9D" w:rsidRPr="00FA261D" w14:paraId="27545685" w14:textId="77777777" w:rsidTr="009A37B9">
        <w:tc>
          <w:tcPr>
            <w:tcW w:w="3402" w:type="dxa"/>
          </w:tcPr>
          <w:p w14:paraId="3C6FB404" w14:textId="77777777" w:rsidR="00D75F9D" w:rsidRPr="00FA261D" w:rsidRDefault="00D75F9D" w:rsidP="009A37B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ST/SG/AC.10/C.3/2022/12 (Espagne)</w:t>
            </w:r>
          </w:p>
        </w:tc>
        <w:tc>
          <w:tcPr>
            <w:tcW w:w="4820" w:type="dxa"/>
          </w:tcPr>
          <w:p w14:paraId="2459E289" w14:textId="220F969C" w:rsidR="00D75F9D" w:rsidRPr="00560079" w:rsidRDefault="00D75F9D" w:rsidP="009A37B9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Révision des instructions d’emballage figurant aux</w:t>
            </w:r>
            <w:r w:rsidR="009A37B9">
              <w:rPr>
                <w:lang w:val="fr-FR"/>
              </w:rPr>
              <w:t> </w:t>
            </w:r>
            <w:r>
              <w:rPr>
                <w:lang w:val="fr-FR"/>
              </w:rPr>
              <w:t>5.5.3.3.1 et 5.5.3.3.2</w:t>
            </w:r>
          </w:p>
        </w:tc>
      </w:tr>
      <w:tr w:rsidR="00D75F9D" w:rsidRPr="00FA261D" w14:paraId="6C6A7146" w14:textId="77777777" w:rsidTr="009A37B9">
        <w:tc>
          <w:tcPr>
            <w:tcW w:w="3402" w:type="dxa"/>
          </w:tcPr>
          <w:p w14:paraId="6988015C" w14:textId="77777777" w:rsidR="00D75F9D" w:rsidRPr="00FA261D" w:rsidRDefault="00D75F9D" w:rsidP="009A37B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ST/SG/AC.10/C.3/2022/15 (Espagne)</w:t>
            </w:r>
          </w:p>
        </w:tc>
        <w:tc>
          <w:tcPr>
            <w:tcW w:w="4820" w:type="dxa"/>
          </w:tcPr>
          <w:p w14:paraId="21A9067B" w14:textId="77777777" w:rsidR="00D75F9D" w:rsidRPr="00560079" w:rsidRDefault="00D75F9D" w:rsidP="009A37B9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Difficultés liées à la mise en œuvre pratique de l’instruction d’emballage P650</w:t>
            </w:r>
          </w:p>
        </w:tc>
      </w:tr>
      <w:tr w:rsidR="00D75F9D" w:rsidRPr="00FA261D" w14:paraId="326E4E06" w14:textId="77777777" w:rsidTr="009A37B9">
        <w:tc>
          <w:tcPr>
            <w:tcW w:w="3402" w:type="dxa"/>
          </w:tcPr>
          <w:p w14:paraId="4A888D67" w14:textId="77777777" w:rsidR="00D75F9D" w:rsidRDefault="00D75F9D" w:rsidP="009A37B9">
            <w:pPr>
              <w:spacing w:before="40" w:after="120"/>
            </w:pPr>
            <w:r>
              <w:rPr>
                <w:lang w:val="fr-FR"/>
              </w:rPr>
              <w:t>ST/SG/AC.10/C.3/2022/29 (Belgique)</w:t>
            </w:r>
          </w:p>
        </w:tc>
        <w:tc>
          <w:tcPr>
            <w:tcW w:w="4820" w:type="dxa"/>
          </w:tcPr>
          <w:p w14:paraId="73A595BC" w14:textId="77777777" w:rsidR="00D75F9D" w:rsidRPr="00560079" w:rsidRDefault="00D75F9D" w:rsidP="009A37B9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>
              <w:rPr>
                <w:lang w:val="fr-FR"/>
              </w:rPr>
              <w:t>Utilisation de matières plastiques recyclées</w:t>
            </w:r>
          </w:p>
        </w:tc>
      </w:tr>
      <w:tr w:rsidR="00D75F9D" w:rsidRPr="00FA261D" w14:paraId="5303C44D" w14:textId="77777777" w:rsidTr="009A37B9">
        <w:tc>
          <w:tcPr>
            <w:tcW w:w="3402" w:type="dxa"/>
          </w:tcPr>
          <w:p w14:paraId="4CB4186A" w14:textId="7329361B" w:rsidR="00D75F9D" w:rsidRPr="00560079" w:rsidRDefault="00D75F9D" w:rsidP="009A37B9">
            <w:pPr>
              <w:spacing w:before="40" w:after="120"/>
            </w:pPr>
            <w:r>
              <w:rPr>
                <w:lang w:val="fr-FR"/>
              </w:rPr>
              <w:t xml:space="preserve">ST/SG/AC.10/C.3/2022/34 </w:t>
            </w:r>
            <w:r w:rsidR="00905317">
              <w:rPr>
                <w:lang w:val="fr-FR"/>
              </w:rPr>
              <w:br/>
            </w:r>
            <w:r>
              <w:rPr>
                <w:lang w:val="fr-FR"/>
              </w:rPr>
              <w:t>(ICPP, ICCR et ICIBCA)</w:t>
            </w:r>
          </w:p>
        </w:tc>
        <w:tc>
          <w:tcPr>
            <w:tcW w:w="4820" w:type="dxa"/>
          </w:tcPr>
          <w:p w14:paraId="34198B5A" w14:textId="0F0DAD9C" w:rsidR="00D75F9D" w:rsidRPr="00560079" w:rsidRDefault="00D75F9D" w:rsidP="009A37B9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Commentaires sur les dispositions du Programme 2030 relatives à l’utilisation d’emballages plastiques pour les matières dangereuses</w:t>
            </w:r>
          </w:p>
        </w:tc>
      </w:tr>
      <w:tr w:rsidR="00D75F9D" w:rsidRPr="00FA261D" w14:paraId="696E60A3" w14:textId="77777777" w:rsidTr="009A37B9">
        <w:tc>
          <w:tcPr>
            <w:tcW w:w="3402" w:type="dxa"/>
          </w:tcPr>
          <w:p w14:paraId="528E982F" w14:textId="1ACA00A2" w:rsidR="00D75F9D" w:rsidRPr="00560079" w:rsidRDefault="00D75F9D" w:rsidP="009A37B9">
            <w:pPr>
              <w:spacing w:before="40" w:after="120"/>
            </w:pPr>
            <w:r>
              <w:rPr>
                <w:lang w:val="fr-FR"/>
              </w:rPr>
              <w:t xml:space="preserve">ST/SG/AC.10/C.3/2022/35 </w:t>
            </w:r>
            <w:r w:rsidR="00905317">
              <w:rPr>
                <w:lang w:val="fr-FR"/>
              </w:rPr>
              <w:br/>
            </w:r>
            <w:r>
              <w:rPr>
                <w:lang w:val="fr-FR"/>
              </w:rPr>
              <w:t>(Royaume-Uni)</w:t>
            </w:r>
          </w:p>
        </w:tc>
        <w:tc>
          <w:tcPr>
            <w:tcW w:w="4820" w:type="dxa"/>
          </w:tcPr>
          <w:p w14:paraId="43713796" w14:textId="77777777" w:rsidR="00D75F9D" w:rsidRPr="00560079" w:rsidRDefault="00D75F9D" w:rsidP="009A37B9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Modification à apporter à la disposition spéciale d’emballage B11 de l’instruction d’emballage IBC03</w:t>
            </w:r>
          </w:p>
        </w:tc>
      </w:tr>
    </w:tbl>
    <w:p w14:paraId="4A7E43AD" w14:textId="52245CDC" w:rsidR="00D75F9D" w:rsidRPr="00560079" w:rsidRDefault="003740B3" w:rsidP="003740B3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c)</w:t>
      </w:r>
      <w:r w:rsidR="00D75F9D">
        <w:rPr>
          <w:lang w:val="fr-FR"/>
        </w:rPr>
        <w:tab/>
        <w:t>Citernes mobiles</w:t>
      </w:r>
    </w:p>
    <w:p w14:paraId="68F7245A" w14:textId="77777777" w:rsidR="00D75F9D" w:rsidRPr="00560079" w:rsidRDefault="00D75F9D" w:rsidP="00244ED9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6C3A8F19" w14:textId="580B391D" w:rsidR="00D75F9D" w:rsidRDefault="003740B3" w:rsidP="003740B3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d)</w:t>
      </w:r>
      <w:r w:rsidR="00D75F9D">
        <w:rPr>
          <w:lang w:val="fr-FR"/>
        </w:rPr>
        <w:tab/>
        <w:t>Autres propositions diverses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19"/>
        <w:gridCol w:w="4986"/>
      </w:tblGrid>
      <w:tr w:rsidR="00D75F9D" w:rsidRPr="00FA261D" w14:paraId="1AF5FAF8" w14:textId="77777777" w:rsidTr="003740B3">
        <w:tc>
          <w:tcPr>
            <w:tcW w:w="3402" w:type="dxa"/>
          </w:tcPr>
          <w:p w14:paraId="1D909C55" w14:textId="77777777" w:rsidR="00D75F9D" w:rsidRPr="00D75F9D" w:rsidRDefault="00D75F9D" w:rsidP="00C73119">
            <w:pPr>
              <w:keepNext/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ST/SG/AC.10/C.3/2022/6 (EIGA)</w:t>
            </w:r>
          </w:p>
        </w:tc>
        <w:tc>
          <w:tcPr>
            <w:tcW w:w="4820" w:type="dxa"/>
          </w:tcPr>
          <w:p w14:paraId="4FCA323C" w14:textId="77777777" w:rsidR="00D75F9D" w:rsidRPr="00560079" w:rsidRDefault="00D75F9D" w:rsidP="00C73119">
            <w:pPr>
              <w:pStyle w:val="SingleTxtG"/>
              <w:keepNext/>
              <w:spacing w:before="40"/>
              <w:ind w:left="0" w:right="0"/>
            </w:pPr>
            <w:r>
              <w:rPr>
                <w:lang w:val="fr-FR"/>
              </w:rPr>
              <w:t>Nouvelles mesures transitoires pour les récipients à pression</w:t>
            </w:r>
          </w:p>
        </w:tc>
      </w:tr>
      <w:tr w:rsidR="00D75F9D" w:rsidRPr="00FA261D" w14:paraId="6613B9BC" w14:textId="77777777" w:rsidTr="003740B3">
        <w:tc>
          <w:tcPr>
            <w:tcW w:w="3402" w:type="dxa"/>
          </w:tcPr>
          <w:p w14:paraId="69A9C765" w14:textId="77777777" w:rsidR="00D75F9D" w:rsidRPr="00D75F9D" w:rsidRDefault="00D75F9D" w:rsidP="003740B3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ST/SG/AC.10/C.3/2022/7 (IATA)</w:t>
            </w:r>
          </w:p>
        </w:tc>
        <w:tc>
          <w:tcPr>
            <w:tcW w:w="4820" w:type="dxa"/>
          </w:tcPr>
          <w:p w14:paraId="31535C96" w14:textId="5C87A4A8" w:rsidR="00D75F9D" w:rsidRPr="00560079" w:rsidRDefault="00D75F9D" w:rsidP="00C73119">
            <w:pPr>
              <w:pStyle w:val="SingleTxtG"/>
              <w:spacing w:before="40"/>
              <w:ind w:left="0" w:right="0"/>
            </w:pPr>
            <w:r>
              <w:rPr>
                <w:lang w:val="fr-FR"/>
              </w:rPr>
              <w:t xml:space="preserve">Amendement au 2.0.5.2 </w:t>
            </w:r>
            <w:r w:rsidR="00C73119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Classement des objets contenant des prototypes de batteries au lithium ou des batteries au lithium produites en petite série</w:t>
            </w:r>
          </w:p>
        </w:tc>
      </w:tr>
      <w:tr w:rsidR="00D75F9D" w:rsidRPr="00FA261D" w14:paraId="22A5D36B" w14:textId="77777777" w:rsidTr="003740B3">
        <w:tc>
          <w:tcPr>
            <w:tcW w:w="3402" w:type="dxa"/>
          </w:tcPr>
          <w:p w14:paraId="1DC959EF" w14:textId="77777777" w:rsidR="00D75F9D" w:rsidRDefault="00D75F9D" w:rsidP="003740B3">
            <w:pPr>
              <w:spacing w:before="40" w:after="120"/>
            </w:pPr>
            <w:r>
              <w:rPr>
                <w:lang w:val="fr-FR"/>
              </w:rPr>
              <w:t>ST/SG/AC.10/C.3/2022/16 (Allemagne)</w:t>
            </w:r>
          </w:p>
        </w:tc>
        <w:tc>
          <w:tcPr>
            <w:tcW w:w="4820" w:type="dxa"/>
          </w:tcPr>
          <w:p w14:paraId="508BEA3C" w14:textId="346DB08B" w:rsidR="00D75F9D" w:rsidRPr="00560079" w:rsidRDefault="00D75F9D" w:rsidP="00C73119">
            <w:pPr>
              <w:pStyle w:val="SingleTxtG"/>
              <w:spacing w:before="40"/>
              <w:ind w:left="0" w:right="0"/>
            </w:pPr>
            <w:r>
              <w:rPr>
                <w:lang w:val="fr-FR"/>
              </w:rPr>
              <w:t>Correction d’une référence dans le 6.4.23.2</w:t>
            </w:r>
            <w:r w:rsidR="00A01683">
              <w:rPr>
                <w:lang w:val="fr-FR"/>
              </w:rPr>
              <w:t> </w:t>
            </w:r>
            <w:r>
              <w:rPr>
                <w:lang w:val="fr-FR"/>
              </w:rPr>
              <w:t>c)</w:t>
            </w:r>
          </w:p>
        </w:tc>
      </w:tr>
      <w:tr w:rsidR="00D75F9D" w:rsidRPr="00FA261D" w14:paraId="090CD2F5" w14:textId="77777777" w:rsidTr="003740B3">
        <w:tc>
          <w:tcPr>
            <w:tcW w:w="3402" w:type="dxa"/>
          </w:tcPr>
          <w:p w14:paraId="4EAC7E9F" w14:textId="77777777" w:rsidR="00D75F9D" w:rsidRPr="00FA261D" w:rsidRDefault="00D75F9D" w:rsidP="003740B3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ST/SG/AC.10/C.3/2022/23 (Espagne)</w:t>
            </w:r>
          </w:p>
        </w:tc>
        <w:tc>
          <w:tcPr>
            <w:tcW w:w="4820" w:type="dxa"/>
          </w:tcPr>
          <w:p w14:paraId="4A826FEE" w14:textId="77777777" w:rsidR="00D75F9D" w:rsidRPr="00560079" w:rsidRDefault="00D75F9D" w:rsidP="00C73119">
            <w:pPr>
              <w:pStyle w:val="SingleTxtG"/>
              <w:spacing w:before="40"/>
              <w:ind w:left="0" w:right="0"/>
            </w:pPr>
            <w:r>
              <w:rPr>
                <w:lang w:val="fr-FR"/>
              </w:rPr>
              <w:t>Taux de remplissage et degré de remplissage</w:t>
            </w:r>
          </w:p>
        </w:tc>
      </w:tr>
    </w:tbl>
    <w:p w14:paraId="4C05BE25" w14:textId="6B93346A" w:rsidR="00D75F9D" w:rsidRPr="00560079" w:rsidRDefault="00E2528F" w:rsidP="00E2528F">
      <w:pPr>
        <w:pStyle w:val="H1G"/>
      </w:pPr>
      <w:r>
        <w:rPr>
          <w:lang w:val="fr-FR"/>
        </w:rPr>
        <w:tab/>
      </w:r>
      <w:r w:rsidR="00D75F9D">
        <w:rPr>
          <w:lang w:val="fr-FR"/>
        </w:rPr>
        <w:t>7.</w:t>
      </w:r>
      <w:r w:rsidR="00D75F9D">
        <w:rPr>
          <w:lang w:val="fr-FR"/>
        </w:rPr>
        <w:tab/>
        <w:t xml:space="preserve">Harmonisation générale des règlements relatifs au transport </w:t>
      </w:r>
      <w:r>
        <w:rPr>
          <w:lang w:val="fr-FR"/>
        </w:rPr>
        <w:br/>
      </w:r>
      <w:r w:rsidR="00D75F9D">
        <w:rPr>
          <w:lang w:val="fr-FR"/>
        </w:rPr>
        <w:t>des marchandises dangereuses avec le Règlement type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19"/>
        <w:gridCol w:w="4986"/>
      </w:tblGrid>
      <w:tr w:rsidR="00D75F9D" w:rsidRPr="00FA261D" w14:paraId="761F4428" w14:textId="77777777" w:rsidTr="00E2528F">
        <w:tc>
          <w:tcPr>
            <w:tcW w:w="3402" w:type="dxa"/>
          </w:tcPr>
          <w:p w14:paraId="135C73AD" w14:textId="77777777" w:rsidR="00D75F9D" w:rsidRPr="00D75F9D" w:rsidRDefault="00D75F9D" w:rsidP="00177D69">
            <w:pPr>
              <w:spacing w:before="40" w:after="120"/>
              <w:rPr>
                <w:lang w:val="en-US"/>
              </w:rPr>
            </w:pPr>
            <w:r w:rsidRPr="00560079">
              <w:rPr>
                <w:lang w:val="en-US"/>
              </w:rPr>
              <w:t>ST/SG/AC.10/C.3/2022/31 (OMI)</w:t>
            </w:r>
          </w:p>
        </w:tc>
        <w:tc>
          <w:tcPr>
            <w:tcW w:w="4820" w:type="dxa"/>
          </w:tcPr>
          <w:p w14:paraId="5CCE6C58" w14:textId="6777C0A3" w:rsidR="00D75F9D" w:rsidRPr="00560079" w:rsidRDefault="00D75F9D" w:rsidP="00177D69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</w:pPr>
            <w:r>
              <w:rPr>
                <w:lang w:val="fr-FR"/>
              </w:rPr>
              <w:t>Propositions d’amendements découlant de la trente</w:t>
            </w:r>
            <w:r w:rsidR="00077DC4">
              <w:rPr>
                <w:lang w:val="fr-FR"/>
              </w:rPr>
              <w:noBreakHyphen/>
            </w:r>
            <w:r>
              <w:rPr>
                <w:lang w:val="fr-FR"/>
              </w:rPr>
              <w:t>cinquième session du Groupe des questions techniques et éditoriales</w:t>
            </w:r>
          </w:p>
        </w:tc>
      </w:tr>
      <w:tr w:rsidR="00D75F9D" w:rsidRPr="00FA261D" w14:paraId="08616C30" w14:textId="77777777" w:rsidTr="00E2528F">
        <w:tc>
          <w:tcPr>
            <w:tcW w:w="3402" w:type="dxa"/>
          </w:tcPr>
          <w:p w14:paraId="2886AAB8" w14:textId="77777777" w:rsidR="00D75F9D" w:rsidRPr="00560079" w:rsidRDefault="00D75F9D" w:rsidP="00177D69">
            <w:pPr>
              <w:spacing w:before="40" w:after="120"/>
            </w:pPr>
            <w:r>
              <w:rPr>
                <w:lang w:val="fr-FR"/>
              </w:rPr>
              <w:t>ST/SG/AC.10/C.3/2022/33 (Pays-Bas)</w:t>
            </w:r>
          </w:p>
        </w:tc>
        <w:tc>
          <w:tcPr>
            <w:tcW w:w="4820" w:type="dxa"/>
          </w:tcPr>
          <w:p w14:paraId="515015CE" w14:textId="6E55F94C" w:rsidR="00D75F9D" w:rsidRPr="00560079" w:rsidRDefault="00D75F9D" w:rsidP="00177D69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</w:pPr>
            <w:r>
              <w:rPr>
                <w:lang w:val="fr-FR"/>
              </w:rPr>
              <w:t xml:space="preserve">Proposition de texte de remplacement concernant </w:t>
            </w:r>
            <w:proofErr w:type="gramStart"/>
            <w:r>
              <w:rPr>
                <w:lang w:val="fr-FR"/>
              </w:rPr>
              <w:t>les micro</w:t>
            </w:r>
            <w:proofErr w:type="gramEnd"/>
            <w:r w:rsidR="00077DC4">
              <w:rPr>
                <w:lang w:val="fr-FR"/>
              </w:rPr>
              <w:noBreakHyphen/>
            </w:r>
            <w:r>
              <w:rPr>
                <w:lang w:val="fr-FR"/>
              </w:rPr>
              <w:t>organismes génétiquement modifiés et les organismes génétiquement modifiés</w:t>
            </w:r>
            <w:r w:rsidRPr="004271A9">
              <w:t xml:space="preserve"> </w:t>
            </w:r>
            <w:r>
              <w:rPr>
                <w:lang w:val="fr-FR"/>
              </w:rPr>
              <w:t>dans</w:t>
            </w:r>
            <w:r w:rsidRPr="004271A9">
              <w:rPr>
                <w:lang w:val="fr-FR"/>
              </w:rPr>
              <w:t xml:space="preserve"> le paragraphe</w:t>
            </w:r>
            <w:r w:rsidR="00077DC4">
              <w:rPr>
                <w:lang w:val="fr-FR"/>
              </w:rPr>
              <w:t> </w:t>
            </w:r>
            <w:r w:rsidRPr="004271A9">
              <w:rPr>
                <w:lang w:val="fr-FR"/>
              </w:rPr>
              <w:t>2.9.2</w:t>
            </w:r>
            <w:r>
              <w:rPr>
                <w:lang w:val="fr-FR"/>
              </w:rPr>
              <w:t xml:space="preserve"> </w:t>
            </w:r>
          </w:p>
        </w:tc>
      </w:tr>
    </w:tbl>
    <w:p w14:paraId="1C801394" w14:textId="7349C3E7" w:rsidR="00D75F9D" w:rsidRPr="00560079" w:rsidRDefault="00A51F1A" w:rsidP="00A51F1A">
      <w:pPr>
        <w:pStyle w:val="H1G"/>
      </w:pPr>
      <w:r>
        <w:rPr>
          <w:lang w:val="fr-FR"/>
        </w:rPr>
        <w:tab/>
      </w:r>
      <w:r w:rsidR="00D75F9D">
        <w:rPr>
          <w:lang w:val="fr-FR"/>
        </w:rPr>
        <w:t>8.</w:t>
      </w:r>
      <w:r w:rsidR="00D75F9D">
        <w:rPr>
          <w:lang w:val="fr-FR"/>
        </w:rPr>
        <w:tab/>
        <w:t>Coopération avec l’Agence internationale de l’énergie atomique</w:t>
      </w:r>
    </w:p>
    <w:p w14:paraId="787BD9B2" w14:textId="77777777" w:rsidR="00D75F9D" w:rsidRPr="00560079" w:rsidRDefault="00D75F9D" w:rsidP="00244ED9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425B8610" w14:textId="6FED7950" w:rsidR="00D75F9D" w:rsidRDefault="00A51F1A" w:rsidP="00A51F1A">
      <w:pPr>
        <w:pStyle w:val="H1G"/>
      </w:pPr>
      <w:r>
        <w:rPr>
          <w:lang w:val="fr-FR"/>
        </w:rPr>
        <w:tab/>
      </w:r>
      <w:r w:rsidR="00D75F9D">
        <w:rPr>
          <w:lang w:val="fr-FR"/>
        </w:rPr>
        <w:t>9.</w:t>
      </w:r>
      <w:r w:rsidR="00D75F9D">
        <w:rPr>
          <w:lang w:val="fr-FR"/>
        </w:rPr>
        <w:tab/>
        <w:t>Principes directeurs du Règlement type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4984"/>
      </w:tblGrid>
      <w:tr w:rsidR="00D75F9D" w:rsidRPr="00FA261D" w14:paraId="385E2A2F" w14:textId="77777777" w:rsidTr="00A51F1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32EC27" w14:textId="0453F0C5" w:rsidR="00D75F9D" w:rsidRPr="00FA261D" w:rsidRDefault="00D75F9D" w:rsidP="00A51F1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560079">
              <w:rPr>
                <w:lang w:val="en-US"/>
              </w:rPr>
              <w:t xml:space="preserve">ST/SG/AC.10/C.3/2022/3 </w:t>
            </w:r>
            <w:r w:rsidR="00A51F1A">
              <w:rPr>
                <w:lang w:val="en-US"/>
              </w:rPr>
              <w:br/>
            </w:r>
            <w:r w:rsidRPr="00560079">
              <w:rPr>
                <w:lang w:val="en-US"/>
              </w:rPr>
              <w:t>(IC</w:t>
            </w:r>
            <w:r>
              <w:rPr>
                <w:lang w:val="en-US"/>
              </w:rPr>
              <w:t>P</w:t>
            </w:r>
            <w:r w:rsidRPr="00560079">
              <w:rPr>
                <w:lang w:val="en-US"/>
              </w:rPr>
              <w:t>P, RPMASA)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89A73ED" w14:textId="3C12B7AE" w:rsidR="00D75F9D" w:rsidRPr="00560079" w:rsidRDefault="00D75F9D" w:rsidP="00A51F1A">
            <w:pPr>
              <w:pStyle w:val="SingleTxtG"/>
              <w:spacing w:before="40"/>
              <w:ind w:left="0" w:right="0"/>
              <w:jc w:val="left"/>
            </w:pPr>
            <w:r w:rsidRPr="00AA3B68">
              <w:rPr>
                <w:lang w:val="fr-FR"/>
              </w:rPr>
              <w:t>Proposition d</w:t>
            </w:r>
            <w:r>
              <w:rPr>
                <w:lang w:val="fr-FR"/>
              </w:rPr>
              <w:t>’</w:t>
            </w:r>
            <w:r w:rsidRPr="00AA3B68">
              <w:rPr>
                <w:lang w:val="fr-FR"/>
              </w:rPr>
              <w:t>amendement aux Principes directeurs visant à ajouter une ligne au tableau</w:t>
            </w:r>
            <w:r w:rsidR="00C64B94">
              <w:rPr>
                <w:lang w:val="fr-FR"/>
              </w:rPr>
              <w:t> </w:t>
            </w:r>
            <w:r w:rsidRPr="00AA3B68">
              <w:rPr>
                <w:lang w:val="fr-FR"/>
              </w:rPr>
              <w:t>4.1, relatif à l</w:t>
            </w:r>
            <w:r>
              <w:rPr>
                <w:lang w:val="fr-FR"/>
              </w:rPr>
              <w:t>’</w:t>
            </w:r>
            <w:r w:rsidRPr="00AA3B68">
              <w:rPr>
                <w:lang w:val="fr-FR"/>
              </w:rPr>
              <w:t>affectation des instructions d</w:t>
            </w:r>
            <w:r>
              <w:rPr>
                <w:lang w:val="fr-FR"/>
              </w:rPr>
              <w:t>’</w:t>
            </w:r>
            <w:r w:rsidRPr="00AA3B68">
              <w:rPr>
                <w:lang w:val="fr-FR"/>
              </w:rPr>
              <w:t>emballage, accompagnée d</w:t>
            </w:r>
            <w:r>
              <w:rPr>
                <w:lang w:val="fr-FR"/>
              </w:rPr>
              <w:t>’</w:t>
            </w:r>
            <w:r w:rsidRPr="00AA3B68">
              <w:rPr>
                <w:lang w:val="fr-FR"/>
              </w:rPr>
              <w:t xml:space="preserve">une note explicative </w:t>
            </w:r>
            <w:r w:rsidRPr="00C64B94">
              <w:rPr>
                <w:sz w:val="18"/>
                <w:szCs w:val="18"/>
                <w:vertAlign w:val="superscript"/>
                <w:lang w:val="fr-FR"/>
              </w:rPr>
              <w:t>b</w:t>
            </w:r>
            <w:r w:rsidRPr="00AA3B68">
              <w:rPr>
                <w:lang w:val="fr-FR"/>
              </w:rPr>
              <w:t>, à la suite de l</w:t>
            </w:r>
            <w:r>
              <w:rPr>
                <w:lang w:val="fr-FR"/>
              </w:rPr>
              <w:t>’</w:t>
            </w:r>
            <w:r w:rsidRPr="00AA3B68">
              <w:rPr>
                <w:lang w:val="fr-FR"/>
              </w:rPr>
              <w:t>attribution du No</w:t>
            </w:r>
            <w:r w:rsidR="00C64B94">
              <w:rPr>
                <w:lang w:val="fr-FR"/>
              </w:rPr>
              <w:t> </w:t>
            </w:r>
            <w:r w:rsidRPr="00AA3B68">
              <w:rPr>
                <w:lang w:val="fr-FR"/>
              </w:rPr>
              <w:t>ONU</w:t>
            </w:r>
            <w:r w:rsidR="00C64B94">
              <w:rPr>
                <w:lang w:val="fr-FR"/>
              </w:rPr>
              <w:t> </w:t>
            </w:r>
            <w:r w:rsidRPr="00AA3B68">
              <w:rPr>
                <w:lang w:val="fr-FR"/>
              </w:rPr>
              <w:t>3550 à la poudre de dihydroxyde de cobalt pour que cette matière puisse continuer d</w:t>
            </w:r>
            <w:r>
              <w:rPr>
                <w:lang w:val="fr-FR"/>
              </w:rPr>
              <w:t>’</w:t>
            </w:r>
            <w:r w:rsidRPr="00AA3B68">
              <w:rPr>
                <w:lang w:val="fr-FR"/>
              </w:rPr>
              <w:t>être transportée dans des grands récipients pour vrac souples</w:t>
            </w:r>
          </w:p>
        </w:tc>
      </w:tr>
      <w:tr w:rsidR="00D75F9D" w:rsidRPr="00FA261D" w14:paraId="158D627C" w14:textId="77777777" w:rsidTr="00A51F1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8513CF" w14:textId="77777777" w:rsidR="00D75F9D" w:rsidRDefault="00D75F9D" w:rsidP="00A51F1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ST/SG/AC.10/C.3/2022/39 (secrétariat)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F55B1A7" w14:textId="77777777" w:rsidR="00D75F9D" w:rsidRPr="00560079" w:rsidRDefault="00D75F9D" w:rsidP="00A51F1A">
            <w:pPr>
              <w:pStyle w:val="SingleTxtG"/>
              <w:spacing w:before="40"/>
              <w:ind w:left="0" w:right="0"/>
              <w:jc w:val="left"/>
            </w:pPr>
            <w:r w:rsidRPr="00C54DE2">
              <w:rPr>
                <w:lang w:val="fr-FR"/>
              </w:rPr>
              <w:t>Questions diverses relatives aux instructions de transport en citernes mobiles et aux dispositions spéciales applicables au transport en citernes mobiles</w:t>
            </w:r>
          </w:p>
        </w:tc>
      </w:tr>
    </w:tbl>
    <w:p w14:paraId="6C07EA9D" w14:textId="4130EECC" w:rsidR="00D75F9D" w:rsidRPr="00560079" w:rsidRDefault="00C64B94" w:rsidP="00C64B94">
      <w:pPr>
        <w:pStyle w:val="H1G"/>
      </w:pPr>
      <w:r>
        <w:rPr>
          <w:lang w:val="fr-FR"/>
        </w:rPr>
        <w:tab/>
      </w:r>
      <w:r w:rsidR="00D75F9D">
        <w:rPr>
          <w:lang w:val="fr-FR"/>
        </w:rPr>
        <w:t>10.</w:t>
      </w:r>
      <w:r w:rsidR="00D75F9D">
        <w:rPr>
          <w:lang w:val="fr-FR"/>
        </w:rPr>
        <w:tab/>
        <w:t xml:space="preserve">Questions relatives au Système général harmonisé de classification </w:t>
      </w:r>
      <w:r>
        <w:rPr>
          <w:lang w:val="fr-FR"/>
        </w:rPr>
        <w:br/>
      </w:r>
      <w:r w:rsidR="00D75F9D">
        <w:rPr>
          <w:lang w:val="fr-FR"/>
        </w:rPr>
        <w:t>et d’étiquetage des produits chimiques (SGH)</w:t>
      </w:r>
    </w:p>
    <w:p w14:paraId="06C07263" w14:textId="0D45D12B" w:rsidR="00D75F9D" w:rsidRPr="00560079" w:rsidRDefault="00C64B94" w:rsidP="00C64B94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a)</w:t>
      </w:r>
      <w:r w:rsidR="00D75F9D">
        <w:rPr>
          <w:lang w:val="fr-FR"/>
        </w:rPr>
        <w:tab/>
        <w:t>Épreuves relatives aux matières comburantes</w:t>
      </w:r>
    </w:p>
    <w:p w14:paraId="1FF1026E" w14:textId="77777777" w:rsidR="00D75F9D" w:rsidRPr="00560079" w:rsidRDefault="00D75F9D" w:rsidP="00244ED9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7BF6EDDB" w14:textId="5AD3D95A" w:rsidR="00D75F9D" w:rsidRPr="00560079" w:rsidRDefault="00ED6E73" w:rsidP="00ED6E73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b)</w:t>
      </w:r>
      <w:r w:rsidR="00D75F9D">
        <w:rPr>
          <w:lang w:val="fr-FR"/>
        </w:rPr>
        <w:tab/>
        <w:t xml:space="preserve">Classification simultanée des dangers physiques et ordre de prépondérance </w:t>
      </w:r>
      <w:r>
        <w:rPr>
          <w:lang w:val="fr-FR"/>
        </w:rPr>
        <w:br/>
      </w:r>
      <w:r w:rsidR="00D75F9D">
        <w:rPr>
          <w:lang w:val="fr-FR"/>
        </w:rPr>
        <w:t>des dangers</w:t>
      </w:r>
    </w:p>
    <w:p w14:paraId="4B0FD7BB" w14:textId="77777777" w:rsidR="00D75F9D" w:rsidRPr="00560079" w:rsidRDefault="00D75F9D" w:rsidP="00244ED9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39D3ED70" w14:textId="4ACF91B0" w:rsidR="00D75F9D" w:rsidRDefault="00ED6E73" w:rsidP="00ED6E73">
      <w:pPr>
        <w:pStyle w:val="H23G"/>
      </w:pPr>
      <w:r>
        <w:rPr>
          <w:lang w:val="fr-FR"/>
        </w:rPr>
        <w:tab/>
      </w:r>
      <w:r w:rsidR="00D75F9D">
        <w:rPr>
          <w:lang w:val="fr-FR"/>
        </w:rPr>
        <w:t>c)</w:t>
      </w:r>
      <w:r w:rsidR="00D75F9D">
        <w:rPr>
          <w:lang w:val="fr-FR"/>
        </w:rPr>
        <w:tab/>
        <w:t>Autres questions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4984"/>
      </w:tblGrid>
      <w:tr w:rsidR="00D75F9D" w:rsidRPr="00FA261D" w14:paraId="415E0D60" w14:textId="77777777" w:rsidTr="004E6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48A6A0" w14:textId="5114FEF9" w:rsidR="00D75F9D" w:rsidRPr="00786282" w:rsidRDefault="00D75F9D" w:rsidP="004E62BF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 xml:space="preserve">ST/SG/AC.10/C.3/2022/11 </w:t>
            </w:r>
            <w:r w:rsidR="00E57745">
              <w:rPr>
                <w:lang w:val="fr-FR"/>
              </w:rPr>
              <w:br/>
            </w:r>
            <w:r>
              <w:rPr>
                <w:lang w:val="fr-FR"/>
              </w:rPr>
              <w:t>(Allemagne)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82CFFCD" w14:textId="77777777" w:rsidR="00D75F9D" w:rsidRPr="00560079" w:rsidRDefault="00D75F9D" w:rsidP="004E62BF">
            <w:pPr>
              <w:pStyle w:val="SingleTxtG"/>
              <w:spacing w:before="40"/>
              <w:ind w:left="0" w:right="0"/>
              <w:jc w:val="left"/>
              <w:rPr>
                <w:rFonts w:eastAsia="MS Mincho"/>
              </w:rPr>
            </w:pPr>
            <w:r>
              <w:rPr>
                <w:lang w:val="fr-FR"/>
              </w:rPr>
              <w:t xml:space="preserve">Modification du Manuel d’épreuves et de critères </w:t>
            </w:r>
            <w:r w:rsidRPr="00414ECC">
              <w:rPr>
                <w:lang w:val="fr-FR"/>
              </w:rPr>
              <w:t>visant à prendre en considération de manière appropriée le Système général harmonisé de classification et d</w:t>
            </w:r>
            <w:r>
              <w:rPr>
                <w:lang w:val="fr-FR"/>
              </w:rPr>
              <w:t>’</w:t>
            </w:r>
            <w:r w:rsidRPr="00414ECC">
              <w:rPr>
                <w:lang w:val="fr-FR"/>
              </w:rPr>
              <w:t>étiquetage des produits chimiques</w:t>
            </w:r>
          </w:p>
        </w:tc>
      </w:tr>
      <w:tr w:rsidR="00D75F9D" w:rsidRPr="00FA261D" w14:paraId="09B7CA17" w14:textId="77777777" w:rsidTr="004E6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33F4AA" w14:textId="3AFF9855" w:rsidR="00D75F9D" w:rsidRPr="00560079" w:rsidRDefault="00D75F9D" w:rsidP="004E62BF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 xml:space="preserve">ST/SG/AC.10/C.3/2022/21 </w:t>
            </w:r>
            <w:r w:rsidR="004E62BF">
              <w:rPr>
                <w:lang w:val="fr-FR"/>
              </w:rPr>
              <w:br/>
            </w:r>
            <w:r>
              <w:rPr>
                <w:lang w:val="fr-FR"/>
              </w:rPr>
              <w:t>(États-Unis d’Amérique)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43E00F6" w14:textId="77777777" w:rsidR="00D75F9D" w:rsidRPr="00560079" w:rsidRDefault="00D75F9D" w:rsidP="004E62BF">
            <w:pPr>
              <w:pStyle w:val="SingleTxtG"/>
              <w:spacing w:before="40"/>
              <w:ind w:left="0" w:right="0"/>
              <w:jc w:val="left"/>
              <w:rPr>
                <w:rFonts w:eastAsia="MS Mincho"/>
              </w:rPr>
            </w:pPr>
            <w:r w:rsidRPr="00883908">
              <w:rPr>
                <w:lang w:val="fr-FR"/>
              </w:rPr>
              <w:t>Proposition tendant à régler des questions inscrites au programme de travail du groupe de travail informel par correspondance chargé des questions pratiques de classification</w:t>
            </w:r>
          </w:p>
        </w:tc>
      </w:tr>
    </w:tbl>
    <w:p w14:paraId="6AD09D69" w14:textId="305477A3" w:rsidR="00D75F9D" w:rsidRPr="00560079" w:rsidRDefault="00E57745" w:rsidP="00E57745">
      <w:pPr>
        <w:pStyle w:val="H1G"/>
      </w:pPr>
      <w:r>
        <w:rPr>
          <w:lang w:val="fr-FR"/>
        </w:rPr>
        <w:tab/>
      </w:r>
      <w:r w:rsidR="00D75F9D">
        <w:rPr>
          <w:lang w:val="fr-FR"/>
        </w:rPr>
        <w:t>11.</w:t>
      </w:r>
      <w:r w:rsidR="00D75F9D">
        <w:rPr>
          <w:lang w:val="fr-FR"/>
        </w:rPr>
        <w:tab/>
        <w:t>Uniformisation des interprétations du Règlement type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4984"/>
      </w:tblGrid>
      <w:tr w:rsidR="00D75F9D" w:rsidRPr="00FA261D" w14:paraId="7CCD44E5" w14:textId="77777777" w:rsidTr="00E5774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33A2CE" w14:textId="77777777" w:rsidR="00D75F9D" w:rsidRPr="00D75F9D" w:rsidRDefault="00D75F9D" w:rsidP="00E5774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560079">
              <w:rPr>
                <w:lang w:val="en-US"/>
              </w:rPr>
              <w:t>ST/SG/AC.10/C.3/2022/27 (COSTHA)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7F994C6" w14:textId="708D1E62" w:rsidR="00D75F9D" w:rsidRPr="00560079" w:rsidRDefault="00D75F9D" w:rsidP="00E57745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Livraison directe de marchandises dangereuses aux</w:t>
            </w:r>
            <w:r w:rsidR="00E57745">
              <w:rPr>
                <w:lang w:val="fr-FR"/>
              </w:rPr>
              <w:t> </w:t>
            </w:r>
            <w:r>
              <w:rPr>
                <w:lang w:val="fr-FR"/>
              </w:rPr>
              <w:t>consommateurs finaux (suremballages)</w:t>
            </w:r>
          </w:p>
        </w:tc>
      </w:tr>
      <w:tr w:rsidR="00D75F9D" w:rsidRPr="00FA261D" w14:paraId="5AD31723" w14:textId="77777777" w:rsidTr="00E5774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D904A4" w14:textId="77777777" w:rsidR="00D75F9D" w:rsidRPr="00D75F9D" w:rsidRDefault="00D75F9D" w:rsidP="00E5774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560079">
              <w:rPr>
                <w:lang w:val="en-US"/>
              </w:rPr>
              <w:t>ST/SG/AC.10/C.3/2022/28 (COSTHA)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59406BB" w14:textId="77777777" w:rsidR="00D75F9D" w:rsidRPr="00560079" w:rsidRDefault="00D75F9D" w:rsidP="00E57745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Services en ligne de livraison de produits de consommation courante</w:t>
            </w:r>
          </w:p>
        </w:tc>
      </w:tr>
    </w:tbl>
    <w:p w14:paraId="6F2B866F" w14:textId="15FA98CC" w:rsidR="00D75F9D" w:rsidRPr="00560079" w:rsidRDefault="008D3A0F" w:rsidP="008D3A0F">
      <w:pPr>
        <w:pStyle w:val="H1G"/>
      </w:pPr>
      <w:r>
        <w:rPr>
          <w:lang w:val="fr-FR"/>
        </w:rPr>
        <w:tab/>
      </w:r>
      <w:r w:rsidR="00D75F9D">
        <w:rPr>
          <w:lang w:val="fr-FR"/>
        </w:rPr>
        <w:t>12.</w:t>
      </w:r>
      <w:r w:rsidR="00D75F9D">
        <w:rPr>
          <w:lang w:val="fr-FR"/>
        </w:rPr>
        <w:tab/>
        <w:t>Application du Règlement type</w:t>
      </w:r>
    </w:p>
    <w:p w14:paraId="73D13FAA" w14:textId="77777777" w:rsidR="00D75F9D" w:rsidRPr="00560079" w:rsidRDefault="00D75F9D" w:rsidP="00244ED9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3D8459F7" w14:textId="15DE4974" w:rsidR="00D75F9D" w:rsidRPr="00560079" w:rsidRDefault="008D3A0F" w:rsidP="008D3A0F">
      <w:pPr>
        <w:pStyle w:val="H1G"/>
      </w:pPr>
      <w:r>
        <w:rPr>
          <w:lang w:val="fr-FR"/>
        </w:rPr>
        <w:tab/>
      </w:r>
      <w:r w:rsidR="00D75F9D">
        <w:rPr>
          <w:lang w:val="fr-FR"/>
        </w:rPr>
        <w:t>13.</w:t>
      </w:r>
      <w:r w:rsidR="00D75F9D">
        <w:rPr>
          <w:lang w:val="fr-FR"/>
        </w:rPr>
        <w:tab/>
        <w:t xml:space="preserve">Formation à la sécurité et renforcement des capacités </w:t>
      </w:r>
      <w:r>
        <w:rPr>
          <w:lang w:val="fr-FR"/>
        </w:rPr>
        <w:br/>
      </w:r>
      <w:r w:rsidR="00D75F9D">
        <w:rPr>
          <w:lang w:val="fr-FR"/>
        </w:rPr>
        <w:t>en ce qui concerne les marchandises dangereuses</w:t>
      </w:r>
    </w:p>
    <w:p w14:paraId="197C204A" w14:textId="77777777" w:rsidR="00D75F9D" w:rsidRPr="00560079" w:rsidRDefault="00D75F9D" w:rsidP="00244ED9">
      <w:pPr>
        <w:pStyle w:val="SingleTxtG"/>
        <w:ind w:firstLine="567"/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49EF7C44" w14:textId="494FE4A6" w:rsidR="00D75F9D" w:rsidRDefault="00627D75" w:rsidP="00627D75">
      <w:pPr>
        <w:pStyle w:val="H1G"/>
      </w:pPr>
      <w:r>
        <w:rPr>
          <w:lang w:val="fr-FR"/>
        </w:rPr>
        <w:tab/>
      </w:r>
      <w:r w:rsidR="00D75F9D">
        <w:rPr>
          <w:lang w:val="fr-FR"/>
        </w:rPr>
        <w:t>14.</w:t>
      </w:r>
      <w:r w:rsidR="00D75F9D">
        <w:rPr>
          <w:lang w:val="fr-FR"/>
        </w:rPr>
        <w:tab/>
        <w:t>Questions diverses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4984"/>
      </w:tblGrid>
      <w:tr w:rsidR="00D75F9D" w:rsidRPr="00FA261D" w14:paraId="61050FDB" w14:textId="77777777" w:rsidTr="00627D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7F1E30" w14:textId="77777777" w:rsidR="00D75F9D" w:rsidRPr="00D75F9D" w:rsidRDefault="00D75F9D" w:rsidP="00627D7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560079">
              <w:rPr>
                <w:lang w:val="en-US"/>
              </w:rPr>
              <w:t>ST/SG/AC.10/C.3/2022/4 (OCDE, CEE)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EB5D6FA" w14:textId="77777777" w:rsidR="00D75F9D" w:rsidRPr="00560079" w:rsidRDefault="00D75F9D" w:rsidP="00627D75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Séminaire ONU/OCDE sur l’explosion du port de Beyrouth de 2020</w:t>
            </w:r>
          </w:p>
        </w:tc>
      </w:tr>
      <w:tr w:rsidR="00D75F9D" w14:paraId="64CA9025" w14:textId="77777777" w:rsidTr="00627D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3E3900" w14:textId="77777777" w:rsidR="00D75F9D" w:rsidRDefault="00D75F9D" w:rsidP="00627D75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ST/SG/AC.10/C.3/2022/5 (secrétariat)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01D72D0" w14:textId="77777777" w:rsidR="00D75F9D" w:rsidRPr="00DA7694" w:rsidRDefault="00D75F9D" w:rsidP="00627D75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Déclassification de documents anciens</w:t>
            </w:r>
          </w:p>
        </w:tc>
      </w:tr>
      <w:tr w:rsidR="00D75F9D" w:rsidRPr="00FA261D" w14:paraId="3C53C939" w14:textId="77777777" w:rsidTr="00627D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08BB93" w14:textId="77777777" w:rsidR="00D75F9D" w:rsidRDefault="00D75F9D" w:rsidP="00627D75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ST/SG/AC.10/C.3/2022/45 (secrétariat)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C10D1F7" w14:textId="77777777" w:rsidR="00D75F9D" w:rsidRPr="00560079" w:rsidRDefault="00D75F9D" w:rsidP="00627D75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 xml:space="preserve">Référence </w:t>
            </w:r>
            <w:r w:rsidRPr="001832D7">
              <w:rPr>
                <w:lang w:val="fr-FR"/>
              </w:rPr>
              <w:t xml:space="preserve">à la norme ISO </w:t>
            </w:r>
            <w:proofErr w:type="gramStart"/>
            <w:r w:rsidRPr="001832D7">
              <w:rPr>
                <w:lang w:val="fr-FR"/>
              </w:rPr>
              <w:t>2431:</w:t>
            </w:r>
            <w:proofErr w:type="gramEnd"/>
            <w:r w:rsidRPr="001832D7">
              <w:rPr>
                <w:lang w:val="fr-FR"/>
              </w:rPr>
              <w:t>1984</w:t>
            </w:r>
            <w:r>
              <w:rPr>
                <w:lang w:val="fr-FR"/>
              </w:rPr>
              <w:t xml:space="preserve"> dans le Manuel d’épreuves et de critères </w:t>
            </w:r>
          </w:p>
        </w:tc>
      </w:tr>
    </w:tbl>
    <w:p w14:paraId="755B5709" w14:textId="5F81C02E" w:rsidR="00D75F9D" w:rsidRPr="00560079" w:rsidRDefault="00DE7E8D" w:rsidP="00627D75">
      <w:pPr>
        <w:pStyle w:val="H1G"/>
      </w:pPr>
      <w:r>
        <w:rPr>
          <w:lang w:val="fr-FR"/>
        </w:rPr>
        <w:tab/>
      </w:r>
      <w:r w:rsidR="00D75F9D">
        <w:rPr>
          <w:lang w:val="fr-FR"/>
        </w:rPr>
        <w:t>15.</w:t>
      </w:r>
      <w:r w:rsidR="00D75F9D">
        <w:rPr>
          <w:lang w:val="fr-FR"/>
        </w:rPr>
        <w:tab/>
        <w:t>Adoption du rapport</w:t>
      </w:r>
    </w:p>
    <w:p w14:paraId="1BAD53B4" w14:textId="1EF03214" w:rsidR="00446FE5" w:rsidRDefault="00D75F9D" w:rsidP="00DE7E8D">
      <w:pPr>
        <w:pStyle w:val="SingleTxtG"/>
        <w:ind w:firstLine="567"/>
        <w:rPr>
          <w:lang w:val="fr-FR"/>
        </w:rPr>
      </w:pPr>
      <w:r>
        <w:rPr>
          <w:lang w:val="fr-FR"/>
        </w:rPr>
        <w:t>Conformément à l’usage, le Sous-Comité voudra bien adopter le rapport de sa soixantième session et ses annexes sur la base d’un projet établi par le secrétariat.</w:t>
      </w:r>
    </w:p>
    <w:p w14:paraId="3392E3FF" w14:textId="2541781E" w:rsidR="002975FB" w:rsidRPr="002975FB" w:rsidRDefault="002975FB" w:rsidP="002975F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75FB" w:rsidRPr="002975FB" w:rsidSect="001413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F448" w14:textId="77777777" w:rsidR="007A1042" w:rsidRDefault="007A1042" w:rsidP="00F95C08">
      <w:pPr>
        <w:spacing w:line="240" w:lineRule="auto"/>
      </w:pPr>
    </w:p>
  </w:endnote>
  <w:endnote w:type="continuationSeparator" w:id="0">
    <w:p w14:paraId="736E083D" w14:textId="77777777" w:rsidR="007A1042" w:rsidRPr="00AC3823" w:rsidRDefault="007A1042" w:rsidP="00AC3823">
      <w:pPr>
        <w:pStyle w:val="Footer"/>
      </w:pPr>
    </w:p>
  </w:endnote>
  <w:endnote w:type="continuationNotice" w:id="1">
    <w:p w14:paraId="12092F41" w14:textId="77777777" w:rsidR="007A1042" w:rsidRDefault="007A10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76C1" w14:textId="0CF4E6BB" w:rsidR="001413E8" w:rsidRPr="001413E8" w:rsidRDefault="001413E8" w:rsidP="001413E8">
    <w:pPr>
      <w:pStyle w:val="Footer"/>
      <w:tabs>
        <w:tab w:val="right" w:pos="9638"/>
      </w:tabs>
    </w:pPr>
    <w:r w:rsidRPr="001413E8">
      <w:rPr>
        <w:b/>
        <w:sz w:val="18"/>
      </w:rPr>
      <w:fldChar w:fldCharType="begin"/>
    </w:r>
    <w:r w:rsidRPr="001413E8">
      <w:rPr>
        <w:b/>
        <w:sz w:val="18"/>
      </w:rPr>
      <w:instrText xml:space="preserve"> PAGE  \* MERGEFORMAT </w:instrText>
    </w:r>
    <w:r w:rsidRPr="001413E8">
      <w:rPr>
        <w:b/>
        <w:sz w:val="18"/>
      </w:rPr>
      <w:fldChar w:fldCharType="separate"/>
    </w:r>
    <w:r w:rsidRPr="001413E8">
      <w:rPr>
        <w:b/>
        <w:noProof/>
        <w:sz w:val="18"/>
      </w:rPr>
      <w:t>2</w:t>
    </w:r>
    <w:r w:rsidRPr="001413E8">
      <w:rPr>
        <w:b/>
        <w:sz w:val="18"/>
      </w:rPr>
      <w:fldChar w:fldCharType="end"/>
    </w:r>
    <w:r>
      <w:rPr>
        <w:b/>
        <w:sz w:val="18"/>
      </w:rPr>
      <w:tab/>
    </w:r>
    <w:r>
      <w:t>GE.22-05495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B535" w14:textId="1B155EA9" w:rsidR="001413E8" w:rsidRPr="001413E8" w:rsidRDefault="001413E8" w:rsidP="001413E8">
    <w:pPr>
      <w:pStyle w:val="Footer"/>
      <w:tabs>
        <w:tab w:val="right" w:pos="9638"/>
      </w:tabs>
      <w:rPr>
        <w:b/>
        <w:sz w:val="18"/>
      </w:rPr>
    </w:pPr>
    <w:r>
      <w:t>GE.22-05495</w:t>
    </w:r>
    <w:r>
      <w:tab/>
    </w:r>
    <w:r w:rsidRPr="001413E8">
      <w:rPr>
        <w:b/>
        <w:sz w:val="18"/>
      </w:rPr>
      <w:fldChar w:fldCharType="begin"/>
    </w:r>
    <w:r w:rsidRPr="001413E8">
      <w:rPr>
        <w:b/>
        <w:sz w:val="18"/>
      </w:rPr>
      <w:instrText xml:space="preserve"> PAGE  \* MERGEFORMAT </w:instrText>
    </w:r>
    <w:r w:rsidRPr="001413E8">
      <w:rPr>
        <w:b/>
        <w:sz w:val="18"/>
      </w:rPr>
      <w:fldChar w:fldCharType="separate"/>
    </w:r>
    <w:r w:rsidRPr="001413E8">
      <w:rPr>
        <w:b/>
        <w:noProof/>
        <w:sz w:val="18"/>
      </w:rPr>
      <w:t>3</w:t>
    </w:r>
    <w:r w:rsidRPr="001413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3E46" w14:textId="36ED4363" w:rsidR="0068456F" w:rsidRPr="001413E8" w:rsidRDefault="001413E8" w:rsidP="001413E8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86C981A" wp14:editId="7C512E0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05495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D5DDFEF" wp14:editId="01E6E92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090522    090522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1009" w14:textId="77777777" w:rsidR="007A1042" w:rsidRPr="00AC3823" w:rsidRDefault="007A104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D731AA" w14:textId="77777777" w:rsidR="007A1042" w:rsidRPr="00AC3823" w:rsidRDefault="007A104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D8698B" w14:textId="77777777" w:rsidR="007A1042" w:rsidRPr="00AC3823" w:rsidRDefault="007A1042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2679" w14:textId="3F440F39" w:rsidR="001413E8" w:rsidRPr="001413E8" w:rsidRDefault="007A1042">
    <w:pPr>
      <w:pStyle w:val="Header"/>
    </w:pPr>
    <w:r>
      <w:fldChar w:fldCharType="begin"/>
    </w:r>
    <w:r>
      <w:instrText xml:space="preserve"> TITLE  \* MERGEFO</w:instrText>
    </w:r>
    <w:r>
      <w:instrText xml:space="preserve">RMAT </w:instrText>
    </w:r>
    <w:r>
      <w:fldChar w:fldCharType="separate"/>
    </w:r>
    <w:r w:rsidR="00880D13">
      <w:t>ST/SG/AC.10/C.3/119/Add.1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92D7" w14:textId="38568928" w:rsidR="001413E8" w:rsidRPr="001413E8" w:rsidRDefault="007A1042" w:rsidP="001413E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80D13">
      <w:t>ST/SG/AC.10/C.3/119/Add.1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C6"/>
    <w:rsid w:val="00017F94"/>
    <w:rsid w:val="00023842"/>
    <w:rsid w:val="000305D3"/>
    <w:rsid w:val="000334F9"/>
    <w:rsid w:val="0007796D"/>
    <w:rsid w:val="00077DC4"/>
    <w:rsid w:val="000B7790"/>
    <w:rsid w:val="00111F2F"/>
    <w:rsid w:val="00132EA9"/>
    <w:rsid w:val="001413E8"/>
    <w:rsid w:val="0014365E"/>
    <w:rsid w:val="00172E49"/>
    <w:rsid w:val="00176178"/>
    <w:rsid w:val="001F525A"/>
    <w:rsid w:val="00223272"/>
    <w:rsid w:val="00241A64"/>
    <w:rsid w:val="00244ED9"/>
    <w:rsid w:val="0024779E"/>
    <w:rsid w:val="0026547C"/>
    <w:rsid w:val="00283190"/>
    <w:rsid w:val="002832AC"/>
    <w:rsid w:val="002975FB"/>
    <w:rsid w:val="002D7C93"/>
    <w:rsid w:val="003740B3"/>
    <w:rsid w:val="00381C15"/>
    <w:rsid w:val="00441C3B"/>
    <w:rsid w:val="00446FE5"/>
    <w:rsid w:val="00452396"/>
    <w:rsid w:val="004E2B09"/>
    <w:rsid w:val="004E468C"/>
    <w:rsid w:val="004E62BF"/>
    <w:rsid w:val="005505B7"/>
    <w:rsid w:val="00573BE5"/>
    <w:rsid w:val="00584DC4"/>
    <w:rsid w:val="00586ED3"/>
    <w:rsid w:val="00596508"/>
    <w:rsid w:val="00596AA9"/>
    <w:rsid w:val="00627D75"/>
    <w:rsid w:val="0068456F"/>
    <w:rsid w:val="0071601D"/>
    <w:rsid w:val="007642AB"/>
    <w:rsid w:val="007A1042"/>
    <w:rsid w:val="007A62E6"/>
    <w:rsid w:val="0080684C"/>
    <w:rsid w:val="008105EC"/>
    <w:rsid w:val="008123E0"/>
    <w:rsid w:val="00871C75"/>
    <w:rsid w:val="008776DC"/>
    <w:rsid w:val="00880D13"/>
    <w:rsid w:val="008B40CD"/>
    <w:rsid w:val="008C1816"/>
    <w:rsid w:val="008D3A0F"/>
    <w:rsid w:val="00905317"/>
    <w:rsid w:val="009705C8"/>
    <w:rsid w:val="009A37B9"/>
    <w:rsid w:val="009C1CF4"/>
    <w:rsid w:val="00A01683"/>
    <w:rsid w:val="00A30353"/>
    <w:rsid w:val="00A4478D"/>
    <w:rsid w:val="00A51F1A"/>
    <w:rsid w:val="00A81281"/>
    <w:rsid w:val="00AC3823"/>
    <w:rsid w:val="00AE323C"/>
    <w:rsid w:val="00B00181"/>
    <w:rsid w:val="00B00B0D"/>
    <w:rsid w:val="00B132D7"/>
    <w:rsid w:val="00B730C6"/>
    <w:rsid w:val="00B765F7"/>
    <w:rsid w:val="00B8606B"/>
    <w:rsid w:val="00BA0CA9"/>
    <w:rsid w:val="00C02897"/>
    <w:rsid w:val="00C2510D"/>
    <w:rsid w:val="00C64B94"/>
    <w:rsid w:val="00C73119"/>
    <w:rsid w:val="00CC5AF7"/>
    <w:rsid w:val="00D3439C"/>
    <w:rsid w:val="00D37FD1"/>
    <w:rsid w:val="00D75F9D"/>
    <w:rsid w:val="00DB1831"/>
    <w:rsid w:val="00DD3BFD"/>
    <w:rsid w:val="00DE239D"/>
    <w:rsid w:val="00DE7E8D"/>
    <w:rsid w:val="00DF6678"/>
    <w:rsid w:val="00E10779"/>
    <w:rsid w:val="00E2528F"/>
    <w:rsid w:val="00E44F78"/>
    <w:rsid w:val="00E512B0"/>
    <w:rsid w:val="00E57745"/>
    <w:rsid w:val="00E713CB"/>
    <w:rsid w:val="00ED6E73"/>
    <w:rsid w:val="00EF27B9"/>
    <w:rsid w:val="00EF2E22"/>
    <w:rsid w:val="00F01738"/>
    <w:rsid w:val="00F53BE5"/>
    <w:rsid w:val="00F660DF"/>
    <w:rsid w:val="00F730C8"/>
    <w:rsid w:val="00F82A45"/>
    <w:rsid w:val="00F95C08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AA19D"/>
  <w15:docId w15:val="{8FCFF4A1-78B9-4CA7-A8C8-397ADC91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75F9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D75F9D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8EE0E-A209-42FB-884D-F9148AB00FD8}"/>
</file>

<file path=customXml/itemProps2.xml><?xml version="1.0" encoding="utf-8"?>
<ds:datastoreItem xmlns:ds="http://schemas.openxmlformats.org/officeDocument/2006/customXml" ds:itemID="{C787A28E-0BB8-467F-9577-DC46B6652D41}"/>
</file>

<file path=customXml/itemProps3.xml><?xml version="1.0" encoding="utf-8"?>
<ds:datastoreItem xmlns:ds="http://schemas.openxmlformats.org/officeDocument/2006/customXml" ds:itemID="{BE42F48D-0304-4349-BDC8-6DB7E1768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ST/SG/AC.10/C.3/119/Add.1</vt:lpstr>
    </vt:vector>
  </TitlesOfParts>
  <Company>DCM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ST/SG/AC.10/C.3/119/Add.1</dc:title>
  <dc:subject/>
  <dc:creator>Nathalie VITTOZ</dc:creator>
  <cp:keywords/>
  <cp:lastModifiedBy>Laurence Berthet</cp:lastModifiedBy>
  <cp:revision>3</cp:revision>
  <cp:lastPrinted>2022-05-09T16:18:00Z</cp:lastPrinted>
  <dcterms:created xsi:type="dcterms:W3CDTF">2022-05-09T16:18:00Z</dcterms:created>
  <dcterms:modified xsi:type="dcterms:W3CDTF">2022-05-09T16:18:00Z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