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34F217BA" w14:textId="77777777" w:rsidTr="00F01738">
        <w:trPr>
          <w:trHeight w:hRule="exact" w:val="851"/>
        </w:trPr>
        <w:tc>
          <w:tcPr>
            <w:tcW w:w="1276" w:type="dxa"/>
            <w:tcBorders>
              <w:bottom w:val="single" w:sz="4" w:space="0" w:color="auto"/>
            </w:tcBorders>
          </w:tcPr>
          <w:p w14:paraId="6934262E" w14:textId="77777777" w:rsidR="00132EA9" w:rsidRPr="00DB58B5" w:rsidRDefault="00132EA9" w:rsidP="00CA7253"/>
        </w:tc>
        <w:tc>
          <w:tcPr>
            <w:tcW w:w="2268" w:type="dxa"/>
            <w:tcBorders>
              <w:bottom w:val="single" w:sz="4" w:space="0" w:color="auto"/>
            </w:tcBorders>
            <w:vAlign w:val="bottom"/>
          </w:tcPr>
          <w:p w14:paraId="10A9B384"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9588BA5" w14:textId="533139AB" w:rsidR="00132EA9" w:rsidRPr="00DB58B5" w:rsidRDefault="00CA7253" w:rsidP="00CA7253">
            <w:pPr>
              <w:jc w:val="right"/>
            </w:pPr>
            <w:r w:rsidRPr="00CA7253">
              <w:rPr>
                <w:sz w:val="40"/>
              </w:rPr>
              <w:t>ST</w:t>
            </w:r>
            <w:r>
              <w:t>/SG/AC.10/C.3/2022/6</w:t>
            </w:r>
          </w:p>
        </w:tc>
      </w:tr>
      <w:tr w:rsidR="00132EA9" w:rsidRPr="00DB58B5" w14:paraId="71FBA27B" w14:textId="77777777" w:rsidTr="00F01738">
        <w:trPr>
          <w:trHeight w:hRule="exact" w:val="2835"/>
        </w:trPr>
        <w:tc>
          <w:tcPr>
            <w:tcW w:w="1276" w:type="dxa"/>
            <w:tcBorders>
              <w:top w:val="single" w:sz="4" w:space="0" w:color="auto"/>
              <w:bottom w:val="single" w:sz="12" w:space="0" w:color="auto"/>
            </w:tcBorders>
          </w:tcPr>
          <w:p w14:paraId="46850BCB" w14:textId="77777777" w:rsidR="00132EA9" w:rsidRPr="00DB58B5" w:rsidRDefault="00132EA9" w:rsidP="00F01738">
            <w:pPr>
              <w:spacing w:before="120"/>
              <w:jc w:val="center"/>
            </w:pPr>
            <w:r>
              <w:rPr>
                <w:noProof/>
                <w:lang w:eastAsia="fr-CH"/>
              </w:rPr>
              <w:drawing>
                <wp:inline distT="0" distB="0" distL="0" distR="0" wp14:anchorId="4087BBE7" wp14:editId="324064E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2240B0"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7CBF4FFD" w14:textId="77777777" w:rsidR="00132EA9" w:rsidRDefault="00CA7253" w:rsidP="00F01738">
            <w:pPr>
              <w:spacing w:before="240"/>
            </w:pPr>
            <w:r>
              <w:t xml:space="preserve">Distr. </w:t>
            </w:r>
            <w:proofErr w:type="gramStart"/>
            <w:r>
              <w:t>générale</w:t>
            </w:r>
            <w:proofErr w:type="gramEnd"/>
          </w:p>
          <w:p w14:paraId="09238A02" w14:textId="77777777" w:rsidR="00CA7253" w:rsidRDefault="00CA7253" w:rsidP="00CA7253">
            <w:pPr>
              <w:spacing w:line="240" w:lineRule="exact"/>
            </w:pPr>
            <w:r>
              <w:t>28 mars 2022</w:t>
            </w:r>
          </w:p>
          <w:p w14:paraId="4327012E" w14:textId="77777777" w:rsidR="00CA7253" w:rsidRDefault="00CA7253" w:rsidP="00CA7253">
            <w:pPr>
              <w:spacing w:line="240" w:lineRule="exact"/>
            </w:pPr>
            <w:r>
              <w:t>Français</w:t>
            </w:r>
          </w:p>
          <w:p w14:paraId="321886E4" w14:textId="2232752B" w:rsidR="00CA7253" w:rsidRPr="00DB58B5" w:rsidRDefault="00CA7253" w:rsidP="00CA7253">
            <w:pPr>
              <w:spacing w:line="240" w:lineRule="exact"/>
            </w:pPr>
            <w:r>
              <w:t>Original : anglais</w:t>
            </w:r>
          </w:p>
        </w:tc>
      </w:tr>
    </w:tbl>
    <w:p w14:paraId="49541B29" w14:textId="77777777" w:rsidR="00CA7253" w:rsidRPr="00CA0680" w:rsidRDefault="00CA7253"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3AA2C98A" w14:textId="77777777" w:rsidR="00CA7253" w:rsidRPr="00CA0680" w:rsidRDefault="00CA7253" w:rsidP="000305D3">
      <w:pPr>
        <w:spacing w:before="120"/>
        <w:rPr>
          <w:b/>
        </w:rPr>
      </w:pPr>
      <w:r w:rsidRPr="00CA0680">
        <w:rPr>
          <w:b/>
        </w:rPr>
        <w:t>Sous</w:t>
      </w:r>
      <w:r>
        <w:rPr>
          <w:b/>
        </w:rPr>
        <w:t>-</w:t>
      </w:r>
      <w:r w:rsidRPr="00CA0680">
        <w:rPr>
          <w:b/>
        </w:rPr>
        <w:t>Comité d’experts du transport des marchandises dangereuses</w:t>
      </w:r>
    </w:p>
    <w:p w14:paraId="0E5BA4DD" w14:textId="77777777" w:rsidR="00CA7253" w:rsidRPr="00A84091" w:rsidRDefault="00CA7253" w:rsidP="00CA7253">
      <w:pPr>
        <w:spacing w:before="120"/>
        <w:rPr>
          <w:b/>
          <w:lang w:val="fr-BE"/>
        </w:rPr>
      </w:pPr>
      <w:r>
        <w:rPr>
          <w:b/>
          <w:bCs/>
          <w:lang w:val="fr-FR"/>
        </w:rPr>
        <w:t>Soixantième session</w:t>
      </w:r>
    </w:p>
    <w:p w14:paraId="6CD0599F" w14:textId="77777777" w:rsidR="00CA7253" w:rsidRPr="00A84091" w:rsidRDefault="00CA7253" w:rsidP="00CA7253">
      <w:pPr>
        <w:rPr>
          <w:lang w:val="fr-BE"/>
        </w:rPr>
      </w:pPr>
      <w:r>
        <w:rPr>
          <w:lang w:val="fr-FR"/>
        </w:rPr>
        <w:t xml:space="preserve">Genève, 27 juin-6 juillet 2022 </w:t>
      </w:r>
    </w:p>
    <w:p w14:paraId="100B1077" w14:textId="77777777" w:rsidR="00CA7253" w:rsidRDefault="00CA7253" w:rsidP="00CA7253">
      <w:pPr>
        <w:rPr>
          <w:lang w:val="fr-FR"/>
        </w:rPr>
      </w:pPr>
      <w:r>
        <w:rPr>
          <w:lang w:val="fr-FR"/>
        </w:rPr>
        <w:t xml:space="preserve">Point 6 d) de l’ordre du jour provisoire  </w:t>
      </w:r>
    </w:p>
    <w:p w14:paraId="138367B2" w14:textId="77777777" w:rsidR="00CA7253" w:rsidRPr="004203CE" w:rsidRDefault="00CA7253" w:rsidP="00CA7253">
      <w:pPr>
        <w:rPr>
          <w:b/>
          <w:bCs/>
          <w:lang w:val="fr-BE"/>
        </w:rPr>
      </w:pPr>
      <w:r w:rsidRPr="004203CE">
        <w:rPr>
          <w:b/>
          <w:bCs/>
          <w:lang w:val="fr-FR"/>
        </w:rPr>
        <w:t>Propositions diverses d</w:t>
      </w:r>
      <w:r>
        <w:rPr>
          <w:b/>
          <w:bCs/>
          <w:lang w:val="fr-FR"/>
        </w:rPr>
        <w:t>’</w:t>
      </w:r>
      <w:r w:rsidRPr="004203CE">
        <w:rPr>
          <w:b/>
          <w:bCs/>
          <w:lang w:val="fr-FR"/>
        </w:rPr>
        <w:t xml:space="preserve">amendements au Règlement type pour le transport </w:t>
      </w:r>
      <w:r>
        <w:rPr>
          <w:b/>
          <w:bCs/>
          <w:lang w:val="fr-FR"/>
        </w:rPr>
        <w:br/>
      </w:r>
      <w:proofErr w:type="gramStart"/>
      <w:r w:rsidRPr="004203CE">
        <w:rPr>
          <w:b/>
          <w:bCs/>
          <w:lang w:val="fr-FR"/>
        </w:rPr>
        <w:t>des</w:t>
      </w:r>
      <w:proofErr w:type="gramEnd"/>
      <w:r w:rsidRPr="004203CE">
        <w:rPr>
          <w:b/>
          <w:bCs/>
          <w:lang w:val="fr-FR"/>
        </w:rPr>
        <w:t xml:space="preserve"> marchandises dangereuses</w:t>
      </w:r>
      <w:r>
        <w:rPr>
          <w:b/>
          <w:bCs/>
          <w:lang w:val="fr-FR"/>
        </w:rPr>
        <w:t> </w:t>
      </w:r>
      <w:r w:rsidRPr="004203CE">
        <w:rPr>
          <w:b/>
          <w:bCs/>
          <w:lang w:val="fr-FR"/>
        </w:rPr>
        <w:t>: autres propositions diverses</w:t>
      </w:r>
    </w:p>
    <w:p w14:paraId="332DCF90" w14:textId="77777777" w:rsidR="00CA7253" w:rsidRPr="00A84091" w:rsidRDefault="00CA7253" w:rsidP="00CA7253">
      <w:pPr>
        <w:pStyle w:val="HChG"/>
        <w:rPr>
          <w:lang w:val="fr-BE"/>
        </w:rPr>
      </w:pPr>
      <w:r>
        <w:rPr>
          <w:lang w:val="fr-FR"/>
        </w:rPr>
        <w:tab/>
      </w:r>
      <w:r>
        <w:rPr>
          <w:lang w:val="fr-FR"/>
        </w:rPr>
        <w:tab/>
        <w:t>Nouvelles mesures transitoires pour les récipients à pression</w:t>
      </w:r>
    </w:p>
    <w:p w14:paraId="7F808E1E" w14:textId="1243C994" w:rsidR="00CA7253" w:rsidRPr="00A84091" w:rsidRDefault="00CA7253" w:rsidP="00CA7253">
      <w:pPr>
        <w:pStyle w:val="H1G"/>
        <w:rPr>
          <w:rFonts w:eastAsia="Arial Unicode MS"/>
          <w:lang w:val="fr-BE"/>
        </w:rPr>
      </w:pPr>
      <w:r>
        <w:rPr>
          <w:lang w:val="fr-FR"/>
        </w:rPr>
        <w:tab/>
      </w:r>
      <w:r>
        <w:rPr>
          <w:lang w:val="fr-FR"/>
        </w:rPr>
        <w:tab/>
        <w:t>Communication de l’Association européenne des gaz industriels (EIGA)</w:t>
      </w:r>
      <w:r w:rsidRPr="00CA7253">
        <w:rPr>
          <w:rStyle w:val="FootnoteReference"/>
          <w:b w:val="0"/>
          <w:bCs/>
          <w:sz w:val="20"/>
          <w:vertAlign w:val="baseline"/>
        </w:rPr>
        <w:footnoteReference w:customMarkFollows="1" w:id="2"/>
        <w:t>*</w:t>
      </w:r>
    </w:p>
    <w:p w14:paraId="01D907B1" w14:textId="77777777" w:rsidR="00CA7253" w:rsidRPr="00BC356A" w:rsidRDefault="00CA7253" w:rsidP="00CA7253">
      <w:pPr>
        <w:pStyle w:val="HChG"/>
      </w:pPr>
      <w:r>
        <w:rPr>
          <w:lang w:val="fr-FR"/>
        </w:rPr>
        <w:tab/>
      </w:r>
      <w:r>
        <w:rPr>
          <w:lang w:val="fr-FR"/>
        </w:rPr>
        <w:tab/>
        <w:t>Introduction</w:t>
      </w:r>
    </w:p>
    <w:p w14:paraId="7E08CF43" w14:textId="77777777" w:rsidR="00CA7253" w:rsidRPr="00A84091" w:rsidRDefault="00CA7253" w:rsidP="00CA7253">
      <w:pPr>
        <w:pStyle w:val="SingleTxtG"/>
        <w:rPr>
          <w:lang w:val="fr-BE"/>
        </w:rPr>
      </w:pPr>
      <w:r w:rsidRPr="00A84091">
        <w:rPr>
          <w:lang w:val="fr-BE"/>
        </w:rPr>
        <w:t>1.</w:t>
      </w:r>
      <w:r w:rsidRPr="00A84091">
        <w:rPr>
          <w:lang w:val="fr-BE"/>
        </w:rPr>
        <w:tab/>
      </w:r>
      <w:r>
        <w:rPr>
          <w:lang w:val="fr-FR"/>
        </w:rPr>
        <w:t xml:space="preserve">À sa session d’automne 2021, la Réunion commune de la Commission d’experts du RID et du Groupe de travail des transports de marchandises dangereuses </w:t>
      </w:r>
      <w:r w:rsidRPr="00603A93">
        <w:rPr>
          <w:lang w:val="fr-FR"/>
        </w:rPr>
        <w:t>(WP.15/AC.1)</w:t>
      </w:r>
      <w:r>
        <w:rPr>
          <w:lang w:val="fr-FR"/>
        </w:rPr>
        <w:t xml:space="preserve"> a adopté des dispositions transitoires relatives aux amendements aux 6.2.1.5.2, 6.2.2.7.3 k) et l) et 6.2.2.11. Ces dispositions transitoires étant également nécessaires pour le Règlement type, il a été demandé au représentant de l’EIGA de soumettre un document à ce sujet au Sous-Comité d’experts du transport des marchandises dangereuses</w:t>
      </w:r>
      <w:r w:rsidRPr="004203CE">
        <w:rPr>
          <w:lang w:val="fr-BE"/>
        </w:rPr>
        <w:t xml:space="preserve"> </w:t>
      </w:r>
      <w:r>
        <w:rPr>
          <w:lang w:val="fr-BE"/>
        </w:rPr>
        <w:t>(TMD)</w:t>
      </w:r>
      <w:r>
        <w:rPr>
          <w:lang w:val="fr-FR"/>
        </w:rPr>
        <w:t>.</w:t>
      </w:r>
    </w:p>
    <w:p w14:paraId="330445DD" w14:textId="77777777" w:rsidR="00CA7253" w:rsidRPr="00A84091" w:rsidRDefault="00CA7253" w:rsidP="00CA7253">
      <w:pPr>
        <w:pStyle w:val="SingleTxtG"/>
        <w:rPr>
          <w:lang w:val="fr-BE"/>
        </w:rPr>
      </w:pPr>
      <w:r>
        <w:rPr>
          <w:lang w:val="fr-FR"/>
        </w:rPr>
        <w:t>2.</w:t>
      </w:r>
      <w:r>
        <w:rPr>
          <w:lang w:val="fr-FR"/>
        </w:rPr>
        <w:tab/>
        <w:t>À la session précédente, l’EIGA a présenté au Sous-Comité TMD le document informel INF.14 (cinquante-neuvième session). Le Sous-Comité a constaté que la majorité des experts appuyaient l’ajout d’un nota sur les mesures transitoires aux 6.2.1.5.2, 6.2.2.7.3 et 6.2.2.11, comme proposé dans le document informel INF.14, mais qu’ils n’étaient pas disposés à prendre une décision en se fondant sur un document informel. En outre, certains experts souhaitaient qu’une date précise soit indiquée dans les notas du 6.2.2.7.3 et du 6.2.2.11. Le Vice-Président a rappelé que les modifications proposées (voir l’annexe II du rapport ECE/TRANS/WP.15/AC.1/162) avaient déjà été adoptées par la Réunion commune et a invité le Sous-Comité à conclure l’examen de cette question à sa prochaine session.</w:t>
      </w:r>
    </w:p>
    <w:p w14:paraId="45F8F7E4" w14:textId="77777777" w:rsidR="00CA7253" w:rsidRPr="00A84091" w:rsidRDefault="00CA7253" w:rsidP="00CA7253">
      <w:pPr>
        <w:pStyle w:val="SingleTxtG"/>
        <w:rPr>
          <w:lang w:val="fr-BE"/>
        </w:rPr>
      </w:pPr>
      <w:r>
        <w:rPr>
          <w:lang w:val="fr-FR"/>
        </w:rPr>
        <w:t>3.</w:t>
      </w:r>
      <w:r>
        <w:rPr>
          <w:lang w:val="fr-FR"/>
        </w:rPr>
        <w:tab/>
        <w:t xml:space="preserve">L’EIGA a tenu compte des commentaires reçus et propose en conséquence l’amendement actualisé ci-après. Le texte ajouté par rapport au document informel INF.14 (cinquante-neuvième session) est </w:t>
      </w:r>
      <w:r>
        <w:rPr>
          <w:u w:val="single"/>
          <w:lang w:val="fr-FR"/>
        </w:rPr>
        <w:t>souligné</w:t>
      </w:r>
      <w:r>
        <w:rPr>
          <w:lang w:val="fr-FR"/>
        </w:rPr>
        <w:t>.</w:t>
      </w:r>
    </w:p>
    <w:p w14:paraId="7B4AC00A" w14:textId="77777777" w:rsidR="00CA7253" w:rsidRPr="00A84091" w:rsidRDefault="00CA7253" w:rsidP="00CA7253">
      <w:pPr>
        <w:suppressAutoHyphens w:val="0"/>
        <w:kinsoku/>
        <w:overflowPunct/>
        <w:autoSpaceDE/>
        <w:autoSpaceDN/>
        <w:adjustRightInd/>
        <w:snapToGrid/>
        <w:spacing w:after="200" w:line="276" w:lineRule="auto"/>
        <w:rPr>
          <w:u w:val="single"/>
          <w:lang w:val="fr-BE"/>
        </w:rPr>
      </w:pPr>
      <w:r w:rsidRPr="00A84091">
        <w:rPr>
          <w:u w:val="single"/>
          <w:lang w:val="fr-BE"/>
        </w:rPr>
        <w:br w:type="page"/>
      </w:r>
    </w:p>
    <w:p w14:paraId="7DB63425" w14:textId="77777777" w:rsidR="00CA7253" w:rsidRPr="00A84091" w:rsidRDefault="00CA7253" w:rsidP="00CA7253">
      <w:pPr>
        <w:pStyle w:val="HChG"/>
        <w:rPr>
          <w:sz w:val="24"/>
          <w:szCs w:val="24"/>
          <w:lang w:val="fr-BE"/>
        </w:rPr>
      </w:pPr>
      <w:r>
        <w:rPr>
          <w:lang w:val="fr-FR"/>
        </w:rPr>
        <w:lastRenderedPageBreak/>
        <w:tab/>
      </w:r>
      <w:r>
        <w:rPr>
          <w:lang w:val="fr-FR"/>
        </w:rPr>
        <w:tab/>
        <w:t>Propositions</w:t>
      </w:r>
    </w:p>
    <w:p w14:paraId="51FB5AAA" w14:textId="77777777" w:rsidR="00CA7253" w:rsidRPr="00A84091" w:rsidRDefault="00CA7253" w:rsidP="00CA7253">
      <w:pPr>
        <w:pStyle w:val="SingleTxtG"/>
        <w:rPr>
          <w:lang w:val="fr-BE"/>
        </w:rPr>
      </w:pPr>
      <w:r>
        <w:rPr>
          <w:lang w:val="fr-FR"/>
        </w:rPr>
        <w:t>4.</w:t>
      </w:r>
      <w:r>
        <w:rPr>
          <w:lang w:val="fr-FR"/>
        </w:rPr>
        <w:tab/>
        <w:t>6.2.1.5.2</w:t>
      </w:r>
      <w:r>
        <w:rPr>
          <w:lang w:val="fr-FR"/>
        </w:rPr>
        <w:tab/>
        <w:t>Ajouter le nota suivant à la fin :</w:t>
      </w:r>
    </w:p>
    <w:p w14:paraId="32D202E7" w14:textId="77777777" w:rsidR="00CA7253" w:rsidRPr="00BC356A" w:rsidRDefault="00CA7253" w:rsidP="00CA7253">
      <w:pPr>
        <w:pStyle w:val="SingleTxtG"/>
        <w:rPr>
          <w:i/>
          <w:iCs/>
          <w:lang w:val="fr-BE"/>
        </w:rPr>
      </w:pPr>
      <w:r>
        <w:rPr>
          <w:lang w:val="fr-FR"/>
        </w:rPr>
        <w:t>« </w:t>
      </w:r>
      <w:r w:rsidRPr="00BC356A">
        <w:rPr>
          <w:b/>
          <w:bCs/>
          <w:i/>
          <w:iCs/>
          <w:lang w:val="fr-FR"/>
        </w:rPr>
        <w:t>NOTA</w:t>
      </w:r>
      <w:r w:rsidRPr="00BC356A">
        <w:rPr>
          <w:i/>
          <w:iCs/>
          <w:lang w:val="fr-FR"/>
        </w:rPr>
        <w:t> :</w:t>
      </w:r>
      <w:r w:rsidRPr="00BC356A">
        <w:rPr>
          <w:i/>
          <w:iCs/>
          <w:lang w:val="fr-FR"/>
        </w:rPr>
        <w:tab/>
      </w:r>
      <w:r w:rsidRPr="00BC356A">
        <w:rPr>
          <w:i/>
          <w:iCs/>
          <w:lang w:val="fr-BE"/>
        </w:rPr>
        <w:t>Les récipients cryogéniques fermés construits conformément aux prescriptions relatives aux inspections et épreuves initiales du 6.2.1.5.2 applicables dans la vingt et unième édition révisée du Règlement type mais qui ne sont cependant pas conformes aux prescriptions du 6.2.1.5.2 relatives aux inspections et épreuves initiales applicables selon la vingt-deuxième édition révisée du Règlement type peuvent encore être utilisés.</w:t>
      </w:r>
      <w:r>
        <w:rPr>
          <w:i/>
          <w:iCs/>
          <w:lang w:val="fr-BE"/>
        </w:rPr>
        <w:t> </w:t>
      </w:r>
      <w:r w:rsidRPr="00BC356A">
        <w:rPr>
          <w:lang w:val="fr-BE"/>
        </w:rPr>
        <w:t>»</w:t>
      </w:r>
      <w:r>
        <w:rPr>
          <w:lang w:val="fr-BE"/>
        </w:rPr>
        <w:t>.</w:t>
      </w:r>
    </w:p>
    <w:p w14:paraId="3DC614E9" w14:textId="77777777" w:rsidR="00CA7253" w:rsidRPr="00A84091" w:rsidRDefault="00CA7253" w:rsidP="00CA7253">
      <w:pPr>
        <w:pStyle w:val="SingleTxtG"/>
        <w:rPr>
          <w:lang w:val="fr-BE"/>
        </w:rPr>
      </w:pPr>
      <w:r>
        <w:rPr>
          <w:lang w:val="fr-FR"/>
        </w:rPr>
        <w:t>5.</w:t>
      </w:r>
      <w:r>
        <w:rPr>
          <w:lang w:val="fr-FR"/>
        </w:rPr>
        <w:tab/>
        <w:t>6.2.2.7.3</w:t>
      </w:r>
      <w:r>
        <w:rPr>
          <w:lang w:val="fr-FR"/>
        </w:rPr>
        <w:tab/>
        <w:t>Ajouter le nota suivant à la fin :</w:t>
      </w:r>
    </w:p>
    <w:p w14:paraId="731D02F0" w14:textId="77777777" w:rsidR="00CA7253" w:rsidRPr="00311F3B" w:rsidRDefault="00CA7253" w:rsidP="00CA7253">
      <w:pPr>
        <w:pStyle w:val="SingleTxtG"/>
        <w:rPr>
          <w:i/>
          <w:lang w:val="fr-BE"/>
        </w:rPr>
      </w:pPr>
      <w:r w:rsidRPr="00CA7253">
        <w:rPr>
          <w:bCs/>
          <w:iCs/>
          <w:lang w:val="fr-BE"/>
        </w:rPr>
        <w:t>«</w:t>
      </w:r>
      <w:r>
        <w:rPr>
          <w:bCs/>
          <w:i/>
          <w:lang w:val="fr-BE"/>
        </w:rPr>
        <w:t> </w:t>
      </w:r>
      <w:r w:rsidRPr="00311F3B">
        <w:rPr>
          <w:b/>
          <w:i/>
          <w:lang w:val="fr-BE"/>
        </w:rPr>
        <w:t>NOT</w:t>
      </w:r>
      <w:r>
        <w:rPr>
          <w:b/>
          <w:i/>
          <w:lang w:val="fr-BE"/>
        </w:rPr>
        <w:t>A</w:t>
      </w:r>
      <w:r w:rsidRPr="00BC356A">
        <w:rPr>
          <w:bCs/>
          <w:i/>
          <w:lang w:val="fr-BE"/>
        </w:rPr>
        <w:t> :</w:t>
      </w:r>
      <w:r w:rsidRPr="00311F3B">
        <w:rPr>
          <w:i/>
          <w:lang w:val="fr-BE"/>
        </w:rPr>
        <w:tab/>
        <w:t>Les bouteilles d</w:t>
      </w:r>
      <w:r>
        <w:rPr>
          <w:i/>
          <w:lang w:val="fr-BE"/>
        </w:rPr>
        <w:t>’</w:t>
      </w:r>
      <w:r w:rsidRPr="00311F3B">
        <w:rPr>
          <w:i/>
          <w:lang w:val="fr-BE"/>
        </w:rPr>
        <w:t xml:space="preserve">acétylène construites </w:t>
      </w:r>
      <w:r>
        <w:rPr>
          <w:i/>
          <w:lang w:val="fr-BE"/>
        </w:rPr>
        <w:t xml:space="preserve">conformément à la vingt et unième édition révisée du Règlement type </w:t>
      </w:r>
      <w:r w:rsidRPr="00311F3B">
        <w:rPr>
          <w:i/>
          <w:lang w:val="fr-BE"/>
        </w:rPr>
        <w:t xml:space="preserve">qui ne sont pas marquées conformément </w:t>
      </w:r>
      <w:r>
        <w:rPr>
          <w:i/>
          <w:lang w:val="fr-BE"/>
        </w:rPr>
        <w:t xml:space="preserve">aux prescriptions du </w:t>
      </w:r>
      <w:r w:rsidRPr="00311F3B">
        <w:rPr>
          <w:i/>
          <w:lang w:val="fr-BE"/>
        </w:rPr>
        <w:t>6.2.2.7.3 k) ou l) applicable</w:t>
      </w:r>
      <w:r>
        <w:rPr>
          <w:i/>
          <w:lang w:val="fr-BE"/>
        </w:rPr>
        <w:t>s</w:t>
      </w:r>
      <w:r w:rsidRPr="00311F3B">
        <w:rPr>
          <w:i/>
          <w:lang w:val="fr-BE"/>
        </w:rPr>
        <w:t xml:space="preserve"> </w:t>
      </w:r>
      <w:r>
        <w:rPr>
          <w:i/>
          <w:lang w:val="fr-BE"/>
        </w:rPr>
        <w:t xml:space="preserve">selon la vingt-deuxième édition révisée du Règlement type </w:t>
      </w:r>
      <w:r w:rsidRPr="00311F3B">
        <w:rPr>
          <w:i/>
          <w:lang w:val="fr-BE"/>
        </w:rPr>
        <w:t>peuvent encore être utilisé</w:t>
      </w:r>
      <w:r>
        <w:rPr>
          <w:i/>
          <w:lang w:val="fr-BE"/>
        </w:rPr>
        <w:t>e</w:t>
      </w:r>
      <w:r w:rsidRPr="00311F3B">
        <w:rPr>
          <w:i/>
          <w:lang w:val="fr-BE"/>
        </w:rPr>
        <w:t>s</w:t>
      </w:r>
      <w:r>
        <w:rPr>
          <w:i/>
          <w:lang w:val="fr-BE"/>
        </w:rPr>
        <w:t xml:space="preserve"> jusqu’à l’entrée en vigueur de la vingt-troisième édition révisée du Règlement type, </w:t>
      </w:r>
      <w:r>
        <w:rPr>
          <w:i/>
          <w:u w:val="single"/>
          <w:lang w:val="fr-BE"/>
        </w:rPr>
        <w:t>date à</w:t>
      </w:r>
      <w:r w:rsidRPr="000E1803">
        <w:rPr>
          <w:i/>
          <w:u w:val="single"/>
          <w:lang w:val="fr-BE"/>
        </w:rPr>
        <w:t xml:space="preserve"> laquelle elles </w:t>
      </w:r>
      <w:r>
        <w:rPr>
          <w:i/>
          <w:u w:val="single"/>
          <w:lang w:val="fr-BE"/>
        </w:rPr>
        <w:t xml:space="preserve">devront </w:t>
      </w:r>
      <w:r w:rsidRPr="000E1803">
        <w:rPr>
          <w:i/>
          <w:u w:val="single"/>
          <w:lang w:val="fr-BE"/>
        </w:rPr>
        <w:t xml:space="preserve">soit </w:t>
      </w:r>
      <w:r>
        <w:rPr>
          <w:i/>
          <w:u w:val="single"/>
          <w:lang w:val="fr-BE"/>
        </w:rPr>
        <w:t xml:space="preserve">être </w:t>
      </w:r>
      <w:r w:rsidRPr="000E1803">
        <w:rPr>
          <w:i/>
          <w:u w:val="single"/>
          <w:lang w:val="fr-BE"/>
        </w:rPr>
        <w:t>marquées conformément à cette nouvelle édition, soit retirées de la circulation</w:t>
      </w:r>
      <w:r w:rsidRPr="00311F3B">
        <w:rPr>
          <w:i/>
          <w:u w:val="single"/>
          <w:lang w:val="fr-BE"/>
        </w:rPr>
        <w:t>.</w:t>
      </w:r>
      <w:r>
        <w:rPr>
          <w:i/>
          <w:lang w:val="fr-BE"/>
        </w:rPr>
        <w:t> </w:t>
      </w:r>
      <w:r w:rsidRPr="00BC356A">
        <w:rPr>
          <w:iCs/>
          <w:lang w:val="fr-BE"/>
        </w:rPr>
        <w:t>»</w:t>
      </w:r>
      <w:r>
        <w:rPr>
          <w:iCs/>
          <w:lang w:val="fr-BE"/>
        </w:rPr>
        <w:t>.</w:t>
      </w:r>
    </w:p>
    <w:p w14:paraId="3B06984A" w14:textId="77777777" w:rsidR="00CA7253" w:rsidRPr="00A84091" w:rsidRDefault="00CA7253" w:rsidP="00CA7253">
      <w:pPr>
        <w:pStyle w:val="SingleTxtG"/>
        <w:rPr>
          <w:lang w:val="fr-BE"/>
        </w:rPr>
      </w:pPr>
      <w:r>
        <w:rPr>
          <w:lang w:val="fr-FR"/>
        </w:rPr>
        <w:t>6.</w:t>
      </w:r>
      <w:r>
        <w:rPr>
          <w:lang w:val="fr-FR"/>
        </w:rPr>
        <w:tab/>
        <w:t>6.2.2.11</w:t>
      </w:r>
      <w:r>
        <w:rPr>
          <w:lang w:val="fr-FR"/>
        </w:rPr>
        <w:tab/>
        <w:t>Ajouter le nota suivant à la fin :</w:t>
      </w:r>
    </w:p>
    <w:p w14:paraId="070D2654" w14:textId="77777777" w:rsidR="00CA7253" w:rsidRPr="000E1803" w:rsidRDefault="00CA7253" w:rsidP="00CA7253">
      <w:pPr>
        <w:pStyle w:val="SingleTxtG"/>
        <w:rPr>
          <w:i/>
          <w:iCs/>
          <w:lang w:val="fr-BE"/>
        </w:rPr>
      </w:pPr>
      <w:r w:rsidRPr="00CA7253">
        <w:rPr>
          <w:bCs/>
          <w:lang w:val="fr-BE"/>
        </w:rPr>
        <w:t>«</w:t>
      </w:r>
      <w:r>
        <w:rPr>
          <w:bCs/>
          <w:i/>
          <w:iCs/>
          <w:lang w:val="fr-BE"/>
        </w:rPr>
        <w:t> </w:t>
      </w:r>
      <w:r w:rsidRPr="000E1803">
        <w:rPr>
          <w:b/>
          <w:i/>
          <w:iCs/>
          <w:lang w:val="fr-BE"/>
        </w:rPr>
        <w:t>NOTA</w:t>
      </w:r>
      <w:r>
        <w:rPr>
          <w:b/>
          <w:i/>
          <w:iCs/>
          <w:lang w:val="fr-BE"/>
        </w:rPr>
        <w:t> </w:t>
      </w:r>
      <w:r w:rsidRPr="00BC356A">
        <w:rPr>
          <w:bCs/>
          <w:i/>
          <w:iCs/>
          <w:lang w:val="fr-BE"/>
        </w:rPr>
        <w:t>:</w:t>
      </w:r>
      <w:r w:rsidRPr="000E1803">
        <w:rPr>
          <w:i/>
          <w:iCs/>
          <w:lang w:val="fr-BE"/>
        </w:rPr>
        <w:tab/>
        <w:t xml:space="preserve">Les fermetures des récipients à pression rechargeables </w:t>
      </w:r>
      <w:r w:rsidRPr="000E1803">
        <w:rPr>
          <w:i/>
          <w:iCs/>
          <w:strike/>
          <w:lang w:val="fr-BE"/>
        </w:rPr>
        <w:t>construites</w:t>
      </w:r>
      <w:r w:rsidRPr="000E1803">
        <w:rPr>
          <w:i/>
          <w:iCs/>
          <w:lang w:val="fr-BE"/>
        </w:rPr>
        <w:t xml:space="preserve"> </w:t>
      </w:r>
      <w:r w:rsidRPr="008A232C">
        <w:rPr>
          <w:i/>
          <w:iCs/>
          <w:u w:val="single"/>
          <w:lang w:val="fr-BE"/>
        </w:rPr>
        <w:t>fabriquées</w:t>
      </w:r>
      <w:r>
        <w:rPr>
          <w:i/>
          <w:iCs/>
          <w:lang w:val="fr-BE"/>
        </w:rPr>
        <w:t xml:space="preserve"> </w:t>
      </w:r>
      <w:r w:rsidRPr="000E1803">
        <w:rPr>
          <w:i/>
          <w:iCs/>
          <w:u w:val="single"/>
          <w:lang w:val="fr-BE"/>
        </w:rPr>
        <w:t>avant le 1</w:t>
      </w:r>
      <w:r w:rsidRPr="00F13F9B">
        <w:rPr>
          <w:i/>
          <w:iCs/>
          <w:u w:val="single"/>
          <w:vertAlign w:val="superscript"/>
          <w:lang w:val="fr-BE"/>
        </w:rPr>
        <w:t>er</w:t>
      </w:r>
      <w:r>
        <w:rPr>
          <w:i/>
          <w:iCs/>
          <w:u w:val="single"/>
          <w:lang w:val="fr-BE"/>
        </w:rPr>
        <w:t xml:space="preserve"> </w:t>
      </w:r>
      <w:r w:rsidRPr="000E1803">
        <w:rPr>
          <w:i/>
          <w:iCs/>
          <w:u w:val="single"/>
          <w:lang w:val="fr-BE"/>
        </w:rPr>
        <w:t>juillet 2025</w:t>
      </w:r>
      <w:r w:rsidRPr="000E1803">
        <w:rPr>
          <w:i/>
          <w:iCs/>
          <w:lang w:val="fr-BE"/>
        </w:rPr>
        <w:t xml:space="preserve"> conformément </w:t>
      </w:r>
      <w:r>
        <w:rPr>
          <w:i/>
          <w:iCs/>
          <w:lang w:val="fr-BE"/>
        </w:rPr>
        <w:t xml:space="preserve">aux prescriptions </w:t>
      </w:r>
      <w:r w:rsidRPr="000E1803">
        <w:rPr>
          <w:i/>
          <w:iCs/>
          <w:lang w:val="fr-BE"/>
        </w:rPr>
        <w:t xml:space="preserve">applicables </w:t>
      </w:r>
      <w:r>
        <w:rPr>
          <w:i/>
          <w:iCs/>
          <w:lang w:val="fr-BE"/>
        </w:rPr>
        <w:t xml:space="preserve">selon la vingt et unième édition révisée du Règlement type et marquées conformément aux prescriptions du 6.2.2.11 applicables selon la vingt-deuxième édition révisée </w:t>
      </w:r>
      <w:r w:rsidRPr="000E1803">
        <w:rPr>
          <w:i/>
          <w:iCs/>
          <w:lang w:val="fr-BE"/>
        </w:rPr>
        <w:t>peuvent encore être utilisées.</w:t>
      </w:r>
      <w:r>
        <w:rPr>
          <w:i/>
          <w:iCs/>
          <w:lang w:val="fr-BE"/>
        </w:rPr>
        <w:t> </w:t>
      </w:r>
      <w:r w:rsidRPr="00CA7253">
        <w:rPr>
          <w:lang w:val="fr-BE"/>
        </w:rPr>
        <w:t>»</w:t>
      </w:r>
      <w:r w:rsidRPr="000E1803">
        <w:rPr>
          <w:i/>
          <w:iCs/>
          <w:lang w:val="fr-BE"/>
        </w:rPr>
        <w:t>.</w:t>
      </w:r>
    </w:p>
    <w:p w14:paraId="1E841705" w14:textId="77777777" w:rsidR="00CA7253" w:rsidRDefault="00CA7253" w:rsidP="00CA7253">
      <w:pPr>
        <w:spacing w:before="240"/>
        <w:jc w:val="center"/>
        <w:rPr>
          <w:u w:val="single"/>
          <w:lang w:val="fr-BE"/>
        </w:rPr>
      </w:pPr>
      <w:r w:rsidRPr="000E1803">
        <w:rPr>
          <w:u w:val="single"/>
          <w:lang w:val="fr-BE"/>
        </w:rPr>
        <w:tab/>
      </w:r>
      <w:r w:rsidRPr="000E1803">
        <w:rPr>
          <w:u w:val="single"/>
          <w:lang w:val="fr-BE"/>
        </w:rPr>
        <w:tab/>
      </w:r>
      <w:r w:rsidRPr="000E1803">
        <w:rPr>
          <w:u w:val="single"/>
          <w:lang w:val="fr-BE"/>
        </w:rPr>
        <w:tab/>
      </w:r>
    </w:p>
    <w:p w14:paraId="323229EC" w14:textId="77777777" w:rsidR="00446FE5" w:rsidRPr="00CA7253" w:rsidRDefault="00446FE5" w:rsidP="00CA7253">
      <w:pPr>
        <w:spacing w:before="120"/>
        <w:rPr>
          <w:lang w:val="fr-BE"/>
        </w:rPr>
      </w:pPr>
    </w:p>
    <w:sectPr w:rsidR="00446FE5" w:rsidRPr="00CA7253" w:rsidSect="00CA725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6A969" w14:textId="77777777" w:rsidR="00E721A5" w:rsidRDefault="00E721A5" w:rsidP="00F95C08">
      <w:pPr>
        <w:spacing w:line="240" w:lineRule="auto"/>
      </w:pPr>
    </w:p>
  </w:endnote>
  <w:endnote w:type="continuationSeparator" w:id="0">
    <w:p w14:paraId="5FD41E92" w14:textId="77777777" w:rsidR="00E721A5" w:rsidRPr="00AC3823" w:rsidRDefault="00E721A5" w:rsidP="00AC3823">
      <w:pPr>
        <w:pStyle w:val="Footer"/>
      </w:pPr>
    </w:p>
  </w:endnote>
  <w:endnote w:type="continuationNotice" w:id="1">
    <w:p w14:paraId="57E5EBBD" w14:textId="77777777" w:rsidR="00E721A5" w:rsidRDefault="00E721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30E5" w14:textId="5B2FE4EB" w:rsidR="00CA7253" w:rsidRPr="00CA7253" w:rsidRDefault="00CA7253" w:rsidP="00CA7253">
    <w:pPr>
      <w:pStyle w:val="Footer"/>
      <w:tabs>
        <w:tab w:val="right" w:pos="9638"/>
      </w:tabs>
    </w:pPr>
    <w:r w:rsidRPr="00CA7253">
      <w:rPr>
        <w:b/>
        <w:sz w:val="18"/>
      </w:rPr>
      <w:fldChar w:fldCharType="begin"/>
    </w:r>
    <w:r w:rsidRPr="00CA7253">
      <w:rPr>
        <w:b/>
        <w:sz w:val="18"/>
      </w:rPr>
      <w:instrText xml:space="preserve"> PAGE  \* MERGEFORMAT </w:instrText>
    </w:r>
    <w:r w:rsidRPr="00CA7253">
      <w:rPr>
        <w:b/>
        <w:sz w:val="18"/>
      </w:rPr>
      <w:fldChar w:fldCharType="separate"/>
    </w:r>
    <w:r w:rsidRPr="00CA7253">
      <w:rPr>
        <w:b/>
        <w:noProof/>
        <w:sz w:val="18"/>
      </w:rPr>
      <w:t>2</w:t>
    </w:r>
    <w:r w:rsidRPr="00CA7253">
      <w:rPr>
        <w:b/>
        <w:sz w:val="18"/>
      </w:rPr>
      <w:fldChar w:fldCharType="end"/>
    </w:r>
    <w:r>
      <w:rPr>
        <w:b/>
        <w:sz w:val="18"/>
      </w:rPr>
      <w:tab/>
    </w:r>
    <w:r>
      <w:t>GE.22-04515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5ECB" w14:textId="1EDF53C9" w:rsidR="00CA7253" w:rsidRPr="00CA7253" w:rsidRDefault="00CA7253" w:rsidP="00CA7253">
    <w:pPr>
      <w:pStyle w:val="Footer"/>
      <w:tabs>
        <w:tab w:val="right" w:pos="9638"/>
      </w:tabs>
      <w:rPr>
        <w:b/>
        <w:sz w:val="18"/>
      </w:rPr>
    </w:pPr>
    <w:r>
      <w:t>GE.22-04515</w:t>
    </w:r>
    <w:r>
      <w:tab/>
    </w:r>
    <w:r w:rsidRPr="00CA7253">
      <w:rPr>
        <w:b/>
        <w:sz w:val="18"/>
      </w:rPr>
      <w:fldChar w:fldCharType="begin"/>
    </w:r>
    <w:r w:rsidRPr="00CA7253">
      <w:rPr>
        <w:b/>
        <w:sz w:val="18"/>
      </w:rPr>
      <w:instrText xml:space="preserve"> PAGE  \* MERGEFORMAT </w:instrText>
    </w:r>
    <w:r w:rsidRPr="00CA7253">
      <w:rPr>
        <w:b/>
        <w:sz w:val="18"/>
      </w:rPr>
      <w:fldChar w:fldCharType="separate"/>
    </w:r>
    <w:r w:rsidRPr="00CA7253">
      <w:rPr>
        <w:b/>
        <w:noProof/>
        <w:sz w:val="18"/>
      </w:rPr>
      <w:t>3</w:t>
    </w:r>
    <w:r w:rsidRPr="00CA725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0B4F" w14:textId="3737BCA5" w:rsidR="0068456F" w:rsidRPr="00CA7253" w:rsidRDefault="00CA7253" w:rsidP="00CA7253">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F54013F" wp14:editId="76C47DE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04515  (</w:t>
    </w:r>
    <w:proofErr w:type="gramEnd"/>
    <w:r>
      <w:rPr>
        <w:sz w:val="20"/>
      </w:rPr>
      <w:t>F)</w:t>
    </w:r>
    <w:r>
      <w:rPr>
        <w:noProof/>
        <w:sz w:val="20"/>
      </w:rPr>
      <w:drawing>
        <wp:anchor distT="0" distB="0" distL="114300" distR="114300" simplePos="0" relativeHeight="251660288" behindDoc="0" locked="0" layoutInCell="1" allowOverlap="1" wp14:anchorId="1B98AB1A" wp14:editId="1142DAD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200422    200422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AA56" w14:textId="77777777" w:rsidR="00E721A5" w:rsidRPr="00AC3823" w:rsidRDefault="00E721A5" w:rsidP="00AC3823">
      <w:pPr>
        <w:pStyle w:val="Footer"/>
        <w:tabs>
          <w:tab w:val="right" w:pos="2155"/>
        </w:tabs>
        <w:spacing w:after="80" w:line="240" w:lineRule="atLeast"/>
        <w:ind w:left="680"/>
        <w:rPr>
          <w:u w:val="single"/>
        </w:rPr>
      </w:pPr>
      <w:r>
        <w:rPr>
          <w:u w:val="single"/>
        </w:rPr>
        <w:tab/>
      </w:r>
    </w:p>
  </w:footnote>
  <w:footnote w:type="continuationSeparator" w:id="0">
    <w:p w14:paraId="100A5258" w14:textId="77777777" w:rsidR="00E721A5" w:rsidRPr="00AC3823" w:rsidRDefault="00E721A5" w:rsidP="00AC3823">
      <w:pPr>
        <w:pStyle w:val="Footer"/>
        <w:tabs>
          <w:tab w:val="right" w:pos="2155"/>
        </w:tabs>
        <w:spacing w:after="80" w:line="240" w:lineRule="atLeast"/>
        <w:ind w:left="680"/>
        <w:rPr>
          <w:u w:val="single"/>
        </w:rPr>
      </w:pPr>
      <w:r>
        <w:rPr>
          <w:u w:val="single"/>
        </w:rPr>
        <w:tab/>
      </w:r>
    </w:p>
  </w:footnote>
  <w:footnote w:type="continuationNotice" w:id="1">
    <w:p w14:paraId="2EADEDAB" w14:textId="77777777" w:rsidR="00E721A5" w:rsidRPr="00AC3823" w:rsidRDefault="00E721A5">
      <w:pPr>
        <w:spacing w:line="240" w:lineRule="auto"/>
        <w:rPr>
          <w:sz w:val="2"/>
          <w:szCs w:val="2"/>
        </w:rPr>
      </w:pPr>
    </w:p>
  </w:footnote>
  <w:footnote w:id="2">
    <w:p w14:paraId="435A4361" w14:textId="3641B830" w:rsidR="00CA7253" w:rsidRPr="00CA7253" w:rsidRDefault="00CA7253">
      <w:pPr>
        <w:pStyle w:val="FootnoteText"/>
      </w:pPr>
      <w:r>
        <w:rPr>
          <w:rStyle w:val="FootnoteReference"/>
        </w:rPr>
        <w:tab/>
      </w:r>
      <w:r w:rsidRPr="00CA7253">
        <w:rPr>
          <w:rStyle w:val="FootnoteReference"/>
          <w:sz w:val="20"/>
          <w:vertAlign w:val="baseline"/>
        </w:rPr>
        <w:t>*</w:t>
      </w:r>
      <w:r>
        <w:rPr>
          <w:rStyle w:val="FootnoteReference"/>
          <w:sz w:val="20"/>
          <w:vertAlign w:val="baseline"/>
        </w:rPr>
        <w:tab/>
      </w:r>
      <w:r>
        <w:rPr>
          <w:lang w:val="fr-FR"/>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74B6" w14:textId="5BF42C24" w:rsidR="00CA7253" w:rsidRPr="00CA7253" w:rsidRDefault="00E721A5">
    <w:pPr>
      <w:pStyle w:val="Header"/>
    </w:pPr>
    <w:r>
      <w:fldChar w:fldCharType="begin"/>
    </w:r>
    <w:r>
      <w:instrText xml:space="preserve"> TITLE  \* MERGEFORMAT </w:instrText>
    </w:r>
    <w:r>
      <w:fldChar w:fldCharType="separate"/>
    </w:r>
    <w:r w:rsidR="00940B64">
      <w:t>ST/SG/AC.10/C.3/2022/6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117E" w14:textId="73987F9F" w:rsidR="00CA7253" w:rsidRPr="00CA7253" w:rsidRDefault="00E721A5" w:rsidP="00CA7253">
    <w:pPr>
      <w:pStyle w:val="Header"/>
      <w:jc w:val="right"/>
    </w:pPr>
    <w:r>
      <w:fldChar w:fldCharType="begin"/>
    </w:r>
    <w:r>
      <w:instrText xml:space="preserve"> TITLE  \* MERGEFORMAT </w:instrText>
    </w:r>
    <w:r>
      <w:fldChar w:fldCharType="separate"/>
    </w:r>
    <w:r w:rsidR="00940B64">
      <w:t>ST/SG/AC.10/C.3/2022/6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02"/>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3E334F"/>
    <w:rsid w:val="00441C3B"/>
    <w:rsid w:val="00446FE5"/>
    <w:rsid w:val="00452396"/>
    <w:rsid w:val="00493902"/>
    <w:rsid w:val="004E468C"/>
    <w:rsid w:val="005505B7"/>
    <w:rsid w:val="00573BE5"/>
    <w:rsid w:val="00584DC4"/>
    <w:rsid w:val="00586ED3"/>
    <w:rsid w:val="00596AA9"/>
    <w:rsid w:val="0068456F"/>
    <w:rsid w:val="0071601D"/>
    <w:rsid w:val="007A62E6"/>
    <w:rsid w:val="0080684C"/>
    <w:rsid w:val="008123E0"/>
    <w:rsid w:val="008545F6"/>
    <w:rsid w:val="00871C75"/>
    <w:rsid w:val="008776DC"/>
    <w:rsid w:val="00882975"/>
    <w:rsid w:val="008B40CD"/>
    <w:rsid w:val="00940B64"/>
    <w:rsid w:val="009705C8"/>
    <w:rsid w:val="009C1CF4"/>
    <w:rsid w:val="00A30353"/>
    <w:rsid w:val="00A81281"/>
    <w:rsid w:val="00AC3823"/>
    <w:rsid w:val="00AE323C"/>
    <w:rsid w:val="00B00181"/>
    <w:rsid w:val="00B00B0D"/>
    <w:rsid w:val="00B765F7"/>
    <w:rsid w:val="00BA0CA9"/>
    <w:rsid w:val="00C02897"/>
    <w:rsid w:val="00CA7253"/>
    <w:rsid w:val="00D3439C"/>
    <w:rsid w:val="00DB1831"/>
    <w:rsid w:val="00DD3BFD"/>
    <w:rsid w:val="00DF6678"/>
    <w:rsid w:val="00E721A5"/>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3E4E5"/>
  <w15:docId w15:val="{DEACAFB3-25B2-4CAE-888A-22B343C3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qFormat/>
    <w:rsid w:val="00CA7253"/>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CA7253"/>
    <w:rPr>
      <w:rFonts w:ascii="Times New Roman" w:eastAsiaTheme="minorHAnsi" w:hAnsi="Times New Roman" w:cs="Times New Roman"/>
      <w:sz w:val="20"/>
      <w:szCs w:val="20"/>
      <w:lang w:eastAsia="en-US"/>
    </w:rPr>
  </w:style>
  <w:style w:type="character" w:customStyle="1" w:styleId="H1GChar">
    <w:name w:val="_ H_1_G Char"/>
    <w:link w:val="H1G"/>
    <w:rsid w:val="00CA7253"/>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ST/SG/AC.10/C.3/2022/6</dc:title>
  <dc:subject/>
  <dc:creator>Sandrine CLERE</dc:creator>
  <cp:keywords/>
  <cp:lastModifiedBy>Laurence Berthet</cp:lastModifiedBy>
  <cp:revision>3</cp:revision>
  <cp:lastPrinted>2022-05-20T06:51:00Z</cp:lastPrinted>
  <dcterms:created xsi:type="dcterms:W3CDTF">2022-05-20T06:51:00Z</dcterms:created>
  <dcterms:modified xsi:type="dcterms:W3CDTF">2022-05-20T06:51:00Z</dcterms:modified>
</cp:coreProperties>
</file>