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CD8585A" w14:textId="77777777" w:rsidTr="00F01738">
        <w:trPr>
          <w:trHeight w:hRule="exact" w:val="851"/>
        </w:trPr>
        <w:tc>
          <w:tcPr>
            <w:tcW w:w="1276" w:type="dxa"/>
            <w:tcBorders>
              <w:bottom w:val="single" w:sz="4" w:space="0" w:color="auto"/>
            </w:tcBorders>
          </w:tcPr>
          <w:p w14:paraId="49207267" w14:textId="77777777" w:rsidR="00132EA9" w:rsidRPr="00DB58B5" w:rsidRDefault="00132EA9" w:rsidP="00234222"/>
        </w:tc>
        <w:tc>
          <w:tcPr>
            <w:tcW w:w="2268" w:type="dxa"/>
            <w:tcBorders>
              <w:bottom w:val="single" w:sz="4" w:space="0" w:color="auto"/>
            </w:tcBorders>
            <w:vAlign w:val="bottom"/>
          </w:tcPr>
          <w:p w14:paraId="7CD1BDD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6C0A6B" w14:textId="4E9FD606" w:rsidR="00132EA9" w:rsidRPr="00DB58B5" w:rsidRDefault="00234222" w:rsidP="00234222">
            <w:pPr>
              <w:jc w:val="right"/>
            </w:pPr>
            <w:r w:rsidRPr="00234222">
              <w:rPr>
                <w:sz w:val="40"/>
              </w:rPr>
              <w:t>ST</w:t>
            </w:r>
            <w:r>
              <w:t>/SG/AC.10/C.3/2022/5</w:t>
            </w:r>
          </w:p>
        </w:tc>
      </w:tr>
      <w:tr w:rsidR="00132EA9" w:rsidRPr="00DB58B5" w14:paraId="24D8AA9F" w14:textId="77777777" w:rsidTr="00F01738">
        <w:trPr>
          <w:trHeight w:hRule="exact" w:val="2835"/>
        </w:trPr>
        <w:tc>
          <w:tcPr>
            <w:tcW w:w="1276" w:type="dxa"/>
            <w:tcBorders>
              <w:top w:val="single" w:sz="4" w:space="0" w:color="auto"/>
              <w:bottom w:val="single" w:sz="12" w:space="0" w:color="auto"/>
            </w:tcBorders>
          </w:tcPr>
          <w:p w14:paraId="42C2585A" w14:textId="77777777" w:rsidR="00132EA9" w:rsidRPr="00DB58B5" w:rsidRDefault="00132EA9" w:rsidP="00F01738">
            <w:pPr>
              <w:spacing w:before="120"/>
              <w:jc w:val="center"/>
            </w:pPr>
            <w:r>
              <w:rPr>
                <w:noProof/>
                <w:lang w:eastAsia="fr-CH"/>
              </w:rPr>
              <w:drawing>
                <wp:inline distT="0" distB="0" distL="0" distR="0" wp14:anchorId="209F3152" wp14:editId="1633DD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C43EA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E493872" w14:textId="77777777" w:rsidR="00132EA9" w:rsidRDefault="00234222" w:rsidP="00F01738">
            <w:pPr>
              <w:spacing w:before="240"/>
            </w:pPr>
            <w:proofErr w:type="spellStart"/>
            <w:r>
              <w:t>Distr</w:t>
            </w:r>
            <w:proofErr w:type="spellEnd"/>
            <w:r>
              <w:t xml:space="preserve">. </w:t>
            </w:r>
            <w:proofErr w:type="gramStart"/>
            <w:r>
              <w:t>générale</w:t>
            </w:r>
            <w:proofErr w:type="gramEnd"/>
          </w:p>
          <w:p w14:paraId="27A34D68" w14:textId="77777777" w:rsidR="00234222" w:rsidRDefault="00234222" w:rsidP="00234222">
            <w:pPr>
              <w:spacing w:line="240" w:lineRule="exact"/>
            </w:pPr>
            <w:r>
              <w:t>5 avril 2022</w:t>
            </w:r>
          </w:p>
          <w:p w14:paraId="7DB0D725" w14:textId="77777777" w:rsidR="00234222" w:rsidRDefault="00234222" w:rsidP="00234222">
            <w:pPr>
              <w:spacing w:line="240" w:lineRule="exact"/>
            </w:pPr>
            <w:r>
              <w:t>Français</w:t>
            </w:r>
          </w:p>
          <w:p w14:paraId="67A44ADB" w14:textId="5B3A011D" w:rsidR="00234222" w:rsidRPr="00DB58B5" w:rsidRDefault="00234222" w:rsidP="00234222">
            <w:pPr>
              <w:spacing w:line="240" w:lineRule="exact"/>
            </w:pPr>
            <w:r>
              <w:t>Original : anglais</w:t>
            </w:r>
          </w:p>
        </w:tc>
      </w:tr>
    </w:tbl>
    <w:p w14:paraId="75082EAC" w14:textId="42633A49" w:rsidR="00BF65BE" w:rsidRPr="00BF65BE" w:rsidRDefault="00BF65BE" w:rsidP="00BF65BE">
      <w:pPr>
        <w:spacing w:before="120"/>
        <w:rPr>
          <w:b/>
          <w:sz w:val="32"/>
          <w:szCs w:val="32"/>
          <w:lang w:val="fr-FR"/>
        </w:rPr>
      </w:pPr>
      <w:r w:rsidRPr="00BF65BE">
        <w:rPr>
          <w:b/>
          <w:bCs/>
          <w:sz w:val="24"/>
          <w:szCs w:val="24"/>
          <w:lang w:val="fr-FR"/>
        </w:rPr>
        <w:t xml:space="preserve">Comité d’experts du transport des marchandises dangereuses </w:t>
      </w:r>
      <w:r>
        <w:rPr>
          <w:b/>
          <w:bCs/>
          <w:sz w:val="24"/>
          <w:szCs w:val="24"/>
          <w:lang w:val="fr-FR"/>
        </w:rPr>
        <w:br/>
      </w:r>
      <w:proofErr w:type="gramStart"/>
      <w:r w:rsidRPr="00BF65BE">
        <w:rPr>
          <w:b/>
          <w:bCs/>
          <w:sz w:val="24"/>
          <w:szCs w:val="24"/>
          <w:lang w:val="fr-FR"/>
        </w:rPr>
        <w:t>et</w:t>
      </w:r>
      <w:proofErr w:type="gramEnd"/>
      <w:r w:rsidRPr="00BF65BE">
        <w:rPr>
          <w:b/>
          <w:bCs/>
          <w:sz w:val="24"/>
          <w:szCs w:val="24"/>
          <w:lang w:val="fr-FR"/>
        </w:rPr>
        <w:t xml:space="preserve"> du Système général harmonisé de classification </w:t>
      </w:r>
      <w:r>
        <w:rPr>
          <w:b/>
          <w:bCs/>
          <w:sz w:val="24"/>
          <w:szCs w:val="24"/>
          <w:lang w:val="fr-FR"/>
        </w:rPr>
        <w:br/>
      </w:r>
      <w:r w:rsidRPr="00BF65BE">
        <w:rPr>
          <w:b/>
          <w:bCs/>
          <w:sz w:val="24"/>
          <w:szCs w:val="24"/>
          <w:lang w:val="fr-FR"/>
        </w:rPr>
        <w:t>et d’étiquetage des produits chimiques</w:t>
      </w:r>
    </w:p>
    <w:p w14:paraId="55F365D5" w14:textId="77777777" w:rsidR="00BF65BE" w:rsidRPr="00BF65BE" w:rsidRDefault="00BF65BE" w:rsidP="00BF65BE">
      <w:pPr>
        <w:spacing w:before="120"/>
        <w:rPr>
          <w:b/>
          <w:color w:val="000000"/>
          <w:lang w:val="fr-FR"/>
        </w:rPr>
      </w:pPr>
      <w:r w:rsidRPr="00BF65BE">
        <w:rPr>
          <w:b/>
          <w:bCs/>
          <w:lang w:val="fr-FR"/>
        </w:rPr>
        <w:t>Sous-Comité d’experts du transport des marchandises dangereuses</w:t>
      </w:r>
    </w:p>
    <w:p w14:paraId="75968533" w14:textId="77777777" w:rsidR="00BF65BE" w:rsidRPr="00BF65BE" w:rsidRDefault="00BF65BE" w:rsidP="00BF65BE">
      <w:pPr>
        <w:spacing w:before="120"/>
        <w:rPr>
          <w:b/>
          <w:lang w:val="fr-FR"/>
        </w:rPr>
      </w:pPr>
      <w:r w:rsidRPr="00BF65BE">
        <w:rPr>
          <w:b/>
          <w:bCs/>
          <w:lang w:val="fr-FR"/>
        </w:rPr>
        <w:t>Soixantième session</w:t>
      </w:r>
    </w:p>
    <w:p w14:paraId="2A80FA27" w14:textId="77777777" w:rsidR="00BF65BE" w:rsidRPr="00BF65BE" w:rsidRDefault="00BF65BE" w:rsidP="00BF65BE">
      <w:pPr>
        <w:rPr>
          <w:lang w:val="fr-FR"/>
        </w:rPr>
      </w:pPr>
      <w:r w:rsidRPr="00BF65BE">
        <w:rPr>
          <w:lang w:val="fr-FR"/>
        </w:rPr>
        <w:t xml:space="preserve">Genève, 27 juin-6 juillet 2022 </w:t>
      </w:r>
    </w:p>
    <w:p w14:paraId="31097120" w14:textId="77777777" w:rsidR="00BF65BE" w:rsidRPr="00BF65BE" w:rsidRDefault="00BF65BE" w:rsidP="00BF65BE">
      <w:pPr>
        <w:rPr>
          <w:lang w:val="fr-FR"/>
        </w:rPr>
      </w:pPr>
      <w:r w:rsidRPr="00BF65BE">
        <w:rPr>
          <w:lang w:val="fr-FR"/>
        </w:rPr>
        <w:t>Point 14 de l’ordre du jour provisoire</w:t>
      </w:r>
    </w:p>
    <w:p w14:paraId="5245B2FD" w14:textId="77777777" w:rsidR="00BF65BE" w:rsidRPr="00BF65BE" w:rsidRDefault="00BF65BE" w:rsidP="00BF65BE">
      <w:pPr>
        <w:rPr>
          <w:b/>
          <w:bCs/>
          <w:lang w:val="fr-FR"/>
        </w:rPr>
      </w:pPr>
      <w:r w:rsidRPr="00BF65BE">
        <w:rPr>
          <w:b/>
          <w:bCs/>
          <w:lang w:val="fr-FR"/>
        </w:rPr>
        <w:t>Questions diverses</w:t>
      </w:r>
    </w:p>
    <w:p w14:paraId="56F06FFF" w14:textId="77777777" w:rsidR="00BF65BE" w:rsidRPr="00A248B0" w:rsidRDefault="00BF65BE" w:rsidP="00BF65BE">
      <w:pPr>
        <w:pStyle w:val="HChG"/>
        <w:rPr>
          <w:lang w:val="fr-FR"/>
        </w:rPr>
      </w:pPr>
      <w:r>
        <w:rPr>
          <w:lang w:val="fr-FR"/>
        </w:rPr>
        <w:tab/>
      </w:r>
      <w:r>
        <w:rPr>
          <w:lang w:val="fr-FR"/>
        </w:rPr>
        <w:tab/>
        <w:t>Déclassification de documents anciens</w:t>
      </w:r>
    </w:p>
    <w:p w14:paraId="61056C8A" w14:textId="77777777" w:rsidR="00BF65BE" w:rsidRPr="007A4DAD" w:rsidRDefault="00BF65BE" w:rsidP="00BF65BE">
      <w:pPr>
        <w:pStyle w:val="H1G"/>
        <w:rPr>
          <w:lang w:val="fr-FR"/>
        </w:rPr>
      </w:pPr>
      <w:r>
        <w:rPr>
          <w:lang w:val="fr-FR"/>
        </w:rPr>
        <w:tab/>
      </w:r>
      <w:r>
        <w:rPr>
          <w:lang w:val="fr-FR"/>
        </w:rPr>
        <w:tab/>
        <w:t>Note du secrétariat</w:t>
      </w:r>
      <w:r w:rsidRPr="00BF65BE">
        <w:rPr>
          <w:rStyle w:val="FootnoteReference"/>
          <w:b w:val="0"/>
          <w:bCs/>
          <w:sz w:val="20"/>
          <w:vertAlign w:val="baseline"/>
          <w:lang w:val="fr-FR"/>
        </w:rPr>
        <w:footnoteReference w:customMarkFollows="1" w:id="2"/>
        <w:t>*</w:t>
      </w:r>
    </w:p>
    <w:p w14:paraId="2821E158" w14:textId="411A2742" w:rsidR="00BF65BE" w:rsidRPr="007A4DAD" w:rsidRDefault="00BF65BE" w:rsidP="00BF65BE">
      <w:pPr>
        <w:pStyle w:val="HChG"/>
        <w:rPr>
          <w:lang w:val="fr-FR"/>
        </w:rPr>
      </w:pPr>
      <w:r>
        <w:rPr>
          <w:lang w:val="fr-FR"/>
        </w:rPr>
        <w:tab/>
        <w:t>I.</w:t>
      </w:r>
      <w:r>
        <w:rPr>
          <w:lang w:val="fr-FR"/>
        </w:rPr>
        <w:tab/>
        <w:t>Justification</w:t>
      </w:r>
    </w:p>
    <w:p w14:paraId="36CEC66F" w14:textId="5798FE46" w:rsidR="00BF65BE" w:rsidRPr="00A248B0" w:rsidRDefault="00BF65BE" w:rsidP="00BF65BE">
      <w:pPr>
        <w:pStyle w:val="SingleTxtG"/>
        <w:rPr>
          <w:lang w:val="fr-FR"/>
        </w:rPr>
      </w:pPr>
      <w:r>
        <w:rPr>
          <w:lang w:val="fr-FR"/>
        </w:rPr>
        <w:t>1.</w:t>
      </w:r>
      <w:r>
        <w:rPr>
          <w:lang w:val="fr-FR"/>
        </w:rPr>
        <w:tab/>
        <w:t>À l’heure actuelle, l’ONU conserve dans ses archives des documents dont ont été saisis le Sous-Comité d’experts du transport des marchandises dangereuses et les organes qui l’ont précédé. En plus de la version papier, beaucoup de ces documents existent également en version numérique (ou ont été numérisés) et sont actuellement disponibles dans le Système de diffusion électronique des documents (</w:t>
      </w:r>
      <w:proofErr w:type="spellStart"/>
      <w:r>
        <w:rPr>
          <w:lang w:val="fr-FR"/>
        </w:rPr>
        <w:t>Sédoc</w:t>
      </w:r>
      <w:proofErr w:type="spellEnd"/>
      <w:r w:rsidRPr="00C54E87">
        <w:rPr>
          <w:rStyle w:val="FootnoteReference"/>
        </w:rPr>
        <w:footnoteReference w:id="3"/>
      </w:r>
      <w:r>
        <w:rPr>
          <w:lang w:val="fr-FR"/>
        </w:rPr>
        <w:t>). Toutefois, pour les raisons expliquées ci</w:t>
      </w:r>
      <w:r>
        <w:rPr>
          <w:lang w:val="fr-FR"/>
        </w:rPr>
        <w:noBreakHyphen/>
        <w:t xml:space="preserve">après, nombre de ces documents, à leur parution, ont été classés « à distribution restreinte » et ne sont ainsi pas accessibles aux représentants et au grand public, sauf sur demande d’autorisation spéciale. De plus, ces documents à distribution restreinte n’apparaissant pas dans les résultats des recherches effectuées dans le </w:t>
      </w:r>
      <w:proofErr w:type="spellStart"/>
      <w:r>
        <w:rPr>
          <w:lang w:val="fr-FR"/>
        </w:rPr>
        <w:t>Sédoc</w:t>
      </w:r>
      <w:proofErr w:type="spellEnd"/>
      <w:r>
        <w:rPr>
          <w:lang w:val="fr-FR"/>
        </w:rPr>
        <w:t>, les personnes qui cherchent d’anciennes décisions des organes susmentionnés peuvent ignorer jusqu’à leur existence.</w:t>
      </w:r>
    </w:p>
    <w:p w14:paraId="359F6585" w14:textId="13A093A2" w:rsidR="00BF65BE" w:rsidRPr="00A248B0" w:rsidRDefault="00BF65BE" w:rsidP="00BF65BE">
      <w:pPr>
        <w:pStyle w:val="SingleTxtG"/>
        <w:rPr>
          <w:lang w:val="fr-FR"/>
        </w:rPr>
      </w:pPr>
      <w:r>
        <w:rPr>
          <w:lang w:val="fr-FR"/>
        </w:rPr>
        <w:t>2.</w:t>
      </w:r>
      <w:r>
        <w:rPr>
          <w:lang w:val="fr-FR"/>
        </w:rPr>
        <w:tab/>
        <w:t>Plusieurs délégations ont déjà demandé au secrétariat si ces restrictions pouvaient être levées et le secrétariat a entamé des discussions avec la Bibliothèque des Nations Unies et la Division de la gestion des conférences pour demander que ces documents soient déclassifiés. Pour que cette requête puisse aboutir, l’actuel Sous-Comité d’experts du transport des marchandises dangereuses doit examiner la question et décider s’il souhaite ou non déclassifier ces documents.</w:t>
      </w:r>
    </w:p>
    <w:p w14:paraId="3F0666F3" w14:textId="77777777" w:rsidR="00BF65BE" w:rsidRPr="00A248B0" w:rsidRDefault="00BF65BE" w:rsidP="00BF65BE">
      <w:pPr>
        <w:pStyle w:val="SingleTxtG"/>
        <w:rPr>
          <w:lang w:val="fr-FR"/>
        </w:rPr>
      </w:pPr>
      <w:r>
        <w:rPr>
          <w:lang w:val="fr-FR"/>
        </w:rPr>
        <w:t>3.</w:t>
      </w:r>
      <w:r>
        <w:rPr>
          <w:lang w:val="fr-FR"/>
        </w:rPr>
        <w:tab/>
        <w:t>Le présent document a pour but d’informer le Sous-Comité de la nature de ces documents et des raisons pour lesquelles leur distribution a initialement été restreinte afin qu’il puisse décider s’il souhaite ou non demander leur déclassification.</w:t>
      </w:r>
    </w:p>
    <w:p w14:paraId="73A844A0" w14:textId="124C6A06" w:rsidR="00BF65BE" w:rsidRPr="00A248B0" w:rsidRDefault="00BF65BE" w:rsidP="00BF65BE">
      <w:pPr>
        <w:pStyle w:val="HChG"/>
        <w:rPr>
          <w:lang w:val="fr-FR"/>
        </w:rPr>
      </w:pPr>
      <w:r>
        <w:rPr>
          <w:lang w:val="fr-FR"/>
        </w:rPr>
        <w:lastRenderedPageBreak/>
        <w:tab/>
        <w:t>II.</w:t>
      </w:r>
      <w:r>
        <w:rPr>
          <w:lang w:val="fr-FR"/>
        </w:rPr>
        <w:tab/>
        <w:t>Champ d’application</w:t>
      </w:r>
    </w:p>
    <w:p w14:paraId="195DB1DA" w14:textId="77777777" w:rsidR="00BF65BE" w:rsidRPr="00A248B0" w:rsidRDefault="00BF65BE" w:rsidP="00BF65BE">
      <w:pPr>
        <w:pStyle w:val="SingleTxtG"/>
        <w:keepNext/>
        <w:rPr>
          <w:lang w:val="fr-FR"/>
        </w:rPr>
      </w:pPr>
      <w:r>
        <w:rPr>
          <w:lang w:val="fr-FR"/>
        </w:rPr>
        <w:t>4.</w:t>
      </w:r>
      <w:r>
        <w:rPr>
          <w:lang w:val="fr-FR"/>
        </w:rPr>
        <w:tab/>
        <w:t>Le secrétariat a recensé les cinq séries de documents suivantes, pour lesquelles une déclassification serait justifiée (les noms des organismes responsables sont indiqués entre parenthèses) :</w:t>
      </w:r>
    </w:p>
    <w:p w14:paraId="3A7CB842" w14:textId="5BB6EA2A" w:rsidR="00BF65BE" w:rsidRPr="00A248B0" w:rsidRDefault="00BF65BE" w:rsidP="00BF65BE">
      <w:pPr>
        <w:pStyle w:val="Bullet1G"/>
        <w:rPr>
          <w:lang w:val="fr-FR"/>
        </w:rPr>
      </w:pPr>
      <w:r>
        <w:rPr>
          <w:lang w:val="fr-FR"/>
        </w:rPr>
        <w:t>E/CN.2/CONF.5/</w:t>
      </w:r>
      <w:proofErr w:type="spellStart"/>
      <w:r>
        <w:rPr>
          <w:lang w:val="fr-FR"/>
        </w:rPr>
        <w:t>R.xxx</w:t>
      </w:r>
      <w:proofErr w:type="spellEnd"/>
      <w:r>
        <w:rPr>
          <w:lang w:val="fr-FR"/>
        </w:rPr>
        <w:t xml:space="preserve"> (Comité d’experts en matière de transport des marchandises dangereuses) ;</w:t>
      </w:r>
    </w:p>
    <w:p w14:paraId="5DB5A16E" w14:textId="6E721E44" w:rsidR="00BF65BE" w:rsidRPr="00A248B0" w:rsidRDefault="00BF65BE" w:rsidP="00BF65BE">
      <w:pPr>
        <w:pStyle w:val="Bullet1G"/>
        <w:rPr>
          <w:lang w:val="fr-FR"/>
        </w:rPr>
      </w:pPr>
      <w:r>
        <w:rPr>
          <w:lang w:val="fr-FR"/>
        </w:rPr>
        <w:t>ST/SG/AC.10/</w:t>
      </w:r>
      <w:proofErr w:type="spellStart"/>
      <w:r>
        <w:rPr>
          <w:lang w:val="fr-FR"/>
        </w:rPr>
        <w:t>R.xxx</w:t>
      </w:r>
      <w:proofErr w:type="spellEnd"/>
      <w:r>
        <w:rPr>
          <w:lang w:val="fr-FR"/>
        </w:rPr>
        <w:t xml:space="preserve"> (Comité d’experts en matière de transport des marchandises dangereuses) ;</w:t>
      </w:r>
    </w:p>
    <w:p w14:paraId="1BFED08E" w14:textId="3A95F565" w:rsidR="00BF65BE" w:rsidRPr="00A248B0" w:rsidRDefault="00BF65BE" w:rsidP="00BF65BE">
      <w:pPr>
        <w:pStyle w:val="Bullet1G"/>
        <w:rPr>
          <w:lang w:val="fr-FR"/>
        </w:rPr>
      </w:pPr>
      <w:r>
        <w:rPr>
          <w:lang w:val="fr-FR"/>
        </w:rPr>
        <w:t>ST/SG/AC.10/C.1/</w:t>
      </w:r>
      <w:proofErr w:type="spellStart"/>
      <w:r>
        <w:rPr>
          <w:lang w:val="fr-FR"/>
        </w:rPr>
        <w:t>R.xxx</w:t>
      </w:r>
      <w:proofErr w:type="spellEnd"/>
      <w:r>
        <w:rPr>
          <w:lang w:val="fr-FR"/>
        </w:rPr>
        <w:t xml:space="preserve"> (Groupe d’experts des matières et objets explosifs du Comité d’experts en matière de transport des marchandises dangereuses) ;</w:t>
      </w:r>
    </w:p>
    <w:p w14:paraId="19939807" w14:textId="1BA883B6" w:rsidR="00BF65BE" w:rsidRPr="00A248B0" w:rsidRDefault="00BF65BE" w:rsidP="00BF65BE">
      <w:pPr>
        <w:pStyle w:val="Bullet1G"/>
        <w:rPr>
          <w:lang w:val="fr-FR"/>
        </w:rPr>
      </w:pPr>
      <w:r>
        <w:rPr>
          <w:lang w:val="fr-FR"/>
        </w:rPr>
        <w:t>ST/SG/AC.10/C.2/</w:t>
      </w:r>
      <w:proofErr w:type="spellStart"/>
      <w:r>
        <w:rPr>
          <w:lang w:val="fr-FR"/>
        </w:rPr>
        <w:t>R.xxx</w:t>
      </w:r>
      <w:proofErr w:type="spellEnd"/>
      <w:r>
        <w:rPr>
          <w:lang w:val="fr-FR"/>
        </w:rPr>
        <w:t xml:space="preserve"> (Groupe de Rapporteurs du Comité d’experts en matière de transport des marchandises dangereuses) ;</w:t>
      </w:r>
    </w:p>
    <w:p w14:paraId="4E3C001C" w14:textId="2AD19D1C" w:rsidR="00BF65BE" w:rsidRPr="00A248B0" w:rsidRDefault="00BF65BE" w:rsidP="00BF65BE">
      <w:pPr>
        <w:pStyle w:val="Bullet1G"/>
        <w:rPr>
          <w:lang w:val="fr-FR"/>
        </w:rPr>
      </w:pPr>
      <w:r>
        <w:rPr>
          <w:lang w:val="fr-FR"/>
        </w:rPr>
        <w:t>ST/SG/AC.10/C.3/</w:t>
      </w:r>
      <w:proofErr w:type="spellStart"/>
      <w:r>
        <w:rPr>
          <w:lang w:val="fr-FR"/>
        </w:rPr>
        <w:t>R.xxx</w:t>
      </w:r>
      <w:proofErr w:type="spellEnd"/>
      <w:r>
        <w:rPr>
          <w:lang w:val="fr-FR"/>
        </w:rPr>
        <w:t xml:space="preserve"> (Sous-Comité d’experts du transport des marchandises dangereuses).</w:t>
      </w:r>
    </w:p>
    <w:p w14:paraId="6EDD1B85" w14:textId="2852C37B" w:rsidR="00BF65BE" w:rsidRPr="00A248B0" w:rsidRDefault="00BF65BE" w:rsidP="00BF65BE">
      <w:pPr>
        <w:pStyle w:val="SingleTxtG"/>
        <w:rPr>
          <w:lang w:val="fr-FR"/>
        </w:rPr>
      </w:pPr>
      <w:r>
        <w:rPr>
          <w:lang w:val="fr-FR"/>
        </w:rPr>
        <w:t>5.</w:t>
      </w:r>
      <w:r>
        <w:rPr>
          <w:lang w:val="fr-FR"/>
        </w:rPr>
        <w:tab/>
        <w:t xml:space="preserve">L’appendice 1 du document informel INF.3 contient une liste des </w:t>
      </w:r>
      <w:proofErr w:type="spellStart"/>
      <w:r>
        <w:rPr>
          <w:lang w:val="fr-FR"/>
        </w:rPr>
        <w:t>cotes</w:t>
      </w:r>
      <w:proofErr w:type="spellEnd"/>
      <w:r>
        <w:rPr>
          <w:lang w:val="fr-FR"/>
        </w:rPr>
        <w:t xml:space="preserve"> et des dates de publication de tous les documents de ces séries actuellement en ligne dans le </w:t>
      </w:r>
      <w:proofErr w:type="spellStart"/>
      <w:r>
        <w:rPr>
          <w:lang w:val="fr-FR"/>
        </w:rPr>
        <w:t>Sédoc</w:t>
      </w:r>
      <w:proofErr w:type="spellEnd"/>
      <w:r>
        <w:rPr>
          <w:lang w:val="fr-FR"/>
        </w:rPr>
        <w:t xml:space="preserve">, fournie par la Bibliothèque des Nations Unies. Cette liste compte actuellement plus de 1 000 références, qui s’étendent des années 1950 aux années 1990. On trouvera dans le tableau ci-dessous une synthèse du nombre de documents de ces séries disponibles dans le </w:t>
      </w:r>
      <w:proofErr w:type="spellStart"/>
      <w:r>
        <w:rPr>
          <w:lang w:val="fr-FR"/>
        </w:rPr>
        <w:t>Sédoc</w:t>
      </w:r>
      <w:proofErr w:type="spellEnd"/>
      <w:r>
        <w:rPr>
          <w:lang w:val="fr-FR"/>
        </w:rPr>
        <w:t>, classés par symbole et par type de diffusion. Il est à noter que les documents pour lesquels il existe</w:t>
      </w:r>
      <w:r w:rsidRPr="00322FA6">
        <w:rPr>
          <w:lang w:val="fr-FR"/>
        </w:rPr>
        <w:t xml:space="preserve"> </w:t>
      </w:r>
      <w:r w:rsidRPr="0032034D">
        <w:rPr>
          <w:lang w:val="fr-FR"/>
        </w:rPr>
        <w:t>dans les archives</w:t>
      </w:r>
      <w:r>
        <w:rPr>
          <w:lang w:val="fr-FR"/>
        </w:rPr>
        <w:t xml:space="preserve"> un exemplaire papier qui n’a pas été numérisé et téléversé dans le </w:t>
      </w:r>
      <w:proofErr w:type="spellStart"/>
      <w:r>
        <w:rPr>
          <w:lang w:val="fr-FR"/>
        </w:rPr>
        <w:t>Sédoc</w:t>
      </w:r>
      <w:proofErr w:type="spellEnd"/>
      <w:r>
        <w:rPr>
          <w:lang w:val="fr-FR"/>
        </w:rPr>
        <w:t xml:space="preserve"> ne sont pas comptabilisés dans le tableau. Par exemple, le catalogue en ligne</w:t>
      </w:r>
      <w:r w:rsidRPr="00C54E87">
        <w:rPr>
          <w:rStyle w:val="FootnoteReference"/>
        </w:rPr>
        <w:footnoteReference w:id="4"/>
      </w:r>
      <w:r>
        <w:rPr>
          <w:lang w:val="fr-FR"/>
        </w:rPr>
        <w:t xml:space="preserve"> de la bibliothèque répertorie 54 documents pour la série des ST/SG/AC.10/C.1/</w:t>
      </w:r>
      <w:proofErr w:type="spellStart"/>
      <w:r>
        <w:rPr>
          <w:lang w:val="fr-FR"/>
        </w:rPr>
        <w:t>R.xxx</w:t>
      </w:r>
      <w:proofErr w:type="spellEnd"/>
      <w:r>
        <w:rPr>
          <w:lang w:val="fr-FR"/>
        </w:rPr>
        <w:t xml:space="preserve"> et 147 documents pour celle des ST/SG/AC.10/C.2/</w:t>
      </w:r>
      <w:proofErr w:type="spellStart"/>
      <w:r>
        <w:rPr>
          <w:lang w:val="fr-FR"/>
        </w:rPr>
        <w:t>R.xxx</w:t>
      </w:r>
      <w:proofErr w:type="spellEnd"/>
      <w:r>
        <w:rPr>
          <w:lang w:val="fr-FR"/>
        </w:rPr>
        <w:t xml:space="preserve">, mais aucun d’entre eux n’est dans le </w:t>
      </w:r>
      <w:proofErr w:type="spellStart"/>
      <w:r>
        <w:rPr>
          <w:lang w:val="fr-FR"/>
        </w:rPr>
        <w:t>Sédoc</w:t>
      </w:r>
      <w:proofErr w:type="spellEnd"/>
      <w:r>
        <w:rPr>
          <w:lang w:val="fr-FR"/>
        </w:rPr>
        <w:t>, car ils n’ont pas été numérisés.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BF65BE" w:rsidRPr="00BF65BE" w14:paraId="26D4E16C" w14:textId="77777777" w:rsidTr="00BF65BE">
        <w:trPr>
          <w:tblHeader/>
        </w:trPr>
        <w:tc>
          <w:tcPr>
            <w:tcW w:w="2456" w:type="dxa"/>
            <w:tcBorders>
              <w:top w:val="single" w:sz="4" w:space="0" w:color="auto"/>
              <w:bottom w:val="single" w:sz="12" w:space="0" w:color="auto"/>
            </w:tcBorders>
            <w:shd w:val="clear" w:color="auto" w:fill="auto"/>
            <w:vAlign w:val="bottom"/>
          </w:tcPr>
          <w:p w14:paraId="3375A5FE" w14:textId="77777777" w:rsidR="00BF65BE" w:rsidRPr="00BF65BE" w:rsidRDefault="00BF65BE" w:rsidP="00BF65BE">
            <w:pPr>
              <w:suppressAutoHyphens w:val="0"/>
              <w:spacing w:before="80" w:after="80" w:line="200" w:lineRule="exact"/>
              <w:rPr>
                <w:i/>
                <w:sz w:val="16"/>
              </w:rPr>
            </w:pPr>
            <w:r w:rsidRPr="00BF65BE">
              <w:rPr>
                <w:i/>
                <w:sz w:val="16"/>
                <w:lang w:val="fr-FR"/>
              </w:rPr>
              <w:t>Cote</w:t>
            </w:r>
          </w:p>
        </w:tc>
        <w:tc>
          <w:tcPr>
            <w:tcW w:w="2457" w:type="dxa"/>
            <w:tcBorders>
              <w:top w:val="single" w:sz="4" w:space="0" w:color="auto"/>
              <w:bottom w:val="single" w:sz="12" w:space="0" w:color="auto"/>
            </w:tcBorders>
            <w:shd w:val="clear" w:color="auto" w:fill="auto"/>
            <w:vAlign w:val="bottom"/>
          </w:tcPr>
          <w:p w14:paraId="436DD1AC" w14:textId="77777777" w:rsidR="00BF65BE" w:rsidRPr="00BF65BE" w:rsidRDefault="00BF65BE" w:rsidP="00BF65BE">
            <w:pPr>
              <w:suppressAutoHyphens w:val="0"/>
              <w:spacing w:before="80" w:after="80" w:line="200" w:lineRule="exact"/>
              <w:jc w:val="right"/>
              <w:rPr>
                <w:i/>
                <w:sz w:val="16"/>
                <w:lang w:val="fr-FR"/>
              </w:rPr>
            </w:pPr>
            <w:r w:rsidRPr="00BF65BE">
              <w:rPr>
                <w:i/>
                <w:sz w:val="16"/>
                <w:lang w:val="fr-FR"/>
              </w:rPr>
              <w:t xml:space="preserve">Diffusion publique dans le </w:t>
            </w:r>
            <w:proofErr w:type="spellStart"/>
            <w:r w:rsidRPr="00BF65BE">
              <w:rPr>
                <w:i/>
                <w:sz w:val="16"/>
                <w:lang w:val="fr-FR"/>
              </w:rPr>
              <w:t>Sédoc</w:t>
            </w:r>
            <w:proofErr w:type="spellEnd"/>
          </w:p>
        </w:tc>
        <w:tc>
          <w:tcPr>
            <w:tcW w:w="2457" w:type="dxa"/>
            <w:tcBorders>
              <w:top w:val="single" w:sz="4" w:space="0" w:color="auto"/>
              <w:bottom w:val="single" w:sz="12" w:space="0" w:color="auto"/>
            </w:tcBorders>
            <w:shd w:val="clear" w:color="auto" w:fill="auto"/>
            <w:vAlign w:val="bottom"/>
          </w:tcPr>
          <w:p w14:paraId="67118980" w14:textId="77777777" w:rsidR="00BF65BE" w:rsidRPr="00BF65BE" w:rsidRDefault="00BF65BE" w:rsidP="00BF65BE">
            <w:pPr>
              <w:suppressAutoHyphens w:val="0"/>
              <w:spacing w:before="80" w:after="80" w:line="200" w:lineRule="exact"/>
              <w:jc w:val="right"/>
              <w:rPr>
                <w:i/>
                <w:sz w:val="16"/>
                <w:lang w:val="fr-FR"/>
              </w:rPr>
            </w:pPr>
            <w:r w:rsidRPr="00BF65BE">
              <w:rPr>
                <w:i/>
                <w:sz w:val="16"/>
                <w:lang w:val="fr-FR"/>
              </w:rPr>
              <w:t xml:space="preserve">Diffusion restreinte dans le </w:t>
            </w:r>
            <w:proofErr w:type="spellStart"/>
            <w:r w:rsidRPr="00BF65BE">
              <w:rPr>
                <w:i/>
                <w:sz w:val="16"/>
                <w:lang w:val="fr-FR"/>
              </w:rPr>
              <w:t>Sédoc</w:t>
            </w:r>
            <w:proofErr w:type="spellEnd"/>
          </w:p>
        </w:tc>
      </w:tr>
      <w:tr w:rsidR="00BF65BE" w:rsidRPr="00BF65BE" w14:paraId="616F6A9D" w14:textId="77777777" w:rsidTr="00BF65BE">
        <w:tc>
          <w:tcPr>
            <w:tcW w:w="2456" w:type="dxa"/>
            <w:tcBorders>
              <w:top w:val="single" w:sz="12" w:space="0" w:color="auto"/>
            </w:tcBorders>
            <w:shd w:val="clear" w:color="auto" w:fill="auto"/>
          </w:tcPr>
          <w:p w14:paraId="4FD8B19E" w14:textId="77777777" w:rsidR="00BF65BE" w:rsidRPr="00BF65BE" w:rsidRDefault="00BF65BE" w:rsidP="00BF65BE">
            <w:pPr>
              <w:suppressAutoHyphens w:val="0"/>
              <w:spacing w:before="40" w:after="40" w:line="220" w:lineRule="exact"/>
              <w:rPr>
                <w:sz w:val="18"/>
                <w:lang w:val="es-AR"/>
              </w:rPr>
            </w:pPr>
            <w:r w:rsidRPr="00BF65BE">
              <w:rPr>
                <w:sz w:val="18"/>
                <w:lang w:val="es-AR"/>
              </w:rPr>
              <w:t>E/CN.2/CONF.5/</w:t>
            </w:r>
            <w:proofErr w:type="spellStart"/>
            <w:r w:rsidRPr="00BF65BE">
              <w:rPr>
                <w:sz w:val="18"/>
                <w:lang w:val="es-AR"/>
              </w:rPr>
              <w:t>R.xxx</w:t>
            </w:r>
            <w:proofErr w:type="spellEnd"/>
          </w:p>
        </w:tc>
        <w:tc>
          <w:tcPr>
            <w:tcW w:w="2457" w:type="dxa"/>
            <w:tcBorders>
              <w:top w:val="single" w:sz="12" w:space="0" w:color="auto"/>
            </w:tcBorders>
            <w:shd w:val="clear" w:color="auto" w:fill="auto"/>
            <w:vAlign w:val="bottom"/>
          </w:tcPr>
          <w:p w14:paraId="4722DBE1" w14:textId="77777777" w:rsidR="00BF65BE" w:rsidRPr="00BF65BE" w:rsidRDefault="00BF65BE" w:rsidP="00BF65BE">
            <w:pPr>
              <w:suppressAutoHyphens w:val="0"/>
              <w:spacing w:before="40" w:after="40" w:line="220" w:lineRule="exact"/>
              <w:jc w:val="right"/>
              <w:rPr>
                <w:sz w:val="18"/>
              </w:rPr>
            </w:pPr>
            <w:r w:rsidRPr="00BF65BE">
              <w:rPr>
                <w:sz w:val="18"/>
                <w:lang w:val="fr-FR"/>
              </w:rPr>
              <w:t>7</w:t>
            </w:r>
          </w:p>
        </w:tc>
        <w:tc>
          <w:tcPr>
            <w:tcW w:w="2457" w:type="dxa"/>
            <w:tcBorders>
              <w:top w:val="single" w:sz="12" w:space="0" w:color="auto"/>
            </w:tcBorders>
            <w:shd w:val="clear" w:color="auto" w:fill="auto"/>
            <w:vAlign w:val="bottom"/>
          </w:tcPr>
          <w:p w14:paraId="1F5A2CA5" w14:textId="77777777" w:rsidR="00BF65BE" w:rsidRPr="00BF65BE" w:rsidRDefault="00BF65BE" w:rsidP="00BF65BE">
            <w:pPr>
              <w:suppressAutoHyphens w:val="0"/>
              <w:spacing w:before="40" w:after="40" w:line="220" w:lineRule="exact"/>
              <w:jc w:val="right"/>
              <w:rPr>
                <w:sz w:val="18"/>
              </w:rPr>
            </w:pPr>
            <w:r w:rsidRPr="00BF65BE">
              <w:rPr>
                <w:sz w:val="18"/>
                <w:lang w:val="fr-FR"/>
              </w:rPr>
              <w:t>331</w:t>
            </w:r>
          </w:p>
        </w:tc>
      </w:tr>
      <w:tr w:rsidR="00BF65BE" w:rsidRPr="00BF65BE" w14:paraId="54A0E1F5" w14:textId="77777777" w:rsidTr="00BF65BE">
        <w:tc>
          <w:tcPr>
            <w:tcW w:w="2456" w:type="dxa"/>
            <w:shd w:val="clear" w:color="auto" w:fill="auto"/>
          </w:tcPr>
          <w:p w14:paraId="0A59FD7A" w14:textId="77777777" w:rsidR="00BF65BE" w:rsidRPr="00BF65BE" w:rsidRDefault="00BF65BE" w:rsidP="00BF65BE">
            <w:pPr>
              <w:suppressAutoHyphens w:val="0"/>
              <w:spacing w:before="40" w:after="40" w:line="220" w:lineRule="exact"/>
              <w:rPr>
                <w:sz w:val="18"/>
                <w:lang w:val="en-US"/>
              </w:rPr>
            </w:pPr>
            <w:r w:rsidRPr="00BF65BE">
              <w:rPr>
                <w:sz w:val="18"/>
                <w:lang w:val="en-GB"/>
              </w:rPr>
              <w:t>ST/SG/AC.10/</w:t>
            </w:r>
            <w:proofErr w:type="spellStart"/>
            <w:r w:rsidRPr="00BF65BE">
              <w:rPr>
                <w:sz w:val="18"/>
                <w:lang w:val="en-GB"/>
              </w:rPr>
              <w:t>R.xxx</w:t>
            </w:r>
            <w:proofErr w:type="spellEnd"/>
          </w:p>
        </w:tc>
        <w:tc>
          <w:tcPr>
            <w:tcW w:w="2457" w:type="dxa"/>
            <w:shd w:val="clear" w:color="auto" w:fill="auto"/>
            <w:vAlign w:val="bottom"/>
          </w:tcPr>
          <w:p w14:paraId="395DEF23" w14:textId="77777777" w:rsidR="00BF65BE" w:rsidRPr="00BF65BE" w:rsidRDefault="00BF65BE" w:rsidP="00BF65BE">
            <w:pPr>
              <w:suppressAutoHyphens w:val="0"/>
              <w:spacing w:before="40" w:after="40" w:line="220" w:lineRule="exact"/>
              <w:jc w:val="right"/>
              <w:rPr>
                <w:sz w:val="18"/>
              </w:rPr>
            </w:pPr>
            <w:r w:rsidRPr="00BF65BE">
              <w:rPr>
                <w:sz w:val="18"/>
                <w:lang w:val="fr-FR"/>
              </w:rPr>
              <w:t>5</w:t>
            </w:r>
          </w:p>
        </w:tc>
        <w:tc>
          <w:tcPr>
            <w:tcW w:w="2457" w:type="dxa"/>
            <w:shd w:val="clear" w:color="auto" w:fill="auto"/>
            <w:vAlign w:val="bottom"/>
          </w:tcPr>
          <w:p w14:paraId="63ABE5EF" w14:textId="77777777" w:rsidR="00BF65BE" w:rsidRPr="00BF65BE" w:rsidRDefault="00BF65BE" w:rsidP="00BF65BE">
            <w:pPr>
              <w:suppressAutoHyphens w:val="0"/>
              <w:spacing w:before="40" w:after="40" w:line="220" w:lineRule="exact"/>
              <w:jc w:val="right"/>
              <w:rPr>
                <w:sz w:val="18"/>
              </w:rPr>
            </w:pPr>
            <w:r w:rsidRPr="00BF65BE">
              <w:rPr>
                <w:sz w:val="18"/>
                <w:lang w:val="fr-FR"/>
              </w:rPr>
              <w:t>223</w:t>
            </w:r>
          </w:p>
        </w:tc>
      </w:tr>
      <w:tr w:rsidR="00BF65BE" w:rsidRPr="00BF65BE" w14:paraId="570FB57B" w14:textId="77777777" w:rsidTr="00BF65BE">
        <w:tc>
          <w:tcPr>
            <w:tcW w:w="2456" w:type="dxa"/>
            <w:shd w:val="clear" w:color="auto" w:fill="auto"/>
          </w:tcPr>
          <w:p w14:paraId="3B094F91" w14:textId="77777777" w:rsidR="00BF65BE" w:rsidRPr="00BF65BE" w:rsidRDefault="00BF65BE" w:rsidP="00BF65BE">
            <w:pPr>
              <w:suppressAutoHyphens w:val="0"/>
              <w:spacing w:before="40" w:after="40" w:line="220" w:lineRule="exact"/>
              <w:rPr>
                <w:sz w:val="18"/>
                <w:lang w:val="en-US"/>
              </w:rPr>
            </w:pPr>
            <w:r w:rsidRPr="00BF65BE">
              <w:rPr>
                <w:sz w:val="18"/>
                <w:lang w:val="en-GB"/>
              </w:rPr>
              <w:t>ST/SG/AC.10/C.1/</w:t>
            </w:r>
            <w:proofErr w:type="spellStart"/>
            <w:r w:rsidRPr="00BF65BE">
              <w:rPr>
                <w:sz w:val="18"/>
                <w:lang w:val="en-GB"/>
              </w:rPr>
              <w:t>R.xxx</w:t>
            </w:r>
            <w:proofErr w:type="spellEnd"/>
          </w:p>
        </w:tc>
        <w:tc>
          <w:tcPr>
            <w:tcW w:w="2457" w:type="dxa"/>
            <w:shd w:val="clear" w:color="auto" w:fill="auto"/>
            <w:vAlign w:val="bottom"/>
          </w:tcPr>
          <w:p w14:paraId="6F3E462A" w14:textId="77777777" w:rsidR="00BF65BE" w:rsidRPr="00BF65BE" w:rsidRDefault="00BF65BE" w:rsidP="00BF65BE">
            <w:pPr>
              <w:suppressAutoHyphens w:val="0"/>
              <w:spacing w:before="40" w:after="40" w:line="220" w:lineRule="exact"/>
              <w:jc w:val="right"/>
              <w:rPr>
                <w:sz w:val="18"/>
              </w:rPr>
            </w:pPr>
            <w:r w:rsidRPr="00BF65BE">
              <w:rPr>
                <w:sz w:val="18"/>
                <w:lang w:val="fr-FR"/>
              </w:rPr>
              <w:t>0</w:t>
            </w:r>
          </w:p>
        </w:tc>
        <w:tc>
          <w:tcPr>
            <w:tcW w:w="2457" w:type="dxa"/>
            <w:shd w:val="clear" w:color="auto" w:fill="auto"/>
            <w:vAlign w:val="bottom"/>
          </w:tcPr>
          <w:p w14:paraId="4316A6F4" w14:textId="77777777" w:rsidR="00BF65BE" w:rsidRPr="00BF65BE" w:rsidRDefault="00BF65BE" w:rsidP="00BF65BE">
            <w:pPr>
              <w:suppressAutoHyphens w:val="0"/>
              <w:spacing w:before="40" w:after="40" w:line="220" w:lineRule="exact"/>
              <w:jc w:val="right"/>
              <w:rPr>
                <w:sz w:val="18"/>
              </w:rPr>
            </w:pPr>
            <w:r w:rsidRPr="00BF65BE">
              <w:rPr>
                <w:sz w:val="18"/>
                <w:lang w:val="fr-FR"/>
              </w:rPr>
              <w:t>0</w:t>
            </w:r>
          </w:p>
        </w:tc>
      </w:tr>
      <w:tr w:rsidR="00BF65BE" w:rsidRPr="00BF65BE" w14:paraId="5321C15B" w14:textId="77777777" w:rsidTr="00BF65BE">
        <w:tc>
          <w:tcPr>
            <w:tcW w:w="2456" w:type="dxa"/>
            <w:shd w:val="clear" w:color="auto" w:fill="auto"/>
          </w:tcPr>
          <w:p w14:paraId="10B21D88" w14:textId="77777777" w:rsidR="00BF65BE" w:rsidRPr="00BF65BE" w:rsidRDefault="00BF65BE" w:rsidP="00BF65BE">
            <w:pPr>
              <w:suppressAutoHyphens w:val="0"/>
              <w:spacing w:before="40" w:after="40" w:line="220" w:lineRule="exact"/>
              <w:rPr>
                <w:sz w:val="18"/>
                <w:lang w:val="en-US"/>
              </w:rPr>
            </w:pPr>
            <w:r w:rsidRPr="00BF65BE">
              <w:rPr>
                <w:sz w:val="18"/>
                <w:lang w:val="en-GB"/>
              </w:rPr>
              <w:t>ST/SG/AC.10/C.2/</w:t>
            </w:r>
            <w:proofErr w:type="spellStart"/>
            <w:r w:rsidRPr="00BF65BE">
              <w:rPr>
                <w:sz w:val="18"/>
                <w:lang w:val="en-GB"/>
              </w:rPr>
              <w:t>R.xxx</w:t>
            </w:r>
            <w:proofErr w:type="spellEnd"/>
          </w:p>
        </w:tc>
        <w:tc>
          <w:tcPr>
            <w:tcW w:w="2457" w:type="dxa"/>
            <w:shd w:val="clear" w:color="auto" w:fill="auto"/>
            <w:vAlign w:val="bottom"/>
          </w:tcPr>
          <w:p w14:paraId="1C23A8D3" w14:textId="77777777" w:rsidR="00BF65BE" w:rsidRPr="00BF65BE" w:rsidRDefault="00BF65BE" w:rsidP="00BF65BE">
            <w:pPr>
              <w:suppressAutoHyphens w:val="0"/>
              <w:spacing w:before="40" w:after="40" w:line="220" w:lineRule="exact"/>
              <w:jc w:val="right"/>
              <w:rPr>
                <w:sz w:val="18"/>
              </w:rPr>
            </w:pPr>
            <w:r w:rsidRPr="00BF65BE">
              <w:rPr>
                <w:sz w:val="18"/>
                <w:lang w:val="fr-FR"/>
              </w:rPr>
              <w:t>0</w:t>
            </w:r>
          </w:p>
        </w:tc>
        <w:tc>
          <w:tcPr>
            <w:tcW w:w="2457" w:type="dxa"/>
            <w:shd w:val="clear" w:color="auto" w:fill="auto"/>
            <w:vAlign w:val="bottom"/>
          </w:tcPr>
          <w:p w14:paraId="1F1065E5" w14:textId="77777777" w:rsidR="00BF65BE" w:rsidRPr="00BF65BE" w:rsidRDefault="00BF65BE" w:rsidP="00BF65BE">
            <w:pPr>
              <w:suppressAutoHyphens w:val="0"/>
              <w:spacing w:before="40" w:after="40" w:line="220" w:lineRule="exact"/>
              <w:jc w:val="right"/>
              <w:rPr>
                <w:sz w:val="18"/>
              </w:rPr>
            </w:pPr>
            <w:r w:rsidRPr="00BF65BE">
              <w:rPr>
                <w:sz w:val="18"/>
                <w:lang w:val="fr-FR"/>
              </w:rPr>
              <w:t>0</w:t>
            </w:r>
          </w:p>
        </w:tc>
      </w:tr>
      <w:tr w:rsidR="00BF65BE" w:rsidRPr="00BF65BE" w14:paraId="2BD4A9DE" w14:textId="77777777" w:rsidTr="00BF65BE">
        <w:tc>
          <w:tcPr>
            <w:tcW w:w="2456" w:type="dxa"/>
            <w:tcBorders>
              <w:bottom w:val="single" w:sz="4" w:space="0" w:color="auto"/>
            </w:tcBorders>
            <w:shd w:val="clear" w:color="auto" w:fill="auto"/>
          </w:tcPr>
          <w:p w14:paraId="51039E9E" w14:textId="77777777" w:rsidR="00BF65BE" w:rsidRPr="00BF65BE" w:rsidRDefault="00BF65BE" w:rsidP="00BF65BE">
            <w:pPr>
              <w:suppressAutoHyphens w:val="0"/>
              <w:spacing w:before="40" w:after="40" w:line="220" w:lineRule="exact"/>
              <w:rPr>
                <w:sz w:val="18"/>
                <w:lang w:val="en-US"/>
              </w:rPr>
            </w:pPr>
            <w:r w:rsidRPr="00BF65BE">
              <w:rPr>
                <w:sz w:val="18"/>
                <w:lang w:val="en-GB"/>
              </w:rPr>
              <w:t>ST/SG/AC.10/C.3/</w:t>
            </w:r>
            <w:proofErr w:type="spellStart"/>
            <w:r w:rsidRPr="00BF65BE">
              <w:rPr>
                <w:sz w:val="18"/>
                <w:lang w:val="en-GB"/>
              </w:rPr>
              <w:t>R.xxx</w:t>
            </w:r>
            <w:proofErr w:type="spellEnd"/>
          </w:p>
        </w:tc>
        <w:tc>
          <w:tcPr>
            <w:tcW w:w="2457" w:type="dxa"/>
            <w:tcBorders>
              <w:bottom w:val="single" w:sz="4" w:space="0" w:color="auto"/>
            </w:tcBorders>
            <w:shd w:val="clear" w:color="auto" w:fill="auto"/>
            <w:vAlign w:val="bottom"/>
          </w:tcPr>
          <w:p w14:paraId="12E8F615" w14:textId="77777777" w:rsidR="00BF65BE" w:rsidRPr="00BF65BE" w:rsidRDefault="00BF65BE" w:rsidP="00BF65BE">
            <w:pPr>
              <w:suppressAutoHyphens w:val="0"/>
              <w:spacing w:before="40" w:after="40" w:line="220" w:lineRule="exact"/>
              <w:jc w:val="right"/>
              <w:rPr>
                <w:sz w:val="18"/>
              </w:rPr>
            </w:pPr>
            <w:r w:rsidRPr="00BF65BE">
              <w:rPr>
                <w:sz w:val="18"/>
                <w:lang w:val="fr-FR"/>
              </w:rPr>
              <w:t>5</w:t>
            </w:r>
          </w:p>
        </w:tc>
        <w:tc>
          <w:tcPr>
            <w:tcW w:w="2457" w:type="dxa"/>
            <w:tcBorders>
              <w:bottom w:val="single" w:sz="4" w:space="0" w:color="auto"/>
            </w:tcBorders>
            <w:shd w:val="clear" w:color="auto" w:fill="auto"/>
            <w:vAlign w:val="bottom"/>
          </w:tcPr>
          <w:p w14:paraId="0E353F93" w14:textId="77777777" w:rsidR="00BF65BE" w:rsidRPr="00BF65BE" w:rsidRDefault="00BF65BE" w:rsidP="00BF65BE">
            <w:pPr>
              <w:suppressAutoHyphens w:val="0"/>
              <w:spacing w:before="40" w:after="40" w:line="220" w:lineRule="exact"/>
              <w:jc w:val="right"/>
              <w:rPr>
                <w:sz w:val="18"/>
              </w:rPr>
            </w:pPr>
            <w:r w:rsidRPr="00BF65BE">
              <w:rPr>
                <w:sz w:val="18"/>
                <w:lang w:val="fr-FR"/>
              </w:rPr>
              <w:t>451</w:t>
            </w:r>
          </w:p>
        </w:tc>
      </w:tr>
      <w:tr w:rsidR="00BF65BE" w:rsidRPr="00BF65BE" w14:paraId="5D95556D" w14:textId="77777777" w:rsidTr="00BF65BE">
        <w:tc>
          <w:tcPr>
            <w:tcW w:w="2456" w:type="dxa"/>
            <w:tcBorders>
              <w:top w:val="single" w:sz="4" w:space="0" w:color="auto"/>
              <w:bottom w:val="single" w:sz="12" w:space="0" w:color="auto"/>
            </w:tcBorders>
            <w:shd w:val="clear" w:color="auto" w:fill="auto"/>
          </w:tcPr>
          <w:p w14:paraId="18857DB9" w14:textId="77777777" w:rsidR="00BF65BE" w:rsidRPr="00BF65BE" w:rsidRDefault="00BF65BE" w:rsidP="00BF65BE">
            <w:pPr>
              <w:suppressAutoHyphens w:val="0"/>
              <w:spacing w:before="80" w:after="80" w:line="220" w:lineRule="exact"/>
              <w:ind w:left="284"/>
              <w:rPr>
                <w:b/>
                <w:bCs/>
                <w:sz w:val="18"/>
              </w:rPr>
            </w:pPr>
            <w:r w:rsidRPr="00BF65BE">
              <w:rPr>
                <w:b/>
                <w:bCs/>
                <w:sz w:val="18"/>
                <w:lang w:val="fr-FR"/>
              </w:rPr>
              <w:t>Total</w:t>
            </w:r>
          </w:p>
        </w:tc>
        <w:tc>
          <w:tcPr>
            <w:tcW w:w="2457" w:type="dxa"/>
            <w:tcBorders>
              <w:top w:val="single" w:sz="4" w:space="0" w:color="auto"/>
              <w:bottom w:val="single" w:sz="12" w:space="0" w:color="auto"/>
            </w:tcBorders>
            <w:shd w:val="clear" w:color="auto" w:fill="auto"/>
            <w:vAlign w:val="bottom"/>
          </w:tcPr>
          <w:p w14:paraId="5434CE0A" w14:textId="77777777" w:rsidR="00BF65BE" w:rsidRPr="00BF65BE" w:rsidRDefault="00BF65BE" w:rsidP="00BF65BE">
            <w:pPr>
              <w:suppressAutoHyphens w:val="0"/>
              <w:spacing w:before="80" w:after="80" w:line="220" w:lineRule="exact"/>
              <w:jc w:val="right"/>
              <w:rPr>
                <w:b/>
                <w:bCs/>
                <w:sz w:val="18"/>
              </w:rPr>
            </w:pPr>
            <w:r w:rsidRPr="00BF65BE">
              <w:rPr>
                <w:b/>
                <w:bCs/>
                <w:sz w:val="18"/>
                <w:lang w:val="fr-FR"/>
              </w:rPr>
              <w:t>17</w:t>
            </w:r>
          </w:p>
        </w:tc>
        <w:tc>
          <w:tcPr>
            <w:tcW w:w="2457" w:type="dxa"/>
            <w:tcBorders>
              <w:top w:val="single" w:sz="4" w:space="0" w:color="auto"/>
              <w:bottom w:val="single" w:sz="12" w:space="0" w:color="auto"/>
            </w:tcBorders>
            <w:shd w:val="clear" w:color="auto" w:fill="auto"/>
            <w:vAlign w:val="bottom"/>
          </w:tcPr>
          <w:p w14:paraId="08D13971" w14:textId="3040A74B" w:rsidR="00BF65BE" w:rsidRPr="00BF65BE" w:rsidRDefault="00BF65BE" w:rsidP="00BF65BE">
            <w:pPr>
              <w:suppressAutoHyphens w:val="0"/>
              <w:spacing w:before="80" w:after="80" w:line="220" w:lineRule="exact"/>
              <w:jc w:val="right"/>
              <w:rPr>
                <w:b/>
                <w:bCs/>
                <w:sz w:val="18"/>
              </w:rPr>
            </w:pPr>
            <w:r w:rsidRPr="00BF65BE">
              <w:rPr>
                <w:b/>
                <w:bCs/>
                <w:sz w:val="18"/>
                <w:lang w:val="fr-FR"/>
              </w:rPr>
              <w:t>1</w:t>
            </w:r>
            <w:r>
              <w:rPr>
                <w:b/>
                <w:bCs/>
                <w:sz w:val="18"/>
                <w:lang w:val="fr-FR"/>
              </w:rPr>
              <w:t> </w:t>
            </w:r>
            <w:r w:rsidRPr="00BF65BE">
              <w:rPr>
                <w:b/>
                <w:bCs/>
                <w:sz w:val="18"/>
                <w:lang w:val="fr-FR"/>
              </w:rPr>
              <w:t>022</w:t>
            </w:r>
          </w:p>
        </w:tc>
      </w:tr>
    </w:tbl>
    <w:p w14:paraId="44FB2B56" w14:textId="3B5EC54F" w:rsidR="00BF65BE" w:rsidRPr="006132D7" w:rsidRDefault="00BF65BE" w:rsidP="00BF65BE">
      <w:pPr>
        <w:pStyle w:val="HChG"/>
      </w:pPr>
      <w:r>
        <w:rPr>
          <w:lang w:val="fr-FR"/>
        </w:rPr>
        <w:tab/>
        <w:t>III.</w:t>
      </w:r>
      <w:r>
        <w:rPr>
          <w:lang w:val="fr-FR"/>
        </w:rPr>
        <w:tab/>
        <w:t>Échantillons</w:t>
      </w:r>
    </w:p>
    <w:p w14:paraId="72BA5BEE" w14:textId="2FD7275B" w:rsidR="00BF65BE" w:rsidRPr="00A248B0" w:rsidRDefault="00BF65BE" w:rsidP="00BF65BE">
      <w:pPr>
        <w:pStyle w:val="SingleTxtG"/>
        <w:rPr>
          <w:lang w:val="fr-FR"/>
        </w:rPr>
      </w:pPr>
      <w:r>
        <w:rPr>
          <w:lang w:val="fr-FR"/>
        </w:rPr>
        <w:t>6.</w:t>
      </w:r>
      <w:r>
        <w:rPr>
          <w:lang w:val="fr-FR"/>
        </w:rPr>
        <w:tab/>
        <w:t>Pour aider le Sous-Comité à prendre une décision éclairée, une liste des titres des documents inscrits au catalogue en ligne</w:t>
      </w:r>
      <w:r w:rsidRPr="00C54E87">
        <w:rPr>
          <w:rStyle w:val="FootnoteReference"/>
        </w:rPr>
        <w:footnoteReference w:id="5"/>
      </w:r>
      <w:r>
        <w:rPr>
          <w:lang w:val="fr-FR"/>
        </w:rPr>
        <w:t xml:space="preserve"> de la Bibliothèque figure à l’appendice 2 du document informel INF.3 et un échantillon de chacune des séries de documents à l’étude à l’appendice 3.</w:t>
      </w:r>
    </w:p>
    <w:p w14:paraId="7265A38F" w14:textId="55CBEEF1" w:rsidR="00BF65BE" w:rsidRPr="00A248B0" w:rsidRDefault="00BF65BE" w:rsidP="00BF65BE">
      <w:pPr>
        <w:pStyle w:val="HChG"/>
        <w:rPr>
          <w:lang w:val="fr-FR"/>
        </w:rPr>
      </w:pPr>
      <w:r>
        <w:rPr>
          <w:lang w:val="fr-FR"/>
        </w:rPr>
        <w:tab/>
        <w:t>IV.</w:t>
      </w:r>
      <w:r>
        <w:rPr>
          <w:lang w:val="fr-FR"/>
        </w:rPr>
        <w:tab/>
        <w:t xml:space="preserve">Raisons pour lesquelles la distribution des documents </w:t>
      </w:r>
      <w:r>
        <w:rPr>
          <w:lang w:val="fr-FR"/>
        </w:rPr>
        <w:br/>
        <w:t>a initialement été restreinte</w:t>
      </w:r>
    </w:p>
    <w:p w14:paraId="40408695" w14:textId="77777777" w:rsidR="00BF65BE" w:rsidRPr="00A248B0" w:rsidRDefault="00BF65BE" w:rsidP="00BF65BE">
      <w:pPr>
        <w:pStyle w:val="SingleTxtG"/>
        <w:rPr>
          <w:lang w:val="fr-FR"/>
        </w:rPr>
      </w:pPr>
      <w:r>
        <w:rPr>
          <w:lang w:val="fr-FR"/>
        </w:rPr>
        <w:t>7.</w:t>
      </w:r>
      <w:r>
        <w:rPr>
          <w:lang w:val="fr-FR"/>
        </w:rPr>
        <w:tab/>
        <w:t xml:space="preserve">Pour autant que le secrétariat ait pu le vérifier, à une certaine époque, la distribution était restreinte pour tous les documents de travail des organes dont il est question ici. Toutefois, cela n’était pas fait par souci de confidentialité, mais principalement à des fins pratiques liées à la diffusion. L’envoi par courrier d’exemplaires papier de ce type de documents de travail aux missions permanentes et aux bibliothèques du monde entier n’étant pas justifié, la solution pour l’éviter a été d’estampiller </w:t>
      </w:r>
      <w:proofErr w:type="gramStart"/>
      <w:r>
        <w:rPr>
          <w:lang w:val="fr-FR"/>
        </w:rPr>
        <w:t>ces document</w:t>
      </w:r>
      <w:proofErr w:type="gramEnd"/>
      <w:r>
        <w:rPr>
          <w:lang w:val="fr-FR"/>
        </w:rPr>
        <w:t xml:space="preserve"> « à distribution restreinte ». Cette pratique a pris fin lorsque les documents ont été téléversés dans le </w:t>
      </w:r>
      <w:proofErr w:type="spellStart"/>
      <w:r>
        <w:rPr>
          <w:lang w:val="fr-FR"/>
        </w:rPr>
        <w:t>Sédoc</w:t>
      </w:r>
      <w:proofErr w:type="spellEnd"/>
      <w:r>
        <w:rPr>
          <w:lang w:val="fr-FR"/>
        </w:rPr>
        <w:t xml:space="preserve"> au lieu d’être imprimés et envoyés.</w:t>
      </w:r>
    </w:p>
    <w:p w14:paraId="0677CFAF" w14:textId="40CD6B32" w:rsidR="00BF65BE" w:rsidRPr="00A248B0" w:rsidRDefault="00BF65BE" w:rsidP="00BF65BE">
      <w:pPr>
        <w:pStyle w:val="SingleTxtG"/>
        <w:rPr>
          <w:lang w:val="fr-FR"/>
        </w:rPr>
      </w:pPr>
      <w:r>
        <w:rPr>
          <w:lang w:val="fr-FR"/>
        </w:rPr>
        <w:t>8.</w:t>
      </w:r>
      <w:r>
        <w:rPr>
          <w:lang w:val="fr-FR"/>
        </w:rPr>
        <w:tab/>
        <w:t xml:space="preserve">Comme on le constate en compulsant les échantillons fournis </w:t>
      </w:r>
      <w:r w:rsidRPr="002E36CE">
        <w:rPr>
          <w:lang w:val="fr-FR"/>
        </w:rPr>
        <w:t>à</w:t>
      </w:r>
      <w:r>
        <w:rPr>
          <w:lang w:val="fr-FR"/>
        </w:rPr>
        <w:t xml:space="preserve"> l’appendice 3 du document informel INF.3, ces documents sont de même nature que les documents de travail actuels, qui sont classés « à distribution générale » et peuvent être téléchargés depuis le site Web du secrétariat et le </w:t>
      </w:r>
      <w:proofErr w:type="spellStart"/>
      <w:r>
        <w:rPr>
          <w:lang w:val="fr-FR"/>
        </w:rPr>
        <w:t>Sédoc</w:t>
      </w:r>
      <w:proofErr w:type="spellEnd"/>
      <w:r>
        <w:rPr>
          <w:lang w:val="fr-FR"/>
        </w:rPr>
        <w:t>. Il n’y a semble-t-il aucune raison de continuer à restreindre l’accès à ces documents.</w:t>
      </w:r>
    </w:p>
    <w:p w14:paraId="3D671FFA" w14:textId="72947C0B" w:rsidR="00BF65BE" w:rsidRPr="00A248B0" w:rsidRDefault="00BF65BE" w:rsidP="00BF65BE">
      <w:pPr>
        <w:pStyle w:val="SingleTxtG"/>
        <w:rPr>
          <w:lang w:val="fr-FR"/>
        </w:rPr>
      </w:pPr>
      <w:r>
        <w:rPr>
          <w:lang w:val="fr-FR"/>
        </w:rPr>
        <w:t>9.</w:t>
      </w:r>
      <w:r>
        <w:rPr>
          <w:lang w:val="fr-FR"/>
        </w:rPr>
        <w:tab/>
        <w:t>Il convient de noter qu’en matière de classification, l’article H 5 de la version actualisée du Manuel d’édition de l’ONU dispose ce qui suit (NB : les passages soulignés l’ont été par l’auteur du présent document et la traduction proposée n’est pas officielle)</w:t>
      </w:r>
      <w:r w:rsidRPr="00C54E87">
        <w:rPr>
          <w:rStyle w:val="FootnoteReference"/>
        </w:rPr>
        <w:footnoteReference w:id="6"/>
      </w:r>
      <w:r>
        <w:rPr>
          <w:lang w:val="fr-FR"/>
        </w:rPr>
        <w:t> :</w:t>
      </w:r>
    </w:p>
    <w:p w14:paraId="38428486" w14:textId="055359EB" w:rsidR="00BF65BE" w:rsidRPr="00A248B0" w:rsidRDefault="00BF65BE" w:rsidP="00BF65BE">
      <w:pPr>
        <w:pStyle w:val="SingleTxtG"/>
        <w:ind w:left="1701" w:firstLine="567"/>
        <w:rPr>
          <w:i/>
          <w:iCs/>
          <w:lang w:val="fr-FR"/>
        </w:rPr>
      </w:pPr>
      <w:r w:rsidRPr="00204DD4">
        <w:rPr>
          <w:lang w:val="fr-FR"/>
        </w:rPr>
        <w:t>« </w:t>
      </w:r>
      <w:r>
        <w:rPr>
          <w:i/>
          <w:iCs/>
          <w:lang w:val="fr-FR"/>
        </w:rPr>
        <w:t xml:space="preserve">La décision de placer un document dans la catégorie </w:t>
      </w:r>
      <w:r w:rsidR="00204DD4" w:rsidRPr="00204DD4">
        <w:rPr>
          <w:i/>
          <w:iCs/>
        </w:rPr>
        <w:t>“</w:t>
      </w:r>
      <w:r w:rsidRPr="00014A5E">
        <w:rPr>
          <w:i/>
          <w:iCs/>
          <w:lang w:val="fr-FR"/>
        </w:rPr>
        <w:t>À</w:t>
      </w:r>
      <w:r>
        <w:rPr>
          <w:i/>
          <w:iCs/>
          <w:lang w:val="fr-FR"/>
        </w:rPr>
        <w:t xml:space="preserve"> DISTRIBUTION RESTREINTE</w:t>
      </w:r>
      <w:r w:rsidR="00204DD4" w:rsidRPr="00204DD4">
        <w:rPr>
          <w:i/>
          <w:iCs/>
        </w:rPr>
        <w:t>”</w:t>
      </w:r>
      <w:r>
        <w:rPr>
          <w:i/>
          <w:iCs/>
          <w:lang w:val="fr-FR"/>
        </w:rPr>
        <w:t xml:space="preserve"> est prise par le chef du département ou bureau auteur du document, ou par un haut fonctionnaire désigné par lui à cet effet.</w:t>
      </w:r>
      <w:r>
        <w:rPr>
          <w:lang w:val="fr-FR"/>
        </w:rPr>
        <w:t xml:space="preserve"> </w:t>
      </w:r>
      <w:r>
        <w:rPr>
          <w:i/>
          <w:iCs/>
          <w:lang w:val="fr-FR"/>
        </w:rPr>
        <w:t xml:space="preserve">Lorsqu’une telle décision est envisagée, il convient de tenir compte du fait </w:t>
      </w:r>
      <w:r w:rsidRPr="00014A5E">
        <w:rPr>
          <w:i/>
          <w:iCs/>
          <w:u w:val="single"/>
          <w:lang w:val="fr-FR"/>
        </w:rPr>
        <w:t>que les travaux de l</w:t>
      </w:r>
      <w:r>
        <w:rPr>
          <w:i/>
          <w:iCs/>
          <w:u w:val="single"/>
          <w:lang w:val="fr-FR"/>
        </w:rPr>
        <w:t>’</w:t>
      </w:r>
      <w:r w:rsidRPr="00014A5E">
        <w:rPr>
          <w:i/>
          <w:iCs/>
          <w:u w:val="single"/>
          <w:lang w:val="fr-FR"/>
        </w:rPr>
        <w:t>Organisation des Nations</w:t>
      </w:r>
      <w:r w:rsidR="00204DD4">
        <w:rPr>
          <w:i/>
          <w:iCs/>
          <w:u w:val="single"/>
          <w:lang w:val="fr-FR"/>
        </w:rPr>
        <w:t> </w:t>
      </w:r>
      <w:r w:rsidRPr="00014A5E">
        <w:rPr>
          <w:i/>
          <w:iCs/>
          <w:u w:val="single"/>
          <w:lang w:val="fr-FR"/>
        </w:rPr>
        <w:t xml:space="preserve">Unies doivent être </w:t>
      </w:r>
      <w:r w:rsidR="00204DD4" w:rsidRPr="00204DD4">
        <w:rPr>
          <w:i/>
          <w:iCs/>
          <w:u w:val="single"/>
          <w:lang w:val="fr-FR"/>
        </w:rPr>
        <w:t>“</w:t>
      </w:r>
      <w:r w:rsidRPr="00014A5E">
        <w:rPr>
          <w:i/>
          <w:iCs/>
          <w:u w:val="single"/>
          <w:lang w:val="fr-FR"/>
        </w:rPr>
        <w:t>accessibles à tous</w:t>
      </w:r>
      <w:r w:rsidR="00204DD4" w:rsidRPr="00204DD4">
        <w:rPr>
          <w:i/>
          <w:iCs/>
          <w:u w:val="single"/>
          <w:lang w:val="fr-FR"/>
        </w:rPr>
        <w:t>”</w:t>
      </w:r>
      <w:r w:rsidR="00204DD4">
        <w:rPr>
          <w:i/>
          <w:iCs/>
          <w:u w:val="single"/>
          <w:lang w:val="fr-FR"/>
        </w:rPr>
        <w:t xml:space="preserve">, </w:t>
      </w:r>
      <w:r w:rsidRPr="00014A5E">
        <w:rPr>
          <w:i/>
          <w:iCs/>
          <w:u w:val="single"/>
          <w:lang w:val="fr-FR"/>
        </w:rPr>
        <w:t>sauf si les circonstances exigent la confidentialité</w:t>
      </w:r>
      <w:r>
        <w:rPr>
          <w:i/>
          <w:iCs/>
          <w:lang w:val="fr-FR"/>
        </w:rPr>
        <w:t>.</w:t>
      </w:r>
      <w:r>
        <w:rPr>
          <w:lang w:val="fr-FR"/>
        </w:rPr>
        <w:t xml:space="preserve"> </w:t>
      </w:r>
      <w:r>
        <w:rPr>
          <w:i/>
          <w:iCs/>
          <w:lang w:val="fr-FR"/>
        </w:rPr>
        <w:t xml:space="preserve">Ainsi, par défaut, la catégorie </w:t>
      </w:r>
      <w:r w:rsidR="00204DD4" w:rsidRPr="00204DD4">
        <w:rPr>
          <w:i/>
          <w:iCs/>
          <w:lang w:val="fr-FR"/>
        </w:rPr>
        <w:t>“</w:t>
      </w:r>
      <w:r w:rsidRPr="00014A5E">
        <w:rPr>
          <w:i/>
          <w:iCs/>
          <w:lang w:val="fr-FR"/>
        </w:rPr>
        <w:t>À</w:t>
      </w:r>
      <w:r>
        <w:rPr>
          <w:i/>
          <w:iCs/>
          <w:lang w:val="fr-FR"/>
        </w:rPr>
        <w:t xml:space="preserve"> DISTRIBUTION RESTREINTE</w:t>
      </w:r>
      <w:r w:rsidR="00204DD4" w:rsidRPr="00204DD4">
        <w:rPr>
          <w:i/>
          <w:iCs/>
          <w:lang w:val="fr-FR"/>
        </w:rPr>
        <w:t>”</w:t>
      </w:r>
      <w:r>
        <w:rPr>
          <w:i/>
          <w:iCs/>
          <w:lang w:val="fr-FR"/>
        </w:rPr>
        <w:t xml:space="preserve"> ne devra être utilisée qu’à titre exceptionnel.</w:t>
      </w:r>
      <w:r>
        <w:rPr>
          <w:lang w:val="fr-FR"/>
        </w:rPr>
        <w:t xml:space="preserve"> </w:t>
      </w:r>
      <w:r>
        <w:rPr>
          <w:i/>
          <w:iCs/>
          <w:lang w:val="fr-FR"/>
        </w:rPr>
        <w:t xml:space="preserve">De manière générale, si le document contient des informations communiquées par un gouvernement ou une autre source extérieure au Secrétariat à la condition expresse qu’elles restent confidentielles, ce document et ses annexes devront être classés </w:t>
      </w:r>
      <w:r w:rsidR="00204DD4" w:rsidRPr="00204DD4">
        <w:rPr>
          <w:i/>
          <w:iCs/>
          <w:lang w:val="fr-FR"/>
        </w:rPr>
        <w:t>“</w:t>
      </w:r>
      <w:r w:rsidRPr="00014A5E">
        <w:rPr>
          <w:i/>
          <w:iCs/>
          <w:lang w:val="fr-FR"/>
        </w:rPr>
        <w:t>À</w:t>
      </w:r>
      <w:r>
        <w:rPr>
          <w:i/>
          <w:iCs/>
          <w:lang w:val="fr-FR"/>
        </w:rPr>
        <w:t xml:space="preserve"> DISTRIBUTION RESTREINTE</w:t>
      </w:r>
      <w:r w:rsidR="00204DD4" w:rsidRPr="00204DD4">
        <w:rPr>
          <w:i/>
          <w:iCs/>
          <w:lang w:val="fr-FR"/>
        </w:rPr>
        <w:t>”</w:t>
      </w:r>
      <w:r>
        <w:rPr>
          <w:i/>
          <w:iCs/>
          <w:lang w:val="fr-FR"/>
        </w:rPr>
        <w:t xml:space="preserve">. </w:t>
      </w:r>
      <w:r>
        <w:rPr>
          <w:i/>
          <w:iCs/>
          <w:u w:val="single"/>
          <w:lang w:val="fr-FR"/>
        </w:rPr>
        <w:t>Si</w:t>
      </w:r>
      <w:r w:rsidR="00204DD4">
        <w:rPr>
          <w:i/>
          <w:iCs/>
          <w:u w:val="single"/>
          <w:lang w:val="fr-FR"/>
        </w:rPr>
        <w:t> </w:t>
      </w:r>
      <w:r>
        <w:rPr>
          <w:i/>
          <w:iCs/>
          <w:u w:val="single"/>
          <w:lang w:val="fr-FR"/>
        </w:rPr>
        <w:t xml:space="preserve">l’objectif est de contrôler la distribution d’un document, ce dernier ne doit pas être publié dans la </w:t>
      </w:r>
      <w:r w:rsidRPr="00014A5E">
        <w:rPr>
          <w:i/>
          <w:iCs/>
          <w:u w:val="single"/>
          <w:lang w:val="fr-FR"/>
        </w:rPr>
        <w:t xml:space="preserve">catégorie </w:t>
      </w:r>
      <w:r w:rsidR="00204DD4" w:rsidRPr="00204DD4">
        <w:rPr>
          <w:i/>
          <w:iCs/>
          <w:u w:val="single"/>
          <w:lang w:val="fr-FR"/>
        </w:rPr>
        <w:t>“</w:t>
      </w:r>
      <w:r w:rsidRPr="00014A5E">
        <w:rPr>
          <w:i/>
          <w:iCs/>
          <w:u w:val="single"/>
          <w:lang w:val="fr-FR"/>
        </w:rPr>
        <w:t xml:space="preserve">À </w:t>
      </w:r>
      <w:r>
        <w:rPr>
          <w:i/>
          <w:iCs/>
          <w:u w:val="single"/>
          <w:lang w:val="fr-FR"/>
        </w:rPr>
        <w:t>DISTRIBUTION</w:t>
      </w:r>
      <w:r w:rsidRPr="00014A5E">
        <w:rPr>
          <w:i/>
          <w:iCs/>
          <w:u w:val="single"/>
          <w:lang w:val="fr-FR"/>
        </w:rPr>
        <w:t xml:space="preserve"> RESTREINTE</w:t>
      </w:r>
      <w:r w:rsidR="00204DD4" w:rsidRPr="00204DD4">
        <w:rPr>
          <w:i/>
          <w:iCs/>
          <w:u w:val="single"/>
          <w:lang w:val="fr-FR"/>
        </w:rPr>
        <w:t>”</w:t>
      </w:r>
      <w:r>
        <w:rPr>
          <w:i/>
          <w:iCs/>
          <w:lang w:val="fr-FR"/>
        </w:rPr>
        <w:t xml:space="preserve"> mais dans la catégorie </w:t>
      </w:r>
      <w:r w:rsidR="00204DD4" w:rsidRPr="00204DD4">
        <w:rPr>
          <w:i/>
          <w:iCs/>
          <w:lang w:val="fr-FR"/>
        </w:rPr>
        <w:t>“</w:t>
      </w:r>
      <w:r>
        <w:rPr>
          <w:i/>
          <w:iCs/>
          <w:lang w:val="fr-FR"/>
        </w:rPr>
        <w:t>À DISTRIBUTION LIMITÉE</w:t>
      </w:r>
      <w:r w:rsidR="00204DD4" w:rsidRPr="00204DD4">
        <w:rPr>
          <w:i/>
          <w:iCs/>
          <w:lang w:val="fr-FR"/>
        </w:rPr>
        <w:t>”</w:t>
      </w:r>
      <w:r>
        <w:rPr>
          <w:i/>
          <w:iCs/>
          <w:lang w:val="fr-FR"/>
        </w:rPr>
        <w:t>, et des instructions particulières doivent figurer sur le formulaire de demande de documents.</w:t>
      </w:r>
      <w:r w:rsidRPr="00204DD4">
        <w:rPr>
          <w:lang w:val="fr-FR"/>
        </w:rPr>
        <w:t> »</w:t>
      </w:r>
      <w:r w:rsidR="00204DD4">
        <w:rPr>
          <w:lang w:val="fr-FR"/>
        </w:rPr>
        <w:t>.</w:t>
      </w:r>
    </w:p>
    <w:p w14:paraId="6AE2E630" w14:textId="3F44FBF5" w:rsidR="00BF65BE" w:rsidRPr="00A248B0" w:rsidRDefault="00BF65BE" w:rsidP="00204DD4">
      <w:pPr>
        <w:pStyle w:val="SingleTxtG"/>
        <w:rPr>
          <w:lang w:val="fr-FR"/>
        </w:rPr>
      </w:pPr>
      <w:r>
        <w:rPr>
          <w:lang w:val="fr-FR"/>
        </w:rPr>
        <w:t>10.</w:t>
      </w:r>
      <w:r>
        <w:rPr>
          <w:lang w:val="fr-FR"/>
        </w:rPr>
        <w:tab/>
        <w:t xml:space="preserve">Par ailleurs, en ce qui concerne la déclassification, </w:t>
      </w:r>
      <w:r w:rsidRPr="00204DD4">
        <w:rPr>
          <w:lang w:val="fr-FR"/>
        </w:rPr>
        <w:t>le Ma</w:t>
      </w:r>
      <w:r>
        <w:rPr>
          <w:lang w:val="fr-FR"/>
        </w:rPr>
        <w:t xml:space="preserve">nuel d’édition dispose que « les documents initialement classés </w:t>
      </w:r>
      <w:r w:rsidR="00204DD4" w:rsidRPr="00204DD4">
        <w:t>“</w:t>
      </w:r>
      <w:r>
        <w:rPr>
          <w:lang w:val="fr-FR"/>
        </w:rPr>
        <w:t>À DISTRIBUTION RESTREINTE</w:t>
      </w:r>
      <w:r w:rsidR="00204DD4" w:rsidRPr="00204DD4">
        <w:t>”</w:t>
      </w:r>
      <w:r>
        <w:rPr>
          <w:lang w:val="fr-FR"/>
        </w:rPr>
        <w:t xml:space="preserve"> doivent être déclassifiés </w:t>
      </w:r>
      <w:r w:rsidRPr="002E36CE">
        <w:rPr>
          <w:lang w:val="fr-FR"/>
        </w:rPr>
        <w:t>à</w:t>
      </w:r>
      <w:r>
        <w:rPr>
          <w:lang w:val="fr-FR"/>
        </w:rPr>
        <w:t xml:space="preserve"> mesure que le passage du temps ou d’autres événements le permettent ».</w:t>
      </w:r>
    </w:p>
    <w:p w14:paraId="1DA5B3A7" w14:textId="5482C383" w:rsidR="00BF65BE" w:rsidRPr="00A248B0" w:rsidRDefault="00204DD4" w:rsidP="00204DD4">
      <w:pPr>
        <w:pStyle w:val="HChG"/>
        <w:rPr>
          <w:lang w:val="fr-FR"/>
        </w:rPr>
      </w:pPr>
      <w:r>
        <w:rPr>
          <w:lang w:val="fr-FR"/>
        </w:rPr>
        <w:tab/>
      </w:r>
      <w:r w:rsidR="00BF65BE">
        <w:rPr>
          <w:lang w:val="fr-FR"/>
        </w:rPr>
        <w:t>V.</w:t>
      </w:r>
      <w:r w:rsidR="00BF65BE">
        <w:rPr>
          <w:lang w:val="fr-FR"/>
        </w:rPr>
        <w:tab/>
        <w:t>Mesures que le Sous-Comité est invité à prendre</w:t>
      </w:r>
    </w:p>
    <w:p w14:paraId="78E9DD04" w14:textId="77777777" w:rsidR="00BF65BE" w:rsidRPr="00A248B0" w:rsidRDefault="00BF65BE" w:rsidP="00204DD4">
      <w:pPr>
        <w:pStyle w:val="SingleTxtG"/>
        <w:keepNext/>
        <w:rPr>
          <w:lang w:val="fr-FR"/>
        </w:rPr>
      </w:pPr>
      <w:r>
        <w:rPr>
          <w:lang w:val="fr-FR"/>
        </w:rPr>
        <w:t>11.</w:t>
      </w:r>
      <w:r>
        <w:rPr>
          <w:lang w:val="fr-FR"/>
        </w:rPr>
        <w:tab/>
        <w:t>Si le Sous-Comité souhaite demander la déclassification des documents susmentionnés, le secrétariat propose que les paragraphes suivants soient insérés dans le rapport de la présente session :</w:t>
      </w:r>
    </w:p>
    <w:p w14:paraId="3ED0CA01" w14:textId="77777777" w:rsidR="00BF65BE" w:rsidRPr="00A248B0" w:rsidRDefault="00BF65BE" w:rsidP="00204DD4">
      <w:pPr>
        <w:pStyle w:val="SingleTxtG"/>
        <w:ind w:firstLine="567"/>
        <w:rPr>
          <w:i/>
          <w:iCs/>
          <w:lang w:val="fr-FR"/>
        </w:rPr>
      </w:pPr>
      <w:r w:rsidRPr="00204DD4">
        <w:rPr>
          <w:lang w:val="fr-FR"/>
        </w:rPr>
        <w:t>« </w:t>
      </w:r>
      <w:r>
        <w:rPr>
          <w:i/>
          <w:iCs/>
          <w:lang w:val="fr-FR"/>
        </w:rPr>
        <w:t>Le Sous-Comité a demandé au secrétariat de faire le nécessaire pour déclassifier les séries de documents suivantes :</w:t>
      </w:r>
    </w:p>
    <w:p w14:paraId="6AE26366" w14:textId="40C49AF6" w:rsidR="00BF65BE" w:rsidRPr="00204DD4" w:rsidRDefault="00BF65BE" w:rsidP="00204DD4">
      <w:pPr>
        <w:pStyle w:val="Bullet1G"/>
        <w:rPr>
          <w:i/>
          <w:iCs/>
          <w:lang w:val="fr-FR"/>
        </w:rPr>
      </w:pPr>
      <w:r w:rsidRPr="00204DD4">
        <w:rPr>
          <w:i/>
          <w:iCs/>
          <w:lang w:val="fr-FR"/>
        </w:rPr>
        <w:t>E/CN.2/CONF.5/</w:t>
      </w:r>
      <w:proofErr w:type="spellStart"/>
      <w:r w:rsidRPr="00204DD4">
        <w:rPr>
          <w:i/>
          <w:iCs/>
          <w:lang w:val="fr-FR"/>
        </w:rPr>
        <w:t>R.xxx</w:t>
      </w:r>
      <w:proofErr w:type="spellEnd"/>
      <w:r w:rsidRPr="00204DD4">
        <w:rPr>
          <w:i/>
          <w:iCs/>
          <w:lang w:val="fr-FR"/>
        </w:rPr>
        <w:t xml:space="preserve"> (Comité d’experts en matière de transport des marchandises dangereuses)</w:t>
      </w:r>
      <w:r w:rsidR="00204DD4" w:rsidRPr="00204DD4">
        <w:rPr>
          <w:i/>
          <w:iCs/>
          <w:lang w:val="fr-FR"/>
        </w:rPr>
        <w:t> ;</w:t>
      </w:r>
    </w:p>
    <w:p w14:paraId="0A0C347F" w14:textId="43B923CA" w:rsidR="00BF65BE" w:rsidRPr="00204DD4" w:rsidRDefault="00BF65BE" w:rsidP="00204DD4">
      <w:pPr>
        <w:pStyle w:val="Bullet1G"/>
        <w:rPr>
          <w:i/>
          <w:iCs/>
          <w:lang w:val="fr-FR"/>
        </w:rPr>
      </w:pPr>
      <w:r w:rsidRPr="00204DD4">
        <w:rPr>
          <w:i/>
          <w:iCs/>
          <w:lang w:val="fr-FR"/>
        </w:rPr>
        <w:t>ST/SG/AC.10/</w:t>
      </w:r>
      <w:proofErr w:type="spellStart"/>
      <w:r w:rsidRPr="00204DD4">
        <w:rPr>
          <w:i/>
          <w:iCs/>
          <w:lang w:val="fr-FR"/>
        </w:rPr>
        <w:t>R.xxx</w:t>
      </w:r>
      <w:proofErr w:type="spellEnd"/>
      <w:r w:rsidRPr="00204DD4">
        <w:rPr>
          <w:i/>
          <w:iCs/>
          <w:lang w:val="fr-FR"/>
        </w:rPr>
        <w:t xml:space="preserve"> (Comité d’experts en matière de transport des marchandises dangereuses)</w:t>
      </w:r>
      <w:r w:rsidR="00204DD4" w:rsidRPr="00204DD4">
        <w:rPr>
          <w:i/>
          <w:iCs/>
          <w:lang w:val="fr-FR"/>
        </w:rPr>
        <w:t> ;</w:t>
      </w:r>
    </w:p>
    <w:p w14:paraId="1146AA1B" w14:textId="55F7F81F" w:rsidR="00BF65BE" w:rsidRPr="00204DD4" w:rsidRDefault="00BF65BE" w:rsidP="00204DD4">
      <w:pPr>
        <w:pStyle w:val="Bullet1G"/>
        <w:rPr>
          <w:i/>
          <w:iCs/>
          <w:lang w:val="fr-FR"/>
        </w:rPr>
      </w:pPr>
      <w:r w:rsidRPr="00204DD4">
        <w:rPr>
          <w:i/>
          <w:iCs/>
          <w:lang w:val="fr-FR"/>
        </w:rPr>
        <w:t>ST/SG/AC.10/C.1/</w:t>
      </w:r>
      <w:proofErr w:type="spellStart"/>
      <w:r w:rsidRPr="00204DD4">
        <w:rPr>
          <w:i/>
          <w:iCs/>
          <w:lang w:val="fr-FR"/>
        </w:rPr>
        <w:t>R.xxx</w:t>
      </w:r>
      <w:proofErr w:type="spellEnd"/>
      <w:r w:rsidRPr="00204DD4">
        <w:rPr>
          <w:i/>
          <w:iCs/>
          <w:lang w:val="fr-FR"/>
        </w:rPr>
        <w:t xml:space="preserve"> (Groupe d’experts des matières et objets explosifs du Comité d’experts en matière de transport des marchandises dangereuses)</w:t>
      </w:r>
      <w:r w:rsidR="00204DD4" w:rsidRPr="00204DD4">
        <w:rPr>
          <w:i/>
          <w:iCs/>
          <w:lang w:val="fr-FR"/>
        </w:rPr>
        <w:t> ;</w:t>
      </w:r>
    </w:p>
    <w:p w14:paraId="5EF8899A" w14:textId="4C7A4DA5" w:rsidR="00BF65BE" w:rsidRPr="00204DD4" w:rsidRDefault="00BF65BE" w:rsidP="00204DD4">
      <w:pPr>
        <w:pStyle w:val="Bullet1G"/>
        <w:rPr>
          <w:i/>
          <w:iCs/>
          <w:lang w:val="fr-FR"/>
        </w:rPr>
      </w:pPr>
      <w:r w:rsidRPr="00204DD4">
        <w:rPr>
          <w:i/>
          <w:iCs/>
          <w:lang w:val="fr-FR"/>
        </w:rPr>
        <w:t>ST/SG/AC.10/C.2/</w:t>
      </w:r>
      <w:proofErr w:type="spellStart"/>
      <w:r w:rsidRPr="00204DD4">
        <w:rPr>
          <w:i/>
          <w:iCs/>
          <w:lang w:val="fr-FR"/>
        </w:rPr>
        <w:t>R.xxx</w:t>
      </w:r>
      <w:proofErr w:type="spellEnd"/>
      <w:r w:rsidRPr="00204DD4">
        <w:rPr>
          <w:i/>
          <w:iCs/>
          <w:lang w:val="fr-FR"/>
        </w:rPr>
        <w:t xml:space="preserve"> (Groupe de Rapporteurs du Comité d’experts en matière de transport des marchandises dangereuses)</w:t>
      </w:r>
      <w:r w:rsidR="00204DD4">
        <w:rPr>
          <w:i/>
          <w:iCs/>
          <w:lang w:val="fr-FR"/>
        </w:rPr>
        <w:t> ;</w:t>
      </w:r>
    </w:p>
    <w:p w14:paraId="7FC3B0D5" w14:textId="0B019686" w:rsidR="00BF65BE" w:rsidRPr="00204DD4" w:rsidRDefault="00BF65BE" w:rsidP="00204DD4">
      <w:pPr>
        <w:pStyle w:val="Bullet1G"/>
        <w:rPr>
          <w:i/>
          <w:iCs/>
          <w:lang w:val="fr-FR"/>
        </w:rPr>
      </w:pPr>
      <w:r w:rsidRPr="00204DD4">
        <w:rPr>
          <w:i/>
          <w:iCs/>
          <w:lang w:val="fr-FR"/>
        </w:rPr>
        <w:t>ST/SG/AC.10/C.3/</w:t>
      </w:r>
      <w:proofErr w:type="spellStart"/>
      <w:r w:rsidRPr="00204DD4">
        <w:rPr>
          <w:i/>
          <w:iCs/>
          <w:lang w:val="fr-FR"/>
        </w:rPr>
        <w:t>R.xxx</w:t>
      </w:r>
      <w:proofErr w:type="spellEnd"/>
      <w:r w:rsidRPr="00204DD4">
        <w:rPr>
          <w:i/>
          <w:iCs/>
          <w:lang w:val="fr-FR"/>
        </w:rPr>
        <w:t xml:space="preserve"> (Sous-Comité d’experts du transport des marchandises dangereuses)</w:t>
      </w:r>
      <w:r w:rsidR="00204DD4" w:rsidRPr="00204DD4">
        <w:rPr>
          <w:lang w:val="fr-FR"/>
        </w:rPr>
        <w:t>.</w:t>
      </w:r>
    </w:p>
    <w:p w14:paraId="1163DE0F" w14:textId="0432477B" w:rsidR="00BF65BE" w:rsidRDefault="00BF65BE" w:rsidP="00204DD4">
      <w:pPr>
        <w:pStyle w:val="SingleTxtG"/>
        <w:ind w:firstLine="567"/>
        <w:rPr>
          <w:lang w:val="fr-FR"/>
        </w:rPr>
      </w:pPr>
      <w:r>
        <w:rPr>
          <w:i/>
          <w:iCs/>
          <w:lang w:val="fr-FR"/>
        </w:rPr>
        <w:t xml:space="preserve">Le Sous-Comité a demandé que tous les documents de ces séries actuellement en ligne dans le </w:t>
      </w:r>
      <w:proofErr w:type="spellStart"/>
      <w:r>
        <w:rPr>
          <w:i/>
          <w:iCs/>
          <w:lang w:val="fr-FR"/>
        </w:rPr>
        <w:t>Sédoc</w:t>
      </w:r>
      <w:proofErr w:type="spellEnd"/>
      <w:r>
        <w:rPr>
          <w:i/>
          <w:iCs/>
          <w:lang w:val="fr-FR"/>
        </w:rPr>
        <w:t xml:space="preserve"> soient mis à la disposition du public sans restriction.</w:t>
      </w:r>
      <w:r>
        <w:rPr>
          <w:lang w:val="fr-FR"/>
        </w:rPr>
        <w:t xml:space="preserve"> </w:t>
      </w:r>
      <w:r>
        <w:rPr>
          <w:i/>
          <w:iCs/>
          <w:lang w:val="fr-FR"/>
        </w:rPr>
        <w:t xml:space="preserve">En outre, si d’autres documents appartenant à ces séries qui n’existent actuellement qu’au format papier sont numérisés et téléversés dans le </w:t>
      </w:r>
      <w:proofErr w:type="spellStart"/>
      <w:r>
        <w:rPr>
          <w:i/>
          <w:iCs/>
          <w:lang w:val="fr-FR"/>
        </w:rPr>
        <w:t>Sédoc</w:t>
      </w:r>
      <w:proofErr w:type="spellEnd"/>
      <w:r>
        <w:rPr>
          <w:i/>
          <w:iCs/>
          <w:lang w:val="fr-FR"/>
        </w:rPr>
        <w:t xml:space="preserve"> à l’avenir, le Sous-Comité a demandé que ces documents soient également mis à la disposition du public sans restriction.</w:t>
      </w:r>
      <w:r w:rsidRPr="00204DD4">
        <w:rPr>
          <w:lang w:val="fr-FR"/>
        </w:rPr>
        <w:t> »</w:t>
      </w:r>
      <w:r w:rsidR="00204DD4">
        <w:rPr>
          <w:lang w:val="fr-FR"/>
        </w:rPr>
        <w:t>.</w:t>
      </w:r>
    </w:p>
    <w:p w14:paraId="17ECF148" w14:textId="4430BA3E" w:rsidR="00204DD4" w:rsidRPr="00204DD4" w:rsidRDefault="00204DD4" w:rsidP="00204DD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04DD4" w:rsidRPr="00204DD4" w:rsidSect="002342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25DB" w14:textId="77777777" w:rsidR="005958E9" w:rsidRDefault="005958E9" w:rsidP="00F95C08">
      <w:pPr>
        <w:spacing w:line="240" w:lineRule="auto"/>
      </w:pPr>
    </w:p>
  </w:endnote>
  <w:endnote w:type="continuationSeparator" w:id="0">
    <w:p w14:paraId="7F8DC34A" w14:textId="77777777" w:rsidR="005958E9" w:rsidRPr="00AC3823" w:rsidRDefault="005958E9" w:rsidP="00AC3823">
      <w:pPr>
        <w:pStyle w:val="Footer"/>
      </w:pPr>
    </w:p>
  </w:endnote>
  <w:endnote w:type="continuationNotice" w:id="1">
    <w:p w14:paraId="530F4D46" w14:textId="77777777" w:rsidR="005958E9" w:rsidRDefault="00595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240E" w14:textId="772D7547" w:rsidR="00234222" w:rsidRPr="00234222" w:rsidRDefault="00234222" w:rsidP="00234222">
    <w:pPr>
      <w:pStyle w:val="Footer"/>
      <w:tabs>
        <w:tab w:val="right" w:pos="9638"/>
      </w:tabs>
    </w:pPr>
    <w:r w:rsidRPr="00234222">
      <w:rPr>
        <w:b/>
        <w:sz w:val="18"/>
      </w:rPr>
      <w:fldChar w:fldCharType="begin"/>
    </w:r>
    <w:r w:rsidRPr="00234222">
      <w:rPr>
        <w:b/>
        <w:sz w:val="18"/>
      </w:rPr>
      <w:instrText xml:space="preserve"> PAGE  \* MERGEFORMAT </w:instrText>
    </w:r>
    <w:r w:rsidRPr="00234222">
      <w:rPr>
        <w:b/>
        <w:sz w:val="18"/>
      </w:rPr>
      <w:fldChar w:fldCharType="separate"/>
    </w:r>
    <w:r w:rsidRPr="00234222">
      <w:rPr>
        <w:b/>
        <w:noProof/>
        <w:sz w:val="18"/>
      </w:rPr>
      <w:t>2</w:t>
    </w:r>
    <w:r w:rsidRPr="00234222">
      <w:rPr>
        <w:b/>
        <w:sz w:val="18"/>
      </w:rPr>
      <w:fldChar w:fldCharType="end"/>
    </w:r>
    <w:r>
      <w:rPr>
        <w:b/>
        <w:sz w:val="18"/>
      </w:rPr>
      <w:tab/>
    </w:r>
    <w:r>
      <w:t>GE.22-04989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A1E6" w14:textId="13FB1573" w:rsidR="00234222" w:rsidRPr="00234222" w:rsidRDefault="00234222" w:rsidP="00234222">
    <w:pPr>
      <w:pStyle w:val="Footer"/>
      <w:tabs>
        <w:tab w:val="right" w:pos="9638"/>
      </w:tabs>
      <w:rPr>
        <w:b/>
        <w:sz w:val="18"/>
      </w:rPr>
    </w:pPr>
    <w:r>
      <w:t>GE.22-04989</w:t>
    </w:r>
    <w:r>
      <w:tab/>
    </w:r>
    <w:r w:rsidRPr="00234222">
      <w:rPr>
        <w:b/>
        <w:sz w:val="18"/>
      </w:rPr>
      <w:fldChar w:fldCharType="begin"/>
    </w:r>
    <w:r w:rsidRPr="00234222">
      <w:rPr>
        <w:b/>
        <w:sz w:val="18"/>
      </w:rPr>
      <w:instrText xml:space="preserve"> PAGE  \* MERGEFORMAT </w:instrText>
    </w:r>
    <w:r w:rsidRPr="00234222">
      <w:rPr>
        <w:b/>
        <w:sz w:val="18"/>
      </w:rPr>
      <w:fldChar w:fldCharType="separate"/>
    </w:r>
    <w:r w:rsidRPr="00234222">
      <w:rPr>
        <w:b/>
        <w:noProof/>
        <w:sz w:val="18"/>
      </w:rPr>
      <w:t>3</w:t>
    </w:r>
    <w:r w:rsidRPr="002342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6A21" w14:textId="0AB866CE" w:rsidR="0068456F" w:rsidRPr="00234222" w:rsidRDefault="00234222" w:rsidP="0023422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9734B9C" wp14:editId="5C437EB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04989  (</w:t>
    </w:r>
    <w:proofErr w:type="gramEnd"/>
    <w:r>
      <w:rPr>
        <w:sz w:val="20"/>
      </w:rPr>
      <w:t>F)</w:t>
    </w:r>
    <w:r>
      <w:rPr>
        <w:noProof/>
        <w:sz w:val="20"/>
      </w:rPr>
      <w:drawing>
        <wp:anchor distT="0" distB="0" distL="114300" distR="114300" simplePos="0" relativeHeight="251660288" behindDoc="0" locked="0" layoutInCell="1" allowOverlap="1" wp14:anchorId="4EA8B043" wp14:editId="51D7FD0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3EE4" w14:textId="77777777" w:rsidR="005958E9" w:rsidRPr="00AC3823" w:rsidRDefault="005958E9" w:rsidP="00AC3823">
      <w:pPr>
        <w:pStyle w:val="Footer"/>
        <w:tabs>
          <w:tab w:val="right" w:pos="2155"/>
        </w:tabs>
        <w:spacing w:after="80" w:line="240" w:lineRule="atLeast"/>
        <w:ind w:left="680"/>
        <w:rPr>
          <w:u w:val="single"/>
        </w:rPr>
      </w:pPr>
      <w:r>
        <w:rPr>
          <w:u w:val="single"/>
        </w:rPr>
        <w:tab/>
      </w:r>
    </w:p>
  </w:footnote>
  <w:footnote w:type="continuationSeparator" w:id="0">
    <w:p w14:paraId="7CFC7BF0" w14:textId="77777777" w:rsidR="005958E9" w:rsidRPr="00AC3823" w:rsidRDefault="005958E9" w:rsidP="00AC3823">
      <w:pPr>
        <w:pStyle w:val="Footer"/>
        <w:tabs>
          <w:tab w:val="right" w:pos="2155"/>
        </w:tabs>
        <w:spacing w:after="80" w:line="240" w:lineRule="atLeast"/>
        <w:ind w:left="680"/>
        <w:rPr>
          <w:u w:val="single"/>
        </w:rPr>
      </w:pPr>
      <w:r>
        <w:rPr>
          <w:u w:val="single"/>
        </w:rPr>
        <w:tab/>
      </w:r>
    </w:p>
  </w:footnote>
  <w:footnote w:type="continuationNotice" w:id="1">
    <w:p w14:paraId="0D33CC52" w14:textId="77777777" w:rsidR="005958E9" w:rsidRPr="00AC3823" w:rsidRDefault="005958E9">
      <w:pPr>
        <w:spacing w:line="240" w:lineRule="auto"/>
        <w:rPr>
          <w:sz w:val="2"/>
          <w:szCs w:val="2"/>
        </w:rPr>
      </w:pPr>
    </w:p>
  </w:footnote>
  <w:footnote w:id="2">
    <w:p w14:paraId="15524434" w14:textId="013A2715" w:rsidR="00BF65BE" w:rsidRPr="00A248B0" w:rsidRDefault="00BF65BE" w:rsidP="00BF65BE">
      <w:pPr>
        <w:pStyle w:val="FootnoteText"/>
        <w:rPr>
          <w:lang w:val="fr-FR"/>
        </w:rPr>
      </w:pPr>
      <w:r>
        <w:rPr>
          <w:lang w:val="fr-FR"/>
        </w:rPr>
        <w:tab/>
        <w:t>*</w:t>
      </w:r>
      <w:r>
        <w:rPr>
          <w:lang w:val="fr-FR"/>
        </w:rPr>
        <w:tab/>
        <w:t>A/75/6 (Sect. 20), par. 20.51.</w:t>
      </w:r>
    </w:p>
  </w:footnote>
  <w:footnote w:id="3">
    <w:p w14:paraId="100F4986" w14:textId="77777777" w:rsidR="00BF65BE" w:rsidRPr="00A248B0" w:rsidRDefault="00BF65BE" w:rsidP="00BF65BE">
      <w:pPr>
        <w:pStyle w:val="FootnoteText"/>
        <w:rPr>
          <w:lang w:val="fr-FR"/>
        </w:rPr>
      </w:pPr>
      <w:r>
        <w:rPr>
          <w:lang w:val="fr-FR"/>
        </w:rPr>
        <w:tab/>
      </w:r>
      <w:r w:rsidRPr="00C54E87">
        <w:rPr>
          <w:rStyle w:val="FootnoteReference"/>
        </w:rPr>
        <w:footnoteRef/>
      </w:r>
      <w:r>
        <w:rPr>
          <w:lang w:val="fr-FR"/>
        </w:rPr>
        <w:tab/>
      </w:r>
      <w:hyperlink r:id="rId1" w:history="1">
        <w:r w:rsidRPr="00BF65BE">
          <w:rPr>
            <w:color w:val="0000FF"/>
            <w:lang w:val="fr-FR"/>
          </w:rPr>
          <w:t>https://documents.un.org/prod/ods.nsf/home.xsp</w:t>
        </w:r>
      </w:hyperlink>
      <w:r>
        <w:rPr>
          <w:lang w:val="fr-FR"/>
        </w:rPr>
        <w:t>.</w:t>
      </w:r>
    </w:p>
  </w:footnote>
  <w:footnote w:id="4">
    <w:p w14:paraId="358449DC" w14:textId="77777777" w:rsidR="00BF65BE" w:rsidRPr="00A248B0" w:rsidRDefault="00BF65BE" w:rsidP="00BF65BE">
      <w:pPr>
        <w:pStyle w:val="FootnoteText"/>
        <w:rPr>
          <w:lang w:val="fr-FR"/>
        </w:rPr>
      </w:pPr>
      <w:r>
        <w:rPr>
          <w:lang w:val="fr-FR"/>
        </w:rPr>
        <w:tab/>
      </w:r>
      <w:r w:rsidRPr="00C54E87">
        <w:rPr>
          <w:rStyle w:val="FootnoteReference"/>
        </w:rPr>
        <w:footnoteRef/>
      </w:r>
      <w:r>
        <w:rPr>
          <w:lang w:val="fr-FR"/>
        </w:rPr>
        <w:tab/>
      </w:r>
      <w:hyperlink r:id="rId2" w:history="1">
        <w:r w:rsidRPr="00BF65BE">
          <w:rPr>
            <w:color w:val="0000FF"/>
            <w:lang w:val="fr-FR"/>
          </w:rPr>
          <w:t>https://digitallibrary.un.org</w:t>
        </w:r>
      </w:hyperlink>
      <w:r>
        <w:rPr>
          <w:lang w:val="fr-FR"/>
        </w:rPr>
        <w:t xml:space="preserve">. </w:t>
      </w:r>
    </w:p>
  </w:footnote>
  <w:footnote w:id="5">
    <w:p w14:paraId="2F124EE5" w14:textId="77777777" w:rsidR="00BF65BE" w:rsidRPr="00A248B0" w:rsidRDefault="00BF65BE" w:rsidP="00BF65BE">
      <w:pPr>
        <w:pStyle w:val="FootnoteText"/>
        <w:rPr>
          <w:lang w:val="fr-FR"/>
        </w:rPr>
      </w:pPr>
      <w:r>
        <w:rPr>
          <w:lang w:val="fr-FR"/>
        </w:rPr>
        <w:tab/>
      </w:r>
      <w:r w:rsidRPr="00C54E87">
        <w:rPr>
          <w:rStyle w:val="FootnoteReference"/>
        </w:rPr>
        <w:footnoteRef/>
      </w:r>
      <w:r>
        <w:rPr>
          <w:lang w:val="fr-FR"/>
        </w:rPr>
        <w:tab/>
        <w:t xml:space="preserve">Le catalogue en ligne de la Bibliothèque contient des documents qui ne sont pas dans le </w:t>
      </w:r>
      <w:proofErr w:type="spellStart"/>
      <w:r>
        <w:rPr>
          <w:lang w:val="fr-FR"/>
        </w:rPr>
        <w:t>Sédoc</w:t>
      </w:r>
      <w:proofErr w:type="spellEnd"/>
      <w:r>
        <w:rPr>
          <w:lang w:val="fr-FR"/>
        </w:rPr>
        <w:t xml:space="preserve">, faute d’avoir été numérisés. À l’inverse, le </w:t>
      </w:r>
      <w:proofErr w:type="spellStart"/>
      <w:r>
        <w:rPr>
          <w:lang w:val="fr-FR"/>
        </w:rPr>
        <w:t>Sédoc</w:t>
      </w:r>
      <w:proofErr w:type="spellEnd"/>
      <w:r>
        <w:rPr>
          <w:lang w:val="fr-FR"/>
        </w:rPr>
        <w:t xml:space="preserve"> contient certains documents qui ne figurent pas dans le catalogue en ligne de la Bibliothèque, ce dernier étant incomplet à l’heure actuelle. C’est pourquoi les listes des appendices 1 et 2 du document informel INF.3 ne sont pas identiques.</w:t>
      </w:r>
    </w:p>
  </w:footnote>
  <w:footnote w:id="6">
    <w:p w14:paraId="6C697617" w14:textId="1C5CA04A" w:rsidR="00BF65BE" w:rsidRPr="00B90F31" w:rsidRDefault="00BF65BE" w:rsidP="00BF65BE">
      <w:pPr>
        <w:pStyle w:val="FootnoteText"/>
        <w:rPr>
          <w:lang w:val="fr-FR"/>
        </w:rPr>
      </w:pPr>
      <w:r>
        <w:rPr>
          <w:lang w:val="fr-FR"/>
        </w:rPr>
        <w:tab/>
      </w:r>
      <w:r w:rsidRPr="00C54E87">
        <w:rPr>
          <w:rStyle w:val="FootnoteReference"/>
        </w:rPr>
        <w:footnoteRef/>
      </w:r>
      <w:r w:rsidRPr="00B90F31">
        <w:rPr>
          <w:lang w:val="fr-FR"/>
        </w:rPr>
        <w:tab/>
      </w:r>
      <w:hyperlink r:id="rId3" w:history="1">
        <w:r w:rsidRPr="00204DD4">
          <w:rPr>
            <w:color w:val="0000FF"/>
            <w:lang w:val="fr-FR"/>
          </w:rPr>
          <w:t>https://digitallibrary.un.org/record/134841/files/United_Nations_Editorial_Manual.pdf</w:t>
        </w:r>
      </w:hyperlink>
      <w:r w:rsidRPr="00B90F31">
        <w:rPr>
          <w:lang w:val="fr-FR"/>
        </w:rPr>
        <w:t>, p</w:t>
      </w:r>
      <w:r w:rsidR="00204DD4">
        <w:rPr>
          <w:lang w:val="fr-FR"/>
        </w:rPr>
        <w:t>. </w:t>
      </w:r>
      <w:r w:rsidRPr="00B90F31">
        <w:rPr>
          <w:lang w:val="fr-FR"/>
        </w:rPr>
        <w:t>493 (en</w:t>
      </w:r>
      <w:r w:rsidR="00204DD4">
        <w:rPr>
          <w:lang w:val="fr-FR"/>
        </w:rPr>
        <w:t> </w:t>
      </w:r>
      <w:r>
        <w:rPr>
          <w:lang w:val="fr-FR"/>
        </w:rPr>
        <w:t>anglais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22E4" w14:textId="2E0C3092" w:rsidR="00234222" w:rsidRPr="00234222" w:rsidRDefault="005958E9">
    <w:pPr>
      <w:pStyle w:val="Header"/>
    </w:pPr>
    <w:r>
      <w:fldChar w:fldCharType="begin"/>
    </w:r>
    <w:r>
      <w:instrText xml:space="preserve"> TITLE  \* MERGEFORMAT </w:instrText>
    </w:r>
    <w:r>
      <w:fldChar w:fldCharType="separate"/>
    </w:r>
    <w:r w:rsidR="00DC2401">
      <w:t>ST/SG/AC.10/C.3/2022/5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6260" w14:textId="10EBFF25" w:rsidR="00234222" w:rsidRPr="00234222" w:rsidRDefault="005958E9" w:rsidP="00234222">
    <w:pPr>
      <w:pStyle w:val="Header"/>
      <w:jc w:val="right"/>
    </w:pPr>
    <w:r>
      <w:fldChar w:fldCharType="begin"/>
    </w:r>
    <w:r>
      <w:instrText xml:space="preserve"> TITLE  \* MERGEFORMAT </w:instrText>
    </w:r>
    <w:r>
      <w:fldChar w:fldCharType="separate"/>
    </w:r>
    <w:r w:rsidR="00DC2401">
      <w:t>ST/SG/AC.10/C.3/2022/5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94"/>
    <w:rsid w:val="00017F94"/>
    <w:rsid w:val="00023842"/>
    <w:rsid w:val="000305D3"/>
    <w:rsid w:val="000334F9"/>
    <w:rsid w:val="0007796D"/>
    <w:rsid w:val="000B7790"/>
    <w:rsid w:val="00111F2F"/>
    <w:rsid w:val="00132EA9"/>
    <w:rsid w:val="0014365E"/>
    <w:rsid w:val="00172E49"/>
    <w:rsid w:val="00176178"/>
    <w:rsid w:val="001F525A"/>
    <w:rsid w:val="00204DD4"/>
    <w:rsid w:val="00223272"/>
    <w:rsid w:val="00234222"/>
    <w:rsid w:val="0024779E"/>
    <w:rsid w:val="00254494"/>
    <w:rsid w:val="00283190"/>
    <w:rsid w:val="002832AC"/>
    <w:rsid w:val="002D7C93"/>
    <w:rsid w:val="00441C3B"/>
    <w:rsid w:val="00446FE5"/>
    <w:rsid w:val="00452396"/>
    <w:rsid w:val="004C6559"/>
    <w:rsid w:val="004E468C"/>
    <w:rsid w:val="005505B7"/>
    <w:rsid w:val="00573BE5"/>
    <w:rsid w:val="00584DC4"/>
    <w:rsid w:val="00586ED3"/>
    <w:rsid w:val="005958E9"/>
    <w:rsid w:val="00596AA9"/>
    <w:rsid w:val="0068456F"/>
    <w:rsid w:val="0071601D"/>
    <w:rsid w:val="007A62E6"/>
    <w:rsid w:val="0080684C"/>
    <w:rsid w:val="008123E0"/>
    <w:rsid w:val="00871C75"/>
    <w:rsid w:val="008776DC"/>
    <w:rsid w:val="008B40CD"/>
    <w:rsid w:val="009705C8"/>
    <w:rsid w:val="00976FD0"/>
    <w:rsid w:val="009C1CF4"/>
    <w:rsid w:val="00A30353"/>
    <w:rsid w:val="00A81281"/>
    <w:rsid w:val="00AC3823"/>
    <w:rsid w:val="00AE323C"/>
    <w:rsid w:val="00B00181"/>
    <w:rsid w:val="00B00B0D"/>
    <w:rsid w:val="00B765F7"/>
    <w:rsid w:val="00BA0CA9"/>
    <w:rsid w:val="00BF65BE"/>
    <w:rsid w:val="00C02897"/>
    <w:rsid w:val="00D3439C"/>
    <w:rsid w:val="00D94F82"/>
    <w:rsid w:val="00DB1831"/>
    <w:rsid w:val="00DC240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8354"/>
  <w15:docId w15:val="{E3E1D97B-C984-4591-BE0B-1E6998C0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134841/files/United_Nations_Editorial_Manual.pdf" TargetMode="External"/><Relationship Id="rId2" Type="http://schemas.openxmlformats.org/officeDocument/2006/relationships/hyperlink" Target="https://digitallibrary.un.org" TargetMode="External"/><Relationship Id="rId1" Type="http://schemas.openxmlformats.org/officeDocument/2006/relationships/hyperlink" Target="https://documents.un.org/prod/ods.nsf/home.x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ST/SG/AC.10/C.3/2022/5</vt:lpstr>
    </vt:vector>
  </TitlesOfParts>
  <Company>DCM</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dc:title>
  <dc:subject/>
  <dc:creator>Christine CHAUTAGNAT</dc:creator>
  <cp:keywords/>
  <cp:lastModifiedBy>Laurence Berthet</cp:lastModifiedBy>
  <cp:revision>3</cp:revision>
  <cp:lastPrinted>2022-05-07T09:39:00Z</cp:lastPrinted>
  <dcterms:created xsi:type="dcterms:W3CDTF">2022-05-07T09:39:00Z</dcterms:created>
  <dcterms:modified xsi:type="dcterms:W3CDTF">2022-05-07T09:40:00Z</dcterms:modified>
</cp:coreProperties>
</file>