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3E8F84A4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4D490ACD" w14:textId="77777777" w:rsidR="00132EA9" w:rsidRPr="00DB58B5" w:rsidRDefault="00132EA9" w:rsidP="00E160F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30324B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206163B" w14:textId="5FDDE18E" w:rsidR="00132EA9" w:rsidRPr="00DB58B5" w:rsidRDefault="00E160FF" w:rsidP="00E160FF">
            <w:pPr>
              <w:jc w:val="right"/>
            </w:pPr>
            <w:r w:rsidRPr="00E160FF">
              <w:rPr>
                <w:sz w:val="40"/>
              </w:rPr>
              <w:t>ST</w:t>
            </w:r>
            <w:r>
              <w:t>/SG/AC.10/C.3/2022/39</w:t>
            </w:r>
          </w:p>
        </w:tc>
      </w:tr>
      <w:tr w:rsidR="00132EA9" w:rsidRPr="00DB58B5" w14:paraId="21D9DC53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2E04BB1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F65347A" wp14:editId="289B0B2E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C4940E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A9A62B3" w14:textId="77777777" w:rsidR="00132EA9" w:rsidRDefault="00E160FF" w:rsidP="00F01738">
            <w:pPr>
              <w:spacing w:before="240"/>
            </w:pPr>
            <w:r>
              <w:t>Distr. générale</w:t>
            </w:r>
          </w:p>
          <w:p w14:paraId="78A22657" w14:textId="77777777" w:rsidR="00E160FF" w:rsidRDefault="00E160FF" w:rsidP="00E160FF">
            <w:pPr>
              <w:spacing w:line="240" w:lineRule="exact"/>
            </w:pPr>
            <w:r>
              <w:t>8 avril 2022</w:t>
            </w:r>
          </w:p>
          <w:p w14:paraId="3CED702A" w14:textId="77777777" w:rsidR="00E160FF" w:rsidRDefault="00E160FF" w:rsidP="00E160FF">
            <w:pPr>
              <w:spacing w:line="240" w:lineRule="exact"/>
            </w:pPr>
            <w:r>
              <w:t>Français</w:t>
            </w:r>
          </w:p>
          <w:p w14:paraId="3D708CE4" w14:textId="78472CC8" w:rsidR="00E160FF" w:rsidRPr="00DB58B5" w:rsidRDefault="00E160FF" w:rsidP="00E160FF">
            <w:pPr>
              <w:spacing w:line="240" w:lineRule="exact"/>
            </w:pPr>
            <w:r>
              <w:t>Original : anglais</w:t>
            </w:r>
          </w:p>
        </w:tc>
      </w:tr>
    </w:tbl>
    <w:p w14:paraId="2C392B1A" w14:textId="77777777" w:rsidR="00E160FF" w:rsidRPr="00CA0680" w:rsidRDefault="00E160FF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28374B1B" w14:textId="77777777" w:rsidR="00E160FF" w:rsidRPr="00CA0680" w:rsidRDefault="00E160FF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14:paraId="2EB6592A" w14:textId="77777777" w:rsidR="00E160FF" w:rsidRPr="00593759" w:rsidRDefault="00E160FF" w:rsidP="00E160FF">
      <w:pPr>
        <w:spacing w:before="120"/>
        <w:rPr>
          <w:b/>
          <w:lang w:val="fr-FR"/>
        </w:rPr>
      </w:pPr>
      <w:r w:rsidRPr="00593759">
        <w:rPr>
          <w:b/>
          <w:bCs/>
          <w:lang w:val="fr-FR"/>
        </w:rPr>
        <w:t>Soixantième session</w:t>
      </w:r>
    </w:p>
    <w:p w14:paraId="2487615F" w14:textId="77777777" w:rsidR="00E160FF" w:rsidRPr="00593759" w:rsidRDefault="00E160FF" w:rsidP="00E160FF">
      <w:pPr>
        <w:rPr>
          <w:lang w:val="fr-FR"/>
        </w:rPr>
      </w:pPr>
      <w:r w:rsidRPr="00593759">
        <w:rPr>
          <w:lang w:val="fr-FR"/>
        </w:rPr>
        <w:t>Genève, 27 juin-6 juillet 2022</w:t>
      </w:r>
    </w:p>
    <w:p w14:paraId="78AF4D6E" w14:textId="77777777" w:rsidR="00E160FF" w:rsidRPr="00593759" w:rsidRDefault="00E160FF" w:rsidP="00E160FF">
      <w:pPr>
        <w:rPr>
          <w:lang w:val="fr-FR"/>
        </w:rPr>
      </w:pPr>
      <w:r w:rsidRPr="00593759">
        <w:rPr>
          <w:lang w:val="fr-FR"/>
        </w:rPr>
        <w:t>Point 9 de l</w:t>
      </w:r>
      <w:r>
        <w:rPr>
          <w:lang w:val="fr-FR"/>
        </w:rPr>
        <w:t>’</w:t>
      </w:r>
      <w:r w:rsidRPr="00593759">
        <w:rPr>
          <w:lang w:val="fr-FR"/>
        </w:rPr>
        <w:t>ordre du jour provisoire</w:t>
      </w:r>
    </w:p>
    <w:p w14:paraId="783A5F95" w14:textId="77777777" w:rsidR="00E160FF" w:rsidRPr="00593759" w:rsidRDefault="00E160FF" w:rsidP="00E160FF">
      <w:pPr>
        <w:rPr>
          <w:b/>
          <w:bCs/>
          <w:lang w:val="fr-FR"/>
        </w:rPr>
      </w:pPr>
      <w:r w:rsidRPr="00593759">
        <w:rPr>
          <w:b/>
          <w:bCs/>
          <w:lang w:val="fr-FR"/>
        </w:rPr>
        <w:t>Principes directeurs du Règlement type</w:t>
      </w:r>
    </w:p>
    <w:p w14:paraId="7271C33F" w14:textId="6EECFD25" w:rsidR="00E160FF" w:rsidRPr="003E6349" w:rsidRDefault="00E160FF" w:rsidP="00E160FF">
      <w:pPr>
        <w:pStyle w:val="HChG"/>
        <w:rPr>
          <w:lang w:val="fr-FR"/>
        </w:rPr>
      </w:pPr>
      <w:r w:rsidRPr="003E6349">
        <w:rPr>
          <w:lang w:val="fr-FR"/>
        </w:rPr>
        <w:tab/>
      </w:r>
      <w:r w:rsidRPr="003E6349">
        <w:rPr>
          <w:lang w:val="fr-FR"/>
        </w:rPr>
        <w:tab/>
        <w:t xml:space="preserve">Questions diverses relatives aux instructions de transport </w:t>
      </w:r>
      <w:r>
        <w:rPr>
          <w:lang w:val="fr-FR"/>
        </w:rPr>
        <w:br/>
      </w:r>
      <w:r w:rsidRPr="003E6349">
        <w:rPr>
          <w:lang w:val="fr-FR"/>
        </w:rPr>
        <w:t>en citernes mobiles et aux dispositions spéciales applicables au transport en citernes mobiles</w:t>
      </w:r>
    </w:p>
    <w:p w14:paraId="115C4C4A" w14:textId="77777777" w:rsidR="00E160FF" w:rsidRPr="00593759" w:rsidRDefault="00E160FF" w:rsidP="00E160FF">
      <w:pPr>
        <w:pStyle w:val="H1G"/>
        <w:rPr>
          <w:lang w:val="fr-FR"/>
        </w:rPr>
      </w:pPr>
      <w:r w:rsidRPr="00593759">
        <w:rPr>
          <w:lang w:val="fr-FR"/>
        </w:rPr>
        <w:tab/>
      </w:r>
      <w:r w:rsidRPr="00593759">
        <w:rPr>
          <w:lang w:val="fr-FR"/>
        </w:rPr>
        <w:tab/>
        <w:t>Note du secrétariat</w:t>
      </w:r>
      <w:r w:rsidRPr="00E160FF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1CE764DD" w14:textId="77777777" w:rsidR="00E160FF" w:rsidRPr="003E6349" w:rsidRDefault="00E160FF" w:rsidP="00E160FF">
      <w:pPr>
        <w:pStyle w:val="HChG"/>
        <w:rPr>
          <w:lang w:val="fr-FR"/>
        </w:rPr>
      </w:pPr>
      <w:r w:rsidRPr="003E6349">
        <w:rPr>
          <w:lang w:val="fr-FR"/>
        </w:rPr>
        <w:tab/>
        <w:t>I.</w:t>
      </w:r>
      <w:r w:rsidRPr="003E6349">
        <w:rPr>
          <w:lang w:val="fr-FR"/>
        </w:rPr>
        <w:tab/>
        <w:t>Introduction</w:t>
      </w:r>
    </w:p>
    <w:p w14:paraId="74152BAD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1.</w:t>
      </w:r>
      <w:r w:rsidRPr="00593759">
        <w:rPr>
          <w:lang w:val="fr-FR"/>
        </w:rPr>
        <w:tab/>
        <w:t>Lors de l</w:t>
      </w:r>
      <w:r>
        <w:rPr>
          <w:lang w:val="fr-FR"/>
        </w:rPr>
        <w:t>’</w:t>
      </w:r>
      <w:r w:rsidRPr="00593759">
        <w:rPr>
          <w:lang w:val="fr-FR"/>
        </w:rPr>
        <w:t>établissement de la dernière version définitive des principes directeurs, le secrétariat a introduit une erreur à la section C.3, qui contient les lignes directrices relatives à l</w:t>
      </w:r>
      <w:r>
        <w:rPr>
          <w:lang w:val="fr-FR"/>
        </w:rPr>
        <w:t>’</w:t>
      </w:r>
      <w:r w:rsidRPr="00593759">
        <w:rPr>
          <w:lang w:val="fr-FR"/>
        </w:rPr>
        <w:t xml:space="preserve">attribution des dispositions spéciales </w:t>
      </w:r>
      <w:r>
        <w:rPr>
          <w:lang w:val="fr-FR"/>
        </w:rPr>
        <w:t xml:space="preserve">applicables au </w:t>
      </w:r>
      <w:r w:rsidRPr="00593759">
        <w:rPr>
          <w:lang w:val="fr-FR"/>
        </w:rPr>
        <w:t>transport en citerne</w:t>
      </w:r>
      <w:r>
        <w:rPr>
          <w:lang w:val="fr-FR"/>
        </w:rPr>
        <w:t>s</w:t>
      </w:r>
      <w:r w:rsidRPr="00593759">
        <w:rPr>
          <w:lang w:val="fr-FR"/>
        </w:rPr>
        <w:t xml:space="preserve"> mobile</w:t>
      </w:r>
      <w:r>
        <w:rPr>
          <w:lang w:val="fr-FR"/>
        </w:rPr>
        <w:t>s</w:t>
      </w:r>
      <w:r w:rsidRPr="00593759">
        <w:rPr>
          <w:lang w:val="fr-FR"/>
        </w:rPr>
        <w:t xml:space="preserve"> à des matières particulières. Le secrétariat a profité du processus de correction de cette erreur pour passer en revue les lignes directrices énoncées à la section C.3, ce qui lui a permis de repérer quelques autres problèmes. Dans le présent document, le secrétariat propose de corriger l</w:t>
      </w:r>
      <w:r>
        <w:rPr>
          <w:lang w:val="fr-FR"/>
        </w:rPr>
        <w:t>’</w:t>
      </w:r>
      <w:r w:rsidRPr="00593759">
        <w:rPr>
          <w:lang w:val="fr-FR"/>
        </w:rPr>
        <w:t>erreur susmentionnée et décrit les problèmes repérés par la suite, afin que le Sous-Comité puisse décider si d</w:t>
      </w:r>
      <w:r>
        <w:rPr>
          <w:lang w:val="fr-FR"/>
        </w:rPr>
        <w:t>’</w:t>
      </w:r>
      <w:r w:rsidRPr="00593759">
        <w:rPr>
          <w:lang w:val="fr-FR"/>
        </w:rPr>
        <w:t>autres mesures doivent être prises.</w:t>
      </w:r>
    </w:p>
    <w:p w14:paraId="6B39914B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2.</w:t>
      </w:r>
      <w:r w:rsidRPr="00593759">
        <w:rPr>
          <w:lang w:val="fr-FR"/>
        </w:rPr>
        <w:tab/>
        <w:t>Dans le cadre de cet examen, le secrétariat a compilé des statistiques sur l</w:t>
      </w:r>
      <w:r>
        <w:rPr>
          <w:lang w:val="fr-FR"/>
        </w:rPr>
        <w:t>’</w:t>
      </w:r>
      <w:r w:rsidRPr="00593759">
        <w:rPr>
          <w:lang w:val="fr-FR"/>
        </w:rPr>
        <w:t>utilisation des différentes instructions de transport en citerne</w:t>
      </w:r>
      <w:r>
        <w:rPr>
          <w:lang w:val="fr-FR"/>
        </w:rPr>
        <w:t>s</w:t>
      </w:r>
      <w:r w:rsidRPr="00593759">
        <w:rPr>
          <w:lang w:val="fr-FR"/>
        </w:rPr>
        <w:t xml:space="preserve"> mobile</w:t>
      </w:r>
      <w:r>
        <w:rPr>
          <w:lang w:val="fr-FR"/>
        </w:rPr>
        <w:t>s</w:t>
      </w:r>
      <w:r w:rsidRPr="00593759">
        <w:rPr>
          <w:lang w:val="fr-FR"/>
        </w:rPr>
        <w:t xml:space="preserve"> et dispositions spéciales </w:t>
      </w:r>
      <w:r>
        <w:rPr>
          <w:lang w:val="fr-FR"/>
        </w:rPr>
        <w:t xml:space="preserve">applicables au </w:t>
      </w:r>
      <w:r w:rsidRPr="00593759">
        <w:rPr>
          <w:lang w:val="fr-FR"/>
        </w:rPr>
        <w:t>transport en citerne</w:t>
      </w:r>
      <w:r>
        <w:rPr>
          <w:lang w:val="fr-FR"/>
        </w:rPr>
        <w:t>s</w:t>
      </w:r>
      <w:r w:rsidRPr="00593759">
        <w:rPr>
          <w:lang w:val="fr-FR"/>
        </w:rPr>
        <w:t xml:space="preserve"> mobile</w:t>
      </w:r>
      <w:r>
        <w:rPr>
          <w:lang w:val="fr-FR"/>
        </w:rPr>
        <w:t>s</w:t>
      </w:r>
      <w:r w:rsidRPr="00593759">
        <w:rPr>
          <w:lang w:val="fr-FR"/>
        </w:rPr>
        <w:t xml:space="preserve"> dans la liste des </w:t>
      </w:r>
      <w:r>
        <w:rPr>
          <w:lang w:val="fr-FR"/>
        </w:rPr>
        <w:t>marchandises</w:t>
      </w:r>
      <w:r w:rsidRPr="00593759">
        <w:rPr>
          <w:lang w:val="fr-FR"/>
        </w:rPr>
        <w:t xml:space="preserve"> dangereuses. À cet égard, deux tableaux de synthèse sont présentés ci-dessous à titre informatif.</w:t>
      </w:r>
    </w:p>
    <w:p w14:paraId="1A87D76B" w14:textId="77777777" w:rsidR="00E160FF" w:rsidRPr="00593759" w:rsidRDefault="00E160FF" w:rsidP="00E160FF">
      <w:pPr>
        <w:spacing w:after="200" w:line="276" w:lineRule="auto"/>
        <w:rPr>
          <w:lang w:val="fr-FR"/>
        </w:rPr>
      </w:pPr>
      <w:r w:rsidRPr="00593759">
        <w:rPr>
          <w:lang w:val="fr-FR"/>
        </w:rPr>
        <w:br w:type="page"/>
      </w:r>
    </w:p>
    <w:p w14:paraId="685FF05F" w14:textId="526A88E9" w:rsidR="00E160FF" w:rsidRPr="00593759" w:rsidRDefault="00E160FF" w:rsidP="00E160FF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593759">
        <w:rPr>
          <w:lang w:val="fr-FR"/>
        </w:rPr>
        <w:t xml:space="preserve">Tableau 1 : Nombre de rubriques dans la liste des marchandises dangereuses </w:t>
      </w:r>
      <w:r>
        <w:rPr>
          <w:lang w:val="fr-FR"/>
        </w:rPr>
        <w:br/>
      </w:r>
      <w:r w:rsidRPr="00593759">
        <w:rPr>
          <w:lang w:val="fr-FR"/>
        </w:rPr>
        <w:t>par classe et par instruction de transport en citerne</w:t>
      </w:r>
      <w:r>
        <w:rPr>
          <w:lang w:val="fr-FR"/>
        </w:rPr>
        <w:t>s</w:t>
      </w:r>
      <w:r w:rsidRPr="00593759">
        <w:rPr>
          <w:lang w:val="fr-FR"/>
        </w:rPr>
        <w:t xml:space="preserve"> mobile</w:t>
      </w:r>
      <w:r>
        <w:rPr>
          <w:lang w:val="fr-FR"/>
        </w:rPr>
        <w:t>s</w:t>
      </w:r>
      <w:r w:rsidRPr="00593759">
        <w:rPr>
          <w:lang w:val="fr-FR"/>
        </w:rPr>
        <w:t xml:space="preserve"> (T)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720"/>
        <w:gridCol w:w="555"/>
        <w:gridCol w:w="555"/>
        <w:gridCol w:w="555"/>
        <w:gridCol w:w="613"/>
        <w:gridCol w:w="555"/>
        <w:gridCol w:w="555"/>
        <w:gridCol w:w="555"/>
        <w:gridCol w:w="555"/>
        <w:gridCol w:w="555"/>
        <w:gridCol w:w="613"/>
        <w:gridCol w:w="555"/>
        <w:gridCol w:w="386"/>
        <w:gridCol w:w="499"/>
        <w:gridCol w:w="386"/>
        <w:gridCol w:w="788"/>
      </w:tblGrid>
      <w:tr w:rsidR="00E160FF" w:rsidRPr="00F50B41" w14:paraId="7BB0EA99" w14:textId="77777777" w:rsidTr="00E160FF">
        <w:trPr>
          <w:trHeight w:val="300"/>
        </w:trPr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557CF" w14:textId="77777777" w:rsidR="00E160FF" w:rsidRPr="000C5DA3" w:rsidRDefault="00E160FF" w:rsidP="00E160FF">
            <w:pPr>
              <w:ind w:righ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26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67E3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Classe ou division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59C1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60FF" w:rsidRPr="00F50B41" w14:paraId="7360E333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4F926" w14:textId="77777777" w:rsidR="00E160FF" w:rsidRPr="00F50B41" w:rsidRDefault="00E160FF" w:rsidP="00E160FF">
            <w:pPr>
              <w:ind w:right="57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7138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1.5D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4EB0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91BD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F19E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32396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0962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1E4F4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5E9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993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FE50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2CB1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4E62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E28A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986B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33A8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A4C6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E160FF" w:rsidRPr="00F50B41" w14:paraId="5CCB2825" w14:textId="77777777" w:rsidTr="00E160FF">
        <w:trPr>
          <w:trHeight w:val="300"/>
        </w:trPr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40B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B86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70B4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78B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7F17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7A4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A24E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524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804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1F2A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6D24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EA17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8B9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B553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16F3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159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7F0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256</w:t>
            </w:r>
          </w:p>
        </w:tc>
      </w:tr>
      <w:tr w:rsidR="00E160FF" w:rsidRPr="00F50B41" w14:paraId="5F6E2202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0B06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3E17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391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05E6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65D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D92B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288F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49B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DCB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763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B66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BE9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2A3C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41D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977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6DF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B6B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132</w:t>
            </w:r>
          </w:p>
        </w:tc>
      </w:tr>
      <w:tr w:rsidR="00E160FF" w:rsidRPr="00F50B41" w14:paraId="4B34A68A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81EB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3CA0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FDC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AA2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4A09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959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F92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579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3F6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812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356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2C1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9A3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BE42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B00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3DC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E6B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359</w:t>
            </w:r>
          </w:p>
        </w:tc>
      </w:tr>
      <w:tr w:rsidR="00E160FF" w:rsidRPr="00F50B41" w14:paraId="3F32B9C1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CE7B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101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055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9D3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0D1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C5E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2E1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058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AA3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C7B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A45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E7B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A205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1F9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F09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F8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C36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315</w:t>
            </w:r>
          </w:p>
        </w:tc>
      </w:tr>
      <w:tr w:rsidR="00E160FF" w:rsidRPr="00F50B41" w14:paraId="391558CF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0692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C04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D78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D51C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7C21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DFB6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220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FC28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59A8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68B8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B8D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AF0C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74E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EE5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E4B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C5A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95F9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E160FF" w:rsidRPr="00F50B41" w14:paraId="1386A31D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CA14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122A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36A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22B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5D17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E69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94F8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F23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11B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0B9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957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129B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B35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DEFB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2D9C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C43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996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78</w:t>
            </w:r>
          </w:p>
        </w:tc>
      </w:tr>
      <w:tr w:rsidR="00E160FF" w:rsidRPr="00F50B41" w14:paraId="24254CB0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3B98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089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6E0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DE9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EFB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32F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FE0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2745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BAE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DC5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378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C67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218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8829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D40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925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215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312</w:t>
            </w:r>
          </w:p>
        </w:tc>
      </w:tr>
      <w:tr w:rsidR="00E160FF" w:rsidRPr="00F50B41" w14:paraId="625A72FC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C61E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3FF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FDDF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661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1130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462C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B87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D2A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ECB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3FA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0B8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ADC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CD2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9EB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AF9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57F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19C6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</w:tr>
      <w:tr w:rsidR="00E160FF" w:rsidRPr="00F50B41" w14:paraId="7DDAC018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1DA4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EC3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4A2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C4C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081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F1ED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01ED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CD39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CF58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416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65A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E7C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3ED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0E39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807E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E50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A2B4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</w:tr>
      <w:tr w:rsidR="00E160FF" w:rsidRPr="00F50B41" w14:paraId="091C9F7E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443E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CB2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503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34A4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B97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207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2FF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4CE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2436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D2C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F84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EA7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E0F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1C4A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928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C776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740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48</w:t>
            </w:r>
          </w:p>
        </w:tc>
      </w:tr>
      <w:tr w:rsidR="00E160FF" w:rsidRPr="00F50B41" w14:paraId="7E13CB88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61EB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303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730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5F0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A18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5F3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7A6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4DB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109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4754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316E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8E8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B44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C19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46A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4B5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E85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120</w:t>
            </w:r>
          </w:p>
        </w:tc>
      </w:tr>
      <w:tr w:rsidR="00E160FF" w:rsidRPr="00F50B41" w14:paraId="6641FDDD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2B9F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A5F7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DE10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EA06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BBD7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A33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746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78F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BA7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96A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CD8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84D2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4588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46BC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7E1D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336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781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</w:tr>
      <w:tr w:rsidR="00E160FF" w:rsidRPr="00F50B41" w14:paraId="4894D3B0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F163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1E3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DB14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9D3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88E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2965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E5E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197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E36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8683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413B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4999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F37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FBD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69D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153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07B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</w:tr>
      <w:tr w:rsidR="00E160FF" w:rsidRPr="00F50B41" w14:paraId="04EBA63F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DE3B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T14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485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E3D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709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479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4E6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266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0F5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847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315A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38F4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585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84C5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2D1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F83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318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79F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113</w:t>
            </w:r>
          </w:p>
        </w:tc>
      </w:tr>
      <w:tr w:rsidR="00E160FF" w:rsidRPr="00F50B41" w14:paraId="0E3E38C1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6F5D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30A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754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B976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B50B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16B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60D6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DF45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3EDC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816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160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E5C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F2D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D13B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355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2CB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F52F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E160FF" w:rsidRPr="00F50B41" w14:paraId="73B07438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FCFD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T16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D243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358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A982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C48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E11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9F11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84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83D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63B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151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9A9E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1D0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212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9016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E97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498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E160FF" w:rsidRPr="00F50B41" w14:paraId="47598AC1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8BEB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T17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8EB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BBE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5F7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F89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F16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4D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05E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658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E90A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ECC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31C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AFC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E86D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B14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11F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E7B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E160FF" w:rsidRPr="00F50B41" w14:paraId="620DF908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E7F4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T18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4D5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1CF7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635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D8E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E1E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EF1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806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84E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76E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DE9C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9F8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A0FD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E41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37F3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85A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440F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E160FF" w:rsidRPr="00F50B41" w14:paraId="5662117D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A0EA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T19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184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815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F50A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0E2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0FF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040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72CF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41A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4341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EB4A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B53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9F82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2720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1E7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015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245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0</w:t>
            </w:r>
          </w:p>
        </w:tc>
      </w:tr>
      <w:tr w:rsidR="00E160FF" w:rsidRPr="00F50B41" w14:paraId="6AE03648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CEFE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T20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8CF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5A28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9495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A9A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385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9AC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B19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884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F6B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D22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268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83AD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71F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E25F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082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024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57</w:t>
            </w:r>
          </w:p>
        </w:tc>
      </w:tr>
      <w:tr w:rsidR="00E160FF" w:rsidRPr="00F50B41" w14:paraId="14523DA3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55DA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T21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630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3E1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C35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5B9A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944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931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48F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34E3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A02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8C0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C74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FF8F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CD1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798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6C98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EE9F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</w:tr>
      <w:tr w:rsidR="00E160FF" w:rsidRPr="00F50B41" w14:paraId="48029FB7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63B1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T22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4501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19DE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AA6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9C3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DA6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8020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3C3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F09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3911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2C9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860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7BB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8FD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A51D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7EA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F823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20</w:t>
            </w:r>
          </w:p>
        </w:tc>
      </w:tr>
      <w:tr w:rsidR="00E160FF" w:rsidRPr="00F50B41" w14:paraId="2BCB14AF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0A5F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T23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9EA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B32B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DD0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DAFF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365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E73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548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EF0C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B01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A21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45D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E10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2077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60B7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CCB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28B6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</w:tr>
      <w:tr w:rsidR="00E160FF" w:rsidRPr="00F50B41" w14:paraId="5588FB1A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59BD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T50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06B2D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43B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E76F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67DA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4C89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F2D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2DF8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481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EF272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F9E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BABE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763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DA4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4A0A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C57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B32C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74</w:t>
            </w:r>
          </w:p>
        </w:tc>
      </w:tr>
      <w:tr w:rsidR="00E160FF" w:rsidRPr="00F50B41" w14:paraId="284267B4" w14:textId="77777777" w:rsidTr="00E160FF">
        <w:trPr>
          <w:trHeight w:val="300"/>
        </w:trPr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EE5D" w14:textId="77777777" w:rsidR="00E160FF" w:rsidRPr="00F50B41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T75</w:t>
            </w: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6180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5F316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B524E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66D5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2D3D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4DBF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80AF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99D51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05025F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8B71A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529F4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306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C80907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F1AD3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DCDB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98CFC" w14:textId="77777777" w:rsidR="00E160FF" w:rsidRPr="00F50B41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F50B41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</w:tr>
    </w:tbl>
    <w:p w14:paraId="16913B29" w14:textId="77777777" w:rsidR="00E160FF" w:rsidRPr="00593759" w:rsidRDefault="00E160FF" w:rsidP="00E160FF">
      <w:pPr>
        <w:spacing w:after="200" w:line="276" w:lineRule="auto"/>
      </w:pPr>
    </w:p>
    <w:p w14:paraId="5C975468" w14:textId="77777777" w:rsidR="00E160FF" w:rsidRPr="00593759" w:rsidRDefault="00E160FF" w:rsidP="00E160FF">
      <w:pPr>
        <w:spacing w:after="200" w:line="276" w:lineRule="auto"/>
        <w:rPr>
          <w:rFonts w:eastAsia="SimSun"/>
          <w:b/>
          <w:bCs/>
        </w:rPr>
      </w:pPr>
      <w:r w:rsidRPr="00593759">
        <w:rPr>
          <w:b/>
          <w:bCs/>
        </w:rPr>
        <w:br w:type="page"/>
      </w:r>
    </w:p>
    <w:p w14:paraId="348E02AF" w14:textId="74DD3938" w:rsidR="00E160FF" w:rsidRPr="00593759" w:rsidRDefault="00E160FF" w:rsidP="00E160FF">
      <w:pPr>
        <w:pStyle w:val="H23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593759">
        <w:rPr>
          <w:lang w:val="fr-FR"/>
        </w:rPr>
        <w:t xml:space="preserve">Tableau 2 : Nombre de rubriques dans la liste des marchandises dangereuses par classe et par disposition spéciale </w:t>
      </w:r>
      <w:r>
        <w:rPr>
          <w:lang w:val="fr-FR"/>
        </w:rPr>
        <w:t xml:space="preserve">applicable au </w:t>
      </w:r>
      <w:r w:rsidRPr="00593759">
        <w:rPr>
          <w:lang w:val="fr-FR"/>
        </w:rPr>
        <w:t>transport en citerne</w:t>
      </w:r>
      <w:r>
        <w:rPr>
          <w:lang w:val="fr-FR"/>
        </w:rPr>
        <w:t>s</w:t>
      </w:r>
      <w:r w:rsidRPr="00593759">
        <w:rPr>
          <w:lang w:val="fr-FR"/>
        </w:rPr>
        <w:t xml:space="preserve"> mobile</w:t>
      </w:r>
      <w:r>
        <w:rPr>
          <w:lang w:val="fr-FR"/>
        </w:rPr>
        <w:t>s</w:t>
      </w:r>
      <w:r w:rsidRPr="00593759">
        <w:rPr>
          <w:lang w:val="fr-FR"/>
        </w:rPr>
        <w:t xml:space="preserve"> (TP)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651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696"/>
      </w:tblGrid>
      <w:tr w:rsidR="00E160FF" w:rsidRPr="00793C48" w14:paraId="04E645AE" w14:textId="77777777" w:rsidTr="00E160FF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09B270" w14:textId="77777777" w:rsidR="00E160FF" w:rsidRPr="003D40C2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4311" w:type="pct"/>
            <w:gridSpan w:val="1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0F5BBC" w14:textId="77777777" w:rsidR="00E160FF" w:rsidRPr="00BD6EB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Classe ou division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3F2E77" w14:textId="77777777" w:rsidR="00E160FF" w:rsidRPr="00D76A16" w:rsidRDefault="00E160FF" w:rsidP="00494B9D">
            <w:pPr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</w:tr>
      <w:tr w:rsidR="00E160FF" w:rsidRPr="005E1075" w14:paraId="79FAFA31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CB67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6E1D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1.5D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1FFF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690C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D3CD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5064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EFF1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D677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6B34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827A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5CD0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26F7C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B972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1BC0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F7601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E1C6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3C72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Total</w:t>
            </w:r>
          </w:p>
        </w:tc>
      </w:tr>
      <w:tr w:rsidR="00E160FF" w:rsidRPr="00793C48" w14:paraId="790813B0" w14:textId="77777777" w:rsidTr="00E160FF">
        <w:trPr>
          <w:trHeight w:val="300"/>
        </w:trPr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2A1E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589F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334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ECC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DBBF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1B3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E0D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DE24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FBA8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BD7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F09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F4E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2266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7E0D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A2E8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3D1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CCA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539</w:t>
            </w:r>
          </w:p>
        </w:tc>
      </w:tr>
      <w:tr w:rsidR="00E160FF" w:rsidRPr="00793C48" w14:paraId="64525766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3708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FD8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30DA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F63D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6BE7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E43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7A0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738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D33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878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158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5A1D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713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AEED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A713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DDF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E3E8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612</w:t>
            </w:r>
          </w:p>
        </w:tc>
      </w:tr>
      <w:tr w:rsidR="00E160FF" w:rsidRPr="00793C48" w14:paraId="02C7EC47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DC64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B73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0102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95B9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BE0D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D4D1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E23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2BD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214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59D8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8347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2B9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063F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8594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71A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9F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296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16</w:t>
            </w:r>
          </w:p>
        </w:tc>
      </w:tr>
      <w:tr w:rsidR="00E160FF" w:rsidRPr="00793C48" w14:paraId="4A45BC7E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23AE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AA6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7F6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2C3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403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9E2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4228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D6A6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2D8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A4E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29E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28F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44FB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3C34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541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575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507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  <w:r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</w:t>
            </w:r>
          </w:p>
        </w:tc>
      </w:tr>
      <w:tr w:rsidR="00E160FF" w:rsidRPr="00793C48" w14:paraId="14D0CC75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0583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675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DB5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503B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F67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5C3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5B4A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E68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C631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9E0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43D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21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B1CA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174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DC7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E3B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5BF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19</w:t>
            </w:r>
          </w:p>
        </w:tc>
      </w:tr>
      <w:tr w:rsidR="00E160FF" w:rsidRPr="00793C48" w14:paraId="4BF39F50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6C49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706C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085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F27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61C9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A70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71E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6E4A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329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58E5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BF1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FDB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5B4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828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178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EB7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248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</w:t>
            </w:r>
          </w:p>
        </w:tc>
      </w:tr>
      <w:tr w:rsidR="00E160FF" w:rsidRPr="00793C48" w14:paraId="2EC42E64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A537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6111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63B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03B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EE0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A8AB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172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15B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022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3E4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2F8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C7DA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009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CEFB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5C65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65D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0DC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82</w:t>
            </w:r>
          </w:p>
        </w:tc>
      </w:tr>
      <w:tr w:rsidR="00E160FF" w:rsidRPr="00793C48" w14:paraId="13E223FF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FA8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14E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845E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3EB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94C0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5B1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458F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22B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A86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C47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1BB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3F8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39B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C191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B9D3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053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5198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37</w:t>
            </w:r>
          </w:p>
        </w:tc>
      </w:tr>
      <w:tr w:rsidR="00E160FF" w:rsidRPr="00793C48" w14:paraId="28549FE1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A515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005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61D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A3E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18E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342E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A1C5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049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8CD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D3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426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448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108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C823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CF43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BED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ED9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E160FF" w:rsidRPr="00793C48" w14:paraId="75AB9C7A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4A29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TP10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F56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BA4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F64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1F73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9E0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353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E53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60F9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17AD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323B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CE1A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92E1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9F63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1E8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019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362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E160FF" w:rsidRPr="00793C48" w14:paraId="5A5630D6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E443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TP13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C69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9758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8A0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EB8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94F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D78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D29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03E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C53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825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8E3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8D7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75AD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45FF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591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45B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324</w:t>
            </w:r>
          </w:p>
        </w:tc>
      </w:tr>
      <w:tr w:rsidR="00E160FF" w:rsidRPr="00793C48" w14:paraId="1CF3F6A5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5F07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TP16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6ED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7CD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D6D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B97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EF6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64A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05E7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0E9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C81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C88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456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3503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938F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BB75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93B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0D12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E160FF" w:rsidRPr="00793C48" w14:paraId="537F7DB5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E3FE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TP17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C6F1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EF0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18F4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3EF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5FE4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58A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283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153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3C3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D90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D39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E68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6A18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A60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73E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D18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E160FF" w:rsidRPr="00793C48" w14:paraId="748ADF5B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70E7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TP18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3A3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32F5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BF4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6A44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8C70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466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4E3D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83B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A46B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7A86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740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3E6A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400F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BFF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8EC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EBB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E160FF" w:rsidRPr="00793C48" w14:paraId="1A224035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A225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TP19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4112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1CE7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B97C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BB1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BB52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6C4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572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94A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D58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8F26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99E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54B8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013C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36B9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954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C64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</w:tr>
      <w:tr w:rsidR="00E160FF" w:rsidRPr="00793C48" w14:paraId="07628E1B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E8A1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24E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B50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E15C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078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A14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568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0C5C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F138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94B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1B0D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A97F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42FA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5D6F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8B4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840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B4B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E160FF" w:rsidRPr="00793C48" w14:paraId="047D3AF2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544F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95BD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6240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1B67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4EA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B76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F0C7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C6E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B8E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1F8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6A6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049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97D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7B07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F3D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1A4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3FE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</w:tr>
      <w:tr w:rsidR="00E160FF" w:rsidRPr="00793C48" w14:paraId="7A954865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B1334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A21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F01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951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C81A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6FA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128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B0CC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F80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0AE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F7D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F9D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041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5E56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F5C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EC4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F60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E160FF" w:rsidRPr="00793C48" w14:paraId="5167C2D7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4832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9899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677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BCA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9D9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E5C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7A60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4BF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4EA6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1B7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7073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575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CC6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DE05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322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620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830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</w:t>
            </w:r>
          </w:p>
        </w:tc>
      </w:tr>
      <w:tr w:rsidR="00E160FF" w:rsidRPr="00793C48" w14:paraId="3741B1F6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9264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TP25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C97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3AA7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FF8D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A26D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21FE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307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524E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D70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1B1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DD1E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ADD6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C27E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D72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29E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7F71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C5B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E160FF" w:rsidRPr="00793C48" w14:paraId="081AA6A0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FD16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233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9AFF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FD53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48EF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01E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DE0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581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1DA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BCC8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60D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CD0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A825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741C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915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726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B10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</w:t>
            </w:r>
          </w:p>
        </w:tc>
      </w:tr>
      <w:tr w:rsidR="00E160FF" w:rsidRPr="00793C48" w14:paraId="2CDDBEE3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0160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TP27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6AA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4A45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A0A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410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63A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A753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119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0B6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F71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C9B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E0B1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E94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BDF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A466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CF6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DED1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172</w:t>
            </w:r>
          </w:p>
        </w:tc>
      </w:tr>
      <w:tr w:rsidR="00E160FF" w:rsidRPr="00793C48" w14:paraId="10117E3D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C608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TP28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0A4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8484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0F3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6334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B030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759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D49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571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CED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D050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64E6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D19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821B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483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02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9398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84</w:t>
            </w:r>
          </w:p>
        </w:tc>
      </w:tr>
      <w:tr w:rsidR="00E160FF" w:rsidRPr="00793C48" w14:paraId="75FE5559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9DA4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TP29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47E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A8D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4A7C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595C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F98E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DD5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288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43B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B5A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5A6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10AB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304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8E75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EAD4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B102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7965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</w:tr>
      <w:tr w:rsidR="00E160FF" w:rsidRPr="00793C48" w14:paraId="1D2FD97B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32D1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TP30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3C9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3D5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9C8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C44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83B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7AF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0545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263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C8D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0D0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F51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58A3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4D95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2CB9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9DF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6C8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</w:tr>
      <w:tr w:rsidR="00E160FF" w:rsidRPr="00793C48" w14:paraId="1A1D3394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F429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TP31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1B6B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C556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8F4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EF6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6DC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54F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B7FB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359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1FE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95A3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62F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A08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20D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164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F7B9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50DB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</w:tr>
      <w:tr w:rsidR="00E160FF" w:rsidRPr="00793C48" w14:paraId="6B73294B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6A7D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TP32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2205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944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B1AE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3988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955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FD1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A7C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2AB1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ADF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0729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A60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2902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80C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57A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D4C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3BA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</w:tr>
      <w:tr w:rsidR="00E160FF" w:rsidRPr="00793C48" w14:paraId="61B1EC99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1DB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TP33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7FFB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91B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77A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C99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D95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407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F45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47E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D85D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B07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C9B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F03B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7C3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2F2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C75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F17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706</w:t>
            </w:r>
          </w:p>
        </w:tc>
      </w:tr>
      <w:tr w:rsidR="00E160FF" w:rsidRPr="00793C48" w14:paraId="0534BB77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9F99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TP34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674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FFF9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0FF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D8E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A316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5C5DC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45E6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6EC0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115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55A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997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6EF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945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946D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58C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025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</w:tr>
      <w:tr w:rsidR="00E160FF" w:rsidRPr="00793C48" w14:paraId="65472C31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635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TP36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AF0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E52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B61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091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7985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A5B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C1A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219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2FDC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EEBC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F58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E82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DFA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9440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1D67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BCAF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21</w:t>
            </w:r>
          </w:p>
        </w:tc>
      </w:tr>
      <w:tr w:rsidR="00E160FF" w:rsidRPr="00793C48" w14:paraId="701504D4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3D4C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TP40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78338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E9D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9A0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CB9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6957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174E9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EF7B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349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59D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FF2D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D22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4CC1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vAlign w:val="center"/>
          </w:tcPr>
          <w:p w14:paraId="78EA38E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57D3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65B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F28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6</w:t>
            </w:r>
          </w:p>
        </w:tc>
      </w:tr>
      <w:tr w:rsidR="00E160FF" w:rsidRPr="00793C48" w14:paraId="69A296FF" w14:textId="77777777" w:rsidTr="00E160FF">
        <w:trPr>
          <w:trHeight w:val="300"/>
        </w:trPr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31A6" w14:textId="77777777" w:rsidR="00E160FF" w:rsidRPr="00D76A16" w:rsidRDefault="00E160FF" w:rsidP="00E160FF">
            <w:pPr>
              <w:ind w:right="57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TP41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983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4CAB3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128DF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99F7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6A73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AAC4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B0FB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27136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E114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91FDE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84A0A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D1290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7DE93D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9BB9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DE54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713E2" w14:textId="77777777" w:rsidR="00E160FF" w:rsidRPr="00D76A16" w:rsidRDefault="00E160FF" w:rsidP="00494B9D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</w:rPr>
            </w:pPr>
            <w:r w:rsidRPr="00D76A16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17</w:t>
            </w:r>
          </w:p>
        </w:tc>
      </w:tr>
    </w:tbl>
    <w:p w14:paraId="1D87A2EF" w14:textId="77777777" w:rsidR="00E160FF" w:rsidRPr="00593759" w:rsidRDefault="00E160FF" w:rsidP="00E160FF">
      <w:pPr>
        <w:spacing w:after="200" w:line="276" w:lineRule="auto"/>
        <w:rPr>
          <w:b/>
        </w:rPr>
      </w:pPr>
      <w:r w:rsidRPr="00593759">
        <w:br w:type="page"/>
      </w:r>
    </w:p>
    <w:p w14:paraId="77826CAF" w14:textId="7845D649" w:rsidR="00E160FF" w:rsidRPr="003E6349" w:rsidRDefault="00E160FF" w:rsidP="00E160FF">
      <w:pPr>
        <w:pStyle w:val="HChG"/>
        <w:rPr>
          <w:lang w:val="fr-FR"/>
        </w:rPr>
      </w:pPr>
      <w:r w:rsidRPr="003E6349">
        <w:rPr>
          <w:lang w:val="fr-FR"/>
        </w:rPr>
        <w:lastRenderedPageBreak/>
        <w:tab/>
        <w:t>II.</w:t>
      </w:r>
      <w:r w:rsidRPr="003E6349">
        <w:rPr>
          <w:lang w:val="fr-FR"/>
        </w:rPr>
        <w:tab/>
        <w:t xml:space="preserve">Erreur dans la numérotation des </w:t>
      </w:r>
      <w:bookmarkStart w:id="0" w:name="_Hlk102141681"/>
      <w:r w:rsidRPr="003E6349">
        <w:rPr>
          <w:lang w:val="fr-FR"/>
        </w:rPr>
        <w:t xml:space="preserve">dispositions spéciales applicables au transport en citernes mobiles </w:t>
      </w:r>
      <w:bookmarkEnd w:id="0"/>
      <w:r>
        <w:rPr>
          <w:lang w:val="fr-FR"/>
        </w:rPr>
        <w:br/>
      </w:r>
      <w:r w:rsidRPr="003E6349">
        <w:rPr>
          <w:lang w:val="fr-FR"/>
        </w:rPr>
        <w:t>à la section C.3 des principes directeurs</w:t>
      </w:r>
    </w:p>
    <w:p w14:paraId="619068D0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3.</w:t>
      </w:r>
      <w:r w:rsidRPr="00593759">
        <w:rPr>
          <w:lang w:val="fr-FR"/>
        </w:rPr>
        <w:tab/>
        <w:t>Il s</w:t>
      </w:r>
      <w:r>
        <w:rPr>
          <w:lang w:val="fr-FR"/>
        </w:rPr>
        <w:t>’</w:t>
      </w:r>
      <w:r w:rsidRPr="00593759">
        <w:rPr>
          <w:lang w:val="fr-FR"/>
        </w:rPr>
        <w:t>agit d</w:t>
      </w:r>
      <w:r>
        <w:rPr>
          <w:lang w:val="fr-FR"/>
        </w:rPr>
        <w:t>’</w:t>
      </w:r>
      <w:r w:rsidRPr="00593759">
        <w:rPr>
          <w:lang w:val="fr-FR"/>
        </w:rPr>
        <w:t xml:space="preserve">une erreur simple </w:t>
      </w:r>
      <w:r>
        <w:rPr>
          <w:lang w:val="fr-FR"/>
        </w:rPr>
        <w:t xml:space="preserve">commise </w:t>
      </w:r>
      <w:r w:rsidRPr="00593759">
        <w:rPr>
          <w:lang w:val="fr-FR"/>
        </w:rPr>
        <w:t xml:space="preserve">dans les principes directeurs : une </w:t>
      </w:r>
      <w:r>
        <w:rPr>
          <w:lang w:val="fr-FR"/>
        </w:rPr>
        <w:t>ligne</w:t>
      </w:r>
      <w:r w:rsidRPr="00593759">
        <w:rPr>
          <w:lang w:val="fr-FR"/>
        </w:rPr>
        <w:t xml:space="preserve"> a été ajoutée en double dans la liste des </w:t>
      </w:r>
      <w:r w:rsidRPr="003E6349">
        <w:rPr>
          <w:lang w:val="fr-FR"/>
        </w:rPr>
        <w:t>dispositions spéciales applicables au transport en citernes mobiles</w:t>
      </w:r>
      <w:r w:rsidRPr="00593759">
        <w:rPr>
          <w:lang w:val="fr-FR"/>
        </w:rPr>
        <w:t xml:space="preserve">, en conséquence de quoi certaines des </w:t>
      </w:r>
      <w:r>
        <w:rPr>
          <w:lang w:val="fr-FR"/>
        </w:rPr>
        <w:t>lignes</w:t>
      </w:r>
      <w:r w:rsidRPr="00593759">
        <w:rPr>
          <w:lang w:val="fr-FR"/>
        </w:rPr>
        <w:t xml:space="preserve"> suivantes ont été mal numérotées. La proposition ci-dessous vise à corriger cette erreur :</w:t>
      </w:r>
    </w:p>
    <w:p w14:paraId="7C11DB7C" w14:textId="77777777" w:rsidR="00E160FF" w:rsidRPr="003E6349" w:rsidRDefault="00E160FF" w:rsidP="00E160FF">
      <w:pPr>
        <w:pStyle w:val="H1G"/>
        <w:rPr>
          <w:lang w:val="fr-FR"/>
        </w:rPr>
      </w:pPr>
      <w:r w:rsidRPr="00593759">
        <w:rPr>
          <w:lang w:val="fr-FR"/>
        </w:rPr>
        <w:tab/>
      </w:r>
      <w:r w:rsidRPr="00593759">
        <w:rPr>
          <w:lang w:val="fr-FR"/>
        </w:rPr>
        <w:tab/>
        <w:t>Proposition 1 (principes directeurs)</w:t>
      </w:r>
    </w:p>
    <w:p w14:paraId="541E21C7" w14:textId="77777777" w:rsidR="00E160FF" w:rsidRPr="00593759" w:rsidRDefault="00E160FF" w:rsidP="00E160FF">
      <w:pPr>
        <w:pStyle w:val="SingleTxtG"/>
        <w:tabs>
          <w:tab w:val="clear" w:pos="1701"/>
          <w:tab w:val="clear" w:pos="2268"/>
        </w:tabs>
        <w:ind w:left="2835" w:hanging="1701"/>
        <w:rPr>
          <w:lang w:val="fr-FR"/>
        </w:rPr>
      </w:pPr>
      <w:r w:rsidRPr="00593759">
        <w:rPr>
          <w:lang w:val="fr-FR"/>
        </w:rPr>
        <w:t>C.3, par. 15</w:t>
      </w:r>
      <w:r w:rsidRPr="00593759">
        <w:rPr>
          <w:lang w:val="fr-FR"/>
        </w:rPr>
        <w:tab/>
        <w:t xml:space="preserve">Supprimer la </w:t>
      </w:r>
      <w:r>
        <w:rPr>
          <w:lang w:val="fr-FR"/>
        </w:rPr>
        <w:t>ligne</w:t>
      </w:r>
      <w:r w:rsidRPr="00593759">
        <w:rPr>
          <w:lang w:val="fr-FR"/>
        </w:rPr>
        <w:t xml:space="preserve"> TP2 et renuméroter les </w:t>
      </w:r>
      <w:r>
        <w:rPr>
          <w:lang w:val="fr-FR"/>
        </w:rPr>
        <w:t>lignes</w:t>
      </w:r>
      <w:r w:rsidRPr="00593759">
        <w:rPr>
          <w:lang w:val="fr-FR"/>
        </w:rPr>
        <w:t xml:space="preserve"> TP3 à TP11 de sorte qu</w:t>
      </w:r>
      <w:r>
        <w:rPr>
          <w:lang w:val="fr-FR"/>
        </w:rPr>
        <w:t>’</w:t>
      </w:r>
      <w:r w:rsidRPr="00593759">
        <w:rPr>
          <w:lang w:val="fr-FR"/>
        </w:rPr>
        <w:t xml:space="preserve">elles deviennent les </w:t>
      </w:r>
      <w:r>
        <w:rPr>
          <w:lang w:val="fr-FR"/>
        </w:rPr>
        <w:t>lignes</w:t>
      </w:r>
      <w:r w:rsidRPr="00593759">
        <w:rPr>
          <w:lang w:val="fr-FR"/>
        </w:rPr>
        <w:t xml:space="preserve"> TP2 à TP10.</w:t>
      </w:r>
    </w:p>
    <w:p w14:paraId="2302A157" w14:textId="49F03100" w:rsidR="00E160FF" w:rsidRPr="003E6349" w:rsidRDefault="00E160FF" w:rsidP="00E160FF">
      <w:pPr>
        <w:pStyle w:val="HChG"/>
        <w:rPr>
          <w:lang w:val="fr-FR"/>
        </w:rPr>
      </w:pPr>
      <w:r w:rsidRPr="003E6349">
        <w:rPr>
          <w:lang w:val="fr-FR"/>
        </w:rPr>
        <w:tab/>
        <w:t>III.</w:t>
      </w:r>
      <w:r w:rsidRPr="003E6349">
        <w:rPr>
          <w:lang w:val="fr-FR"/>
        </w:rPr>
        <w:tab/>
        <w:t xml:space="preserve">Inexactitude dans les lignes directrices relatives </w:t>
      </w:r>
      <w:r>
        <w:rPr>
          <w:lang w:val="fr-FR"/>
        </w:rPr>
        <w:br/>
      </w:r>
      <w:r w:rsidRPr="003E6349">
        <w:rPr>
          <w:lang w:val="fr-FR"/>
        </w:rPr>
        <w:t>à la disposition spéciale TP4</w:t>
      </w:r>
    </w:p>
    <w:p w14:paraId="36F45C79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4.</w:t>
      </w:r>
      <w:r w:rsidRPr="00593759">
        <w:rPr>
          <w:lang w:val="fr-FR"/>
        </w:rPr>
        <w:tab/>
        <w:t>D</w:t>
      </w:r>
      <w:r>
        <w:rPr>
          <w:lang w:val="fr-FR"/>
        </w:rPr>
        <w:t>’</w:t>
      </w:r>
      <w:r w:rsidRPr="00593759">
        <w:rPr>
          <w:lang w:val="fr-FR"/>
        </w:rPr>
        <w:t>après les lignes directrices actuellement énoncées dans les principes directeurs, la disposition spéciale TP4 s</w:t>
      </w:r>
      <w:r>
        <w:rPr>
          <w:lang w:val="fr-FR"/>
        </w:rPr>
        <w:t>’</w:t>
      </w:r>
      <w:r w:rsidRPr="00593759">
        <w:rPr>
          <w:lang w:val="fr-FR"/>
        </w:rPr>
        <w:t>applique aux matières radioactives de faible activité spécifique pouvant être transportées en citerne</w:t>
      </w:r>
      <w:r>
        <w:rPr>
          <w:lang w:val="fr-FR"/>
        </w:rPr>
        <w:t>s</w:t>
      </w:r>
      <w:r w:rsidRPr="00593759">
        <w:rPr>
          <w:lang w:val="fr-FR"/>
        </w:rPr>
        <w:t xml:space="preserve"> mobile</w:t>
      </w:r>
      <w:r>
        <w:rPr>
          <w:lang w:val="fr-FR"/>
        </w:rPr>
        <w:t>s</w:t>
      </w:r>
      <w:r w:rsidRPr="00593759">
        <w:rPr>
          <w:lang w:val="fr-FR"/>
        </w:rPr>
        <w:t>, aux matières qui polymérisent (Nos ONU 3531 à 3534) et au trioxyde de soufre stabilisé. Toutefois, comme l</w:t>
      </w:r>
      <w:r>
        <w:rPr>
          <w:lang w:val="fr-FR"/>
        </w:rPr>
        <w:t>’</w:t>
      </w:r>
      <w:r w:rsidRPr="00593759">
        <w:rPr>
          <w:lang w:val="fr-FR"/>
        </w:rPr>
        <w:t xml:space="preserve">a révélé une recherche </w:t>
      </w:r>
      <w:r>
        <w:rPr>
          <w:lang w:val="fr-FR"/>
        </w:rPr>
        <w:t xml:space="preserve">effectuée </w:t>
      </w:r>
      <w:r w:rsidRPr="00593759">
        <w:rPr>
          <w:lang w:val="fr-FR"/>
        </w:rPr>
        <w:t>dans la liste des marchandises dangereuses, elle s</w:t>
      </w:r>
      <w:r>
        <w:rPr>
          <w:lang w:val="fr-FR"/>
        </w:rPr>
        <w:t>’</w:t>
      </w:r>
      <w:r w:rsidRPr="00593759">
        <w:rPr>
          <w:lang w:val="fr-FR"/>
        </w:rPr>
        <w:t>applique également aux matières radioactives, objets contaminés superficiellement (No ONU 2913) et aux produits chimiques sous pression (Nos ONU 3500 à 3505). La proposition ci-dessous vise à ajouter ces deux catégories dans les principes directeurs :</w:t>
      </w:r>
    </w:p>
    <w:p w14:paraId="578C6DF0" w14:textId="77777777" w:rsidR="00E160FF" w:rsidRPr="00593759" w:rsidRDefault="00E160FF" w:rsidP="00E160FF">
      <w:pPr>
        <w:pStyle w:val="H1G"/>
        <w:rPr>
          <w:lang w:val="fr-FR"/>
        </w:rPr>
      </w:pPr>
      <w:r w:rsidRPr="00593759">
        <w:rPr>
          <w:lang w:val="fr-FR"/>
        </w:rPr>
        <w:tab/>
      </w:r>
      <w:r w:rsidRPr="00593759">
        <w:rPr>
          <w:lang w:val="fr-FR"/>
        </w:rPr>
        <w:tab/>
        <w:t>Proposition 2 (principes directeurs)</w:t>
      </w:r>
    </w:p>
    <w:p w14:paraId="4162842D" w14:textId="77777777" w:rsidR="00E160FF" w:rsidRPr="00593759" w:rsidRDefault="00E160FF" w:rsidP="00E160FF">
      <w:pPr>
        <w:pStyle w:val="SingleTxtG"/>
        <w:ind w:left="2835" w:hanging="1701"/>
        <w:rPr>
          <w:lang w:val="fr-FR"/>
        </w:rPr>
      </w:pPr>
      <w:r w:rsidRPr="00593759">
        <w:rPr>
          <w:lang w:val="fr-FR"/>
        </w:rPr>
        <w:t>C.3, par. 15, TP4</w:t>
      </w:r>
      <w:r w:rsidRPr="00593759">
        <w:rPr>
          <w:lang w:val="fr-FR"/>
        </w:rPr>
        <w:tab/>
        <w:t>Supprimer « </w:t>
      </w:r>
      <w:proofErr w:type="spellStart"/>
      <w:r w:rsidRPr="00593759">
        <w:rPr>
          <w:lang w:val="fr-FR"/>
        </w:rPr>
        <w:t>low</w:t>
      </w:r>
      <w:proofErr w:type="spellEnd"/>
      <w:r w:rsidRPr="00593759">
        <w:rPr>
          <w:lang w:val="fr-FR"/>
        </w:rPr>
        <w:t xml:space="preserve"> </w:t>
      </w:r>
      <w:proofErr w:type="spellStart"/>
      <w:r w:rsidRPr="00593759">
        <w:rPr>
          <w:lang w:val="fr-FR"/>
        </w:rPr>
        <w:t>specific</w:t>
      </w:r>
      <w:proofErr w:type="spellEnd"/>
      <w:r w:rsidRPr="00593759">
        <w:rPr>
          <w:lang w:val="fr-FR"/>
        </w:rPr>
        <w:t xml:space="preserve"> </w:t>
      </w:r>
      <w:proofErr w:type="spellStart"/>
      <w:r w:rsidRPr="00593759">
        <w:rPr>
          <w:lang w:val="fr-FR"/>
        </w:rPr>
        <w:t>activity</w:t>
      </w:r>
      <w:proofErr w:type="spellEnd"/>
      <w:r w:rsidRPr="00593759">
        <w:rPr>
          <w:lang w:val="fr-FR"/>
        </w:rPr>
        <w:t xml:space="preserve"> ». Après « 3534) », ajouter « , to </w:t>
      </w:r>
      <w:proofErr w:type="spellStart"/>
      <w:r w:rsidRPr="00593759">
        <w:rPr>
          <w:lang w:val="fr-FR"/>
        </w:rPr>
        <w:t>chemicals</w:t>
      </w:r>
      <w:proofErr w:type="spellEnd"/>
      <w:r w:rsidRPr="00593759">
        <w:rPr>
          <w:lang w:val="fr-FR"/>
        </w:rPr>
        <w:t xml:space="preserve"> </w:t>
      </w:r>
      <w:proofErr w:type="spellStart"/>
      <w:r w:rsidRPr="00593759">
        <w:rPr>
          <w:lang w:val="fr-FR"/>
        </w:rPr>
        <w:t>under</w:t>
      </w:r>
      <w:proofErr w:type="spellEnd"/>
      <w:r w:rsidRPr="00593759">
        <w:rPr>
          <w:lang w:val="fr-FR"/>
        </w:rPr>
        <w:t xml:space="preserve"> pressure (UN Nos. 3500 to 3505) ».</w:t>
      </w:r>
    </w:p>
    <w:p w14:paraId="7B759314" w14:textId="77777777" w:rsidR="00E160FF" w:rsidRPr="003E6349" w:rsidRDefault="00E160FF" w:rsidP="00E160FF">
      <w:pPr>
        <w:pStyle w:val="HChG"/>
        <w:rPr>
          <w:lang w:val="fr-FR"/>
        </w:rPr>
      </w:pPr>
      <w:r w:rsidRPr="003E6349">
        <w:rPr>
          <w:lang w:val="fr-FR"/>
        </w:rPr>
        <w:tab/>
        <w:t>IV.</w:t>
      </w:r>
      <w:r w:rsidRPr="003E6349">
        <w:rPr>
          <w:lang w:val="fr-FR"/>
        </w:rPr>
        <w:tab/>
        <w:t>Attribution de la disposition spéciale TP1 au No ONU 0331</w:t>
      </w:r>
    </w:p>
    <w:p w14:paraId="68985336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5.</w:t>
      </w:r>
      <w:r w:rsidRPr="00593759">
        <w:rPr>
          <w:lang w:val="fr-FR"/>
        </w:rPr>
        <w:tab/>
        <w:t>La disposition spéciale TP1 précise le taux de remplissage d</w:t>
      </w:r>
      <w:r>
        <w:rPr>
          <w:lang w:val="fr-FR"/>
        </w:rPr>
        <w:t>’</w:t>
      </w:r>
      <w:r w:rsidRPr="00593759">
        <w:rPr>
          <w:lang w:val="fr-FR"/>
        </w:rPr>
        <w:t xml:space="preserve">une citerne mobile. Les lignes directrices relatives à la disposition TP1 dans les principes directeurs indiquent actuellement </w:t>
      </w:r>
      <w:r>
        <w:rPr>
          <w:lang w:val="fr-FR"/>
        </w:rPr>
        <w:t>que cette disposition</w:t>
      </w:r>
      <w:r w:rsidRPr="00593759">
        <w:rPr>
          <w:lang w:val="fr-FR"/>
        </w:rPr>
        <w:t xml:space="preserve"> s</w:t>
      </w:r>
      <w:r>
        <w:rPr>
          <w:lang w:val="fr-FR"/>
        </w:rPr>
        <w:t>’</w:t>
      </w:r>
      <w:r w:rsidRPr="00593759">
        <w:rPr>
          <w:lang w:val="fr-FR"/>
        </w:rPr>
        <w:t>applique aux matières liquides ayant une pression de vapeur à 65 °C d</w:t>
      </w:r>
      <w:r>
        <w:rPr>
          <w:lang w:val="fr-FR"/>
        </w:rPr>
        <w:t>’</w:t>
      </w:r>
      <w:r w:rsidRPr="00593759">
        <w:rPr>
          <w:lang w:val="fr-FR"/>
        </w:rPr>
        <w:t>au plus 175 kPa (1,75 bar) autres que les matières de la division 6.1 ou de la classe 8 des groupes d</w:t>
      </w:r>
      <w:r>
        <w:rPr>
          <w:lang w:val="fr-FR"/>
        </w:rPr>
        <w:t>’</w:t>
      </w:r>
      <w:r w:rsidRPr="00593759">
        <w:rPr>
          <w:lang w:val="fr-FR"/>
        </w:rPr>
        <w:t>emballage I et II.</w:t>
      </w:r>
    </w:p>
    <w:p w14:paraId="36BD1CA7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6.</w:t>
      </w:r>
      <w:r w:rsidRPr="00593759">
        <w:rPr>
          <w:lang w:val="fr-FR"/>
        </w:rPr>
        <w:tab/>
        <w:t>Le code TP1 a été attribué au No ONU 0331 (EXPLOSIF DE MINE (DE SAUTAGE) DU TYPE B). À la connaissance du secrétariat, le No ONU 0331 se présente généralement sous forme de granules. Si tel est le cas, le Sous-Comité souhaitera peut-être réfléchir à la question de savoir si l</w:t>
      </w:r>
      <w:r>
        <w:rPr>
          <w:lang w:val="fr-FR"/>
        </w:rPr>
        <w:t>’</w:t>
      </w:r>
      <w:r w:rsidRPr="00593759">
        <w:rPr>
          <w:lang w:val="fr-FR"/>
        </w:rPr>
        <w:t xml:space="preserve">attribution de la disposition spéciale TP1 au No ONU 0331 est effectivement </w:t>
      </w:r>
      <w:r>
        <w:rPr>
          <w:lang w:val="fr-FR"/>
        </w:rPr>
        <w:t>justifiée</w:t>
      </w:r>
      <w:r w:rsidRPr="00593759">
        <w:rPr>
          <w:lang w:val="fr-FR"/>
        </w:rPr>
        <w:t xml:space="preserve"> ou si les principes directeurs doivent être </w:t>
      </w:r>
      <w:r>
        <w:rPr>
          <w:lang w:val="fr-FR"/>
        </w:rPr>
        <w:t>modifiés</w:t>
      </w:r>
      <w:r w:rsidRPr="00593759">
        <w:rPr>
          <w:lang w:val="fr-FR"/>
        </w:rPr>
        <w:t>.</w:t>
      </w:r>
    </w:p>
    <w:p w14:paraId="10010AF0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7.</w:t>
      </w:r>
      <w:r w:rsidRPr="00593759">
        <w:rPr>
          <w:lang w:val="fr-FR"/>
        </w:rPr>
        <w:tab/>
        <w:t>Pour mémoire, le code TP1 a été attribué aux Nos ONU 0331, 0332 et 3375 dans la treizième édition révisée du Règlement type (</w:t>
      </w:r>
      <w:r>
        <w:rPr>
          <w:lang w:val="fr-FR"/>
        </w:rPr>
        <w:t>en même temps que</w:t>
      </w:r>
      <w:r w:rsidRPr="00593759">
        <w:rPr>
          <w:lang w:val="fr-FR"/>
        </w:rPr>
        <w:t xml:space="preserve"> les codes TP17 et TP32). Les modifications ont été approuvées par le Comité (ST/SG/AC.10/29/Add.1) à la suite d</w:t>
      </w:r>
      <w:r>
        <w:rPr>
          <w:lang w:val="fr-FR"/>
        </w:rPr>
        <w:t>’</w:t>
      </w:r>
      <w:r w:rsidRPr="00593759">
        <w:rPr>
          <w:lang w:val="fr-FR"/>
        </w:rPr>
        <w:t>une décision du Sous-Comité (ST/SG/AC.10/C.3/42 et Add.3), qui s</w:t>
      </w:r>
      <w:r>
        <w:rPr>
          <w:lang w:val="fr-FR"/>
        </w:rPr>
        <w:t>’</w:t>
      </w:r>
      <w:r w:rsidRPr="00593759">
        <w:rPr>
          <w:lang w:val="fr-FR"/>
        </w:rPr>
        <w:t>appuyait sur une recommandation du groupe de travail des émulsions de nitrate d</w:t>
      </w:r>
      <w:r>
        <w:rPr>
          <w:lang w:val="fr-FR"/>
        </w:rPr>
        <w:t>’</w:t>
      </w:r>
      <w:r w:rsidRPr="00593759">
        <w:rPr>
          <w:lang w:val="fr-FR"/>
        </w:rPr>
        <w:t>ammonium (</w:t>
      </w:r>
      <w:r>
        <w:rPr>
          <w:lang w:val="fr-FR"/>
        </w:rPr>
        <w:t xml:space="preserve">document informel </w:t>
      </w:r>
      <w:r w:rsidRPr="00593759">
        <w:rPr>
          <w:lang w:val="fr-FR"/>
        </w:rPr>
        <w:t xml:space="preserve">INF.69), laquelle était </w:t>
      </w:r>
      <w:r>
        <w:rPr>
          <w:lang w:val="fr-FR"/>
        </w:rPr>
        <w:t xml:space="preserve">elle-même </w:t>
      </w:r>
      <w:r w:rsidRPr="00593759">
        <w:rPr>
          <w:lang w:val="fr-FR"/>
        </w:rPr>
        <w:t>fondée sur une proposition du Conseil consultatif des marchandises dangereuses (</w:t>
      </w:r>
      <w:r>
        <w:rPr>
          <w:lang w:val="fr-FR"/>
        </w:rPr>
        <w:t xml:space="preserve">document informel </w:t>
      </w:r>
      <w:r w:rsidRPr="00593759">
        <w:rPr>
          <w:lang w:val="fr-FR"/>
        </w:rPr>
        <w:t>INF.10). Il est intéressant de noter que, dans les propositions initiales (documents informels INF.10 et INF.69), il était uniquement proposé d</w:t>
      </w:r>
      <w:r>
        <w:rPr>
          <w:lang w:val="fr-FR"/>
        </w:rPr>
        <w:t>’</w:t>
      </w:r>
      <w:r w:rsidRPr="00593759">
        <w:rPr>
          <w:lang w:val="fr-FR"/>
        </w:rPr>
        <w:t xml:space="preserve">attribuer les dispositions spéciales TP17 et TP32, mais que, dans les modifications définitives, le code TP1 a été </w:t>
      </w:r>
      <w:r>
        <w:rPr>
          <w:lang w:val="fr-FR"/>
        </w:rPr>
        <w:t xml:space="preserve">rajouté </w:t>
      </w:r>
      <w:r w:rsidRPr="00593759">
        <w:rPr>
          <w:lang w:val="fr-FR"/>
        </w:rPr>
        <w:t xml:space="preserve">sans explication supplémentaire. En ce qui concerne les </w:t>
      </w:r>
      <w:r w:rsidRPr="00593759">
        <w:rPr>
          <w:lang w:val="fr-FR"/>
        </w:rPr>
        <w:lastRenderedPageBreak/>
        <w:t>Nos ONU 0332 et 3375, l</w:t>
      </w:r>
      <w:r>
        <w:rPr>
          <w:lang w:val="fr-FR"/>
        </w:rPr>
        <w:t>’</w:t>
      </w:r>
      <w:r w:rsidRPr="00593759">
        <w:rPr>
          <w:lang w:val="fr-FR"/>
        </w:rPr>
        <w:t>attribution de la disposition spéciale TP1 ne paraît pas surprenante, car ces matières peuvent se présenter sous forme d</w:t>
      </w:r>
      <w:r>
        <w:rPr>
          <w:lang w:val="fr-FR"/>
        </w:rPr>
        <w:t>’</w:t>
      </w:r>
      <w:r w:rsidRPr="00593759">
        <w:rPr>
          <w:lang w:val="fr-FR"/>
        </w:rPr>
        <w:t>émulsion ou de gel</w:t>
      </w:r>
      <w:r w:rsidRPr="00593759">
        <w:rPr>
          <w:rStyle w:val="FootnoteReference"/>
          <w:lang w:val="fr-FR"/>
        </w:rPr>
        <w:footnoteReference w:id="3"/>
      </w:r>
      <w:r w:rsidRPr="00593759">
        <w:rPr>
          <w:lang w:val="fr-FR"/>
        </w:rPr>
        <w:t>.</w:t>
      </w:r>
    </w:p>
    <w:p w14:paraId="130D4B9E" w14:textId="28DF1457" w:rsidR="00E160FF" w:rsidRPr="00861EB9" w:rsidRDefault="00E160FF" w:rsidP="00E160FF">
      <w:pPr>
        <w:pStyle w:val="HChG"/>
        <w:rPr>
          <w:lang w:val="fr-FR"/>
        </w:rPr>
      </w:pPr>
      <w:r>
        <w:rPr>
          <w:lang w:val="fr-FR"/>
        </w:rPr>
        <w:tab/>
      </w:r>
      <w:r w:rsidRPr="00861EB9">
        <w:rPr>
          <w:lang w:val="fr-FR"/>
        </w:rPr>
        <w:t>V.</w:t>
      </w:r>
      <w:r w:rsidRPr="00861EB9">
        <w:rPr>
          <w:lang w:val="fr-FR"/>
        </w:rPr>
        <w:tab/>
        <w:t xml:space="preserve">Attribution de la disposition spéciale TP31 </w:t>
      </w:r>
      <w:r>
        <w:rPr>
          <w:lang w:val="fr-FR"/>
        </w:rPr>
        <w:br/>
      </w:r>
      <w:r w:rsidRPr="00861EB9">
        <w:rPr>
          <w:lang w:val="fr-FR"/>
        </w:rPr>
        <w:t>aux Nos ONU 1442 et 1381</w:t>
      </w:r>
    </w:p>
    <w:p w14:paraId="001AA93F" w14:textId="77777777" w:rsidR="00E160FF" w:rsidRPr="00593759" w:rsidRDefault="00E160FF" w:rsidP="00E160FF">
      <w:pPr>
        <w:pStyle w:val="H1G"/>
        <w:rPr>
          <w:lang w:val="fr-FR"/>
        </w:rPr>
      </w:pPr>
      <w:r>
        <w:rPr>
          <w:lang w:val="fr-FR"/>
        </w:rPr>
        <w:tab/>
      </w:r>
      <w:r w:rsidRPr="00593759">
        <w:rPr>
          <w:lang w:val="fr-FR"/>
        </w:rPr>
        <w:t>A.</w:t>
      </w:r>
      <w:r w:rsidRPr="00593759">
        <w:rPr>
          <w:lang w:val="fr-FR"/>
        </w:rPr>
        <w:tab/>
        <w:t>No ONU 1422 (ALLIAGES LIQUIDES DE POTASSIUM ET SODIUM)</w:t>
      </w:r>
    </w:p>
    <w:p w14:paraId="19DB75E2" w14:textId="77777777" w:rsidR="00E160FF" w:rsidRPr="00593759" w:rsidRDefault="00E160FF" w:rsidP="00E160FF">
      <w:pPr>
        <w:pStyle w:val="SingleTxtG"/>
        <w:rPr>
          <w:lang w:val="fr-FR"/>
        </w:rPr>
      </w:pPr>
      <w:r w:rsidRPr="00D31B08">
        <w:rPr>
          <w:lang w:val="fr-FR"/>
        </w:rPr>
        <w:t>8.</w:t>
      </w:r>
      <w:r w:rsidRPr="00D31B08">
        <w:rPr>
          <w:lang w:val="fr-FR"/>
        </w:rPr>
        <w:tab/>
        <w:t>Les alliages de potassium et sodium peuvent être à l’état solide ou liquide, en fonction de leur température et</w:t>
      </w:r>
      <w:r w:rsidRPr="00593759">
        <w:rPr>
          <w:lang w:val="fr-FR"/>
        </w:rPr>
        <w:t xml:space="preserve"> de la quantité relative de chaque composant. Pour 77 % de potassium (K), l</w:t>
      </w:r>
      <w:r>
        <w:rPr>
          <w:lang w:val="fr-FR"/>
        </w:rPr>
        <w:t>’</w:t>
      </w:r>
      <w:r w:rsidRPr="00593759">
        <w:rPr>
          <w:lang w:val="fr-FR"/>
        </w:rPr>
        <w:t>alliage est liquide entre -12,6 °C et 785 °C. Entre 40 % et 90 % de potassium, l</w:t>
      </w:r>
      <w:r>
        <w:rPr>
          <w:lang w:val="fr-FR"/>
        </w:rPr>
        <w:t>’</w:t>
      </w:r>
      <w:r w:rsidRPr="00593759">
        <w:rPr>
          <w:lang w:val="fr-FR"/>
        </w:rPr>
        <w:t>alliage est liquide à température ambiante.</w:t>
      </w:r>
    </w:p>
    <w:p w14:paraId="13462816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9.</w:t>
      </w:r>
      <w:r w:rsidRPr="00593759">
        <w:rPr>
          <w:lang w:val="fr-FR"/>
        </w:rPr>
        <w:tab/>
        <w:t>À l</w:t>
      </w:r>
      <w:r>
        <w:rPr>
          <w:lang w:val="fr-FR"/>
        </w:rPr>
        <w:t>’</w:t>
      </w:r>
      <w:r w:rsidRPr="00593759">
        <w:rPr>
          <w:lang w:val="fr-FR"/>
        </w:rPr>
        <w:t>origine, le Règlement type (onzième édition révisée) ne contenait qu</w:t>
      </w:r>
      <w:r>
        <w:rPr>
          <w:lang w:val="fr-FR"/>
        </w:rPr>
        <w:t>’</w:t>
      </w:r>
      <w:r w:rsidRPr="00593759">
        <w:rPr>
          <w:lang w:val="fr-FR"/>
        </w:rPr>
        <w:t>une seule rubrique pour les alliages de potassium et sodium (No ONU 1422), ne précisant pas l</w:t>
      </w:r>
      <w:r>
        <w:rPr>
          <w:lang w:val="fr-FR"/>
        </w:rPr>
        <w:t>’</w:t>
      </w:r>
      <w:r w:rsidRPr="00593759">
        <w:rPr>
          <w:lang w:val="fr-FR"/>
        </w:rPr>
        <w:t>état liquide ou solide, à laquelle étaient attribués les codes TP3 et TP7. La disposition spéciale TP3 s</w:t>
      </w:r>
      <w:r>
        <w:rPr>
          <w:lang w:val="fr-FR"/>
        </w:rPr>
        <w:t>’</w:t>
      </w:r>
      <w:r w:rsidRPr="00593759">
        <w:rPr>
          <w:lang w:val="fr-FR"/>
        </w:rPr>
        <w:t>appliquant aux liquides, on comprenait qu</w:t>
      </w:r>
      <w:r>
        <w:rPr>
          <w:lang w:val="fr-FR"/>
        </w:rPr>
        <w:t>’</w:t>
      </w:r>
      <w:r w:rsidRPr="00593759">
        <w:rPr>
          <w:lang w:val="fr-FR"/>
        </w:rPr>
        <w:t>elle ne s</w:t>
      </w:r>
      <w:r>
        <w:rPr>
          <w:lang w:val="fr-FR"/>
        </w:rPr>
        <w:t>’</w:t>
      </w:r>
      <w:r w:rsidRPr="00593759">
        <w:rPr>
          <w:lang w:val="fr-FR"/>
        </w:rPr>
        <w:t xml:space="preserve">appliquait que lorsque la matière était transportée </w:t>
      </w:r>
      <w:r>
        <w:rPr>
          <w:lang w:val="fr-FR"/>
        </w:rPr>
        <w:t xml:space="preserve">à l’état </w:t>
      </w:r>
      <w:r w:rsidRPr="00593759">
        <w:rPr>
          <w:lang w:val="fr-FR"/>
        </w:rPr>
        <w:t>liquide, tandis que la disposition spéciale TP7 s</w:t>
      </w:r>
      <w:r>
        <w:rPr>
          <w:lang w:val="fr-FR"/>
        </w:rPr>
        <w:t>’</w:t>
      </w:r>
      <w:r w:rsidRPr="00593759">
        <w:rPr>
          <w:lang w:val="fr-FR"/>
        </w:rPr>
        <w:t>appliquait dans tous les cas.</w:t>
      </w:r>
    </w:p>
    <w:p w14:paraId="057C92B1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10.</w:t>
      </w:r>
      <w:r w:rsidRPr="00593759">
        <w:rPr>
          <w:lang w:val="fr-FR"/>
        </w:rPr>
        <w:tab/>
        <w:t>En 1999, l</w:t>
      </w:r>
      <w:r>
        <w:rPr>
          <w:lang w:val="fr-FR"/>
        </w:rPr>
        <w:t>’</w:t>
      </w:r>
      <w:r w:rsidRPr="00593759">
        <w:rPr>
          <w:lang w:val="fr-FR"/>
        </w:rPr>
        <w:t>expert des États-Unis d</w:t>
      </w:r>
      <w:r>
        <w:rPr>
          <w:lang w:val="fr-FR"/>
        </w:rPr>
        <w:t>’</w:t>
      </w:r>
      <w:r w:rsidRPr="00593759">
        <w:rPr>
          <w:lang w:val="fr-FR"/>
        </w:rPr>
        <w:t>Amérique a présenté une proposition (</w:t>
      </w:r>
      <w:r>
        <w:rPr>
          <w:lang w:val="fr-FR"/>
        </w:rPr>
        <w:t xml:space="preserve">document informel </w:t>
      </w:r>
      <w:r w:rsidRPr="00593759">
        <w:rPr>
          <w:lang w:val="fr-FR"/>
        </w:rPr>
        <w:t xml:space="preserve">INF.10) visant à harmoniser les Nos ONU 1381, 1422, 1428 et 2257 avec le Code maritime international des marchandises dangereuses (IMDG). Dans cette proposition, la disposition spéciale m) </w:t>
      </w:r>
      <w:r>
        <w:rPr>
          <w:lang w:val="fr-FR"/>
        </w:rPr>
        <w:t xml:space="preserve">applicable au </w:t>
      </w:r>
      <w:r w:rsidRPr="00593759">
        <w:rPr>
          <w:lang w:val="fr-FR"/>
        </w:rPr>
        <w:t>transport en citern</w:t>
      </w:r>
      <w:r>
        <w:rPr>
          <w:lang w:val="fr-FR"/>
        </w:rPr>
        <w:t>e</w:t>
      </w:r>
      <w:r w:rsidRPr="00593759">
        <w:rPr>
          <w:lang w:val="fr-FR"/>
        </w:rPr>
        <w:t xml:space="preserve"> prévue dans le Code IMDG (« Ne peut être transporté en citerne qu</w:t>
      </w:r>
      <w:r>
        <w:rPr>
          <w:lang w:val="fr-FR"/>
        </w:rPr>
        <w:t>’</w:t>
      </w:r>
      <w:r w:rsidRPr="00593759">
        <w:rPr>
          <w:lang w:val="fr-FR"/>
        </w:rPr>
        <w:t>à l</w:t>
      </w:r>
      <w:r>
        <w:rPr>
          <w:lang w:val="fr-FR"/>
        </w:rPr>
        <w:t>’</w:t>
      </w:r>
      <w:r w:rsidRPr="00593759">
        <w:rPr>
          <w:lang w:val="fr-FR"/>
        </w:rPr>
        <w:t xml:space="preserve">état solide ») a été transcrite dans le Règlement type comme disposition spéciale TP31 et a été attribuée à ces numéros ONU. Ni la proposition ni le rapport de la session (ST/SG/AC.10/C.3/32) ne contenaient de justification supplémentaire. Par conséquent, dans la douzième édition révisée du Règlement type, les dispositions spéciales TP3, TP7 et TP31 </w:t>
      </w:r>
      <w:r>
        <w:rPr>
          <w:lang w:val="fr-FR"/>
        </w:rPr>
        <w:t>ont été</w:t>
      </w:r>
      <w:r w:rsidRPr="00593759">
        <w:rPr>
          <w:lang w:val="fr-FR"/>
        </w:rPr>
        <w:t xml:space="preserve"> attribuées au No ONU 1422. Le moins que l</w:t>
      </w:r>
      <w:r>
        <w:rPr>
          <w:lang w:val="fr-FR"/>
        </w:rPr>
        <w:t>’</w:t>
      </w:r>
      <w:r w:rsidRPr="00593759">
        <w:rPr>
          <w:lang w:val="fr-FR"/>
        </w:rPr>
        <w:t>on puisse dire, c</w:t>
      </w:r>
      <w:r>
        <w:rPr>
          <w:lang w:val="fr-FR"/>
        </w:rPr>
        <w:t>’</w:t>
      </w:r>
      <w:r w:rsidRPr="00593759">
        <w:rPr>
          <w:lang w:val="fr-FR"/>
        </w:rPr>
        <w:t xml:space="preserve">est que cette décision est difficile à comprendre, car la disposition TP3 implique que la matière peut être transportée </w:t>
      </w:r>
      <w:r>
        <w:rPr>
          <w:lang w:val="fr-FR"/>
        </w:rPr>
        <w:t xml:space="preserve">à l’état </w:t>
      </w:r>
      <w:r w:rsidRPr="00593759">
        <w:rPr>
          <w:lang w:val="fr-FR"/>
        </w:rPr>
        <w:t>liquide alors que la disposition TP31 interdit explicitement de la transporter à l</w:t>
      </w:r>
      <w:r>
        <w:rPr>
          <w:lang w:val="fr-FR"/>
        </w:rPr>
        <w:t>’</w:t>
      </w:r>
      <w:r w:rsidRPr="00593759">
        <w:rPr>
          <w:lang w:val="fr-FR"/>
        </w:rPr>
        <w:t>état liquide.</w:t>
      </w:r>
    </w:p>
    <w:p w14:paraId="17144CE7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11.</w:t>
      </w:r>
      <w:r w:rsidRPr="00593759">
        <w:rPr>
          <w:lang w:val="fr-FR"/>
        </w:rPr>
        <w:tab/>
        <w:t>En outre, au cours de l</w:t>
      </w:r>
      <w:r>
        <w:rPr>
          <w:lang w:val="fr-FR"/>
        </w:rPr>
        <w:t>’</w:t>
      </w:r>
      <w:r w:rsidRPr="00593759">
        <w:rPr>
          <w:lang w:val="fr-FR"/>
        </w:rPr>
        <w:t>exercice biennal suivant, les experts de l</w:t>
      </w:r>
      <w:r>
        <w:rPr>
          <w:lang w:val="fr-FR"/>
        </w:rPr>
        <w:t>’</w:t>
      </w:r>
      <w:r w:rsidRPr="00593759">
        <w:rPr>
          <w:lang w:val="fr-FR"/>
        </w:rPr>
        <w:t>Allemagne et des Pays-Bas ont présenté une proposition (ST/SG/AC.10/C.3/2002/44) visant à séparer les matières pouvant se présenter sous forme liquide ou solide en deux rubriques distinctes en fonction de leur état. En conséquence, dans la treizième édition révisée du Règlement type, l</w:t>
      </w:r>
      <w:r>
        <w:rPr>
          <w:lang w:val="fr-FR"/>
        </w:rPr>
        <w:t>’</w:t>
      </w:r>
      <w:r w:rsidRPr="00593759">
        <w:rPr>
          <w:lang w:val="fr-FR"/>
        </w:rPr>
        <w:t>adjectif « LIQUIDES » a été ajouté au nom du No ONU 1422, mais en conservant les codes TP3, TP7 et TP31. Une nouvelle rubrique portant le No ONU 3404 a été créée avec le suffixe « , SOLIDES », à laquelle les codes TP7 et TP33 ont été attribués. Dans cette nouvelle situation, l</w:t>
      </w:r>
      <w:r>
        <w:rPr>
          <w:lang w:val="fr-FR"/>
        </w:rPr>
        <w:t>’</w:t>
      </w:r>
      <w:r w:rsidRPr="00593759">
        <w:rPr>
          <w:lang w:val="fr-FR"/>
        </w:rPr>
        <w:t>attribution de la disposition spéciale TP31 au No ONU 1422 est difficile à comprendre, car la désignation officielle de transport indique explicitement que la matière est liquide. Aucune autre modification n</w:t>
      </w:r>
      <w:r>
        <w:rPr>
          <w:lang w:val="fr-FR"/>
        </w:rPr>
        <w:t>’</w:t>
      </w:r>
      <w:r w:rsidRPr="00593759">
        <w:rPr>
          <w:lang w:val="fr-FR"/>
        </w:rPr>
        <w:t>a été apportée à cet égard par la suite.</w:t>
      </w:r>
    </w:p>
    <w:p w14:paraId="00D6F339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12.</w:t>
      </w:r>
      <w:r w:rsidRPr="00593759">
        <w:rPr>
          <w:lang w:val="fr-FR"/>
        </w:rPr>
        <w:tab/>
        <w:t>Le Sous-Comité souhaitera peut-être réfléchir à la question de savoir si l</w:t>
      </w:r>
      <w:r>
        <w:rPr>
          <w:lang w:val="fr-FR"/>
        </w:rPr>
        <w:t>’</w:t>
      </w:r>
      <w:r w:rsidRPr="00593759">
        <w:rPr>
          <w:lang w:val="fr-FR"/>
        </w:rPr>
        <w:t>attribution de la disposition TP31 au No ONU 1422 est justifiée et demeure nécessaire. Dans l</w:t>
      </w:r>
      <w:r>
        <w:rPr>
          <w:lang w:val="fr-FR"/>
        </w:rPr>
        <w:t>’</w:t>
      </w:r>
      <w:r w:rsidRPr="00593759">
        <w:rPr>
          <w:lang w:val="fr-FR"/>
        </w:rPr>
        <w:t>affirmative, il pourrait se demander si la disposition spéciale TP31 doit être reformulée afin d</w:t>
      </w:r>
      <w:r>
        <w:rPr>
          <w:lang w:val="fr-FR"/>
        </w:rPr>
        <w:t>’</w:t>
      </w:r>
      <w:r w:rsidRPr="00593759">
        <w:rPr>
          <w:lang w:val="fr-FR"/>
        </w:rPr>
        <w:t>en clarifier l</w:t>
      </w:r>
      <w:r>
        <w:rPr>
          <w:lang w:val="fr-FR"/>
        </w:rPr>
        <w:t>’</w:t>
      </w:r>
      <w:r w:rsidRPr="00593759">
        <w:rPr>
          <w:lang w:val="fr-FR"/>
        </w:rPr>
        <w:t>objet.</w:t>
      </w:r>
    </w:p>
    <w:p w14:paraId="513D8B4F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13.</w:t>
      </w:r>
      <w:r w:rsidRPr="00593759">
        <w:rPr>
          <w:lang w:val="fr-FR"/>
        </w:rPr>
        <w:tab/>
        <w:t>Pour rappel, les dispositions spéciales applicables au transport en citernes mobiles concernées sont reproduites ci-dessous :</w:t>
      </w:r>
    </w:p>
    <w:p w14:paraId="41162B2D" w14:textId="77777777" w:rsidR="00E160FF" w:rsidRPr="00593759" w:rsidRDefault="00E160FF" w:rsidP="00E160FF">
      <w:pPr>
        <w:pStyle w:val="SingleTxtG"/>
        <w:spacing w:after="60"/>
        <w:ind w:left="2268" w:hanging="567"/>
        <w:rPr>
          <w:lang w:val="fr-FR"/>
        </w:rPr>
      </w:pPr>
      <w:r w:rsidRPr="00593759">
        <w:rPr>
          <w:lang w:val="fr-FR"/>
        </w:rPr>
        <w:t>TP3</w:t>
      </w:r>
      <w:r w:rsidRPr="00593759">
        <w:rPr>
          <w:lang w:val="fr-FR"/>
        </w:rPr>
        <w:tab/>
        <w:t>Le taux de remplissage maximal (en %) pour les matières solides transportées à des températures supérieures à leur point de fusion et pour les liquides à température élevée doit être déterminé conformément au 4.2.1.9.5.</w:t>
      </w:r>
    </w:p>
    <w:p w14:paraId="0A832DD3" w14:textId="77777777" w:rsidR="00E160FF" w:rsidRPr="00593759" w:rsidRDefault="00E160FF" w:rsidP="00E160FF">
      <w:pPr>
        <w:pStyle w:val="SingleTxtG"/>
        <w:spacing w:after="60"/>
        <w:ind w:left="2268" w:hanging="567"/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1EFB0" wp14:editId="2A4507C2">
                <wp:simplePos x="0" y="0"/>
                <wp:positionH relativeFrom="column">
                  <wp:posOffset>2484529</wp:posOffset>
                </wp:positionH>
                <wp:positionV relativeFrom="paragraph">
                  <wp:posOffset>37465</wp:posOffset>
                </wp:positionV>
                <wp:extent cx="995881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8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1326" w14:textId="77777777" w:rsidR="00E160FF" w:rsidRPr="00412299" w:rsidRDefault="00E160FF" w:rsidP="00E160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2299">
                              <w:rPr>
                                <w:sz w:val="18"/>
                                <w:szCs w:val="18"/>
                              </w:rPr>
                              <w:t>Taux de remplissage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B1EFB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5.65pt;margin-top:2.95pt;width:7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" stroked="f">
                <v:textbox style="mso-fit-shape-to-text:t" inset="0,,0">
                  <w:txbxContent>
                    <w:p w14:paraId="44841326" w14:textId="77777777" w:rsidR="00E160FF" w:rsidRPr="00412299" w:rsidRDefault="00E160FF" w:rsidP="00E160FF">
                      <w:pPr>
                        <w:rPr>
                          <w:sz w:val="18"/>
                          <w:szCs w:val="18"/>
                        </w:rPr>
                      </w:pPr>
                      <w:r w:rsidRPr="00412299">
                        <w:rPr>
                          <w:sz w:val="18"/>
                          <w:szCs w:val="18"/>
                        </w:rPr>
                        <w:t>Taux de remplissage</w:t>
                      </w:r>
                    </w:p>
                  </w:txbxContent>
                </v:textbox>
              </v:shape>
            </w:pict>
          </mc:Fallback>
        </mc:AlternateContent>
      </w:r>
      <w:r w:rsidRPr="00593759">
        <w:object w:dxaOrig="2260" w:dyaOrig="639" w14:anchorId="47E8AE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27.7pt" o:ole="" fillcolor="window">
            <v:imagedata r:id="rId9" o:title=""/>
          </v:shape>
          <o:OLEObject Type="Embed" ProgID="Equation.3" ShapeID="_x0000_i1025" DrawAspect="Content" ObjectID="_1713625356" r:id="rId10"/>
        </w:object>
      </w:r>
    </w:p>
    <w:p w14:paraId="6581AE46" w14:textId="77777777" w:rsidR="00E160FF" w:rsidRPr="00593759" w:rsidRDefault="00E160FF" w:rsidP="00E160FF">
      <w:pPr>
        <w:pStyle w:val="SingleTxtG"/>
        <w:spacing w:after="60"/>
        <w:ind w:left="2268" w:hanging="567"/>
        <w:rPr>
          <w:lang w:val="fr-FR"/>
        </w:rPr>
      </w:pPr>
      <w:r w:rsidRPr="00593759">
        <w:rPr>
          <w:lang w:val="fr-FR"/>
        </w:rPr>
        <w:t>TP7</w:t>
      </w:r>
      <w:r w:rsidRPr="00593759">
        <w:rPr>
          <w:lang w:val="fr-FR"/>
        </w:rPr>
        <w:tab/>
        <w:t>L</w:t>
      </w:r>
      <w:r>
        <w:rPr>
          <w:lang w:val="fr-FR"/>
        </w:rPr>
        <w:t>’</w:t>
      </w:r>
      <w:r w:rsidRPr="00593759">
        <w:rPr>
          <w:lang w:val="fr-FR"/>
        </w:rPr>
        <w:t>air doit être éliminé de la phase vapeur à l</w:t>
      </w:r>
      <w:r>
        <w:rPr>
          <w:lang w:val="fr-FR"/>
        </w:rPr>
        <w:t>’</w:t>
      </w:r>
      <w:r w:rsidRPr="00593759">
        <w:rPr>
          <w:lang w:val="fr-FR"/>
        </w:rPr>
        <w:t>aide d</w:t>
      </w:r>
      <w:r>
        <w:rPr>
          <w:lang w:val="fr-FR"/>
        </w:rPr>
        <w:t>’</w:t>
      </w:r>
      <w:r w:rsidRPr="00593759">
        <w:rPr>
          <w:lang w:val="fr-FR"/>
        </w:rPr>
        <w:t>azote ou par d</w:t>
      </w:r>
      <w:r>
        <w:rPr>
          <w:lang w:val="fr-FR"/>
        </w:rPr>
        <w:t>’</w:t>
      </w:r>
      <w:r w:rsidRPr="00593759">
        <w:rPr>
          <w:lang w:val="fr-FR"/>
        </w:rPr>
        <w:t>autres moyens.</w:t>
      </w:r>
    </w:p>
    <w:p w14:paraId="3B079D3B" w14:textId="77777777" w:rsidR="00E160FF" w:rsidRPr="00593759" w:rsidRDefault="00E160FF" w:rsidP="00E160FF">
      <w:pPr>
        <w:pStyle w:val="SingleTxtG"/>
        <w:spacing w:after="60"/>
        <w:ind w:left="2268" w:hanging="567"/>
        <w:rPr>
          <w:lang w:val="fr-FR"/>
        </w:rPr>
      </w:pPr>
      <w:r w:rsidRPr="00593759">
        <w:rPr>
          <w:lang w:val="fr-FR"/>
        </w:rPr>
        <w:t>TP31</w:t>
      </w:r>
      <w:r w:rsidRPr="00593759">
        <w:rPr>
          <w:lang w:val="fr-FR"/>
        </w:rPr>
        <w:tab/>
        <w:t>Cette matière ne peut être transportée en citerne qu</w:t>
      </w:r>
      <w:r>
        <w:rPr>
          <w:lang w:val="fr-FR"/>
        </w:rPr>
        <w:t>’</w:t>
      </w:r>
      <w:r w:rsidRPr="00593759">
        <w:rPr>
          <w:lang w:val="fr-FR"/>
        </w:rPr>
        <w:t>à l</w:t>
      </w:r>
      <w:r>
        <w:rPr>
          <w:lang w:val="fr-FR"/>
        </w:rPr>
        <w:t>’</w:t>
      </w:r>
      <w:r w:rsidRPr="00593759">
        <w:rPr>
          <w:lang w:val="fr-FR"/>
        </w:rPr>
        <w:t>état solide.</w:t>
      </w:r>
    </w:p>
    <w:p w14:paraId="2E27A631" w14:textId="77777777" w:rsidR="00E160FF" w:rsidRPr="00593759" w:rsidRDefault="00E160FF" w:rsidP="00E160FF">
      <w:pPr>
        <w:pStyle w:val="SingleTxtG"/>
        <w:spacing w:after="60"/>
        <w:ind w:left="2268" w:hanging="567"/>
        <w:rPr>
          <w:lang w:val="fr-FR"/>
        </w:rPr>
      </w:pPr>
      <w:r w:rsidRPr="00593759">
        <w:rPr>
          <w:lang w:val="fr-FR"/>
        </w:rPr>
        <w:t>TP33</w:t>
      </w:r>
      <w:r w:rsidRPr="00593759">
        <w:rPr>
          <w:lang w:val="fr-FR"/>
        </w:rPr>
        <w:tab/>
        <w:t>L</w:t>
      </w:r>
      <w:r>
        <w:rPr>
          <w:lang w:val="fr-FR"/>
        </w:rPr>
        <w:t>’</w:t>
      </w:r>
      <w:r w:rsidRPr="00593759">
        <w:rPr>
          <w:lang w:val="fr-FR"/>
        </w:rPr>
        <w:t>instruction de transport en citernes mobiles attribuée à cette matière s</w:t>
      </w:r>
      <w:r>
        <w:rPr>
          <w:lang w:val="fr-FR"/>
        </w:rPr>
        <w:t>’</w:t>
      </w:r>
      <w:r w:rsidRPr="00593759">
        <w:rPr>
          <w:lang w:val="fr-FR"/>
        </w:rPr>
        <w:t>applique aux matières solides granuleuses ou pulvérulentes et aux matières solides qui sont chargées et déchargées à des températures supérieures à leur point de fusion, puis sont réfrigérées et transportées comme une masse solide. En ce qui concerne les matières solides qui sont transportées à des températures supérieures à leur point de fusion, voir la sous-section 4.2.1.19.</w:t>
      </w:r>
    </w:p>
    <w:p w14:paraId="421F83C3" w14:textId="50D3B4FC" w:rsidR="00E160FF" w:rsidRPr="00593759" w:rsidRDefault="00E160FF" w:rsidP="00D31B08">
      <w:pPr>
        <w:pStyle w:val="H1G"/>
        <w:rPr>
          <w:lang w:val="fr-FR"/>
        </w:rPr>
      </w:pPr>
      <w:r>
        <w:rPr>
          <w:lang w:val="fr-FR"/>
        </w:rPr>
        <w:tab/>
      </w:r>
      <w:r w:rsidRPr="00593759">
        <w:rPr>
          <w:lang w:val="fr-FR"/>
        </w:rPr>
        <w:t>B.</w:t>
      </w:r>
      <w:r w:rsidRPr="00593759">
        <w:rPr>
          <w:lang w:val="fr-FR"/>
        </w:rPr>
        <w:tab/>
        <w:t xml:space="preserve">No ONU 1381 (PHOSPHORE BLANC ou JAUNE, SEC </w:t>
      </w:r>
      <w:r w:rsidR="00D31B08">
        <w:rPr>
          <w:lang w:val="fr-FR"/>
        </w:rPr>
        <w:br/>
      </w:r>
      <w:r w:rsidRPr="00593759">
        <w:rPr>
          <w:lang w:val="fr-FR"/>
        </w:rPr>
        <w:t>ou RECOUVERT D</w:t>
      </w:r>
      <w:r>
        <w:rPr>
          <w:lang w:val="fr-FR"/>
        </w:rPr>
        <w:t>’</w:t>
      </w:r>
      <w:r w:rsidRPr="00593759">
        <w:rPr>
          <w:lang w:val="fr-FR"/>
        </w:rPr>
        <w:t>EAU ou EN SOLUTION)</w:t>
      </w:r>
    </w:p>
    <w:p w14:paraId="4E0EA123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14.</w:t>
      </w:r>
      <w:r w:rsidRPr="00593759">
        <w:rPr>
          <w:lang w:val="fr-FR"/>
        </w:rPr>
        <w:tab/>
        <w:t>Les dispositions spéciales TP3 et TP31 sont attribuées au No ONU 1381. La situation est analogue à celle décrite pour le No ONU 1422 : à l</w:t>
      </w:r>
      <w:r>
        <w:rPr>
          <w:lang w:val="fr-FR"/>
        </w:rPr>
        <w:t>’</w:t>
      </w:r>
      <w:r w:rsidRPr="00593759">
        <w:rPr>
          <w:lang w:val="fr-FR"/>
        </w:rPr>
        <w:t xml:space="preserve">origine, seul le code TP3 lui était attribué, puis le code TP31 a été ajouté en même temps que pour le No ONU 1422. Toutefois, dans </w:t>
      </w:r>
      <w:r>
        <w:rPr>
          <w:lang w:val="fr-FR"/>
        </w:rPr>
        <w:t>le</w:t>
      </w:r>
      <w:r w:rsidRPr="00593759">
        <w:rPr>
          <w:lang w:val="fr-FR"/>
        </w:rPr>
        <w:t xml:space="preserve"> cas</w:t>
      </w:r>
      <w:r>
        <w:rPr>
          <w:lang w:val="fr-FR"/>
        </w:rPr>
        <w:t xml:space="preserve"> du No ONU 1381</w:t>
      </w:r>
      <w:r w:rsidRPr="00593759">
        <w:rPr>
          <w:lang w:val="fr-FR"/>
        </w:rPr>
        <w:t>, il était évident depuis le début que ce numéro ONU pouvait être utilisé pour les deux formes, à l</w:t>
      </w:r>
      <w:r>
        <w:rPr>
          <w:lang w:val="fr-FR"/>
        </w:rPr>
        <w:t>’</w:t>
      </w:r>
      <w:r w:rsidRPr="00593759">
        <w:rPr>
          <w:lang w:val="fr-FR"/>
        </w:rPr>
        <w:t>état solide et liquide, et il n</w:t>
      </w:r>
      <w:r>
        <w:rPr>
          <w:lang w:val="fr-FR"/>
        </w:rPr>
        <w:t>’</w:t>
      </w:r>
      <w:r w:rsidRPr="00593759">
        <w:rPr>
          <w:lang w:val="fr-FR"/>
        </w:rPr>
        <w:t>a jamais été séparé en deux rubriques, contrairement au No ONU 1422.</w:t>
      </w:r>
    </w:p>
    <w:p w14:paraId="224898A1" w14:textId="77777777" w:rsidR="00E160FF" w:rsidRPr="004C6096" w:rsidRDefault="00E160FF" w:rsidP="00D31B08">
      <w:pPr>
        <w:pStyle w:val="HChG"/>
        <w:rPr>
          <w:lang w:val="fr-FR"/>
        </w:rPr>
      </w:pPr>
      <w:r>
        <w:rPr>
          <w:lang w:val="fr-FR"/>
        </w:rPr>
        <w:tab/>
      </w:r>
      <w:r w:rsidRPr="004C6096">
        <w:rPr>
          <w:lang w:val="fr-FR"/>
        </w:rPr>
        <w:t>VI.</w:t>
      </w:r>
      <w:r w:rsidRPr="004C6096">
        <w:rPr>
          <w:lang w:val="fr-FR"/>
        </w:rPr>
        <w:tab/>
        <w:t>Instructions de transport en citernes mobiles inutilisées</w:t>
      </w:r>
    </w:p>
    <w:p w14:paraId="561414F4" w14:textId="77777777" w:rsidR="00E160FF" w:rsidRPr="00593759" w:rsidRDefault="00E160FF" w:rsidP="00E160FF">
      <w:pPr>
        <w:pStyle w:val="SingleTxtG"/>
        <w:rPr>
          <w:lang w:val="fr-FR"/>
        </w:rPr>
      </w:pPr>
      <w:r w:rsidRPr="00593759">
        <w:rPr>
          <w:lang w:val="fr-FR"/>
        </w:rPr>
        <w:t>15.</w:t>
      </w:r>
      <w:r w:rsidRPr="00593759">
        <w:rPr>
          <w:lang w:val="fr-FR"/>
        </w:rPr>
        <w:tab/>
      </w:r>
      <w:r>
        <w:rPr>
          <w:lang w:val="fr-FR"/>
        </w:rPr>
        <w:t>Comme le montre le</w:t>
      </w:r>
      <w:r w:rsidRPr="00593759">
        <w:rPr>
          <w:lang w:val="fr-FR"/>
        </w:rPr>
        <w:t xml:space="preserve"> tableau 1 ci-dessus</w:t>
      </w:r>
      <w:r>
        <w:rPr>
          <w:lang w:val="fr-FR"/>
        </w:rPr>
        <w:t>,</w:t>
      </w:r>
      <w:r w:rsidRPr="00593759">
        <w:rPr>
          <w:lang w:val="fr-FR"/>
        </w:rPr>
        <w:t xml:space="preserve"> certaines instructions de transport en citernes mobiles ne sont pas utilisées actuellement. Le secrétariat souhaite demander des précisions au Sous-Comité afin de déterminer si ces instructions de transport devraient rester dans le Règlement type et, dans l</w:t>
      </w:r>
      <w:r>
        <w:rPr>
          <w:lang w:val="fr-FR"/>
        </w:rPr>
        <w:t>’</w:t>
      </w:r>
      <w:r w:rsidRPr="00593759">
        <w:rPr>
          <w:lang w:val="fr-FR"/>
        </w:rPr>
        <w:t>affirmative, s</w:t>
      </w:r>
      <w:r>
        <w:rPr>
          <w:lang w:val="fr-FR"/>
        </w:rPr>
        <w:t>’</w:t>
      </w:r>
      <w:r w:rsidRPr="00593759">
        <w:rPr>
          <w:lang w:val="fr-FR"/>
        </w:rPr>
        <w:t>il serait utile d</w:t>
      </w:r>
      <w:r>
        <w:rPr>
          <w:lang w:val="fr-FR"/>
        </w:rPr>
        <w:t>’</w:t>
      </w:r>
      <w:r w:rsidRPr="00593759">
        <w:rPr>
          <w:lang w:val="fr-FR"/>
        </w:rPr>
        <w:t>ajouter des explications dans les principes directeurs.</w:t>
      </w:r>
    </w:p>
    <w:p w14:paraId="5B74C4E2" w14:textId="77777777" w:rsidR="00E160FF" w:rsidRPr="00593759" w:rsidRDefault="00E160FF" w:rsidP="00E160FF">
      <w:pPr>
        <w:spacing w:before="240"/>
        <w:jc w:val="center"/>
        <w:rPr>
          <w:u w:val="single"/>
          <w:lang w:val="fr-FR"/>
        </w:rPr>
      </w:pPr>
      <w:r w:rsidRPr="00593759">
        <w:rPr>
          <w:u w:val="single"/>
          <w:lang w:val="fr-FR"/>
        </w:rPr>
        <w:tab/>
      </w:r>
      <w:r w:rsidRPr="00593759">
        <w:rPr>
          <w:u w:val="single"/>
          <w:lang w:val="fr-FR"/>
        </w:rPr>
        <w:tab/>
      </w:r>
      <w:r w:rsidRPr="00593759">
        <w:rPr>
          <w:u w:val="single"/>
          <w:lang w:val="fr-FR"/>
        </w:rPr>
        <w:tab/>
      </w:r>
    </w:p>
    <w:p w14:paraId="22B9E870" w14:textId="77777777" w:rsidR="00446FE5" w:rsidRPr="00AC3823" w:rsidRDefault="00446FE5" w:rsidP="00E160FF">
      <w:pPr>
        <w:spacing w:before="120"/>
      </w:pPr>
    </w:p>
    <w:sectPr w:rsidR="00446FE5" w:rsidRPr="00AC3823" w:rsidSect="00E160F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4E7D2" w14:textId="77777777" w:rsidR="00D31784" w:rsidRDefault="00D31784" w:rsidP="00F95C08">
      <w:pPr>
        <w:spacing w:line="240" w:lineRule="auto"/>
      </w:pPr>
    </w:p>
  </w:endnote>
  <w:endnote w:type="continuationSeparator" w:id="0">
    <w:p w14:paraId="3BE87574" w14:textId="77777777" w:rsidR="00D31784" w:rsidRPr="00AC3823" w:rsidRDefault="00D31784" w:rsidP="00AC3823">
      <w:pPr>
        <w:pStyle w:val="Footer"/>
      </w:pPr>
    </w:p>
  </w:endnote>
  <w:endnote w:type="continuationNotice" w:id="1">
    <w:p w14:paraId="6683E774" w14:textId="77777777" w:rsidR="00D31784" w:rsidRDefault="00D317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4F929" w14:textId="0BD47927" w:rsidR="00E160FF" w:rsidRPr="00E160FF" w:rsidRDefault="00E160FF" w:rsidP="00E160FF">
    <w:pPr>
      <w:pStyle w:val="Footer"/>
      <w:tabs>
        <w:tab w:val="right" w:pos="9638"/>
      </w:tabs>
    </w:pPr>
    <w:r w:rsidRPr="00E160FF">
      <w:rPr>
        <w:b/>
        <w:sz w:val="18"/>
      </w:rPr>
      <w:fldChar w:fldCharType="begin"/>
    </w:r>
    <w:r w:rsidRPr="00E160FF">
      <w:rPr>
        <w:b/>
        <w:sz w:val="18"/>
      </w:rPr>
      <w:instrText xml:space="preserve"> PAGE  \* MERGEFORMAT </w:instrText>
    </w:r>
    <w:r w:rsidRPr="00E160FF">
      <w:rPr>
        <w:b/>
        <w:sz w:val="18"/>
      </w:rPr>
      <w:fldChar w:fldCharType="separate"/>
    </w:r>
    <w:r w:rsidRPr="00E160FF">
      <w:rPr>
        <w:b/>
        <w:noProof/>
        <w:sz w:val="18"/>
      </w:rPr>
      <w:t>2</w:t>
    </w:r>
    <w:r w:rsidRPr="00E160FF">
      <w:rPr>
        <w:b/>
        <w:sz w:val="18"/>
      </w:rPr>
      <w:fldChar w:fldCharType="end"/>
    </w:r>
    <w:r>
      <w:rPr>
        <w:b/>
        <w:sz w:val="18"/>
      </w:rPr>
      <w:tab/>
    </w:r>
    <w:r>
      <w:t>GE.22-05276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4AAB" w14:textId="48EF88FF" w:rsidR="00E160FF" w:rsidRPr="00E160FF" w:rsidRDefault="00E160FF" w:rsidP="00E160FF">
    <w:pPr>
      <w:pStyle w:val="Footer"/>
      <w:tabs>
        <w:tab w:val="right" w:pos="9638"/>
      </w:tabs>
      <w:rPr>
        <w:b/>
        <w:sz w:val="18"/>
      </w:rPr>
    </w:pPr>
    <w:r>
      <w:t>GE.22-05276</w:t>
    </w:r>
    <w:r>
      <w:tab/>
    </w:r>
    <w:r w:rsidRPr="00E160FF">
      <w:rPr>
        <w:b/>
        <w:sz w:val="18"/>
      </w:rPr>
      <w:fldChar w:fldCharType="begin"/>
    </w:r>
    <w:r w:rsidRPr="00E160FF">
      <w:rPr>
        <w:b/>
        <w:sz w:val="18"/>
      </w:rPr>
      <w:instrText xml:space="preserve"> PAGE  \* MERGEFORMAT </w:instrText>
    </w:r>
    <w:r w:rsidRPr="00E160FF">
      <w:rPr>
        <w:b/>
        <w:sz w:val="18"/>
      </w:rPr>
      <w:fldChar w:fldCharType="separate"/>
    </w:r>
    <w:r w:rsidRPr="00E160FF">
      <w:rPr>
        <w:b/>
        <w:noProof/>
        <w:sz w:val="18"/>
      </w:rPr>
      <w:t>3</w:t>
    </w:r>
    <w:r w:rsidRPr="00E160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02EB" w14:textId="6FE81CC6" w:rsidR="0068456F" w:rsidRPr="00E160FF" w:rsidRDefault="00E160FF" w:rsidP="00E160FF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0CBD7B5" wp14:editId="26A05E2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22-05276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39141BC" wp14:editId="56FB6F6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090522    090522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BBE6" w14:textId="77777777" w:rsidR="00D31784" w:rsidRPr="00AC3823" w:rsidRDefault="00D317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AC85FFD" w14:textId="77777777" w:rsidR="00D31784" w:rsidRPr="00AC3823" w:rsidRDefault="00D3178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90B2790" w14:textId="77777777" w:rsidR="00D31784" w:rsidRPr="00AC3823" w:rsidRDefault="00D31784">
      <w:pPr>
        <w:spacing w:line="240" w:lineRule="auto"/>
        <w:rPr>
          <w:sz w:val="2"/>
          <w:szCs w:val="2"/>
        </w:rPr>
      </w:pPr>
    </w:p>
  </w:footnote>
  <w:footnote w:id="2">
    <w:p w14:paraId="354768A1" w14:textId="77777777" w:rsidR="00E160FF" w:rsidRPr="003D40C2" w:rsidRDefault="00E160FF" w:rsidP="00E160FF">
      <w:pPr>
        <w:pStyle w:val="FootnoteText"/>
        <w:rPr>
          <w:lang w:val="fr-FR"/>
        </w:rPr>
      </w:pPr>
      <w:r>
        <w:rPr>
          <w:lang w:val="fr-FR"/>
        </w:rPr>
        <w:tab/>
      </w:r>
      <w:r w:rsidRPr="00E160FF">
        <w:rPr>
          <w:sz w:val="20"/>
          <w:lang w:val="fr-FR"/>
        </w:rPr>
        <w:t>*</w:t>
      </w:r>
      <w:r>
        <w:rPr>
          <w:lang w:val="fr-FR"/>
        </w:rPr>
        <w:tab/>
        <w:t>A/</w:t>
      </w:r>
      <w:r w:rsidRPr="00E160FF">
        <w:t>75</w:t>
      </w:r>
      <w:r>
        <w:rPr>
          <w:lang w:val="fr-FR"/>
        </w:rPr>
        <w:t>/6 (Sect. 20), par. 20.51.</w:t>
      </w:r>
    </w:p>
  </w:footnote>
  <w:footnote w:id="3">
    <w:p w14:paraId="0F85C973" w14:textId="77777777" w:rsidR="00E160FF" w:rsidRPr="00593759" w:rsidRDefault="00E160FF" w:rsidP="00E160FF">
      <w:pPr>
        <w:pStyle w:val="FootnoteText"/>
        <w:widowControl w:val="0"/>
        <w:tabs>
          <w:tab w:val="clear" w:pos="1021"/>
          <w:tab w:val="right" w:pos="1020"/>
        </w:tabs>
        <w:rPr>
          <w:lang w:val="fr-FR"/>
        </w:rPr>
      </w:pPr>
      <w:r>
        <w:rPr>
          <w:lang w:val="fr-FR"/>
        </w:rPr>
        <w:tab/>
      </w:r>
      <w:r>
        <w:rPr>
          <w:rStyle w:val="FootnoteReference"/>
          <w:lang w:val="fr-FR"/>
        </w:rPr>
        <w:footnoteRef/>
      </w:r>
      <w:r>
        <w:rPr>
          <w:lang w:val="fr-FR"/>
        </w:rPr>
        <w:tab/>
        <w:t>Le code TP1 n’est attribué qu’à deux rubriques de la classe 1, à savoir les Nos ONU 0331 et 0332.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34B0" w14:textId="477928FC" w:rsidR="00E160FF" w:rsidRPr="00E160FF" w:rsidRDefault="00B674E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9DB7" w14:textId="68443AD5" w:rsidR="00E160FF" w:rsidRPr="00E160FF" w:rsidRDefault="00B674E5" w:rsidP="00E160F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ST/SG/AC.10/C.3/2022/39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1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17"/>
  </w:num>
  <w:num w:numId="21">
    <w:abstractNumId w:val="18"/>
  </w:num>
  <w:num w:numId="22">
    <w:abstractNumId w:val="21"/>
  </w:num>
  <w:num w:numId="23">
    <w:abstractNumId w:val="13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84"/>
    <w:rsid w:val="00017F94"/>
    <w:rsid w:val="00023842"/>
    <w:rsid w:val="000305D3"/>
    <w:rsid w:val="000334F9"/>
    <w:rsid w:val="0007796D"/>
    <w:rsid w:val="000B7790"/>
    <w:rsid w:val="000D2B65"/>
    <w:rsid w:val="00111F2F"/>
    <w:rsid w:val="00132EA9"/>
    <w:rsid w:val="0014365E"/>
    <w:rsid w:val="00172E49"/>
    <w:rsid w:val="00176178"/>
    <w:rsid w:val="001F525A"/>
    <w:rsid w:val="00223272"/>
    <w:rsid w:val="0024779E"/>
    <w:rsid w:val="00283190"/>
    <w:rsid w:val="002832AC"/>
    <w:rsid w:val="002D7C93"/>
    <w:rsid w:val="00384309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123E0"/>
    <w:rsid w:val="00871C75"/>
    <w:rsid w:val="008776DC"/>
    <w:rsid w:val="008B40CD"/>
    <w:rsid w:val="00913F7C"/>
    <w:rsid w:val="009705C8"/>
    <w:rsid w:val="009C1CF4"/>
    <w:rsid w:val="00A30353"/>
    <w:rsid w:val="00A81281"/>
    <w:rsid w:val="00AC3823"/>
    <w:rsid w:val="00AE03DC"/>
    <w:rsid w:val="00AE323C"/>
    <w:rsid w:val="00B00181"/>
    <w:rsid w:val="00B00B0D"/>
    <w:rsid w:val="00B674E5"/>
    <w:rsid w:val="00B765F7"/>
    <w:rsid w:val="00BA0CA9"/>
    <w:rsid w:val="00C02897"/>
    <w:rsid w:val="00D31784"/>
    <w:rsid w:val="00D31B08"/>
    <w:rsid w:val="00D3439C"/>
    <w:rsid w:val="00DB1831"/>
    <w:rsid w:val="00DD3BFD"/>
    <w:rsid w:val="00DF6678"/>
    <w:rsid w:val="00E160FF"/>
    <w:rsid w:val="00EA4C5F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84F85D"/>
  <w15:docId w15:val="{BE09186A-8169-4271-BDDC-CE2048C9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584DC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uiPriority w:val="99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numbering" w:styleId="111111">
    <w:name w:val="Outline List 2"/>
    <w:basedOn w:val="NoList"/>
    <w:semiHidden/>
    <w:rsid w:val="00E160FF"/>
    <w:pPr>
      <w:numPr>
        <w:numId w:val="21"/>
      </w:numPr>
    </w:pPr>
  </w:style>
  <w:style w:type="numbering" w:styleId="1ai">
    <w:name w:val="Outline List 1"/>
    <w:basedOn w:val="NoList"/>
    <w:semiHidden/>
    <w:rsid w:val="00E160FF"/>
    <w:pPr>
      <w:numPr>
        <w:numId w:val="2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E1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60FF"/>
    <w:pPr>
      <w:suppressAutoHyphens w:val="0"/>
      <w:kinsoku/>
      <w:overflowPunct/>
      <w:autoSpaceDE/>
      <w:autoSpaceDN/>
      <w:adjustRightInd/>
      <w:snapToGrid/>
      <w:spacing w:line="240" w:lineRule="auto"/>
    </w:pPr>
    <w:rPr>
      <w:rFonts w:eastAsia="Times New Roman"/>
      <w:sz w:val="24"/>
      <w:szCs w:val="24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60FF"/>
    <w:rPr>
      <w:rFonts w:ascii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0FF"/>
    <w:rPr>
      <w:rFonts w:ascii="Times New Roman" w:hAnsi="Times New Roman" w:cs="Times New Roma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160FF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88375-3B28-4055-9379-D62ED63EF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818B5-2710-4FBE-B471-5A0F0B4680FD}"/>
</file>

<file path=customXml/itemProps3.xml><?xml version="1.0" encoding="utf-8"?>
<ds:datastoreItem xmlns:ds="http://schemas.openxmlformats.org/officeDocument/2006/customXml" ds:itemID="{21B3D0A2-2BDB-4665-AC94-5773B54D1807}"/>
</file>

<file path=customXml/itemProps4.xml><?xml version="1.0" encoding="utf-8"?>
<ds:datastoreItem xmlns:ds="http://schemas.openxmlformats.org/officeDocument/2006/customXml" ds:itemID="{ABB396F9-5866-4647-8FFA-044B945D4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ST/SG/AC.10/C.3/2022/39</vt:lpstr>
    </vt:vector>
  </TitlesOfParts>
  <Company>DCM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ST/SG/AC.10/C.3/2022/39</dc:title>
  <dc:subject/>
  <dc:creator>Sandrine CLERE</dc:creator>
  <cp:keywords/>
  <cp:lastModifiedBy>Laurence Berthet</cp:lastModifiedBy>
  <cp:revision>3</cp:revision>
  <cp:lastPrinted>2022-05-09T16:16:00Z</cp:lastPrinted>
  <dcterms:created xsi:type="dcterms:W3CDTF">2022-05-09T16:16:00Z</dcterms:created>
  <dcterms:modified xsi:type="dcterms:W3CDTF">2022-05-09T16:16:00Z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