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705A8D8C" w14:textId="77777777" w:rsidTr="00F01738">
        <w:trPr>
          <w:trHeight w:hRule="exact" w:val="851"/>
        </w:trPr>
        <w:tc>
          <w:tcPr>
            <w:tcW w:w="1276" w:type="dxa"/>
            <w:tcBorders>
              <w:bottom w:val="single" w:sz="4" w:space="0" w:color="auto"/>
            </w:tcBorders>
          </w:tcPr>
          <w:p w14:paraId="7BB0A072" w14:textId="77777777" w:rsidR="00132EA9" w:rsidRPr="00DB58B5" w:rsidRDefault="00132EA9" w:rsidP="00395DA4"/>
        </w:tc>
        <w:tc>
          <w:tcPr>
            <w:tcW w:w="2268" w:type="dxa"/>
            <w:tcBorders>
              <w:bottom w:val="single" w:sz="4" w:space="0" w:color="auto"/>
            </w:tcBorders>
            <w:vAlign w:val="bottom"/>
          </w:tcPr>
          <w:p w14:paraId="4208346B"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FCFC237" w14:textId="75313CF3" w:rsidR="00132EA9" w:rsidRPr="00DB58B5" w:rsidRDefault="00395DA4" w:rsidP="00395DA4">
            <w:pPr>
              <w:jc w:val="right"/>
            </w:pPr>
            <w:r w:rsidRPr="00395DA4">
              <w:rPr>
                <w:sz w:val="40"/>
              </w:rPr>
              <w:t>ST</w:t>
            </w:r>
            <w:r>
              <w:t>/SG/AC.10/C.3/2022/25</w:t>
            </w:r>
          </w:p>
        </w:tc>
      </w:tr>
      <w:tr w:rsidR="00132EA9" w:rsidRPr="00DB58B5" w14:paraId="12A74F01" w14:textId="77777777" w:rsidTr="00F01738">
        <w:trPr>
          <w:trHeight w:hRule="exact" w:val="2835"/>
        </w:trPr>
        <w:tc>
          <w:tcPr>
            <w:tcW w:w="1276" w:type="dxa"/>
            <w:tcBorders>
              <w:top w:val="single" w:sz="4" w:space="0" w:color="auto"/>
              <w:bottom w:val="single" w:sz="12" w:space="0" w:color="auto"/>
            </w:tcBorders>
          </w:tcPr>
          <w:p w14:paraId="5CF51E55" w14:textId="77777777" w:rsidR="00132EA9" w:rsidRPr="00DB58B5" w:rsidRDefault="00132EA9" w:rsidP="00F01738">
            <w:pPr>
              <w:spacing w:before="120"/>
              <w:jc w:val="center"/>
            </w:pPr>
            <w:r>
              <w:rPr>
                <w:noProof/>
                <w:lang w:eastAsia="fr-CH"/>
              </w:rPr>
              <w:drawing>
                <wp:inline distT="0" distB="0" distL="0" distR="0" wp14:anchorId="7441F451" wp14:editId="2146B3E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2998110"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7F750061" w14:textId="77777777" w:rsidR="00132EA9" w:rsidRDefault="00395DA4" w:rsidP="00F01738">
            <w:pPr>
              <w:spacing w:before="240"/>
            </w:pPr>
            <w:r>
              <w:t xml:space="preserve">Distr. </w:t>
            </w:r>
            <w:proofErr w:type="gramStart"/>
            <w:r>
              <w:t>générale</w:t>
            </w:r>
            <w:proofErr w:type="gramEnd"/>
          </w:p>
          <w:p w14:paraId="47FBF9BC" w14:textId="77777777" w:rsidR="00395DA4" w:rsidRDefault="00395DA4" w:rsidP="00395DA4">
            <w:pPr>
              <w:spacing w:line="240" w:lineRule="exact"/>
            </w:pPr>
            <w:r>
              <w:t>7 avril 2022</w:t>
            </w:r>
          </w:p>
          <w:p w14:paraId="4539FFC9" w14:textId="77777777" w:rsidR="00395DA4" w:rsidRDefault="00395DA4" w:rsidP="00395DA4">
            <w:pPr>
              <w:spacing w:line="240" w:lineRule="exact"/>
            </w:pPr>
            <w:r>
              <w:t>Français</w:t>
            </w:r>
          </w:p>
          <w:p w14:paraId="15F92905" w14:textId="462706F3" w:rsidR="00395DA4" w:rsidRPr="00DB58B5" w:rsidRDefault="00395DA4" w:rsidP="00395DA4">
            <w:pPr>
              <w:spacing w:line="240" w:lineRule="exact"/>
            </w:pPr>
            <w:r>
              <w:t>Original : anglais</w:t>
            </w:r>
          </w:p>
        </w:tc>
      </w:tr>
    </w:tbl>
    <w:p w14:paraId="0E625CE1" w14:textId="3CDE4A15" w:rsidR="00510591" w:rsidRPr="00880CEE" w:rsidRDefault="00510591" w:rsidP="00880CEE">
      <w:pPr>
        <w:spacing w:before="120"/>
        <w:rPr>
          <w:b/>
          <w:bCs/>
          <w:sz w:val="24"/>
          <w:szCs w:val="24"/>
          <w:lang w:val="fr-FR"/>
        </w:rPr>
      </w:pPr>
      <w:r w:rsidRPr="00880CEE">
        <w:rPr>
          <w:b/>
          <w:bCs/>
          <w:sz w:val="24"/>
          <w:szCs w:val="24"/>
          <w:lang w:val="fr-FR"/>
        </w:rPr>
        <w:t xml:space="preserve">Comité d’experts du transport des marchandises dangereuses </w:t>
      </w:r>
      <w:r w:rsidR="00880CEE">
        <w:rPr>
          <w:b/>
          <w:bCs/>
          <w:sz w:val="24"/>
          <w:szCs w:val="24"/>
          <w:lang w:val="fr-FR"/>
        </w:rPr>
        <w:br/>
      </w:r>
      <w:proofErr w:type="gramStart"/>
      <w:r w:rsidRPr="00880CEE">
        <w:rPr>
          <w:b/>
          <w:bCs/>
          <w:sz w:val="24"/>
          <w:szCs w:val="24"/>
          <w:lang w:val="fr-FR"/>
        </w:rPr>
        <w:t>et</w:t>
      </w:r>
      <w:proofErr w:type="gramEnd"/>
      <w:r w:rsidRPr="00880CEE">
        <w:rPr>
          <w:b/>
          <w:bCs/>
          <w:sz w:val="24"/>
          <w:szCs w:val="24"/>
          <w:lang w:val="fr-FR"/>
        </w:rPr>
        <w:t xml:space="preserve"> du Système général harmonisé de classification </w:t>
      </w:r>
      <w:r w:rsidR="00880CEE">
        <w:rPr>
          <w:b/>
          <w:bCs/>
          <w:sz w:val="24"/>
          <w:szCs w:val="24"/>
          <w:lang w:val="fr-FR"/>
        </w:rPr>
        <w:br/>
      </w:r>
      <w:r w:rsidRPr="00880CEE">
        <w:rPr>
          <w:b/>
          <w:bCs/>
          <w:sz w:val="24"/>
          <w:szCs w:val="24"/>
          <w:lang w:val="fr-FR"/>
        </w:rPr>
        <w:t>et d’étiquetage des produits chimiques</w:t>
      </w:r>
    </w:p>
    <w:p w14:paraId="6E91D903" w14:textId="77777777" w:rsidR="00510591" w:rsidRPr="00880CEE" w:rsidRDefault="00510591" w:rsidP="00880CEE">
      <w:pPr>
        <w:spacing w:before="120"/>
        <w:rPr>
          <w:rFonts w:ascii="Helv" w:hAnsi="Helv" w:cs="Helv"/>
          <w:b/>
          <w:bCs/>
          <w:color w:val="000000"/>
          <w:lang w:val="fr-FR"/>
        </w:rPr>
      </w:pPr>
      <w:r w:rsidRPr="00880CEE">
        <w:rPr>
          <w:b/>
          <w:bCs/>
          <w:lang w:val="fr-FR"/>
        </w:rPr>
        <w:t>Sous-Comité d’experts du transport des marchandises dangereuses</w:t>
      </w:r>
    </w:p>
    <w:p w14:paraId="6C3F278C" w14:textId="77777777" w:rsidR="00510591" w:rsidRPr="00880CEE" w:rsidRDefault="00510591" w:rsidP="00880CEE">
      <w:pPr>
        <w:spacing w:before="120"/>
        <w:rPr>
          <w:b/>
          <w:bCs/>
          <w:lang w:val="fr-FR"/>
        </w:rPr>
      </w:pPr>
      <w:r w:rsidRPr="00880CEE">
        <w:rPr>
          <w:b/>
          <w:bCs/>
          <w:lang w:val="fr-FR"/>
        </w:rPr>
        <w:t>Soixantième session</w:t>
      </w:r>
    </w:p>
    <w:p w14:paraId="4DDD0F95" w14:textId="77777777" w:rsidR="00510591" w:rsidRPr="00880CEE" w:rsidRDefault="00510591" w:rsidP="00510591">
      <w:pPr>
        <w:rPr>
          <w:lang w:val="fr-FR"/>
        </w:rPr>
      </w:pPr>
      <w:r w:rsidRPr="00880CEE">
        <w:rPr>
          <w:lang w:val="fr-FR"/>
        </w:rPr>
        <w:t>Genève, 27 juin-6 juillet 2022</w:t>
      </w:r>
    </w:p>
    <w:p w14:paraId="34ABAC5C" w14:textId="77777777" w:rsidR="00510591" w:rsidRPr="00880CEE" w:rsidRDefault="00510591" w:rsidP="00510591">
      <w:pPr>
        <w:rPr>
          <w:lang w:val="fr-FR"/>
        </w:rPr>
      </w:pPr>
      <w:r w:rsidRPr="00880CEE">
        <w:rPr>
          <w:lang w:val="fr-FR"/>
        </w:rPr>
        <w:t>Point 3 de l’ordre du jour provisoire</w:t>
      </w:r>
    </w:p>
    <w:p w14:paraId="3900081C" w14:textId="77777777" w:rsidR="00510591" w:rsidRPr="00880CEE" w:rsidRDefault="00510591" w:rsidP="00510591">
      <w:pPr>
        <w:rPr>
          <w:b/>
          <w:bCs/>
          <w:lang w:val="fr-FR"/>
        </w:rPr>
      </w:pPr>
      <w:r w:rsidRPr="00880CEE">
        <w:rPr>
          <w:b/>
          <w:bCs/>
          <w:lang w:val="fr-FR"/>
        </w:rPr>
        <w:t>Inscription, classement et emballage</w:t>
      </w:r>
    </w:p>
    <w:p w14:paraId="5143E6F9" w14:textId="6DF04475" w:rsidR="00510591" w:rsidRPr="00131031" w:rsidRDefault="00510591" w:rsidP="00880CEE">
      <w:pPr>
        <w:pStyle w:val="HChG"/>
        <w:rPr>
          <w:lang w:val="fr-FR"/>
        </w:rPr>
      </w:pPr>
      <w:r w:rsidRPr="00131031">
        <w:rPr>
          <w:lang w:val="fr-FR"/>
        </w:rPr>
        <w:tab/>
      </w:r>
      <w:r w:rsidRPr="00131031">
        <w:rPr>
          <w:lang w:val="fr-FR"/>
        </w:rPr>
        <w:tab/>
        <w:t>Dispositifs d</w:t>
      </w:r>
      <w:r>
        <w:rPr>
          <w:lang w:val="fr-FR"/>
        </w:rPr>
        <w:t>’</w:t>
      </w:r>
      <w:r w:rsidRPr="00131031">
        <w:rPr>
          <w:lang w:val="fr-FR"/>
        </w:rPr>
        <w:t xml:space="preserve">extinction de feu contenant </w:t>
      </w:r>
      <w:r w:rsidR="00880CEE">
        <w:rPr>
          <w:lang w:val="fr-FR"/>
        </w:rPr>
        <w:br/>
      </w:r>
      <w:r w:rsidRPr="00131031">
        <w:rPr>
          <w:lang w:val="fr-FR"/>
        </w:rPr>
        <w:t>une matière pyrotechnique</w:t>
      </w:r>
    </w:p>
    <w:p w14:paraId="3500BF44" w14:textId="77777777" w:rsidR="00510591" w:rsidRPr="00131031" w:rsidRDefault="00510591" w:rsidP="00880CEE">
      <w:pPr>
        <w:pStyle w:val="H1G"/>
        <w:rPr>
          <w:lang w:val="fr-FR"/>
        </w:rPr>
      </w:pPr>
      <w:r w:rsidRPr="00131031">
        <w:rPr>
          <w:lang w:val="fr-FR"/>
        </w:rPr>
        <w:tab/>
      </w:r>
      <w:r w:rsidRPr="00131031">
        <w:rPr>
          <w:lang w:val="fr-FR"/>
        </w:rPr>
        <w:tab/>
        <w:t>Communication du Council on Safe Transportation of Hazardous Articles (COSTHA)</w:t>
      </w:r>
      <w:r w:rsidRPr="00880CEE">
        <w:rPr>
          <w:rStyle w:val="FootnoteReference"/>
          <w:b w:val="0"/>
          <w:bCs/>
        </w:rPr>
        <w:footnoteReference w:id="2"/>
      </w:r>
    </w:p>
    <w:p w14:paraId="78B66140" w14:textId="77777777" w:rsidR="00510591" w:rsidRPr="00131031" w:rsidRDefault="00510591" w:rsidP="00880CEE">
      <w:pPr>
        <w:pStyle w:val="HChG"/>
        <w:rPr>
          <w:lang w:val="fr-FR"/>
        </w:rPr>
      </w:pPr>
      <w:r w:rsidRPr="00131031">
        <w:rPr>
          <w:lang w:val="fr-FR"/>
        </w:rPr>
        <w:tab/>
      </w:r>
      <w:r w:rsidRPr="00131031">
        <w:rPr>
          <w:lang w:val="fr-FR"/>
        </w:rPr>
        <w:tab/>
        <w:t>Introduction</w:t>
      </w:r>
    </w:p>
    <w:p w14:paraId="07BDD462" w14:textId="77777777" w:rsidR="00510591" w:rsidRPr="00131031" w:rsidRDefault="00510591" w:rsidP="00880CEE">
      <w:pPr>
        <w:pStyle w:val="SingleTxtG"/>
        <w:rPr>
          <w:lang w:val="fr-FR"/>
        </w:rPr>
      </w:pPr>
      <w:r w:rsidRPr="00131031">
        <w:rPr>
          <w:lang w:val="fr-FR"/>
        </w:rPr>
        <w:t>1.</w:t>
      </w:r>
      <w:r w:rsidRPr="00131031">
        <w:rPr>
          <w:lang w:val="fr-FR"/>
        </w:rPr>
        <w:tab/>
      </w:r>
      <w:r>
        <w:rPr>
          <w:lang w:val="fr-FR"/>
        </w:rPr>
        <w:t xml:space="preserve">Dans le prolongement des nombreux </w:t>
      </w:r>
      <w:r w:rsidRPr="00131031">
        <w:rPr>
          <w:lang w:val="fr-FR"/>
        </w:rPr>
        <w:t xml:space="preserve">débats </w:t>
      </w:r>
      <w:r>
        <w:rPr>
          <w:lang w:val="fr-FR"/>
        </w:rPr>
        <w:t xml:space="preserve">consacrés </w:t>
      </w:r>
      <w:r w:rsidRPr="00131031">
        <w:rPr>
          <w:lang w:val="fr-FR"/>
        </w:rPr>
        <w:t xml:space="preserve">à ce sujet </w:t>
      </w:r>
      <w:r>
        <w:rPr>
          <w:lang w:val="fr-FR"/>
        </w:rPr>
        <w:t>à partir de</w:t>
      </w:r>
      <w:r w:rsidRPr="00131031">
        <w:rPr>
          <w:lang w:val="fr-FR"/>
        </w:rPr>
        <w:t xml:space="preserve"> la cinquante-cinquième session du Sous-Comité et </w:t>
      </w:r>
      <w:r>
        <w:rPr>
          <w:lang w:val="fr-FR"/>
        </w:rPr>
        <w:t xml:space="preserve">des </w:t>
      </w:r>
      <w:r w:rsidRPr="00131031">
        <w:rPr>
          <w:lang w:val="fr-FR"/>
        </w:rPr>
        <w:t>travaux présentés par la France et par le Groupe de travail des explosifs, le COSTHA soumet respectueusement la présente proposition de nouvelle rubrique à la liste des marchandises dangereuses pour les appareils d</w:t>
      </w:r>
      <w:r>
        <w:rPr>
          <w:lang w:val="fr-FR"/>
        </w:rPr>
        <w:t>’</w:t>
      </w:r>
      <w:r w:rsidRPr="00131031">
        <w:rPr>
          <w:lang w:val="fr-FR"/>
        </w:rPr>
        <w:t xml:space="preserve">extinction par dispersion. Compte tenu du </w:t>
      </w:r>
      <w:r>
        <w:rPr>
          <w:lang w:val="fr-FR"/>
        </w:rPr>
        <w:t>transport toujours plus fréquent</w:t>
      </w:r>
      <w:r w:rsidRPr="00131031">
        <w:rPr>
          <w:lang w:val="fr-FR"/>
        </w:rPr>
        <w:t xml:space="preserve"> de ces appareils en tant que cargaison et </w:t>
      </w:r>
      <w:r>
        <w:rPr>
          <w:lang w:val="fr-FR"/>
        </w:rPr>
        <w:t>en tant qu’outils</w:t>
      </w:r>
      <w:r w:rsidRPr="00131031">
        <w:rPr>
          <w:lang w:val="fr-FR"/>
        </w:rPr>
        <w:t>, il est important de disposer d</w:t>
      </w:r>
      <w:r>
        <w:rPr>
          <w:lang w:val="fr-FR"/>
        </w:rPr>
        <w:t>’</w:t>
      </w:r>
      <w:r w:rsidRPr="00131031">
        <w:rPr>
          <w:lang w:val="fr-FR"/>
        </w:rPr>
        <w:t xml:space="preserve">une méthode cohérente </w:t>
      </w:r>
      <w:r>
        <w:rPr>
          <w:lang w:val="fr-FR"/>
        </w:rPr>
        <w:t>pour leur</w:t>
      </w:r>
      <w:r w:rsidRPr="00131031">
        <w:rPr>
          <w:lang w:val="fr-FR"/>
        </w:rPr>
        <w:t xml:space="preserve"> classement et </w:t>
      </w:r>
      <w:r>
        <w:rPr>
          <w:lang w:val="fr-FR"/>
        </w:rPr>
        <w:t>leur manutention</w:t>
      </w:r>
      <w:r w:rsidRPr="00131031">
        <w:rPr>
          <w:lang w:val="fr-FR"/>
        </w:rPr>
        <w:t xml:space="preserve">. Ces appareils contribuent directement à </w:t>
      </w:r>
      <w:r>
        <w:rPr>
          <w:lang w:val="fr-FR"/>
        </w:rPr>
        <w:t>assurer la survie et</w:t>
      </w:r>
      <w:r w:rsidRPr="00131031">
        <w:rPr>
          <w:lang w:val="fr-FR"/>
        </w:rPr>
        <w:t xml:space="preserve"> la sécurité des </w:t>
      </w:r>
      <w:r>
        <w:rPr>
          <w:lang w:val="fr-FR"/>
        </w:rPr>
        <w:t>voyageurs</w:t>
      </w:r>
      <w:r w:rsidRPr="00131031">
        <w:rPr>
          <w:lang w:val="fr-FR"/>
        </w:rPr>
        <w:t xml:space="preserve"> et des conducteurs de véhicules, ainsi qu</w:t>
      </w:r>
      <w:r>
        <w:rPr>
          <w:lang w:val="fr-FR"/>
        </w:rPr>
        <w:t>’</w:t>
      </w:r>
      <w:r w:rsidRPr="00131031">
        <w:rPr>
          <w:lang w:val="fr-FR"/>
        </w:rPr>
        <w:t>à protéger les personnes et les biens dans des installations</w:t>
      </w:r>
      <w:r>
        <w:rPr>
          <w:lang w:val="fr-FR"/>
        </w:rPr>
        <w:t>,</w:t>
      </w:r>
      <w:r w:rsidRPr="00131031">
        <w:rPr>
          <w:lang w:val="fr-FR"/>
        </w:rPr>
        <w:t xml:space="preserve"> partout dans le monde.</w:t>
      </w:r>
    </w:p>
    <w:p w14:paraId="18895818" w14:textId="77777777" w:rsidR="00510591" w:rsidRPr="00131031" w:rsidRDefault="00510591" w:rsidP="00880CEE">
      <w:pPr>
        <w:pStyle w:val="SingleTxtG"/>
        <w:keepNext/>
        <w:rPr>
          <w:lang w:val="fr-FR"/>
        </w:rPr>
      </w:pPr>
      <w:r w:rsidRPr="00131031">
        <w:rPr>
          <w:lang w:val="fr-FR"/>
        </w:rPr>
        <w:t>2.</w:t>
      </w:r>
      <w:r w:rsidRPr="00131031">
        <w:rPr>
          <w:lang w:val="fr-FR"/>
        </w:rPr>
        <w:tab/>
        <w:t>De nombreux documents de travail et documents informels témoignent de la nécessité d</w:t>
      </w:r>
      <w:r>
        <w:rPr>
          <w:lang w:val="fr-FR"/>
        </w:rPr>
        <w:t>’</w:t>
      </w:r>
      <w:r w:rsidRPr="00131031">
        <w:rPr>
          <w:lang w:val="fr-FR"/>
        </w:rPr>
        <w:t>élaborer une méthode permettant de transporter en toute sécurité les appareils d</w:t>
      </w:r>
      <w:r>
        <w:rPr>
          <w:lang w:val="fr-FR"/>
        </w:rPr>
        <w:t>’</w:t>
      </w:r>
      <w:r w:rsidRPr="00131031">
        <w:rPr>
          <w:lang w:val="fr-FR"/>
        </w:rPr>
        <w:t xml:space="preserve">extinction par dispersion </w:t>
      </w:r>
      <w:r>
        <w:rPr>
          <w:lang w:val="fr-FR"/>
        </w:rPr>
        <w:t xml:space="preserve">conformément à </w:t>
      </w:r>
      <w:r w:rsidRPr="007D57CA">
        <w:rPr>
          <w:lang w:val="fr-FR"/>
        </w:rPr>
        <w:t>un</w:t>
      </w:r>
      <w:r>
        <w:rPr>
          <w:lang w:val="fr-FR"/>
        </w:rPr>
        <w:t>e</w:t>
      </w:r>
      <w:r w:rsidRPr="007D57CA">
        <w:rPr>
          <w:lang w:val="fr-FR"/>
        </w:rPr>
        <w:t xml:space="preserve"> </w:t>
      </w:r>
      <w:r>
        <w:rPr>
          <w:lang w:val="fr-FR"/>
        </w:rPr>
        <w:t xml:space="preserve">approche </w:t>
      </w:r>
      <w:r w:rsidRPr="007D57CA">
        <w:rPr>
          <w:lang w:val="fr-FR"/>
        </w:rPr>
        <w:t>cohérent</w:t>
      </w:r>
      <w:r>
        <w:rPr>
          <w:lang w:val="fr-FR"/>
        </w:rPr>
        <w:t>e</w:t>
      </w:r>
      <w:r w:rsidRPr="007D57CA">
        <w:rPr>
          <w:lang w:val="fr-FR"/>
        </w:rPr>
        <w:t xml:space="preserve"> </w:t>
      </w:r>
      <w:r w:rsidRPr="00131031">
        <w:rPr>
          <w:lang w:val="fr-FR"/>
        </w:rPr>
        <w:t>dans le cadre du système mondial de sûreté</w:t>
      </w:r>
      <w:r w:rsidRPr="00131031">
        <w:rPr>
          <w:i/>
          <w:iCs/>
          <w:lang w:val="fr-FR"/>
        </w:rPr>
        <w:t xml:space="preserve"> </w:t>
      </w:r>
      <w:r w:rsidRPr="00131031">
        <w:rPr>
          <w:lang w:val="fr-FR"/>
        </w:rPr>
        <w:t>des marchandises dangereuses. Ces appareils d</w:t>
      </w:r>
      <w:r>
        <w:rPr>
          <w:lang w:val="fr-FR"/>
        </w:rPr>
        <w:t>’</w:t>
      </w:r>
      <w:r w:rsidRPr="00131031">
        <w:rPr>
          <w:lang w:val="fr-FR"/>
        </w:rPr>
        <w:t xml:space="preserve">extinction de feu sont de plus en plus </w:t>
      </w:r>
      <w:r>
        <w:rPr>
          <w:lang w:val="fr-FR"/>
        </w:rPr>
        <w:t>présents à bord</w:t>
      </w:r>
      <w:r w:rsidRPr="00131031">
        <w:rPr>
          <w:lang w:val="fr-FR"/>
        </w:rPr>
        <w:t xml:space="preserve"> </w:t>
      </w:r>
      <w:r>
        <w:rPr>
          <w:lang w:val="fr-FR"/>
        </w:rPr>
        <w:t xml:space="preserve">des </w:t>
      </w:r>
      <w:r w:rsidRPr="00131031">
        <w:rPr>
          <w:lang w:val="fr-FR"/>
        </w:rPr>
        <w:t xml:space="preserve">autobus, </w:t>
      </w:r>
      <w:r>
        <w:rPr>
          <w:lang w:val="fr-FR"/>
        </w:rPr>
        <w:t>d</w:t>
      </w:r>
      <w:r w:rsidRPr="00131031">
        <w:rPr>
          <w:lang w:val="fr-FR"/>
        </w:rPr>
        <w:t xml:space="preserve">es trains, </w:t>
      </w:r>
      <w:r>
        <w:rPr>
          <w:lang w:val="fr-FR"/>
        </w:rPr>
        <w:t>d</w:t>
      </w:r>
      <w:r w:rsidRPr="00131031">
        <w:rPr>
          <w:lang w:val="fr-FR"/>
        </w:rPr>
        <w:t xml:space="preserve">es camions, </w:t>
      </w:r>
      <w:r>
        <w:rPr>
          <w:lang w:val="fr-FR"/>
        </w:rPr>
        <w:t>d</w:t>
      </w:r>
      <w:r w:rsidRPr="00131031">
        <w:rPr>
          <w:lang w:val="fr-FR"/>
        </w:rPr>
        <w:t>es bateaux</w:t>
      </w:r>
      <w:r>
        <w:rPr>
          <w:lang w:val="fr-FR"/>
        </w:rPr>
        <w:t xml:space="preserve"> et d</w:t>
      </w:r>
      <w:r w:rsidRPr="00131031">
        <w:rPr>
          <w:lang w:val="fr-FR"/>
        </w:rPr>
        <w:t>es avions, ainsi que dans les installations fixes et les</w:t>
      </w:r>
      <w:r>
        <w:rPr>
          <w:lang w:val="fr-FR"/>
        </w:rPr>
        <w:t xml:space="preserve"> lieux</w:t>
      </w:r>
      <w:r w:rsidRPr="00131031">
        <w:rPr>
          <w:lang w:val="fr-FR"/>
        </w:rPr>
        <w:t xml:space="preserve"> de stockage, en raison de leur capacité à éteindre le</w:t>
      </w:r>
      <w:r>
        <w:rPr>
          <w:lang w:val="fr-FR"/>
        </w:rPr>
        <w:t xml:space="preserve">s </w:t>
      </w:r>
      <w:r w:rsidRPr="00131031">
        <w:rPr>
          <w:lang w:val="fr-FR"/>
        </w:rPr>
        <w:t>i</w:t>
      </w:r>
      <w:r>
        <w:rPr>
          <w:lang w:val="fr-FR"/>
        </w:rPr>
        <w:t>ncendies</w:t>
      </w:r>
      <w:r w:rsidRPr="00131031">
        <w:rPr>
          <w:lang w:val="fr-FR"/>
        </w:rPr>
        <w:t xml:space="preserve"> sans détruire l</w:t>
      </w:r>
      <w:r>
        <w:rPr>
          <w:lang w:val="fr-FR"/>
        </w:rPr>
        <w:t>’</w:t>
      </w:r>
      <w:r w:rsidRPr="00131031">
        <w:rPr>
          <w:lang w:val="fr-FR"/>
        </w:rPr>
        <w:t>environnement</w:t>
      </w:r>
      <w:r w:rsidRPr="00853DAF">
        <w:rPr>
          <w:lang w:val="fr-FR"/>
        </w:rPr>
        <w:t xml:space="preserve"> immédiat</w:t>
      </w:r>
      <w:r w:rsidRPr="00131031">
        <w:rPr>
          <w:lang w:val="fr-FR"/>
        </w:rPr>
        <w:t>. Les documents suivants ont déjà été soumis sur ce sujet :</w:t>
      </w:r>
    </w:p>
    <w:p w14:paraId="680555CD" w14:textId="77777777" w:rsidR="00510591" w:rsidRPr="00131031" w:rsidRDefault="00510591" w:rsidP="00880CEE">
      <w:pPr>
        <w:pStyle w:val="Bullet1G"/>
        <w:rPr>
          <w:lang w:val="fr-FR"/>
        </w:rPr>
      </w:pPr>
      <w:r w:rsidRPr="00131031">
        <w:rPr>
          <w:lang w:val="fr-FR"/>
        </w:rPr>
        <w:t>ST/SG/AC.10/C.3/2019/61</w:t>
      </w:r>
    </w:p>
    <w:p w14:paraId="2FB98572" w14:textId="77777777" w:rsidR="00510591" w:rsidRPr="00131031" w:rsidRDefault="00510591" w:rsidP="00880CEE">
      <w:pPr>
        <w:pStyle w:val="Bullet1G"/>
        <w:rPr>
          <w:lang w:val="fr-FR"/>
        </w:rPr>
      </w:pPr>
      <w:r w:rsidRPr="00131031">
        <w:rPr>
          <w:lang w:val="fr-FR"/>
        </w:rPr>
        <w:t>UN/SCETDG/56/INF.28</w:t>
      </w:r>
    </w:p>
    <w:p w14:paraId="7B41366F" w14:textId="77777777" w:rsidR="00510591" w:rsidRPr="00131031" w:rsidRDefault="00510591" w:rsidP="00880CEE">
      <w:pPr>
        <w:pStyle w:val="Bullet1G"/>
        <w:rPr>
          <w:lang w:val="fr-FR"/>
        </w:rPr>
      </w:pPr>
      <w:r w:rsidRPr="00131031">
        <w:rPr>
          <w:lang w:val="fr-FR"/>
        </w:rPr>
        <w:t>UN/SCETDG/56/INF.51</w:t>
      </w:r>
    </w:p>
    <w:p w14:paraId="0FD2403B" w14:textId="77777777" w:rsidR="00510591" w:rsidRPr="00131031" w:rsidRDefault="00510591" w:rsidP="00880CEE">
      <w:pPr>
        <w:pStyle w:val="Bullet1G"/>
        <w:rPr>
          <w:lang w:val="fr-FR"/>
        </w:rPr>
      </w:pPr>
      <w:r w:rsidRPr="00131031">
        <w:rPr>
          <w:lang w:val="fr-FR"/>
        </w:rPr>
        <w:t>ST/SG/AC.10/C.3/2020/25</w:t>
      </w:r>
    </w:p>
    <w:p w14:paraId="0FF6CD4F" w14:textId="77777777" w:rsidR="00510591" w:rsidRPr="00131031" w:rsidRDefault="00510591" w:rsidP="00880CEE">
      <w:pPr>
        <w:pStyle w:val="Bullet1G"/>
        <w:rPr>
          <w:lang w:val="fr-FR"/>
        </w:rPr>
      </w:pPr>
      <w:r w:rsidRPr="00131031">
        <w:rPr>
          <w:lang w:val="fr-FR"/>
        </w:rPr>
        <w:lastRenderedPageBreak/>
        <w:t>UN/SCETDG/59/INF.3</w:t>
      </w:r>
    </w:p>
    <w:p w14:paraId="0A2F1A2E" w14:textId="77777777" w:rsidR="00510591" w:rsidRPr="00131031" w:rsidRDefault="00510591" w:rsidP="00880CEE">
      <w:pPr>
        <w:pStyle w:val="Bullet1G"/>
        <w:rPr>
          <w:lang w:val="fr-FR"/>
        </w:rPr>
      </w:pPr>
      <w:r w:rsidRPr="00131031">
        <w:rPr>
          <w:lang w:val="fr-FR"/>
        </w:rPr>
        <w:t>UN/SCETDG/59/INF.32</w:t>
      </w:r>
    </w:p>
    <w:p w14:paraId="4C0C1F51" w14:textId="77777777" w:rsidR="00510591" w:rsidRPr="00131031" w:rsidRDefault="00510591" w:rsidP="00880CEE">
      <w:pPr>
        <w:pStyle w:val="HChG"/>
        <w:rPr>
          <w:lang w:val="fr-FR"/>
        </w:rPr>
      </w:pPr>
      <w:r w:rsidRPr="00131031">
        <w:rPr>
          <w:lang w:val="fr-FR"/>
        </w:rPr>
        <w:tab/>
      </w:r>
      <w:r w:rsidRPr="00131031">
        <w:rPr>
          <w:lang w:val="fr-FR"/>
        </w:rPr>
        <w:tab/>
        <w:t>Observations</w:t>
      </w:r>
    </w:p>
    <w:p w14:paraId="081A40A5" w14:textId="4C46081A" w:rsidR="00510591" w:rsidRPr="00131031" w:rsidRDefault="00510591" w:rsidP="00880CEE">
      <w:pPr>
        <w:pStyle w:val="SingleTxtG"/>
        <w:rPr>
          <w:lang w:val="fr-FR"/>
        </w:rPr>
      </w:pPr>
      <w:r w:rsidRPr="00131031">
        <w:rPr>
          <w:lang w:val="fr-FR"/>
        </w:rPr>
        <w:t>3.</w:t>
      </w:r>
      <w:r w:rsidRPr="00131031">
        <w:rPr>
          <w:lang w:val="fr-FR"/>
        </w:rPr>
        <w:tab/>
        <w:t>Comme indiqué dans les documents soumis précédemment, les risques associés au transport des appareils d</w:t>
      </w:r>
      <w:r>
        <w:rPr>
          <w:lang w:val="fr-FR"/>
        </w:rPr>
        <w:t>’</w:t>
      </w:r>
      <w:r w:rsidRPr="00131031">
        <w:rPr>
          <w:lang w:val="fr-FR"/>
        </w:rPr>
        <w:t>extinction par dispersion sont négligeables. Le fonctionnement de ces appareils repose généralement sur l</w:t>
      </w:r>
      <w:r>
        <w:rPr>
          <w:lang w:val="fr-FR"/>
        </w:rPr>
        <w:t>’</w:t>
      </w:r>
      <w:r w:rsidRPr="00131031">
        <w:rPr>
          <w:lang w:val="fr-FR"/>
        </w:rPr>
        <w:t>activation d</w:t>
      </w:r>
      <w:r>
        <w:rPr>
          <w:lang w:val="fr-FR"/>
        </w:rPr>
        <w:t>’</w:t>
      </w:r>
      <w:r w:rsidRPr="00131031">
        <w:rPr>
          <w:lang w:val="fr-FR"/>
        </w:rPr>
        <w:t>une matière pyrotechnique, qui brûle lentement et disperse des aérosols ou d</w:t>
      </w:r>
      <w:r>
        <w:rPr>
          <w:lang w:val="fr-FR"/>
        </w:rPr>
        <w:t>’</w:t>
      </w:r>
      <w:r w:rsidRPr="00131031">
        <w:rPr>
          <w:lang w:val="fr-FR"/>
        </w:rPr>
        <w:t xml:space="preserve">autres particules qui éteignent les </w:t>
      </w:r>
      <w:r>
        <w:rPr>
          <w:lang w:val="fr-FR"/>
        </w:rPr>
        <w:t>incendies</w:t>
      </w:r>
      <w:r w:rsidRPr="00131031">
        <w:rPr>
          <w:lang w:val="fr-FR"/>
        </w:rPr>
        <w:t>, y</w:t>
      </w:r>
      <w:r w:rsidR="00880CEE">
        <w:rPr>
          <w:lang w:val="fr-FR"/>
        </w:rPr>
        <w:t> </w:t>
      </w:r>
      <w:r w:rsidRPr="00131031">
        <w:rPr>
          <w:lang w:val="fr-FR"/>
        </w:rPr>
        <w:t xml:space="preserve">compris </w:t>
      </w:r>
      <w:r>
        <w:rPr>
          <w:lang w:val="fr-FR"/>
        </w:rPr>
        <w:t>ceux</w:t>
      </w:r>
      <w:r w:rsidRPr="00131031">
        <w:rPr>
          <w:lang w:val="fr-FR"/>
        </w:rPr>
        <w:t xml:space="preserve"> produits par l</w:t>
      </w:r>
      <w:r>
        <w:rPr>
          <w:lang w:val="fr-FR"/>
        </w:rPr>
        <w:t>’</w:t>
      </w:r>
      <w:r w:rsidRPr="00131031">
        <w:rPr>
          <w:lang w:val="fr-FR"/>
        </w:rPr>
        <w:t xml:space="preserve">emballement thermique des batteries au lithium. De nombreux pays prévoient des exceptions et adoptent des classifications qui ne sont pas reconnues par les autres, ce qui </w:t>
      </w:r>
      <w:r>
        <w:rPr>
          <w:lang w:val="fr-FR"/>
        </w:rPr>
        <w:t>crée</w:t>
      </w:r>
      <w:r w:rsidRPr="00131031">
        <w:rPr>
          <w:lang w:val="fr-FR"/>
        </w:rPr>
        <w:t xml:space="preserve"> des difficultés et </w:t>
      </w:r>
      <w:r>
        <w:rPr>
          <w:lang w:val="fr-FR"/>
        </w:rPr>
        <w:t>de la</w:t>
      </w:r>
      <w:r w:rsidRPr="00131031">
        <w:rPr>
          <w:lang w:val="fr-FR"/>
        </w:rPr>
        <w:t xml:space="preserve"> confusion dans la chaîne de transport au niveau mondial.</w:t>
      </w:r>
    </w:p>
    <w:p w14:paraId="722EA1BA" w14:textId="77777777" w:rsidR="00510591" w:rsidRPr="00131031" w:rsidRDefault="00510591" w:rsidP="00880CEE">
      <w:pPr>
        <w:pStyle w:val="SingleTxtG"/>
        <w:rPr>
          <w:lang w:val="fr-FR"/>
        </w:rPr>
      </w:pPr>
      <w:r w:rsidRPr="00131031">
        <w:rPr>
          <w:lang w:val="fr-FR"/>
        </w:rPr>
        <w:t>4.</w:t>
      </w:r>
      <w:r w:rsidRPr="00131031">
        <w:rPr>
          <w:lang w:val="fr-FR"/>
        </w:rPr>
        <w:tab/>
        <w:t xml:space="preserve">À ce jour, les pays ci-après </w:t>
      </w:r>
      <w:r>
        <w:rPr>
          <w:lang w:val="fr-FR"/>
        </w:rPr>
        <w:t>bénéficient d’exceptions ou d’autorisations de classement</w:t>
      </w:r>
      <w:r w:rsidRPr="00131031">
        <w:rPr>
          <w:lang w:val="fr-FR"/>
        </w:rPr>
        <w:t> :</w:t>
      </w:r>
    </w:p>
    <w:tbl>
      <w:tblPr>
        <w:tblStyle w:val="TableGrid"/>
        <w:tblW w:w="8504" w:type="dxa"/>
        <w:tblInd w:w="1134" w:type="dxa"/>
        <w:tblLayout w:type="fixed"/>
        <w:tblLook w:val="04A0" w:firstRow="1" w:lastRow="0" w:firstColumn="1" w:lastColumn="0" w:noHBand="0" w:noVBand="1"/>
      </w:tblPr>
      <w:tblGrid>
        <w:gridCol w:w="1906"/>
        <w:gridCol w:w="2199"/>
        <w:gridCol w:w="4399"/>
      </w:tblGrid>
      <w:tr w:rsidR="00510591" w:rsidRPr="00880CEE" w14:paraId="5D9F9D46" w14:textId="77777777" w:rsidTr="00880CEE">
        <w:tc>
          <w:tcPr>
            <w:tcW w:w="1843" w:type="dxa"/>
          </w:tcPr>
          <w:p w14:paraId="01FF47B9" w14:textId="77777777" w:rsidR="00510591" w:rsidRPr="00880CEE" w:rsidRDefault="00510591" w:rsidP="00880CEE">
            <w:pPr>
              <w:spacing w:before="60" w:after="60"/>
              <w:ind w:left="57" w:right="57"/>
              <w:rPr>
                <w:b/>
                <w:bCs/>
                <w:sz w:val="18"/>
                <w:szCs w:val="18"/>
                <w:lang w:val="fr-FR"/>
              </w:rPr>
            </w:pPr>
            <w:r w:rsidRPr="00880CEE">
              <w:rPr>
                <w:b/>
                <w:bCs/>
                <w:lang w:val="fr-FR"/>
              </w:rPr>
              <w:t>Autorité compétente</w:t>
            </w:r>
          </w:p>
        </w:tc>
        <w:tc>
          <w:tcPr>
            <w:tcW w:w="2126" w:type="dxa"/>
          </w:tcPr>
          <w:p w14:paraId="396F2E18" w14:textId="77777777" w:rsidR="00510591" w:rsidRPr="00880CEE" w:rsidRDefault="00510591" w:rsidP="00880CEE">
            <w:pPr>
              <w:spacing w:before="60" w:after="60"/>
              <w:ind w:left="57" w:right="57"/>
              <w:rPr>
                <w:b/>
                <w:bCs/>
                <w:sz w:val="18"/>
                <w:szCs w:val="18"/>
                <w:lang w:val="fr-FR"/>
              </w:rPr>
            </w:pPr>
            <w:r w:rsidRPr="00880CEE">
              <w:rPr>
                <w:b/>
                <w:bCs/>
                <w:lang w:val="fr-FR"/>
              </w:rPr>
              <w:t>Décision</w:t>
            </w:r>
          </w:p>
        </w:tc>
        <w:tc>
          <w:tcPr>
            <w:tcW w:w="4253" w:type="dxa"/>
          </w:tcPr>
          <w:p w14:paraId="794816CD" w14:textId="77777777" w:rsidR="00510591" w:rsidRPr="00880CEE" w:rsidRDefault="00510591" w:rsidP="00880CEE">
            <w:pPr>
              <w:spacing w:before="60" w:after="60"/>
              <w:ind w:left="57" w:right="57"/>
              <w:rPr>
                <w:b/>
                <w:bCs/>
                <w:sz w:val="18"/>
                <w:szCs w:val="18"/>
                <w:lang w:val="fr-FR"/>
              </w:rPr>
            </w:pPr>
            <w:r w:rsidRPr="00880CEE">
              <w:rPr>
                <w:b/>
                <w:bCs/>
                <w:lang w:val="fr-FR"/>
              </w:rPr>
              <w:t>Résultat</w:t>
            </w:r>
          </w:p>
        </w:tc>
      </w:tr>
      <w:tr w:rsidR="00510591" w:rsidRPr="004E0F32" w14:paraId="6F5ADAD8" w14:textId="77777777" w:rsidTr="00880CEE">
        <w:tc>
          <w:tcPr>
            <w:tcW w:w="1843" w:type="dxa"/>
          </w:tcPr>
          <w:p w14:paraId="4F61685C" w14:textId="77777777" w:rsidR="00510591" w:rsidRPr="00131031" w:rsidRDefault="00510591" w:rsidP="00880CEE">
            <w:pPr>
              <w:spacing w:before="60" w:after="60"/>
              <w:ind w:left="57" w:right="57"/>
              <w:rPr>
                <w:sz w:val="18"/>
                <w:szCs w:val="18"/>
                <w:lang w:val="fr-FR"/>
              </w:rPr>
            </w:pPr>
            <w:r w:rsidRPr="00131031">
              <w:rPr>
                <w:lang w:val="fr-FR"/>
              </w:rPr>
              <w:t>États-Unis d</w:t>
            </w:r>
            <w:r>
              <w:rPr>
                <w:lang w:val="fr-FR"/>
              </w:rPr>
              <w:t>’</w:t>
            </w:r>
            <w:r w:rsidRPr="00131031">
              <w:rPr>
                <w:lang w:val="fr-FR"/>
              </w:rPr>
              <w:t>Amérique</w:t>
            </w:r>
          </w:p>
        </w:tc>
        <w:tc>
          <w:tcPr>
            <w:tcW w:w="2126" w:type="dxa"/>
          </w:tcPr>
          <w:p w14:paraId="66ED7AC5" w14:textId="77777777" w:rsidR="00510591" w:rsidRPr="00131031" w:rsidRDefault="00510591" w:rsidP="00880CEE">
            <w:pPr>
              <w:spacing w:before="60" w:after="60"/>
              <w:ind w:left="57" w:right="57"/>
              <w:rPr>
                <w:sz w:val="18"/>
                <w:szCs w:val="18"/>
                <w:lang w:val="fr-FR"/>
              </w:rPr>
            </w:pPr>
            <w:r w:rsidRPr="00131031">
              <w:rPr>
                <w:lang w:val="fr-FR"/>
              </w:rPr>
              <w:t>Dérogation réglementaire accordée</w:t>
            </w:r>
          </w:p>
        </w:tc>
        <w:tc>
          <w:tcPr>
            <w:tcW w:w="4253" w:type="dxa"/>
          </w:tcPr>
          <w:p w14:paraId="3F8BC03E" w14:textId="77777777" w:rsidR="00510591" w:rsidRPr="00131031" w:rsidRDefault="00510591" w:rsidP="00880CEE">
            <w:pPr>
              <w:spacing w:before="60" w:after="60"/>
              <w:ind w:left="57" w:right="57"/>
              <w:rPr>
                <w:sz w:val="18"/>
                <w:szCs w:val="18"/>
                <w:lang w:val="fr-FR"/>
              </w:rPr>
            </w:pPr>
            <w:r w:rsidRPr="00131031">
              <w:rPr>
                <w:lang w:val="fr-FR"/>
              </w:rPr>
              <w:t>Autorise le transport des appareils d</w:t>
            </w:r>
            <w:r>
              <w:rPr>
                <w:lang w:val="fr-FR"/>
              </w:rPr>
              <w:t>’</w:t>
            </w:r>
            <w:r w:rsidRPr="00131031">
              <w:rPr>
                <w:lang w:val="fr-FR"/>
              </w:rPr>
              <w:t xml:space="preserve">extinction par dispersion </w:t>
            </w:r>
            <w:r>
              <w:rPr>
                <w:lang w:val="fr-FR"/>
              </w:rPr>
              <w:t>au titre</w:t>
            </w:r>
            <w:r w:rsidRPr="00131031">
              <w:rPr>
                <w:lang w:val="fr-FR"/>
              </w:rPr>
              <w:t xml:space="preserve"> de la classe 9, y compris en tant que cargaison pour le transport aérien</w:t>
            </w:r>
          </w:p>
        </w:tc>
      </w:tr>
      <w:tr w:rsidR="00510591" w:rsidRPr="004E0F32" w14:paraId="3205BBA7" w14:textId="77777777" w:rsidTr="00880CEE">
        <w:tc>
          <w:tcPr>
            <w:tcW w:w="1843" w:type="dxa"/>
          </w:tcPr>
          <w:p w14:paraId="0B8A85E3" w14:textId="77777777" w:rsidR="00510591" w:rsidRPr="00131031" w:rsidRDefault="00510591" w:rsidP="00880CEE">
            <w:pPr>
              <w:spacing w:before="60" w:after="60"/>
              <w:ind w:left="57" w:right="57"/>
              <w:rPr>
                <w:sz w:val="18"/>
                <w:szCs w:val="18"/>
                <w:lang w:val="fr-FR"/>
              </w:rPr>
            </w:pPr>
            <w:r w:rsidRPr="00131031">
              <w:rPr>
                <w:lang w:val="fr-FR"/>
              </w:rPr>
              <w:t>France</w:t>
            </w:r>
          </w:p>
        </w:tc>
        <w:tc>
          <w:tcPr>
            <w:tcW w:w="2126" w:type="dxa"/>
          </w:tcPr>
          <w:p w14:paraId="5C3EFADA" w14:textId="77777777" w:rsidR="00510591" w:rsidRPr="00131031" w:rsidRDefault="00510591" w:rsidP="00880CEE">
            <w:pPr>
              <w:spacing w:before="60" w:after="60"/>
              <w:ind w:left="57" w:right="57"/>
              <w:rPr>
                <w:sz w:val="18"/>
                <w:szCs w:val="18"/>
                <w:lang w:val="fr-FR"/>
              </w:rPr>
            </w:pPr>
            <w:r w:rsidRPr="00131031">
              <w:rPr>
                <w:lang w:val="fr-FR"/>
              </w:rPr>
              <w:t xml:space="preserve">Approbation </w:t>
            </w:r>
            <w:r>
              <w:rPr>
                <w:lang w:val="fr-FR"/>
              </w:rPr>
              <w:t>du classement</w:t>
            </w:r>
          </w:p>
        </w:tc>
        <w:tc>
          <w:tcPr>
            <w:tcW w:w="4253" w:type="dxa"/>
          </w:tcPr>
          <w:p w14:paraId="772A6F88" w14:textId="3AE8A8E0" w:rsidR="00510591" w:rsidRPr="00131031" w:rsidRDefault="00510591" w:rsidP="00880CEE">
            <w:pPr>
              <w:spacing w:before="60" w:after="60"/>
              <w:ind w:left="57" w:right="57"/>
              <w:rPr>
                <w:sz w:val="18"/>
                <w:szCs w:val="18"/>
                <w:lang w:val="fr-FR"/>
              </w:rPr>
            </w:pPr>
            <w:r w:rsidRPr="00131031">
              <w:rPr>
                <w:lang w:val="fr-FR"/>
              </w:rPr>
              <w:t xml:space="preserve">Autorise </w:t>
            </w:r>
            <w:r>
              <w:rPr>
                <w:lang w:val="fr-FR"/>
              </w:rPr>
              <w:t>le classement</w:t>
            </w:r>
            <w:r w:rsidRPr="00131031">
              <w:rPr>
                <w:lang w:val="fr-FR"/>
              </w:rPr>
              <w:t xml:space="preserve"> des appareils d</w:t>
            </w:r>
            <w:r>
              <w:rPr>
                <w:lang w:val="fr-FR"/>
              </w:rPr>
              <w:t>’</w:t>
            </w:r>
            <w:r w:rsidRPr="00131031">
              <w:rPr>
                <w:lang w:val="fr-FR"/>
              </w:rPr>
              <w:t xml:space="preserve">extinction par dispersion </w:t>
            </w:r>
            <w:r>
              <w:rPr>
                <w:lang w:val="fr-FR"/>
              </w:rPr>
              <w:t>sous le</w:t>
            </w:r>
            <w:r w:rsidRPr="00131031" w:rsidDel="003B3400">
              <w:rPr>
                <w:lang w:val="fr-FR"/>
              </w:rPr>
              <w:t xml:space="preserve"> </w:t>
            </w:r>
            <w:r w:rsidRPr="00131031">
              <w:rPr>
                <w:lang w:val="fr-FR"/>
              </w:rPr>
              <w:t>N</w:t>
            </w:r>
            <w:r w:rsidRPr="003E1D13">
              <w:rPr>
                <w:vertAlign w:val="superscript"/>
                <w:lang w:val="fr-FR"/>
              </w:rPr>
              <w:t>o</w:t>
            </w:r>
            <w:r w:rsidR="003E1D13">
              <w:rPr>
                <w:lang w:val="fr-FR"/>
              </w:rPr>
              <w:t> </w:t>
            </w:r>
            <w:r w:rsidRPr="00131031">
              <w:rPr>
                <w:lang w:val="fr-FR"/>
              </w:rPr>
              <w:t>ONU</w:t>
            </w:r>
            <w:r w:rsidR="003E1D13">
              <w:rPr>
                <w:lang w:val="fr-FR"/>
              </w:rPr>
              <w:t> </w:t>
            </w:r>
            <w:r w:rsidRPr="00131031">
              <w:rPr>
                <w:lang w:val="fr-FR"/>
              </w:rPr>
              <w:t>3268, Dispositifs de sécurité, relevant de la classe 9</w:t>
            </w:r>
          </w:p>
        </w:tc>
      </w:tr>
      <w:tr w:rsidR="00510591" w:rsidRPr="004E0F32" w14:paraId="3682EAF2" w14:textId="77777777" w:rsidTr="00880CEE">
        <w:tc>
          <w:tcPr>
            <w:tcW w:w="1843" w:type="dxa"/>
          </w:tcPr>
          <w:p w14:paraId="20FCCA44" w14:textId="77777777" w:rsidR="00510591" w:rsidRPr="00131031" w:rsidRDefault="00510591" w:rsidP="00880CEE">
            <w:pPr>
              <w:spacing w:before="60" w:after="60"/>
              <w:ind w:left="57" w:right="57"/>
              <w:rPr>
                <w:sz w:val="18"/>
                <w:szCs w:val="18"/>
                <w:lang w:val="fr-FR"/>
              </w:rPr>
            </w:pPr>
            <w:r w:rsidRPr="00131031">
              <w:rPr>
                <w:lang w:val="fr-FR"/>
              </w:rPr>
              <w:t>Pays-Bas</w:t>
            </w:r>
          </w:p>
        </w:tc>
        <w:tc>
          <w:tcPr>
            <w:tcW w:w="2126" w:type="dxa"/>
          </w:tcPr>
          <w:p w14:paraId="1CE848F4" w14:textId="77777777" w:rsidR="00510591" w:rsidRPr="00131031" w:rsidRDefault="00510591" w:rsidP="00880CEE">
            <w:pPr>
              <w:spacing w:before="60" w:after="60"/>
              <w:ind w:left="57" w:right="57"/>
              <w:rPr>
                <w:sz w:val="18"/>
                <w:szCs w:val="18"/>
                <w:lang w:val="fr-FR"/>
              </w:rPr>
            </w:pPr>
            <w:r w:rsidRPr="00131031">
              <w:rPr>
                <w:lang w:val="fr-FR"/>
              </w:rPr>
              <w:t>Les appareils d</w:t>
            </w:r>
            <w:r>
              <w:rPr>
                <w:lang w:val="fr-FR"/>
              </w:rPr>
              <w:t>’</w:t>
            </w:r>
            <w:r w:rsidRPr="00131031">
              <w:rPr>
                <w:lang w:val="fr-FR"/>
              </w:rPr>
              <w:t>extinction par dispersion ne sont pas régis par l</w:t>
            </w:r>
            <w:r>
              <w:rPr>
                <w:lang w:val="fr-FR"/>
              </w:rPr>
              <w:t>’</w:t>
            </w:r>
            <w:r w:rsidRPr="00131031">
              <w:rPr>
                <w:lang w:val="fr-FR"/>
              </w:rPr>
              <w:t>ADR.</w:t>
            </w:r>
          </w:p>
        </w:tc>
        <w:tc>
          <w:tcPr>
            <w:tcW w:w="4253" w:type="dxa"/>
          </w:tcPr>
          <w:p w14:paraId="16437F9A" w14:textId="77777777" w:rsidR="00510591" w:rsidRPr="00131031" w:rsidRDefault="00510591" w:rsidP="00880CEE">
            <w:pPr>
              <w:spacing w:before="60" w:after="60"/>
              <w:ind w:left="57" w:right="57"/>
              <w:rPr>
                <w:sz w:val="18"/>
                <w:szCs w:val="18"/>
                <w:lang w:val="fr-FR"/>
              </w:rPr>
            </w:pPr>
            <w:r w:rsidRPr="00131031">
              <w:rPr>
                <w:lang w:val="fr-FR"/>
              </w:rPr>
              <w:t>Les Pays-Bas ont déterminé que le mélange présent dans l</w:t>
            </w:r>
            <w:r>
              <w:rPr>
                <w:lang w:val="fr-FR"/>
              </w:rPr>
              <w:t>’</w:t>
            </w:r>
            <w:r w:rsidRPr="00131031">
              <w:rPr>
                <w:lang w:val="fr-FR"/>
              </w:rPr>
              <w:t>appareil n</w:t>
            </w:r>
            <w:r>
              <w:rPr>
                <w:lang w:val="fr-FR"/>
              </w:rPr>
              <w:t>’</w:t>
            </w:r>
            <w:r w:rsidRPr="00131031">
              <w:rPr>
                <w:lang w:val="fr-FR"/>
              </w:rPr>
              <w:t>était pas une matière pyrotechnique</w:t>
            </w:r>
            <w:r w:rsidRPr="00131031">
              <w:rPr>
                <w:i/>
                <w:iCs/>
                <w:lang w:val="fr-FR"/>
              </w:rPr>
              <w:t xml:space="preserve"> </w:t>
            </w:r>
            <w:r w:rsidRPr="00131031">
              <w:rPr>
                <w:lang w:val="fr-FR"/>
              </w:rPr>
              <w:t>puisque l</w:t>
            </w:r>
            <w:r>
              <w:rPr>
                <w:lang w:val="fr-FR"/>
              </w:rPr>
              <w:t>’</w:t>
            </w:r>
            <w:r w:rsidRPr="00131031">
              <w:rPr>
                <w:lang w:val="fr-FR"/>
              </w:rPr>
              <w:t>effet produit était la formation d</w:t>
            </w:r>
            <w:r>
              <w:rPr>
                <w:lang w:val="fr-FR"/>
              </w:rPr>
              <w:t>’</w:t>
            </w:r>
            <w:r w:rsidRPr="00131031">
              <w:rPr>
                <w:lang w:val="fr-FR"/>
              </w:rPr>
              <w:t>aérosols. Les aérosols diffusés comprenaient des alcalis et des métaux alcalins qui avaient pour effet d</w:t>
            </w:r>
            <w:r>
              <w:rPr>
                <w:lang w:val="fr-FR"/>
              </w:rPr>
              <w:t>’</w:t>
            </w:r>
            <w:r w:rsidRPr="00131031">
              <w:rPr>
                <w:lang w:val="fr-FR"/>
              </w:rPr>
              <w:t xml:space="preserve">éteindre les feux. </w:t>
            </w:r>
          </w:p>
        </w:tc>
      </w:tr>
      <w:tr w:rsidR="00510591" w:rsidRPr="004E0F32" w14:paraId="1F6D0874" w14:textId="77777777" w:rsidTr="00880CEE">
        <w:tc>
          <w:tcPr>
            <w:tcW w:w="1843" w:type="dxa"/>
          </w:tcPr>
          <w:p w14:paraId="577C2200" w14:textId="77777777" w:rsidR="00510591" w:rsidRPr="00131031" w:rsidRDefault="00510591" w:rsidP="00880CEE">
            <w:pPr>
              <w:spacing w:before="60" w:after="60"/>
              <w:ind w:left="57" w:right="57"/>
              <w:rPr>
                <w:sz w:val="18"/>
                <w:szCs w:val="18"/>
                <w:lang w:val="fr-FR"/>
              </w:rPr>
            </w:pPr>
            <w:r w:rsidRPr="00131031">
              <w:rPr>
                <w:lang w:val="fr-FR"/>
              </w:rPr>
              <w:t>Chine</w:t>
            </w:r>
          </w:p>
        </w:tc>
        <w:tc>
          <w:tcPr>
            <w:tcW w:w="2126" w:type="dxa"/>
          </w:tcPr>
          <w:p w14:paraId="50313CE8" w14:textId="77777777" w:rsidR="00510591" w:rsidRPr="00131031" w:rsidRDefault="00510591" w:rsidP="00880CEE">
            <w:pPr>
              <w:spacing w:before="60" w:after="60"/>
              <w:ind w:left="57" w:right="57"/>
              <w:rPr>
                <w:sz w:val="18"/>
                <w:szCs w:val="18"/>
                <w:lang w:val="fr-FR"/>
              </w:rPr>
            </w:pPr>
            <w:r w:rsidRPr="00131031">
              <w:rPr>
                <w:lang w:val="fr-FR"/>
              </w:rPr>
              <w:t xml:space="preserve">Approbation </w:t>
            </w:r>
            <w:r>
              <w:rPr>
                <w:lang w:val="fr-FR"/>
              </w:rPr>
              <w:t>du classement</w:t>
            </w:r>
          </w:p>
        </w:tc>
        <w:tc>
          <w:tcPr>
            <w:tcW w:w="4253" w:type="dxa"/>
          </w:tcPr>
          <w:p w14:paraId="0BFA6122" w14:textId="437E4899" w:rsidR="00510591" w:rsidRPr="00131031" w:rsidRDefault="00510591" w:rsidP="00880CEE">
            <w:pPr>
              <w:spacing w:before="60" w:after="60"/>
              <w:ind w:left="57" w:right="57"/>
              <w:rPr>
                <w:sz w:val="18"/>
                <w:szCs w:val="18"/>
                <w:lang w:val="fr-FR"/>
              </w:rPr>
            </w:pPr>
            <w:r w:rsidRPr="00131031">
              <w:rPr>
                <w:lang w:val="fr-FR"/>
              </w:rPr>
              <w:t xml:space="preserve">Autorise </w:t>
            </w:r>
            <w:r>
              <w:rPr>
                <w:lang w:val="fr-FR"/>
              </w:rPr>
              <w:t>le classement</w:t>
            </w:r>
            <w:r w:rsidRPr="00131031">
              <w:rPr>
                <w:lang w:val="fr-FR"/>
              </w:rPr>
              <w:t xml:space="preserve"> des appareils d</w:t>
            </w:r>
            <w:r>
              <w:rPr>
                <w:lang w:val="fr-FR"/>
              </w:rPr>
              <w:t>’</w:t>
            </w:r>
            <w:r w:rsidRPr="00131031">
              <w:rPr>
                <w:lang w:val="fr-FR"/>
              </w:rPr>
              <w:t xml:space="preserve">extinction par dispersion </w:t>
            </w:r>
            <w:r>
              <w:rPr>
                <w:lang w:val="fr-FR"/>
              </w:rPr>
              <w:t xml:space="preserve">sous le </w:t>
            </w:r>
            <w:r w:rsidRPr="00131031">
              <w:rPr>
                <w:lang w:val="fr-FR"/>
              </w:rPr>
              <w:t>N</w:t>
            </w:r>
            <w:r w:rsidRPr="003E1D13">
              <w:rPr>
                <w:vertAlign w:val="superscript"/>
                <w:lang w:val="fr-FR"/>
              </w:rPr>
              <w:t>o</w:t>
            </w:r>
            <w:r w:rsidR="003E1D13">
              <w:rPr>
                <w:lang w:val="fr-FR"/>
              </w:rPr>
              <w:t> </w:t>
            </w:r>
            <w:r w:rsidRPr="00131031">
              <w:rPr>
                <w:lang w:val="fr-FR"/>
              </w:rPr>
              <w:t>ONU</w:t>
            </w:r>
            <w:r w:rsidR="003E1D13">
              <w:rPr>
                <w:lang w:val="fr-FR"/>
              </w:rPr>
              <w:t> </w:t>
            </w:r>
            <w:r w:rsidRPr="00131031">
              <w:rPr>
                <w:lang w:val="fr-FR"/>
              </w:rPr>
              <w:t>3268, Dispositifs de sécurité, relevant de la classe 9</w:t>
            </w:r>
          </w:p>
        </w:tc>
      </w:tr>
      <w:tr w:rsidR="00510591" w:rsidRPr="004E0F32" w14:paraId="6A419AEE" w14:textId="77777777" w:rsidTr="00880CEE">
        <w:tc>
          <w:tcPr>
            <w:tcW w:w="1843" w:type="dxa"/>
          </w:tcPr>
          <w:p w14:paraId="34EA1F56" w14:textId="77777777" w:rsidR="00510591" w:rsidRPr="00131031" w:rsidRDefault="00510591" w:rsidP="00880CEE">
            <w:pPr>
              <w:spacing w:before="60" w:after="60"/>
              <w:ind w:left="57" w:right="57"/>
              <w:rPr>
                <w:sz w:val="18"/>
                <w:szCs w:val="18"/>
                <w:lang w:val="fr-FR"/>
              </w:rPr>
            </w:pPr>
            <w:r w:rsidRPr="00131031">
              <w:rPr>
                <w:lang w:val="fr-FR"/>
              </w:rPr>
              <w:t>Allemagne (BAM)</w:t>
            </w:r>
          </w:p>
        </w:tc>
        <w:tc>
          <w:tcPr>
            <w:tcW w:w="2126" w:type="dxa"/>
          </w:tcPr>
          <w:p w14:paraId="14C0EDE0" w14:textId="77777777" w:rsidR="00510591" w:rsidRPr="00131031" w:rsidRDefault="00510591" w:rsidP="00880CEE">
            <w:pPr>
              <w:spacing w:before="60" w:after="60"/>
              <w:ind w:left="57" w:right="57"/>
              <w:rPr>
                <w:sz w:val="18"/>
                <w:szCs w:val="18"/>
                <w:lang w:val="fr-FR"/>
              </w:rPr>
            </w:pPr>
            <w:r w:rsidRPr="00131031">
              <w:rPr>
                <w:lang w:val="fr-FR"/>
              </w:rPr>
              <w:t xml:space="preserve">Approbation </w:t>
            </w:r>
            <w:r>
              <w:rPr>
                <w:lang w:val="fr-FR"/>
              </w:rPr>
              <w:t>du classement</w:t>
            </w:r>
          </w:p>
        </w:tc>
        <w:tc>
          <w:tcPr>
            <w:tcW w:w="4253" w:type="dxa"/>
          </w:tcPr>
          <w:p w14:paraId="487276BA" w14:textId="387ECDB3" w:rsidR="00510591" w:rsidRPr="00131031" w:rsidRDefault="00510591" w:rsidP="00880CEE">
            <w:pPr>
              <w:spacing w:before="60" w:after="60"/>
              <w:ind w:left="57" w:right="57"/>
              <w:rPr>
                <w:sz w:val="18"/>
                <w:szCs w:val="18"/>
                <w:lang w:val="fr-FR"/>
              </w:rPr>
            </w:pPr>
            <w:r w:rsidRPr="00131031">
              <w:rPr>
                <w:lang w:val="fr-FR"/>
              </w:rPr>
              <w:t xml:space="preserve">Autorise </w:t>
            </w:r>
            <w:r>
              <w:rPr>
                <w:lang w:val="fr-FR"/>
              </w:rPr>
              <w:t>le classement</w:t>
            </w:r>
            <w:r w:rsidRPr="00131031">
              <w:rPr>
                <w:lang w:val="fr-FR"/>
              </w:rPr>
              <w:t xml:space="preserve"> des appareils d</w:t>
            </w:r>
            <w:r>
              <w:rPr>
                <w:lang w:val="fr-FR"/>
              </w:rPr>
              <w:t>’</w:t>
            </w:r>
            <w:r w:rsidRPr="00131031">
              <w:rPr>
                <w:lang w:val="fr-FR"/>
              </w:rPr>
              <w:t xml:space="preserve">extinction par dispersion </w:t>
            </w:r>
            <w:r>
              <w:rPr>
                <w:lang w:val="fr-FR"/>
              </w:rPr>
              <w:t>sous le</w:t>
            </w:r>
            <w:r w:rsidRPr="00131031" w:rsidDel="003B3400">
              <w:rPr>
                <w:lang w:val="fr-FR"/>
              </w:rPr>
              <w:t xml:space="preserve"> </w:t>
            </w:r>
            <w:r w:rsidRPr="00131031">
              <w:rPr>
                <w:lang w:val="fr-FR"/>
              </w:rPr>
              <w:t>N</w:t>
            </w:r>
            <w:r w:rsidRPr="003E1D13">
              <w:rPr>
                <w:vertAlign w:val="superscript"/>
                <w:lang w:val="fr-FR"/>
              </w:rPr>
              <w:t>o</w:t>
            </w:r>
            <w:r w:rsidR="003E1D13">
              <w:rPr>
                <w:lang w:val="fr-FR"/>
              </w:rPr>
              <w:t> </w:t>
            </w:r>
            <w:r w:rsidRPr="00131031">
              <w:rPr>
                <w:lang w:val="fr-FR"/>
              </w:rPr>
              <w:t>ONU 3268, Dispositifs de sécurité, relevant de la classe 9</w:t>
            </w:r>
          </w:p>
        </w:tc>
      </w:tr>
      <w:tr w:rsidR="00510591" w:rsidRPr="004E0F32" w14:paraId="74F3B4D6" w14:textId="77777777" w:rsidTr="00880CEE">
        <w:tc>
          <w:tcPr>
            <w:tcW w:w="1843" w:type="dxa"/>
            <w:shd w:val="clear" w:color="auto" w:fill="auto"/>
          </w:tcPr>
          <w:p w14:paraId="71E182BC" w14:textId="77777777" w:rsidR="00510591" w:rsidRPr="00131031" w:rsidRDefault="00510591" w:rsidP="00880CEE">
            <w:pPr>
              <w:spacing w:before="60" w:after="60"/>
              <w:ind w:left="57" w:right="57"/>
              <w:rPr>
                <w:sz w:val="18"/>
                <w:szCs w:val="18"/>
                <w:lang w:val="fr-FR"/>
              </w:rPr>
            </w:pPr>
            <w:r w:rsidRPr="00131031">
              <w:rPr>
                <w:lang w:val="fr-FR"/>
              </w:rPr>
              <w:t>Fédération de Russie</w:t>
            </w:r>
          </w:p>
        </w:tc>
        <w:tc>
          <w:tcPr>
            <w:tcW w:w="2126" w:type="dxa"/>
            <w:shd w:val="clear" w:color="auto" w:fill="auto"/>
          </w:tcPr>
          <w:p w14:paraId="7361642C" w14:textId="77777777" w:rsidR="00510591" w:rsidRPr="00131031" w:rsidRDefault="00510591" w:rsidP="00880CEE">
            <w:pPr>
              <w:spacing w:before="60" w:after="60"/>
              <w:ind w:left="57" w:right="57"/>
              <w:rPr>
                <w:sz w:val="18"/>
                <w:szCs w:val="18"/>
                <w:lang w:val="fr-FR"/>
              </w:rPr>
            </w:pPr>
            <w:r w:rsidRPr="00131031">
              <w:rPr>
                <w:lang w:val="fr-FR"/>
              </w:rPr>
              <w:t xml:space="preserve">Approbation </w:t>
            </w:r>
            <w:r>
              <w:rPr>
                <w:lang w:val="fr-FR"/>
              </w:rPr>
              <w:t>du classement</w:t>
            </w:r>
          </w:p>
        </w:tc>
        <w:tc>
          <w:tcPr>
            <w:tcW w:w="4253" w:type="dxa"/>
            <w:shd w:val="clear" w:color="auto" w:fill="auto"/>
          </w:tcPr>
          <w:p w14:paraId="7A4CF22D" w14:textId="47105271" w:rsidR="00510591" w:rsidRPr="00131031" w:rsidRDefault="00510591" w:rsidP="00880CEE">
            <w:pPr>
              <w:spacing w:before="60" w:after="60"/>
              <w:ind w:left="57" w:right="57"/>
              <w:rPr>
                <w:sz w:val="18"/>
                <w:szCs w:val="18"/>
                <w:lang w:val="fr-FR"/>
              </w:rPr>
            </w:pPr>
            <w:r w:rsidRPr="00131031">
              <w:rPr>
                <w:lang w:val="fr-FR"/>
              </w:rPr>
              <w:t xml:space="preserve">Autorise </w:t>
            </w:r>
            <w:r>
              <w:rPr>
                <w:lang w:val="fr-FR"/>
              </w:rPr>
              <w:t>le classement</w:t>
            </w:r>
            <w:r w:rsidRPr="00131031">
              <w:rPr>
                <w:lang w:val="fr-FR"/>
              </w:rPr>
              <w:t xml:space="preserve"> des appareils d</w:t>
            </w:r>
            <w:r>
              <w:rPr>
                <w:lang w:val="fr-FR"/>
              </w:rPr>
              <w:t>’</w:t>
            </w:r>
            <w:r w:rsidRPr="00131031">
              <w:rPr>
                <w:lang w:val="fr-FR"/>
              </w:rPr>
              <w:t xml:space="preserve">extinction par dispersion </w:t>
            </w:r>
            <w:r>
              <w:rPr>
                <w:lang w:val="fr-FR"/>
              </w:rPr>
              <w:t>sous le</w:t>
            </w:r>
            <w:r w:rsidRPr="00131031" w:rsidDel="003B3400">
              <w:rPr>
                <w:lang w:val="fr-FR"/>
              </w:rPr>
              <w:t xml:space="preserve"> </w:t>
            </w:r>
            <w:r w:rsidRPr="00131031">
              <w:rPr>
                <w:lang w:val="fr-FR"/>
              </w:rPr>
              <w:t>N</w:t>
            </w:r>
            <w:r w:rsidRPr="003E1D13">
              <w:rPr>
                <w:vertAlign w:val="superscript"/>
                <w:lang w:val="fr-FR"/>
              </w:rPr>
              <w:t>o</w:t>
            </w:r>
            <w:r w:rsidR="003E1D13">
              <w:rPr>
                <w:lang w:val="fr-FR"/>
              </w:rPr>
              <w:t> </w:t>
            </w:r>
            <w:r w:rsidRPr="00131031">
              <w:rPr>
                <w:lang w:val="fr-FR"/>
              </w:rPr>
              <w:t>ONU 3335</w:t>
            </w:r>
            <w:r>
              <w:rPr>
                <w:lang w:val="fr-FR"/>
              </w:rPr>
              <w:t>,</w:t>
            </w:r>
            <w:r w:rsidRPr="00131031">
              <w:rPr>
                <w:lang w:val="fr-FR"/>
              </w:rPr>
              <w:t xml:space="preserve"> Matière solide réglementée pour l</w:t>
            </w:r>
            <w:r>
              <w:rPr>
                <w:lang w:val="fr-FR"/>
              </w:rPr>
              <w:t>’</w:t>
            </w:r>
            <w:r w:rsidRPr="00131031">
              <w:rPr>
                <w:lang w:val="fr-FR"/>
              </w:rPr>
              <w:t>aviation, n.s.a.</w:t>
            </w:r>
          </w:p>
        </w:tc>
      </w:tr>
    </w:tbl>
    <w:p w14:paraId="446D65C3" w14:textId="77777777" w:rsidR="00510591" w:rsidRPr="00131031" w:rsidRDefault="00510591" w:rsidP="00880CEE">
      <w:pPr>
        <w:pStyle w:val="SingleTxtG"/>
        <w:spacing w:before="240"/>
        <w:rPr>
          <w:lang w:val="fr-FR"/>
        </w:rPr>
      </w:pPr>
      <w:r w:rsidRPr="00131031">
        <w:rPr>
          <w:lang w:val="fr-FR"/>
        </w:rPr>
        <w:t>5.</w:t>
      </w:r>
      <w:r w:rsidRPr="00131031">
        <w:rPr>
          <w:lang w:val="fr-FR"/>
        </w:rPr>
        <w:tab/>
      </w:r>
      <w:r>
        <w:rPr>
          <w:lang w:val="fr-FR"/>
        </w:rPr>
        <w:t>Lorsqu’ils ont été mis au point</w:t>
      </w:r>
      <w:r w:rsidRPr="00131031">
        <w:rPr>
          <w:lang w:val="fr-FR"/>
        </w:rPr>
        <w:t xml:space="preserve">, nombre de ces appareils étaient principalement </w:t>
      </w:r>
      <w:r>
        <w:rPr>
          <w:lang w:val="fr-FR"/>
        </w:rPr>
        <w:t xml:space="preserve">destinés aux véhicules </w:t>
      </w:r>
      <w:r w:rsidRPr="00131031">
        <w:rPr>
          <w:lang w:val="fr-FR"/>
        </w:rPr>
        <w:t xml:space="preserve">automobiles (voitures, autobus, trains, bateaux, etc.) et </w:t>
      </w:r>
      <w:r>
        <w:rPr>
          <w:lang w:val="fr-FR"/>
        </w:rPr>
        <w:t xml:space="preserve">pour ces utilisations </w:t>
      </w:r>
      <w:r w:rsidRPr="00131031">
        <w:rPr>
          <w:lang w:val="fr-FR"/>
        </w:rPr>
        <w:t>de nombreuses autorités compétentes ont estimé qu</w:t>
      </w:r>
      <w:r>
        <w:rPr>
          <w:lang w:val="fr-FR"/>
        </w:rPr>
        <w:t>’</w:t>
      </w:r>
      <w:r w:rsidRPr="00131031">
        <w:rPr>
          <w:lang w:val="fr-FR"/>
        </w:rPr>
        <w:t xml:space="preserve">ils remplissaient pleinement les conditions pour être classés </w:t>
      </w:r>
      <w:r>
        <w:rPr>
          <w:lang w:val="fr-FR"/>
        </w:rPr>
        <w:t>sous le</w:t>
      </w:r>
      <w:r w:rsidRPr="00131031">
        <w:rPr>
          <w:lang w:val="fr-FR"/>
        </w:rPr>
        <w:t xml:space="preserve"> numéro ONU 3268. Cependant,</w:t>
      </w:r>
      <w:r>
        <w:rPr>
          <w:lang w:val="fr-FR"/>
        </w:rPr>
        <w:t xml:space="preserve"> en raison de leur</w:t>
      </w:r>
      <w:r w:rsidRPr="00131031">
        <w:rPr>
          <w:lang w:val="fr-FR"/>
        </w:rPr>
        <w:t xml:space="preserve"> sécurité et d</w:t>
      </w:r>
      <w:r>
        <w:rPr>
          <w:lang w:val="fr-FR"/>
        </w:rPr>
        <w:t xml:space="preserve">e leur </w:t>
      </w:r>
      <w:r w:rsidRPr="00131031">
        <w:rPr>
          <w:lang w:val="fr-FR"/>
        </w:rPr>
        <w:t>efficacité, ils sont utilisés plus fréquemment dans les systèmes de protection contre l</w:t>
      </w:r>
      <w:r>
        <w:rPr>
          <w:lang w:val="fr-FR"/>
        </w:rPr>
        <w:t>’</w:t>
      </w:r>
      <w:r w:rsidRPr="00131031">
        <w:rPr>
          <w:lang w:val="fr-FR"/>
        </w:rPr>
        <w:t xml:space="preserve">incendie des bâtiments. </w:t>
      </w:r>
      <w:r>
        <w:rPr>
          <w:lang w:val="fr-FR"/>
        </w:rPr>
        <w:t>Cette</w:t>
      </w:r>
      <w:r w:rsidRPr="00131031">
        <w:rPr>
          <w:lang w:val="fr-FR"/>
        </w:rPr>
        <w:t xml:space="preserve"> utilisation dans les bâtiments et </w:t>
      </w:r>
      <w:r>
        <w:rPr>
          <w:lang w:val="fr-FR"/>
        </w:rPr>
        <w:t xml:space="preserve">pour </w:t>
      </w:r>
      <w:r w:rsidRPr="00131031">
        <w:rPr>
          <w:lang w:val="fr-FR"/>
        </w:rPr>
        <w:t xml:space="preserve">diverses applications fixes a </w:t>
      </w:r>
      <w:r>
        <w:rPr>
          <w:lang w:val="fr-FR"/>
        </w:rPr>
        <w:t>semé la</w:t>
      </w:r>
      <w:r w:rsidRPr="00131031">
        <w:rPr>
          <w:lang w:val="fr-FR"/>
        </w:rPr>
        <w:t xml:space="preserve"> confusion </w:t>
      </w:r>
      <w:r>
        <w:rPr>
          <w:lang w:val="fr-FR"/>
        </w:rPr>
        <w:t>quant à</w:t>
      </w:r>
      <w:r w:rsidRPr="00131031">
        <w:rPr>
          <w:lang w:val="fr-FR"/>
        </w:rPr>
        <w:t xml:space="preserve"> la question de savoir si les appareils classés </w:t>
      </w:r>
      <w:r>
        <w:rPr>
          <w:lang w:val="fr-FR"/>
        </w:rPr>
        <w:t>sous le</w:t>
      </w:r>
      <w:r w:rsidRPr="00131031">
        <w:rPr>
          <w:lang w:val="fr-FR"/>
        </w:rPr>
        <w:t xml:space="preserve"> numéro ONU 3268 devaient toujours être utilisés </w:t>
      </w:r>
      <w:r>
        <w:rPr>
          <w:lang w:val="fr-FR"/>
        </w:rPr>
        <w:t>à bord de</w:t>
      </w:r>
      <w:r w:rsidRPr="00131031">
        <w:rPr>
          <w:lang w:val="fr-FR"/>
        </w:rPr>
        <w:t xml:space="preserve"> véhicules ou pas.</w:t>
      </w:r>
    </w:p>
    <w:p w14:paraId="33E5B299" w14:textId="77777777" w:rsidR="00510591" w:rsidRPr="00131031" w:rsidRDefault="00510591" w:rsidP="00880CEE">
      <w:pPr>
        <w:pStyle w:val="SingleTxtG"/>
        <w:keepNext/>
        <w:rPr>
          <w:lang w:val="fr-FR"/>
        </w:rPr>
      </w:pPr>
      <w:r w:rsidRPr="00131031">
        <w:rPr>
          <w:lang w:val="fr-FR"/>
        </w:rPr>
        <w:t>6.</w:t>
      </w:r>
      <w:r w:rsidRPr="00131031">
        <w:rPr>
          <w:lang w:val="fr-FR"/>
        </w:rPr>
        <w:tab/>
      </w:r>
      <w:r>
        <w:rPr>
          <w:lang w:val="fr-FR"/>
        </w:rPr>
        <w:t>L</w:t>
      </w:r>
      <w:r w:rsidRPr="00131031">
        <w:rPr>
          <w:lang w:val="fr-FR"/>
        </w:rPr>
        <w:t>es appareils d</w:t>
      </w:r>
      <w:r>
        <w:rPr>
          <w:lang w:val="fr-FR"/>
        </w:rPr>
        <w:t>’</w:t>
      </w:r>
      <w:r w:rsidRPr="00131031">
        <w:rPr>
          <w:lang w:val="fr-FR"/>
        </w:rPr>
        <w:t xml:space="preserve">extinction par dispersion sont actuellement utilisés dans de nombreux types de véhicules différents, </w:t>
      </w:r>
      <w:r>
        <w:rPr>
          <w:lang w:val="fr-FR"/>
        </w:rPr>
        <w:t>tels que</w:t>
      </w:r>
      <w:r w:rsidRPr="00131031">
        <w:rPr>
          <w:lang w:val="fr-FR"/>
        </w:rPr>
        <w:t xml:space="preserve"> les véhicules militaires, les trains Eurostar et </w:t>
      </w:r>
      <w:r>
        <w:rPr>
          <w:lang w:val="fr-FR"/>
        </w:rPr>
        <w:t>les bateaux</w:t>
      </w:r>
      <w:r w:rsidRPr="00131031">
        <w:rPr>
          <w:lang w:val="fr-FR"/>
        </w:rPr>
        <w:t xml:space="preserve">. </w:t>
      </w:r>
      <w:r>
        <w:rPr>
          <w:lang w:val="fr-FR"/>
        </w:rPr>
        <w:t>Cette</w:t>
      </w:r>
      <w:r w:rsidRPr="00131031">
        <w:rPr>
          <w:lang w:val="fr-FR"/>
        </w:rPr>
        <w:t xml:space="preserve"> utilisation </w:t>
      </w:r>
      <w:r>
        <w:rPr>
          <w:lang w:val="fr-FR"/>
        </w:rPr>
        <w:t>repose sur le fait qu’ils offrent des avantages certains</w:t>
      </w:r>
      <w:r w:rsidRPr="00131031">
        <w:rPr>
          <w:lang w:val="fr-FR"/>
        </w:rPr>
        <w:t> :</w:t>
      </w:r>
    </w:p>
    <w:p w14:paraId="0E01595F" w14:textId="77777777" w:rsidR="00510591" w:rsidRPr="00131031" w:rsidRDefault="00510591" w:rsidP="00880CEE">
      <w:pPr>
        <w:pStyle w:val="Bullet1G"/>
        <w:rPr>
          <w:lang w:val="fr-FR"/>
        </w:rPr>
      </w:pPr>
      <w:r w:rsidRPr="00131031">
        <w:rPr>
          <w:lang w:val="fr-FR"/>
        </w:rPr>
        <w:t>Niveau élevé de fiabilité et d</w:t>
      </w:r>
      <w:r>
        <w:rPr>
          <w:lang w:val="fr-FR"/>
        </w:rPr>
        <w:t>’</w:t>
      </w:r>
      <w:r w:rsidRPr="00131031">
        <w:rPr>
          <w:lang w:val="fr-FR"/>
        </w:rPr>
        <w:t>efficacité</w:t>
      </w:r>
      <w:r>
        <w:rPr>
          <w:lang w:val="fr-FR"/>
        </w:rPr>
        <w:t> ;</w:t>
      </w:r>
    </w:p>
    <w:p w14:paraId="64CE576B" w14:textId="77777777" w:rsidR="00510591" w:rsidRPr="00131031" w:rsidRDefault="00510591" w:rsidP="00880CEE">
      <w:pPr>
        <w:pStyle w:val="Bullet1G"/>
        <w:rPr>
          <w:lang w:val="fr-FR"/>
        </w:rPr>
      </w:pPr>
      <w:r w:rsidRPr="00131031">
        <w:rPr>
          <w:lang w:val="fr-FR"/>
        </w:rPr>
        <w:t>Taille compacte et poids léger</w:t>
      </w:r>
      <w:r>
        <w:rPr>
          <w:lang w:val="fr-FR"/>
        </w:rPr>
        <w:t> ;</w:t>
      </w:r>
    </w:p>
    <w:p w14:paraId="5AFC8FC4" w14:textId="77777777" w:rsidR="00510591" w:rsidRPr="00131031" w:rsidRDefault="00510591" w:rsidP="00880CEE">
      <w:pPr>
        <w:pStyle w:val="Bullet1G"/>
        <w:rPr>
          <w:lang w:val="fr-FR"/>
        </w:rPr>
      </w:pPr>
      <w:r w:rsidRPr="00131031">
        <w:rPr>
          <w:lang w:val="fr-FR"/>
        </w:rPr>
        <w:t xml:space="preserve">Prescriptions et coûts </w:t>
      </w:r>
      <w:r>
        <w:rPr>
          <w:lang w:val="fr-FR"/>
        </w:rPr>
        <w:t xml:space="preserve">d’entretien </w:t>
      </w:r>
      <w:r w:rsidRPr="00131031">
        <w:rPr>
          <w:lang w:val="fr-FR"/>
        </w:rPr>
        <w:t>minimes</w:t>
      </w:r>
      <w:r>
        <w:rPr>
          <w:lang w:val="fr-FR"/>
        </w:rPr>
        <w:t> ;</w:t>
      </w:r>
    </w:p>
    <w:p w14:paraId="262441A0" w14:textId="77777777" w:rsidR="00510591" w:rsidRPr="00131031" w:rsidRDefault="00510591" w:rsidP="00880CEE">
      <w:pPr>
        <w:pStyle w:val="Bullet1G"/>
        <w:rPr>
          <w:lang w:val="fr-FR"/>
        </w:rPr>
      </w:pPr>
      <w:r w:rsidRPr="00131031">
        <w:rPr>
          <w:lang w:val="fr-FR"/>
        </w:rPr>
        <w:t>Résistance éprouvée aux variations de température, aux vibrations, aux chocs, à l</w:t>
      </w:r>
      <w:r>
        <w:rPr>
          <w:lang w:val="fr-FR"/>
        </w:rPr>
        <w:t>’</w:t>
      </w:r>
      <w:r w:rsidRPr="00131031">
        <w:rPr>
          <w:lang w:val="fr-FR"/>
        </w:rPr>
        <w:t>humidité, etc.</w:t>
      </w:r>
      <w:r>
        <w:rPr>
          <w:lang w:val="fr-FR"/>
        </w:rPr>
        <w:t> ;</w:t>
      </w:r>
    </w:p>
    <w:p w14:paraId="57F64E6C" w14:textId="77777777" w:rsidR="00510591" w:rsidRPr="00131031" w:rsidRDefault="00510591" w:rsidP="00880CEE">
      <w:pPr>
        <w:pStyle w:val="Bullet1G"/>
        <w:rPr>
          <w:lang w:val="fr-FR"/>
        </w:rPr>
      </w:pPr>
      <w:r w:rsidRPr="00131031">
        <w:rPr>
          <w:lang w:val="fr-FR"/>
        </w:rPr>
        <w:t>Faible coût d</w:t>
      </w:r>
      <w:r>
        <w:rPr>
          <w:lang w:val="fr-FR"/>
        </w:rPr>
        <w:t>’</w:t>
      </w:r>
      <w:r w:rsidRPr="00131031">
        <w:rPr>
          <w:lang w:val="fr-FR"/>
        </w:rPr>
        <w:t>achat et d</w:t>
      </w:r>
      <w:r>
        <w:rPr>
          <w:lang w:val="fr-FR"/>
        </w:rPr>
        <w:t>’</w:t>
      </w:r>
      <w:r w:rsidRPr="00131031">
        <w:rPr>
          <w:lang w:val="fr-FR"/>
        </w:rPr>
        <w:t>installation</w:t>
      </w:r>
      <w:r>
        <w:rPr>
          <w:lang w:val="fr-FR"/>
        </w:rPr>
        <w:t> ;</w:t>
      </w:r>
    </w:p>
    <w:p w14:paraId="1F2B6106" w14:textId="77777777" w:rsidR="00510591" w:rsidRPr="00131031" w:rsidRDefault="00510591" w:rsidP="00880CEE">
      <w:pPr>
        <w:pStyle w:val="Bullet1G"/>
        <w:rPr>
          <w:lang w:val="fr-FR"/>
        </w:rPr>
      </w:pPr>
      <w:r w:rsidRPr="00131031">
        <w:rPr>
          <w:lang w:val="fr-FR"/>
        </w:rPr>
        <w:t>Efficacité éprouvée contre les feux de batterie</w:t>
      </w:r>
      <w:r>
        <w:rPr>
          <w:lang w:val="fr-FR"/>
        </w:rPr>
        <w:t>s</w:t>
      </w:r>
      <w:r w:rsidRPr="00131031">
        <w:rPr>
          <w:lang w:val="fr-FR"/>
        </w:rPr>
        <w:t xml:space="preserve"> au lithium.</w:t>
      </w:r>
    </w:p>
    <w:p w14:paraId="5E35EA36" w14:textId="3A859193" w:rsidR="00510591" w:rsidRPr="00131031" w:rsidRDefault="00510591" w:rsidP="00880CEE">
      <w:pPr>
        <w:pStyle w:val="SingleTxtG"/>
        <w:rPr>
          <w:lang w:val="fr-FR"/>
        </w:rPr>
      </w:pPr>
      <w:r w:rsidRPr="00131031">
        <w:rPr>
          <w:lang w:val="fr-FR"/>
        </w:rPr>
        <w:t>7.</w:t>
      </w:r>
      <w:r w:rsidRPr="00131031">
        <w:rPr>
          <w:lang w:val="fr-FR"/>
        </w:rPr>
        <w:tab/>
        <w:t>Ces appareils sont extrêmement efficaces pour éteindre les feux de batterie</w:t>
      </w:r>
      <w:r>
        <w:rPr>
          <w:lang w:val="fr-FR"/>
        </w:rPr>
        <w:t>s</w:t>
      </w:r>
      <w:r w:rsidRPr="00131031">
        <w:rPr>
          <w:lang w:val="fr-FR"/>
        </w:rPr>
        <w:t xml:space="preserve"> au lithium et sont donc utilisés de plus en plus fréquemment dans les systèmes de stockage de l</w:t>
      </w:r>
      <w:r>
        <w:rPr>
          <w:lang w:val="fr-FR"/>
        </w:rPr>
        <w:t>’</w:t>
      </w:r>
      <w:r w:rsidRPr="00131031">
        <w:rPr>
          <w:lang w:val="fr-FR"/>
        </w:rPr>
        <w:t xml:space="preserve">énergie </w:t>
      </w:r>
      <w:r>
        <w:rPr>
          <w:lang w:val="fr-FR"/>
        </w:rPr>
        <w:t>à</w:t>
      </w:r>
      <w:r w:rsidRPr="00131031">
        <w:rPr>
          <w:lang w:val="fr-FR"/>
        </w:rPr>
        <w:t xml:space="preserve"> batteries, les centres d</w:t>
      </w:r>
      <w:r>
        <w:rPr>
          <w:lang w:val="fr-FR"/>
        </w:rPr>
        <w:t>’</w:t>
      </w:r>
      <w:r w:rsidRPr="00131031">
        <w:rPr>
          <w:lang w:val="fr-FR"/>
        </w:rPr>
        <w:t>informatique en nuage et les équipements de charge, par exemple pour les v</w:t>
      </w:r>
      <w:r w:rsidRPr="00036981">
        <w:rPr>
          <w:lang w:val="fr-FR"/>
        </w:rPr>
        <w:t>élos et les scooters électriques. Lorsqu</w:t>
      </w:r>
      <w:r>
        <w:rPr>
          <w:lang w:val="fr-FR"/>
        </w:rPr>
        <w:t>’</w:t>
      </w:r>
      <w:r w:rsidRPr="00036981">
        <w:rPr>
          <w:lang w:val="fr-FR"/>
        </w:rPr>
        <w:t>ils sont utilisés dans des conteneurs</w:t>
      </w:r>
      <w:r w:rsidRPr="00131031">
        <w:rPr>
          <w:i/>
          <w:iCs/>
          <w:lang w:val="fr-FR"/>
        </w:rPr>
        <w:t xml:space="preserve"> </w:t>
      </w:r>
      <w:r w:rsidRPr="00131031">
        <w:rPr>
          <w:lang w:val="fr-FR"/>
        </w:rPr>
        <w:t>équipés de batteries</w:t>
      </w:r>
      <w:r>
        <w:rPr>
          <w:lang w:val="fr-FR"/>
        </w:rPr>
        <w:t xml:space="preserve"> en série</w:t>
      </w:r>
      <w:r w:rsidRPr="00131031">
        <w:rPr>
          <w:lang w:val="fr-FR"/>
        </w:rPr>
        <w:t xml:space="preserve"> et transportés </w:t>
      </w:r>
      <w:r>
        <w:rPr>
          <w:lang w:val="fr-FR"/>
        </w:rPr>
        <w:t>sous le</w:t>
      </w:r>
      <w:r w:rsidRPr="00131031">
        <w:rPr>
          <w:lang w:val="fr-FR"/>
        </w:rPr>
        <w:t xml:space="preserve"> No</w:t>
      </w:r>
      <w:r w:rsidR="003E1D13">
        <w:rPr>
          <w:lang w:val="fr-FR"/>
        </w:rPr>
        <w:t> </w:t>
      </w:r>
      <w:r w:rsidRPr="00131031">
        <w:rPr>
          <w:lang w:val="fr-FR"/>
        </w:rPr>
        <w:t>ONU</w:t>
      </w:r>
      <w:r w:rsidR="003E1D13">
        <w:rPr>
          <w:lang w:val="fr-FR"/>
        </w:rPr>
        <w:t> </w:t>
      </w:r>
      <w:r w:rsidRPr="00131031">
        <w:rPr>
          <w:lang w:val="fr-FR"/>
        </w:rPr>
        <w:t xml:space="preserve">3536, Batteries au lithium installées dans des engins de transport, ils </w:t>
      </w:r>
      <w:r w:rsidRPr="00036981">
        <w:rPr>
          <w:lang w:val="fr-FR"/>
        </w:rPr>
        <w:t xml:space="preserve">ne sont pas soumis à la </w:t>
      </w:r>
      <w:r w:rsidRPr="00131031">
        <w:rPr>
          <w:lang w:val="fr-FR"/>
        </w:rPr>
        <w:t>disposition spéciale 389</w:t>
      </w:r>
      <w:r w:rsidR="00880CEE">
        <w:rPr>
          <w:lang w:val="fr-FR"/>
        </w:rPr>
        <w:t> </w:t>
      </w:r>
      <w:r w:rsidRPr="00131031">
        <w:rPr>
          <w:lang w:val="fr-FR"/>
        </w:rPr>
        <w:t xml:space="preserve">: </w:t>
      </w:r>
      <w:r>
        <w:rPr>
          <w:lang w:val="fr-FR"/>
        </w:rPr>
        <w:t>« </w:t>
      </w:r>
      <w:r w:rsidRPr="00131031">
        <w:rPr>
          <w:lang w:val="fr-FR"/>
        </w:rPr>
        <w:t>Lorsqu</w:t>
      </w:r>
      <w:r>
        <w:rPr>
          <w:lang w:val="fr-FR"/>
        </w:rPr>
        <w:t>’</w:t>
      </w:r>
      <w:r w:rsidRPr="00131031">
        <w:rPr>
          <w:lang w:val="fr-FR"/>
        </w:rPr>
        <w:t>elles servent à assurer la sécurité et le bon fonctionnement d</w:t>
      </w:r>
      <w:r>
        <w:rPr>
          <w:lang w:val="fr-FR"/>
        </w:rPr>
        <w:t>’</w:t>
      </w:r>
      <w:r w:rsidRPr="00131031">
        <w:rPr>
          <w:lang w:val="fr-FR"/>
        </w:rPr>
        <w:t>installations de lutte contre l</w:t>
      </w:r>
      <w:r>
        <w:rPr>
          <w:lang w:val="fr-FR"/>
        </w:rPr>
        <w:t>’</w:t>
      </w:r>
      <w:r w:rsidRPr="00131031">
        <w:rPr>
          <w:lang w:val="fr-FR"/>
        </w:rPr>
        <w:t>incendie et de systèmes de climatisation, les marchandises dangereuses à bord d</w:t>
      </w:r>
      <w:r>
        <w:rPr>
          <w:lang w:val="fr-FR"/>
        </w:rPr>
        <w:t>’</w:t>
      </w:r>
      <w:r w:rsidRPr="00131031">
        <w:rPr>
          <w:lang w:val="fr-FR"/>
        </w:rPr>
        <w:t>engins de transport fermés doivent y être correctement fixées ou installées et ne sont pas visées par le présent Règlement.</w:t>
      </w:r>
      <w:r>
        <w:rPr>
          <w:lang w:val="fr-FR"/>
        </w:rPr>
        <w:t> ».</w:t>
      </w:r>
      <w:r w:rsidRPr="00131031">
        <w:rPr>
          <w:lang w:val="fr-FR"/>
        </w:rPr>
        <w:t xml:space="preserve"> Les fabricants d</w:t>
      </w:r>
      <w:r>
        <w:rPr>
          <w:lang w:val="fr-FR"/>
        </w:rPr>
        <w:t>’</w:t>
      </w:r>
      <w:r w:rsidRPr="00131031">
        <w:rPr>
          <w:lang w:val="fr-FR"/>
        </w:rPr>
        <w:t>emballages envisagent d</w:t>
      </w:r>
      <w:r>
        <w:rPr>
          <w:lang w:val="fr-FR"/>
        </w:rPr>
        <w:t>’</w:t>
      </w:r>
      <w:r w:rsidRPr="00131031">
        <w:rPr>
          <w:lang w:val="fr-FR"/>
        </w:rPr>
        <w:t>installer les appareils d</w:t>
      </w:r>
      <w:r>
        <w:rPr>
          <w:lang w:val="fr-FR"/>
        </w:rPr>
        <w:t>’</w:t>
      </w:r>
      <w:r w:rsidRPr="00131031">
        <w:rPr>
          <w:lang w:val="fr-FR"/>
        </w:rPr>
        <w:t>extinction de feu en tant que dispositif de sécurité supplémentaire dans les emballages utilisés pour le transport des batteries au lithium, et en particulier pour le transport des batteries endommagées ou défectueuses. Enfin, le COSTHA a appris que plusieurs constructeurs de véhicules mus par accumulateurs envisag</w:t>
      </w:r>
      <w:r>
        <w:rPr>
          <w:lang w:val="fr-FR"/>
        </w:rPr>
        <w:t>ea</w:t>
      </w:r>
      <w:r w:rsidRPr="00131031">
        <w:rPr>
          <w:lang w:val="fr-FR"/>
        </w:rPr>
        <w:t>ient d</w:t>
      </w:r>
      <w:r>
        <w:rPr>
          <w:lang w:val="fr-FR"/>
        </w:rPr>
        <w:t>’</w:t>
      </w:r>
      <w:r w:rsidRPr="00131031">
        <w:rPr>
          <w:lang w:val="fr-FR"/>
        </w:rPr>
        <w:t xml:space="preserve">utiliser ces appareils pour </w:t>
      </w:r>
      <w:r>
        <w:rPr>
          <w:lang w:val="fr-FR"/>
        </w:rPr>
        <w:t>améliorer la</w:t>
      </w:r>
      <w:r w:rsidRPr="00131031">
        <w:rPr>
          <w:lang w:val="fr-FR"/>
        </w:rPr>
        <w:t xml:space="preserve"> sécurité, car il s</w:t>
      </w:r>
      <w:r>
        <w:rPr>
          <w:lang w:val="fr-FR"/>
        </w:rPr>
        <w:t>’</w:t>
      </w:r>
      <w:r w:rsidRPr="00131031">
        <w:rPr>
          <w:lang w:val="fr-FR"/>
        </w:rPr>
        <w:t>agit du meilleur moyen d</w:t>
      </w:r>
      <w:r>
        <w:rPr>
          <w:lang w:val="fr-FR"/>
        </w:rPr>
        <w:t>’</w:t>
      </w:r>
      <w:r w:rsidRPr="00131031">
        <w:rPr>
          <w:lang w:val="fr-FR"/>
        </w:rPr>
        <w:t>éteindre les feux de batterie</w:t>
      </w:r>
      <w:r>
        <w:rPr>
          <w:lang w:val="fr-FR"/>
        </w:rPr>
        <w:t>s</w:t>
      </w:r>
      <w:r w:rsidRPr="00131031">
        <w:rPr>
          <w:lang w:val="fr-FR"/>
        </w:rPr>
        <w:t xml:space="preserve"> au lithium utilisée</w:t>
      </w:r>
      <w:r>
        <w:rPr>
          <w:lang w:val="fr-FR"/>
        </w:rPr>
        <w:t>s</w:t>
      </w:r>
      <w:r w:rsidRPr="00131031">
        <w:rPr>
          <w:lang w:val="fr-FR"/>
        </w:rPr>
        <w:t xml:space="preserve"> dans les véhicules électriques.</w:t>
      </w:r>
    </w:p>
    <w:p w14:paraId="5566FAF3" w14:textId="77777777" w:rsidR="00510591" w:rsidRPr="00880CEE" w:rsidRDefault="00510591" w:rsidP="00880CEE">
      <w:pPr>
        <w:pStyle w:val="SingleTxtG"/>
        <w:rPr>
          <w:lang w:val="fr-FR"/>
        </w:rPr>
      </w:pPr>
      <w:r w:rsidRPr="00131031">
        <w:rPr>
          <w:lang w:val="fr-FR"/>
        </w:rPr>
        <w:t>8.</w:t>
      </w:r>
      <w:r w:rsidRPr="00131031">
        <w:rPr>
          <w:lang w:val="fr-FR"/>
        </w:rPr>
        <w:tab/>
        <w:t xml:space="preserve">Des millions de ces </w:t>
      </w:r>
      <w:r w:rsidRPr="00880CEE">
        <w:rPr>
          <w:lang w:val="fr-FR"/>
        </w:rPr>
        <w:t xml:space="preserve">appareils sont expédiés en toute sécurité en tant que marchandises en vertu des autorisations et des exceptions énumérées ci-dessus, soit sous la classe 9, soit hors réglementation. </w:t>
      </w:r>
      <w:proofErr w:type="gramStart"/>
      <w:r w:rsidRPr="00880CEE">
        <w:rPr>
          <w:lang w:val="fr-FR"/>
        </w:rPr>
        <w:t>De par</w:t>
      </w:r>
      <w:proofErr w:type="gramEnd"/>
      <w:r w:rsidRPr="00880CEE">
        <w:rPr>
          <w:lang w:val="fr-FR"/>
        </w:rPr>
        <w:t xml:space="preserve"> leur conception, ces appareils sont robustes et appropriés pour éteindre les feux. Ils ne favorisent pas la propagation et, lorsqu’un incendie se déclare en cours transport, ils peuvent intervenir en urgence en éteignant la source externe d’incendie.</w:t>
      </w:r>
    </w:p>
    <w:p w14:paraId="6AB6143E" w14:textId="77777777" w:rsidR="00510591" w:rsidRPr="00131031" w:rsidRDefault="00510591" w:rsidP="00880CEE">
      <w:pPr>
        <w:pStyle w:val="SingleTxtG"/>
        <w:keepNext/>
        <w:rPr>
          <w:lang w:val="fr-FR"/>
        </w:rPr>
      </w:pPr>
      <w:r w:rsidRPr="00880CEE">
        <w:rPr>
          <w:lang w:val="fr-FR"/>
        </w:rPr>
        <w:t>9.</w:t>
      </w:r>
      <w:r w:rsidRPr="00880CEE">
        <w:rPr>
          <w:lang w:val="fr-FR"/>
        </w:rPr>
        <w:tab/>
        <w:t>Lors des précédents débats, des préoccupations ont été</w:t>
      </w:r>
      <w:r w:rsidRPr="00131031">
        <w:rPr>
          <w:lang w:val="fr-FR"/>
        </w:rPr>
        <w:t xml:space="preserve"> exprimées quant à la toxicité des aérosols diffusés par ces appareils. L</w:t>
      </w:r>
      <w:r>
        <w:rPr>
          <w:lang w:val="fr-FR"/>
        </w:rPr>
        <w:t>’</w:t>
      </w:r>
      <w:r w:rsidRPr="00131031">
        <w:rPr>
          <w:lang w:val="fr-FR"/>
        </w:rPr>
        <w:t>Agence de protection de l</w:t>
      </w:r>
      <w:r>
        <w:rPr>
          <w:lang w:val="fr-FR"/>
        </w:rPr>
        <w:t>’</w:t>
      </w:r>
      <w:r w:rsidRPr="00131031">
        <w:rPr>
          <w:lang w:val="fr-FR"/>
        </w:rPr>
        <w:t>environnement (EPA) des États-Unis utilise une procédure d</w:t>
      </w:r>
      <w:r>
        <w:rPr>
          <w:lang w:val="fr-FR"/>
        </w:rPr>
        <w:t>’</w:t>
      </w:r>
      <w:r w:rsidRPr="00131031">
        <w:rPr>
          <w:lang w:val="fr-FR"/>
        </w:rPr>
        <w:t>essai éprouvée dans le cadre de son programme SNAP (Significant New Alternatives Program)</w:t>
      </w:r>
      <w:r>
        <w:rPr>
          <w:lang w:val="fr-FR"/>
        </w:rPr>
        <w:t>, pour évaluer l</w:t>
      </w:r>
      <w:r w:rsidRPr="00131031">
        <w:rPr>
          <w:lang w:val="fr-FR"/>
        </w:rPr>
        <w:t>es agents extincteurs et les classe</w:t>
      </w:r>
      <w:r>
        <w:rPr>
          <w:lang w:val="fr-FR"/>
        </w:rPr>
        <w:t>r</w:t>
      </w:r>
      <w:r w:rsidRPr="00131031">
        <w:rPr>
          <w:lang w:val="fr-FR"/>
        </w:rPr>
        <w:t xml:space="preserve"> dans l</w:t>
      </w:r>
      <w:r>
        <w:rPr>
          <w:lang w:val="fr-FR"/>
        </w:rPr>
        <w:t>’</w:t>
      </w:r>
      <w:r w:rsidRPr="00131031">
        <w:rPr>
          <w:lang w:val="fr-FR"/>
        </w:rPr>
        <w:t>une des catégories suivantes :</w:t>
      </w:r>
    </w:p>
    <w:p w14:paraId="663371CD" w14:textId="6FEC7452" w:rsidR="00510591" w:rsidRPr="00131031" w:rsidRDefault="00510591" w:rsidP="00880CEE">
      <w:pPr>
        <w:pStyle w:val="SingleTxtG"/>
        <w:ind w:left="1701"/>
        <w:rPr>
          <w:lang w:val="fr-FR"/>
        </w:rPr>
      </w:pPr>
      <w:r w:rsidRPr="00131031">
        <w:rPr>
          <w:lang w:val="fr-FR"/>
        </w:rPr>
        <w:t>a)</w:t>
      </w:r>
      <w:r w:rsidRPr="00131031">
        <w:rPr>
          <w:lang w:val="fr-FR"/>
        </w:rPr>
        <w:tab/>
        <w:t xml:space="preserve">Convient aux espaces </w:t>
      </w:r>
      <w:r>
        <w:rPr>
          <w:lang w:val="fr-FR"/>
        </w:rPr>
        <w:t>inhabités</w:t>
      </w:r>
      <w:r w:rsidRPr="00131031">
        <w:rPr>
          <w:lang w:val="fr-FR"/>
        </w:rPr>
        <w:t xml:space="preserve"> (il s</w:t>
      </w:r>
      <w:r>
        <w:rPr>
          <w:lang w:val="fr-FR"/>
        </w:rPr>
        <w:t>’</w:t>
      </w:r>
      <w:r w:rsidRPr="00131031">
        <w:rPr>
          <w:lang w:val="fr-FR"/>
        </w:rPr>
        <w:t>agit d</w:t>
      </w:r>
      <w:r>
        <w:rPr>
          <w:lang w:val="fr-FR"/>
        </w:rPr>
        <w:t>’</w:t>
      </w:r>
      <w:r w:rsidRPr="00131031">
        <w:rPr>
          <w:lang w:val="fr-FR"/>
        </w:rPr>
        <w:t xml:space="preserve">un </w:t>
      </w:r>
      <w:r w:rsidRPr="005A2DD7">
        <w:rPr>
          <w:lang w:val="fr-FR"/>
        </w:rPr>
        <w:t>agrément</w:t>
      </w:r>
      <w:r w:rsidRPr="00131031">
        <w:rPr>
          <w:lang w:val="fr-FR"/>
        </w:rPr>
        <w:t xml:space="preserve"> relatif à l</w:t>
      </w:r>
      <w:r>
        <w:rPr>
          <w:lang w:val="fr-FR"/>
        </w:rPr>
        <w:t>’</w:t>
      </w:r>
      <w:r w:rsidRPr="00131031">
        <w:rPr>
          <w:lang w:val="fr-FR"/>
        </w:rPr>
        <w:t>environnement</w:t>
      </w:r>
      <w:r>
        <w:rPr>
          <w:lang w:val="fr-FR"/>
        </w:rPr>
        <w:t> </w:t>
      </w:r>
      <w:r w:rsidRPr="00131031">
        <w:rPr>
          <w:lang w:val="fr-FR"/>
        </w:rPr>
        <w:t>: les aérosols peuvent être de loin supérieurs à la plupart des autres agents car ils ne détériorent pas la couche d</w:t>
      </w:r>
      <w:r>
        <w:rPr>
          <w:lang w:val="fr-FR"/>
        </w:rPr>
        <w:t>’</w:t>
      </w:r>
      <w:r w:rsidRPr="00131031">
        <w:rPr>
          <w:lang w:val="fr-FR"/>
        </w:rPr>
        <w:t>ozone, ont des effets négligeables sur le réchauffement de la planète et ne restent présents que très brièvement dans l</w:t>
      </w:r>
      <w:r>
        <w:rPr>
          <w:lang w:val="fr-FR"/>
        </w:rPr>
        <w:t>’</w:t>
      </w:r>
      <w:r w:rsidRPr="00131031">
        <w:rPr>
          <w:lang w:val="fr-FR"/>
        </w:rPr>
        <w:t>atmosphère)</w:t>
      </w:r>
      <w:r w:rsidR="00880CEE">
        <w:rPr>
          <w:lang w:val="fr-FR"/>
        </w:rPr>
        <w:t> </w:t>
      </w:r>
      <w:r w:rsidRPr="00131031">
        <w:rPr>
          <w:lang w:val="fr-FR"/>
        </w:rPr>
        <w:t>;</w:t>
      </w:r>
    </w:p>
    <w:p w14:paraId="5EA1B929" w14:textId="61FCB33A" w:rsidR="00510591" w:rsidRPr="00131031" w:rsidRDefault="00510591" w:rsidP="00880CEE">
      <w:pPr>
        <w:pStyle w:val="SingleTxtG"/>
        <w:ind w:left="1701"/>
        <w:rPr>
          <w:lang w:val="fr-FR"/>
        </w:rPr>
      </w:pPr>
      <w:r w:rsidRPr="00131031">
        <w:rPr>
          <w:lang w:val="fr-FR"/>
        </w:rPr>
        <w:t>b)</w:t>
      </w:r>
      <w:r w:rsidRPr="00131031">
        <w:rPr>
          <w:lang w:val="fr-FR"/>
        </w:rPr>
        <w:tab/>
        <w:t xml:space="preserve">Convient aux espaces </w:t>
      </w:r>
      <w:r>
        <w:rPr>
          <w:lang w:val="fr-FR"/>
        </w:rPr>
        <w:t xml:space="preserve">habités </w:t>
      </w:r>
      <w:r w:rsidRPr="00131031">
        <w:rPr>
          <w:lang w:val="fr-FR"/>
        </w:rPr>
        <w:t>(il s</w:t>
      </w:r>
      <w:r>
        <w:rPr>
          <w:lang w:val="fr-FR"/>
        </w:rPr>
        <w:t>’</w:t>
      </w:r>
      <w:r w:rsidRPr="00131031">
        <w:rPr>
          <w:lang w:val="fr-FR"/>
        </w:rPr>
        <w:t>agit d</w:t>
      </w:r>
      <w:r>
        <w:rPr>
          <w:lang w:val="fr-FR"/>
        </w:rPr>
        <w:t>’</w:t>
      </w:r>
      <w:r w:rsidRPr="00131031">
        <w:rPr>
          <w:lang w:val="fr-FR"/>
        </w:rPr>
        <w:t>un agrément relatif à la santé et à la sécurité fondé sur des essais médicaux indépendants</w:t>
      </w:r>
      <w:r w:rsidR="003E1D13">
        <w:rPr>
          <w:lang w:val="fr-FR"/>
        </w:rPr>
        <w:t> </w:t>
      </w:r>
      <w:r w:rsidRPr="00131031">
        <w:rPr>
          <w:lang w:val="fr-FR"/>
        </w:rPr>
        <w:t>: une brève exposition de l</w:t>
      </w:r>
      <w:r>
        <w:rPr>
          <w:lang w:val="fr-FR"/>
        </w:rPr>
        <w:t>’</w:t>
      </w:r>
      <w:r w:rsidRPr="00131031">
        <w:rPr>
          <w:lang w:val="fr-FR"/>
        </w:rPr>
        <w:t>organisme humain aux aérosols a été jugée acceptable ; elle est de loin préférable à l</w:t>
      </w:r>
      <w:r>
        <w:rPr>
          <w:lang w:val="fr-FR"/>
        </w:rPr>
        <w:t>’</w:t>
      </w:r>
      <w:r w:rsidRPr="00131031">
        <w:rPr>
          <w:lang w:val="fr-FR"/>
        </w:rPr>
        <w:t>inhalation des produits de combustion d</w:t>
      </w:r>
      <w:r>
        <w:rPr>
          <w:lang w:val="fr-FR"/>
        </w:rPr>
        <w:t>’</w:t>
      </w:r>
      <w:r w:rsidRPr="00131031">
        <w:rPr>
          <w:lang w:val="fr-FR"/>
        </w:rPr>
        <w:t>un feu ou à d</w:t>
      </w:r>
      <w:r>
        <w:rPr>
          <w:lang w:val="fr-FR"/>
        </w:rPr>
        <w:t>’</w:t>
      </w:r>
      <w:r w:rsidRPr="00131031">
        <w:rPr>
          <w:lang w:val="fr-FR"/>
        </w:rPr>
        <w:t>autres méthodes d</w:t>
      </w:r>
      <w:r>
        <w:rPr>
          <w:lang w:val="fr-FR"/>
        </w:rPr>
        <w:t>’</w:t>
      </w:r>
      <w:r w:rsidRPr="00131031">
        <w:rPr>
          <w:lang w:val="fr-FR"/>
        </w:rPr>
        <w:t xml:space="preserve">extinction des feux, telles que le </w:t>
      </w:r>
      <w:r w:rsidRPr="004A3D5A">
        <w:rPr>
          <w:lang w:val="fr-FR"/>
        </w:rPr>
        <w:t>déplacement</w:t>
      </w:r>
      <w:r w:rsidRPr="00131031">
        <w:rPr>
          <w:lang w:val="fr-FR"/>
        </w:rPr>
        <w:t xml:space="preserve"> </w:t>
      </w:r>
      <w:proofErr w:type="gramStart"/>
      <w:r w:rsidRPr="00131031">
        <w:rPr>
          <w:lang w:val="fr-FR"/>
        </w:rPr>
        <w:t>de halon</w:t>
      </w:r>
      <w:proofErr w:type="gramEnd"/>
      <w:r w:rsidRPr="00131031">
        <w:rPr>
          <w:lang w:val="fr-FR"/>
        </w:rPr>
        <w:t xml:space="preserve"> ou d</w:t>
      </w:r>
      <w:r>
        <w:rPr>
          <w:lang w:val="fr-FR"/>
        </w:rPr>
        <w:t>’</w:t>
      </w:r>
      <w:r w:rsidRPr="00131031">
        <w:rPr>
          <w:lang w:val="fr-FR"/>
        </w:rPr>
        <w:t>oxygène).</w:t>
      </w:r>
    </w:p>
    <w:p w14:paraId="7D49451D" w14:textId="33FBC2CA" w:rsidR="00510591" w:rsidRPr="00131031" w:rsidRDefault="00510591" w:rsidP="00880CEE">
      <w:pPr>
        <w:pStyle w:val="SingleTxtG"/>
        <w:rPr>
          <w:lang w:val="fr-FR"/>
        </w:rPr>
      </w:pPr>
      <w:r w:rsidRPr="00131031">
        <w:rPr>
          <w:lang w:val="fr-FR"/>
        </w:rPr>
        <w:t>10.</w:t>
      </w:r>
      <w:r w:rsidRPr="00131031">
        <w:rPr>
          <w:lang w:val="fr-FR"/>
        </w:rPr>
        <w:tab/>
      </w:r>
      <w:r>
        <w:rPr>
          <w:lang w:val="fr-FR"/>
        </w:rPr>
        <w:t>L</w:t>
      </w:r>
      <w:r w:rsidRPr="00131031">
        <w:rPr>
          <w:lang w:val="fr-FR"/>
        </w:rPr>
        <w:t xml:space="preserve">es experts </w:t>
      </w:r>
      <w:r>
        <w:rPr>
          <w:lang w:val="fr-FR"/>
        </w:rPr>
        <w:t xml:space="preserve">ont également fait part de leur souci </w:t>
      </w:r>
      <w:r w:rsidRPr="00131031">
        <w:rPr>
          <w:lang w:val="fr-FR"/>
        </w:rPr>
        <w:t>de disposer de normes de fabrication concernant les appareils d</w:t>
      </w:r>
      <w:r>
        <w:rPr>
          <w:lang w:val="fr-FR"/>
        </w:rPr>
        <w:t>’</w:t>
      </w:r>
      <w:r w:rsidRPr="00131031">
        <w:rPr>
          <w:lang w:val="fr-FR"/>
        </w:rPr>
        <w:t xml:space="preserve">extinction par dispersion. Il existe actuellement des normes internationales et régionales relatives à la fabrication et à la mise sur le marché de ces appareils. La norme ISO 15779 </w:t>
      </w:r>
      <w:r>
        <w:rPr>
          <w:lang w:val="fr-FR"/>
        </w:rPr>
        <w:t>(« </w:t>
      </w:r>
      <w:r w:rsidRPr="00131031">
        <w:rPr>
          <w:lang w:val="fr-FR"/>
        </w:rPr>
        <w:t>Systèmes d</w:t>
      </w:r>
      <w:r>
        <w:rPr>
          <w:lang w:val="fr-FR"/>
        </w:rPr>
        <w:t>’</w:t>
      </w:r>
      <w:r w:rsidRPr="00131031">
        <w:rPr>
          <w:lang w:val="fr-FR"/>
        </w:rPr>
        <w:t>extinction d</w:t>
      </w:r>
      <w:r>
        <w:rPr>
          <w:lang w:val="fr-FR"/>
        </w:rPr>
        <w:t>’</w:t>
      </w:r>
      <w:r w:rsidRPr="00131031">
        <w:rPr>
          <w:lang w:val="fr-FR"/>
        </w:rPr>
        <w:t xml:space="preserve">incendie utilisant des aérosols </w:t>
      </w:r>
      <w:r w:rsidR="00880CEE">
        <w:rPr>
          <w:lang w:val="fr-FR"/>
        </w:rPr>
        <w:t>−</w:t>
      </w:r>
      <w:r w:rsidR="00347A8D">
        <w:rPr>
          <w:lang w:val="fr-FR"/>
        </w:rPr>
        <w:t> </w:t>
      </w:r>
      <w:r w:rsidRPr="00131031">
        <w:rPr>
          <w:lang w:val="fr-FR"/>
        </w:rPr>
        <w:t>Exigences et méthodes d</w:t>
      </w:r>
      <w:r>
        <w:rPr>
          <w:lang w:val="fr-FR"/>
        </w:rPr>
        <w:t>’</w:t>
      </w:r>
      <w:r w:rsidRPr="00131031">
        <w:rPr>
          <w:lang w:val="fr-FR"/>
        </w:rPr>
        <w:t>essai pour la conception des composants et des systèmes, l</w:t>
      </w:r>
      <w:r>
        <w:rPr>
          <w:lang w:val="fr-FR"/>
        </w:rPr>
        <w:t>’</w:t>
      </w:r>
      <w:r w:rsidRPr="00131031">
        <w:rPr>
          <w:lang w:val="fr-FR"/>
        </w:rPr>
        <w:t>installation et l</w:t>
      </w:r>
      <w:r>
        <w:rPr>
          <w:lang w:val="fr-FR"/>
        </w:rPr>
        <w:t>’</w:t>
      </w:r>
      <w:r w:rsidRPr="00131031">
        <w:rPr>
          <w:lang w:val="fr-FR"/>
        </w:rPr>
        <w:t xml:space="preserve">entretien </w:t>
      </w:r>
      <w:r w:rsidR="00880CEE">
        <w:rPr>
          <w:lang w:val="fr-FR"/>
        </w:rPr>
        <w:t>−</w:t>
      </w:r>
      <w:r w:rsidRPr="00131031">
        <w:rPr>
          <w:lang w:val="fr-FR"/>
        </w:rPr>
        <w:t xml:space="preserve"> Exigences générales</w:t>
      </w:r>
      <w:r>
        <w:rPr>
          <w:lang w:val="fr-FR"/>
        </w:rPr>
        <w:t> ») prévoit l’évaluation de</w:t>
      </w:r>
      <w:r w:rsidRPr="00131031">
        <w:rPr>
          <w:lang w:val="fr-FR"/>
        </w:rPr>
        <w:t xml:space="preserve"> la durabilité et </w:t>
      </w:r>
      <w:r>
        <w:rPr>
          <w:lang w:val="fr-FR"/>
        </w:rPr>
        <w:t xml:space="preserve">de </w:t>
      </w:r>
      <w:r w:rsidRPr="00131031">
        <w:rPr>
          <w:lang w:val="fr-FR"/>
        </w:rPr>
        <w:t>la toxicité de ces appareils ainsi que le risque global présenté par ceux-ci. L</w:t>
      </w:r>
      <w:r>
        <w:rPr>
          <w:lang w:val="fr-FR"/>
        </w:rPr>
        <w:t>’</w:t>
      </w:r>
      <w:r w:rsidRPr="00131031">
        <w:rPr>
          <w:lang w:val="fr-FR"/>
        </w:rPr>
        <w:t>Institut national américain de normalisation a mis en place un ensemble de normes du même type concernant ces appareils</w:t>
      </w:r>
      <w:r>
        <w:rPr>
          <w:lang w:val="fr-FR"/>
        </w:rPr>
        <w:t xml:space="preserve"> (</w:t>
      </w:r>
      <w:r w:rsidRPr="00131031">
        <w:rPr>
          <w:lang w:val="fr-FR"/>
        </w:rPr>
        <w:t xml:space="preserve">ANSI/CAN/UL/ULC </w:t>
      </w:r>
      <w:r w:rsidR="00880CEE">
        <w:rPr>
          <w:lang w:val="fr-FR"/>
        </w:rPr>
        <w:t>−</w:t>
      </w:r>
      <w:r w:rsidRPr="00131031">
        <w:rPr>
          <w:lang w:val="fr-FR"/>
        </w:rPr>
        <w:t xml:space="preserve"> </w:t>
      </w:r>
      <w:proofErr w:type="gramStart"/>
      <w:r w:rsidRPr="00131031">
        <w:rPr>
          <w:lang w:val="fr-FR"/>
        </w:rPr>
        <w:t>2775:</w:t>
      </w:r>
      <w:proofErr w:type="gramEnd"/>
      <w:r w:rsidRPr="00131031">
        <w:rPr>
          <w:lang w:val="fr-FR"/>
        </w:rPr>
        <w:t xml:space="preserve">2019 </w:t>
      </w:r>
      <w:r w:rsidR="00880CEE">
        <w:rPr>
          <w:lang w:val="fr-FR"/>
        </w:rPr>
        <w:t>−</w:t>
      </w:r>
      <w:r w:rsidRPr="00131031">
        <w:rPr>
          <w:lang w:val="fr-FR"/>
        </w:rPr>
        <w:t xml:space="preserve"> </w:t>
      </w:r>
      <w:r>
        <w:rPr>
          <w:lang w:val="fr-FR"/>
        </w:rPr>
        <w:t>« </w:t>
      </w:r>
      <w:r w:rsidRPr="00131031">
        <w:rPr>
          <w:lang w:val="fr-FR"/>
        </w:rPr>
        <w:t>Standard for Fixed Condensed Aerosol Fire Extinguishing Units</w:t>
      </w:r>
      <w:r>
        <w:rPr>
          <w:lang w:val="fr-FR"/>
        </w:rPr>
        <w:t> »)</w:t>
      </w:r>
      <w:r w:rsidRPr="00131031">
        <w:rPr>
          <w:lang w:val="fr-FR"/>
        </w:rPr>
        <w:t>.</w:t>
      </w:r>
    </w:p>
    <w:p w14:paraId="7EED66F6" w14:textId="77777777" w:rsidR="00510591" w:rsidRPr="00131031" w:rsidRDefault="00510591" w:rsidP="00880CEE">
      <w:pPr>
        <w:pStyle w:val="SingleTxtG"/>
        <w:keepNext/>
        <w:rPr>
          <w:lang w:val="fr-FR"/>
        </w:rPr>
      </w:pPr>
      <w:r w:rsidRPr="00131031">
        <w:rPr>
          <w:lang w:val="fr-FR"/>
        </w:rPr>
        <w:t>11.</w:t>
      </w:r>
      <w:r w:rsidRPr="00131031">
        <w:rPr>
          <w:lang w:val="fr-FR"/>
        </w:rPr>
        <w:tab/>
        <w:t>Le COSTHA soutient que les risques minimaux liés au transport et les avantages en matière de sécurité sont suffisamment bien compris pour que ces appareils puissent bénéficier d</w:t>
      </w:r>
      <w:r>
        <w:rPr>
          <w:lang w:val="fr-FR"/>
        </w:rPr>
        <w:t>’</w:t>
      </w:r>
      <w:r w:rsidRPr="00131031">
        <w:rPr>
          <w:lang w:val="fr-FR"/>
        </w:rPr>
        <w:t xml:space="preserve">une nouvelle rubrique dans la </w:t>
      </w:r>
      <w:r>
        <w:rPr>
          <w:lang w:val="fr-FR"/>
        </w:rPr>
        <w:t>l</w:t>
      </w:r>
      <w:r w:rsidRPr="00131031">
        <w:rPr>
          <w:lang w:val="fr-FR"/>
        </w:rPr>
        <w:t>iste des marchandises dangereuses, en accord avec :</w:t>
      </w:r>
    </w:p>
    <w:p w14:paraId="7493EE44" w14:textId="79D25C4B" w:rsidR="00510591" w:rsidRPr="00131031" w:rsidRDefault="00510591" w:rsidP="00880CEE">
      <w:pPr>
        <w:pStyle w:val="SingleTxtG"/>
        <w:keepNext/>
        <w:ind w:firstLine="567"/>
        <w:rPr>
          <w:lang w:val="fr-FR"/>
        </w:rPr>
      </w:pPr>
      <w:r w:rsidRPr="00131031">
        <w:rPr>
          <w:lang w:val="fr-FR"/>
        </w:rPr>
        <w:t>a)</w:t>
      </w:r>
      <w:r w:rsidRPr="00131031">
        <w:rPr>
          <w:lang w:val="fr-FR"/>
        </w:rPr>
        <w:tab/>
        <w:t>Les mêmes principes que ceux appliqués pour le N</w:t>
      </w:r>
      <w:r w:rsidRPr="00880CEE">
        <w:rPr>
          <w:vertAlign w:val="superscript"/>
          <w:lang w:val="fr-FR"/>
        </w:rPr>
        <w:t>o</w:t>
      </w:r>
      <w:r w:rsidR="00880CEE">
        <w:rPr>
          <w:lang w:val="fr-FR"/>
        </w:rPr>
        <w:t> </w:t>
      </w:r>
      <w:r w:rsidRPr="00131031">
        <w:rPr>
          <w:lang w:val="fr-FR"/>
        </w:rPr>
        <w:t>ONU 3268 :</w:t>
      </w:r>
    </w:p>
    <w:p w14:paraId="6A288D21" w14:textId="77777777" w:rsidR="00510591" w:rsidRPr="00131031" w:rsidRDefault="00510591" w:rsidP="00880CEE">
      <w:pPr>
        <w:pStyle w:val="SingleTxtG"/>
        <w:ind w:left="2268"/>
        <w:rPr>
          <w:lang w:val="fr-FR"/>
        </w:rPr>
      </w:pPr>
      <w:r w:rsidRPr="00131031">
        <w:rPr>
          <w:lang w:val="fr-FR"/>
        </w:rPr>
        <w:t>i.</w:t>
      </w:r>
      <w:r w:rsidRPr="00131031">
        <w:rPr>
          <w:lang w:val="fr-FR"/>
        </w:rPr>
        <w:tab/>
      </w:r>
      <w:r>
        <w:rPr>
          <w:lang w:val="fr-FR"/>
        </w:rPr>
        <w:t>Comme i</w:t>
      </w:r>
      <w:r w:rsidRPr="00131031">
        <w:rPr>
          <w:lang w:val="fr-FR"/>
        </w:rPr>
        <w:t>l s</w:t>
      </w:r>
      <w:r>
        <w:rPr>
          <w:lang w:val="fr-FR"/>
        </w:rPr>
        <w:t>’</w:t>
      </w:r>
      <w:r w:rsidRPr="00131031">
        <w:rPr>
          <w:lang w:val="fr-FR"/>
        </w:rPr>
        <w:t>agit d</w:t>
      </w:r>
      <w:r>
        <w:rPr>
          <w:lang w:val="fr-FR"/>
        </w:rPr>
        <w:t>’</w:t>
      </w:r>
      <w:r w:rsidRPr="00131031">
        <w:rPr>
          <w:lang w:val="fr-FR"/>
        </w:rPr>
        <w:t>un appareil qui renforce la sécurité, il est acceptable de faire preuve d</w:t>
      </w:r>
      <w:r>
        <w:rPr>
          <w:lang w:val="fr-FR"/>
        </w:rPr>
        <w:t>’</w:t>
      </w:r>
      <w:r w:rsidRPr="00131031">
        <w:rPr>
          <w:lang w:val="fr-FR"/>
        </w:rPr>
        <w:t>une certaine souplesse (c</w:t>
      </w:r>
      <w:r>
        <w:rPr>
          <w:lang w:val="fr-FR"/>
        </w:rPr>
        <w:t>’</w:t>
      </w:r>
      <w:r w:rsidRPr="00131031">
        <w:rPr>
          <w:lang w:val="fr-FR"/>
        </w:rPr>
        <w:t>est-à-dire, de l</w:t>
      </w:r>
      <w:r>
        <w:rPr>
          <w:lang w:val="fr-FR"/>
        </w:rPr>
        <w:t xml:space="preserve">e placer dans </w:t>
      </w:r>
      <w:r w:rsidRPr="00131031">
        <w:rPr>
          <w:lang w:val="fr-FR"/>
        </w:rPr>
        <w:t xml:space="preserve">la classe 9). Les </w:t>
      </w:r>
      <w:r w:rsidRPr="00EE4FDB">
        <w:rPr>
          <w:lang w:val="fr-FR"/>
        </w:rPr>
        <w:t>applications</w:t>
      </w:r>
      <w:r w:rsidRPr="00131031">
        <w:rPr>
          <w:lang w:val="fr-FR"/>
        </w:rPr>
        <w:t xml:space="preserve"> qui ne renforcent pas à la sécurité ne doivent pas être incluses.</w:t>
      </w:r>
    </w:p>
    <w:p w14:paraId="30BB1084" w14:textId="74513A45" w:rsidR="00510591" w:rsidRPr="00131031" w:rsidRDefault="00510591" w:rsidP="00880CEE">
      <w:pPr>
        <w:pStyle w:val="SingleTxtG"/>
        <w:ind w:left="2268"/>
        <w:rPr>
          <w:lang w:val="fr-FR"/>
        </w:rPr>
      </w:pPr>
      <w:r w:rsidRPr="00131031">
        <w:rPr>
          <w:lang w:val="fr-FR"/>
        </w:rPr>
        <w:t>ii.</w:t>
      </w:r>
      <w:r w:rsidRPr="00131031">
        <w:rPr>
          <w:lang w:val="fr-FR"/>
        </w:rPr>
        <w:tab/>
        <w:t xml:space="preserve">Il doit satisfaire aux mêmes </w:t>
      </w:r>
      <w:r w:rsidRPr="00EE4FDB">
        <w:rPr>
          <w:lang w:val="fr-FR"/>
        </w:rPr>
        <w:t>conditions</w:t>
      </w:r>
      <w:r w:rsidRPr="00131031">
        <w:rPr>
          <w:lang w:val="fr-FR"/>
        </w:rPr>
        <w:t xml:space="preserve"> lorsqu</w:t>
      </w:r>
      <w:r>
        <w:rPr>
          <w:lang w:val="fr-FR"/>
        </w:rPr>
        <w:t>’</w:t>
      </w:r>
      <w:r w:rsidRPr="00131031">
        <w:rPr>
          <w:lang w:val="fr-FR"/>
        </w:rPr>
        <w:t>il est soumis aux épreuves 6</w:t>
      </w:r>
      <w:r w:rsidR="00880CEE">
        <w:rPr>
          <w:lang w:val="fr-FR"/>
        </w:rPr>
        <w:t> </w:t>
      </w:r>
      <w:r w:rsidRPr="00131031">
        <w:rPr>
          <w:lang w:val="fr-FR"/>
        </w:rPr>
        <w:t>c) de la première partie du Manuel d</w:t>
      </w:r>
      <w:r>
        <w:rPr>
          <w:lang w:val="fr-FR"/>
        </w:rPr>
        <w:t>’</w:t>
      </w:r>
      <w:r w:rsidRPr="00131031">
        <w:rPr>
          <w:lang w:val="fr-FR"/>
        </w:rPr>
        <w:t>épreuves et de critères sans qu</w:t>
      </w:r>
      <w:r>
        <w:rPr>
          <w:lang w:val="fr-FR"/>
        </w:rPr>
        <w:t>’</w:t>
      </w:r>
      <w:r w:rsidRPr="00131031">
        <w:rPr>
          <w:lang w:val="fr-FR"/>
        </w:rPr>
        <w:t>il soit observé d</w:t>
      </w:r>
      <w:r>
        <w:rPr>
          <w:lang w:val="fr-FR"/>
        </w:rPr>
        <w:t>’</w:t>
      </w:r>
      <w:r w:rsidRPr="00131031">
        <w:rPr>
          <w:lang w:val="fr-FR"/>
        </w:rPr>
        <w:t>explosion du dispositif, de fragmentation de l</w:t>
      </w:r>
      <w:r>
        <w:rPr>
          <w:lang w:val="fr-FR"/>
        </w:rPr>
        <w:t>’</w:t>
      </w:r>
      <w:r w:rsidRPr="00131031">
        <w:rPr>
          <w:lang w:val="fr-FR"/>
        </w:rPr>
        <w:t>enveloppe du dispositif ou du récipient à pression, ni de risque de projection ou d</w:t>
      </w:r>
      <w:r>
        <w:rPr>
          <w:lang w:val="fr-FR"/>
        </w:rPr>
        <w:t>’</w:t>
      </w:r>
      <w:r w:rsidRPr="00131031">
        <w:rPr>
          <w:lang w:val="fr-FR"/>
        </w:rPr>
        <w:t>effet thermique qui puissent entraver notablement les activités de lutte contre l</w:t>
      </w:r>
      <w:r>
        <w:rPr>
          <w:lang w:val="fr-FR"/>
        </w:rPr>
        <w:t>’</w:t>
      </w:r>
      <w:r w:rsidRPr="00131031">
        <w:rPr>
          <w:lang w:val="fr-FR"/>
        </w:rPr>
        <w:t>incendie ou autres interventions d</w:t>
      </w:r>
      <w:r>
        <w:rPr>
          <w:lang w:val="fr-FR"/>
        </w:rPr>
        <w:t>’</w:t>
      </w:r>
      <w:r w:rsidRPr="00131031">
        <w:rPr>
          <w:lang w:val="fr-FR"/>
        </w:rPr>
        <w:t xml:space="preserve">urgence au voisinage immédiat. </w:t>
      </w:r>
      <w:proofErr w:type="gramStart"/>
      <w:r>
        <w:rPr>
          <w:lang w:val="fr-FR"/>
        </w:rPr>
        <w:t>a</w:t>
      </w:r>
      <w:proofErr w:type="gramEnd"/>
      <w:r>
        <w:rPr>
          <w:lang w:val="fr-FR"/>
        </w:rPr>
        <w:t xml:space="preserve"> formulation</w:t>
      </w:r>
      <w:r w:rsidRPr="00131031">
        <w:rPr>
          <w:lang w:val="fr-FR"/>
        </w:rPr>
        <w:t xml:space="preserve"> </w:t>
      </w:r>
      <w:r>
        <w:rPr>
          <w:lang w:val="fr-FR"/>
        </w:rPr>
        <w:t>« </w:t>
      </w:r>
      <w:r w:rsidRPr="00EE4FDB">
        <w:rPr>
          <w:lang w:val="fr-FR"/>
        </w:rPr>
        <w:t>entraver notablement les activités de lutte contre l</w:t>
      </w:r>
      <w:r>
        <w:rPr>
          <w:lang w:val="fr-FR"/>
        </w:rPr>
        <w:t>’</w:t>
      </w:r>
      <w:r w:rsidRPr="00EE4FDB">
        <w:rPr>
          <w:lang w:val="fr-FR"/>
        </w:rPr>
        <w:t>incendie ou autres interventions d</w:t>
      </w:r>
      <w:r>
        <w:rPr>
          <w:lang w:val="fr-FR"/>
        </w:rPr>
        <w:t>’</w:t>
      </w:r>
      <w:r w:rsidRPr="00EE4FDB">
        <w:rPr>
          <w:lang w:val="fr-FR"/>
        </w:rPr>
        <w:t>urgence au voisinage immédiat</w:t>
      </w:r>
      <w:r>
        <w:rPr>
          <w:lang w:val="fr-FR"/>
        </w:rPr>
        <w:t> »</w:t>
      </w:r>
      <w:r w:rsidRPr="00131031">
        <w:rPr>
          <w:lang w:val="fr-FR"/>
        </w:rPr>
        <w:t xml:space="preserve"> suppose que la matière dispersée ne soit pas toxique.</w:t>
      </w:r>
    </w:p>
    <w:p w14:paraId="13757684" w14:textId="24D6BA0B" w:rsidR="00510591" w:rsidRPr="00131031" w:rsidRDefault="00510591" w:rsidP="00880CEE">
      <w:pPr>
        <w:pStyle w:val="SingleTxtG"/>
        <w:rPr>
          <w:lang w:val="fr-FR"/>
        </w:rPr>
      </w:pPr>
      <w:r w:rsidRPr="00131031">
        <w:rPr>
          <w:lang w:val="fr-FR"/>
        </w:rPr>
        <w:t>12.</w:t>
      </w:r>
      <w:r w:rsidRPr="00131031">
        <w:rPr>
          <w:lang w:val="fr-FR"/>
        </w:rPr>
        <w:tab/>
        <w:t>L</w:t>
      </w:r>
      <w:r>
        <w:rPr>
          <w:lang w:val="fr-FR"/>
        </w:rPr>
        <w:t>’</w:t>
      </w:r>
      <w:r w:rsidRPr="00131031">
        <w:rPr>
          <w:lang w:val="fr-FR"/>
        </w:rPr>
        <w:t>ajout d</w:t>
      </w:r>
      <w:r>
        <w:rPr>
          <w:lang w:val="fr-FR"/>
        </w:rPr>
        <w:t>’</w:t>
      </w:r>
      <w:r w:rsidRPr="00131031">
        <w:rPr>
          <w:lang w:val="fr-FR"/>
        </w:rPr>
        <w:t>une nouvelle rubrique permettrait d</w:t>
      </w:r>
      <w:r>
        <w:rPr>
          <w:lang w:val="fr-FR"/>
        </w:rPr>
        <w:t>’</w:t>
      </w:r>
      <w:r w:rsidRPr="00131031">
        <w:rPr>
          <w:lang w:val="fr-FR"/>
        </w:rPr>
        <w:t>éviter la confusion et l</w:t>
      </w:r>
      <w:r>
        <w:rPr>
          <w:lang w:val="fr-FR"/>
        </w:rPr>
        <w:t xml:space="preserve">’élargissement </w:t>
      </w:r>
      <w:r w:rsidRPr="00131031">
        <w:rPr>
          <w:lang w:val="fr-FR"/>
        </w:rPr>
        <w:t>de la structure réglementaire déjà en place pour le N</w:t>
      </w:r>
      <w:r w:rsidRPr="00880CEE">
        <w:rPr>
          <w:vertAlign w:val="superscript"/>
          <w:lang w:val="fr-FR"/>
        </w:rPr>
        <w:t>o</w:t>
      </w:r>
      <w:r w:rsidR="00880CEE">
        <w:rPr>
          <w:lang w:val="fr-FR"/>
        </w:rPr>
        <w:t> </w:t>
      </w:r>
      <w:r w:rsidRPr="00131031">
        <w:rPr>
          <w:lang w:val="fr-FR"/>
        </w:rPr>
        <w:t>ONU 3268.</w:t>
      </w:r>
    </w:p>
    <w:p w14:paraId="1C506246" w14:textId="77777777" w:rsidR="00510591" w:rsidRPr="00131031" w:rsidRDefault="00510591" w:rsidP="00510591">
      <w:pPr>
        <w:rPr>
          <w:sz w:val="28"/>
          <w:lang w:val="fr-FR"/>
        </w:rPr>
      </w:pPr>
      <w:r w:rsidRPr="00131031">
        <w:rPr>
          <w:lang w:val="fr-FR"/>
        </w:rPr>
        <w:br w:type="page"/>
      </w:r>
    </w:p>
    <w:p w14:paraId="52D6D35F" w14:textId="77777777" w:rsidR="00510591" w:rsidRPr="00131031" w:rsidRDefault="00510591" w:rsidP="00880CEE">
      <w:pPr>
        <w:pStyle w:val="HChG"/>
        <w:rPr>
          <w:lang w:val="fr-FR"/>
        </w:rPr>
      </w:pPr>
      <w:r w:rsidRPr="00131031">
        <w:rPr>
          <w:lang w:val="fr-FR"/>
        </w:rPr>
        <w:tab/>
      </w:r>
      <w:r w:rsidRPr="00131031">
        <w:rPr>
          <w:lang w:val="fr-FR"/>
        </w:rPr>
        <w:tab/>
        <w:t>Proposition</w:t>
      </w:r>
    </w:p>
    <w:p w14:paraId="1677C958" w14:textId="752E14B1" w:rsidR="00510591" w:rsidRPr="00131031" w:rsidRDefault="00510591" w:rsidP="00880CEE">
      <w:pPr>
        <w:pStyle w:val="SingleTxtG"/>
        <w:rPr>
          <w:lang w:val="fr-FR"/>
        </w:rPr>
      </w:pPr>
      <w:r w:rsidRPr="00131031">
        <w:rPr>
          <w:lang w:val="fr-FR"/>
        </w:rPr>
        <w:t>13.</w:t>
      </w:r>
      <w:r w:rsidRPr="00131031">
        <w:rPr>
          <w:lang w:val="fr-FR"/>
        </w:rPr>
        <w:tab/>
        <w:t>Il est proposé d</w:t>
      </w:r>
      <w:r>
        <w:rPr>
          <w:lang w:val="fr-FR"/>
        </w:rPr>
        <w:t>’</w:t>
      </w:r>
      <w:r w:rsidRPr="00131031">
        <w:rPr>
          <w:lang w:val="fr-FR"/>
        </w:rPr>
        <w:t xml:space="preserve">ajouter une nouvelle rubrique à la </w:t>
      </w:r>
      <w:r>
        <w:rPr>
          <w:lang w:val="fr-FR"/>
        </w:rPr>
        <w:t>l</w:t>
      </w:r>
      <w:r w:rsidRPr="00131031">
        <w:rPr>
          <w:lang w:val="fr-FR"/>
        </w:rPr>
        <w:t>iste des marchandises dangereuses, comme suit</w:t>
      </w:r>
      <w:r w:rsidR="00880CEE">
        <w:rPr>
          <w:lang w:val="fr-FR"/>
        </w:rPr>
        <w:t> </w:t>
      </w:r>
      <w:r w:rsidRPr="00131031">
        <w:rPr>
          <w:lang w:val="fr-FR"/>
        </w:rPr>
        <w:t>:</w:t>
      </w:r>
    </w:p>
    <w:tbl>
      <w:tblPr>
        <w:tblStyle w:val="TableGrid1"/>
        <w:tblW w:w="9637" w:type="dxa"/>
        <w:tblLayout w:type="fixed"/>
        <w:tblLook w:val="04A0" w:firstRow="1" w:lastRow="0" w:firstColumn="1" w:lastColumn="0" w:noHBand="0" w:noVBand="1"/>
      </w:tblPr>
      <w:tblGrid>
        <w:gridCol w:w="597"/>
        <w:gridCol w:w="1036"/>
        <w:gridCol w:w="700"/>
        <w:gridCol w:w="910"/>
        <w:gridCol w:w="952"/>
        <w:gridCol w:w="938"/>
        <w:gridCol w:w="448"/>
        <w:gridCol w:w="419"/>
        <w:gridCol w:w="938"/>
        <w:gridCol w:w="896"/>
        <w:gridCol w:w="910"/>
        <w:gridCol w:w="893"/>
      </w:tblGrid>
      <w:tr w:rsidR="009115F5" w:rsidRPr="00880CEE" w14:paraId="44940C66" w14:textId="77777777" w:rsidTr="009115F5">
        <w:tc>
          <w:tcPr>
            <w:tcW w:w="597" w:type="dxa"/>
            <w:vMerge w:val="restart"/>
            <w:vAlign w:val="center"/>
          </w:tcPr>
          <w:p w14:paraId="0C73E2AE" w14:textId="77777777" w:rsidR="00510591" w:rsidRPr="009115F5" w:rsidRDefault="00510591" w:rsidP="00880CEE">
            <w:pPr>
              <w:spacing w:before="60" w:after="60"/>
              <w:ind w:left="57" w:right="57"/>
              <w:rPr>
                <w:b/>
                <w:bCs/>
                <w:spacing w:val="-2"/>
                <w:sz w:val="16"/>
                <w:szCs w:val="16"/>
                <w:lang w:val="fr-FR"/>
              </w:rPr>
            </w:pPr>
            <w:r w:rsidRPr="009115F5">
              <w:rPr>
                <w:b/>
                <w:bCs/>
                <w:spacing w:val="-2"/>
                <w:sz w:val="16"/>
                <w:szCs w:val="16"/>
                <w:lang w:val="fr-FR"/>
              </w:rPr>
              <w:t>No ONU</w:t>
            </w:r>
          </w:p>
        </w:tc>
        <w:tc>
          <w:tcPr>
            <w:tcW w:w="1036" w:type="dxa"/>
            <w:vMerge w:val="restart"/>
            <w:vAlign w:val="center"/>
          </w:tcPr>
          <w:p w14:paraId="54CBD90B" w14:textId="77777777" w:rsidR="00510591" w:rsidRPr="009115F5" w:rsidRDefault="00510591" w:rsidP="00880CEE">
            <w:pPr>
              <w:spacing w:before="60" w:after="60"/>
              <w:ind w:left="57" w:right="57"/>
              <w:rPr>
                <w:b/>
                <w:bCs/>
                <w:spacing w:val="-2"/>
                <w:sz w:val="16"/>
                <w:szCs w:val="16"/>
                <w:lang w:val="fr-FR"/>
              </w:rPr>
            </w:pPr>
            <w:r w:rsidRPr="009115F5">
              <w:rPr>
                <w:b/>
                <w:bCs/>
                <w:spacing w:val="-2"/>
                <w:sz w:val="16"/>
                <w:szCs w:val="16"/>
                <w:lang w:val="fr-FR"/>
              </w:rPr>
              <w:t>Nom et description</w:t>
            </w:r>
          </w:p>
        </w:tc>
        <w:tc>
          <w:tcPr>
            <w:tcW w:w="700" w:type="dxa"/>
            <w:vMerge w:val="restart"/>
            <w:vAlign w:val="center"/>
          </w:tcPr>
          <w:p w14:paraId="2B525ECD" w14:textId="1195450F" w:rsidR="00510591" w:rsidRPr="009115F5" w:rsidRDefault="00510591" w:rsidP="00880CEE">
            <w:pPr>
              <w:spacing w:before="60" w:after="60"/>
              <w:ind w:left="57" w:right="57"/>
              <w:rPr>
                <w:b/>
                <w:bCs/>
                <w:spacing w:val="-2"/>
                <w:sz w:val="16"/>
                <w:szCs w:val="16"/>
                <w:lang w:val="fr-FR"/>
              </w:rPr>
            </w:pPr>
            <w:r w:rsidRPr="009115F5">
              <w:rPr>
                <w:b/>
                <w:bCs/>
                <w:spacing w:val="-2"/>
                <w:sz w:val="16"/>
                <w:szCs w:val="16"/>
                <w:lang w:val="fr-FR"/>
              </w:rPr>
              <w:t xml:space="preserve">Classe </w:t>
            </w:r>
            <w:r w:rsidR="00880CEE" w:rsidRPr="009115F5">
              <w:rPr>
                <w:b/>
                <w:bCs/>
                <w:spacing w:val="-2"/>
                <w:sz w:val="16"/>
                <w:szCs w:val="16"/>
                <w:lang w:val="fr-FR"/>
              </w:rPr>
              <w:br/>
            </w:r>
            <w:r w:rsidRPr="009115F5">
              <w:rPr>
                <w:b/>
                <w:bCs/>
                <w:spacing w:val="-2"/>
                <w:sz w:val="16"/>
                <w:szCs w:val="16"/>
                <w:lang w:val="fr-FR"/>
              </w:rPr>
              <w:t xml:space="preserve">ou </w:t>
            </w:r>
            <w:r w:rsidR="00880CEE" w:rsidRPr="009115F5">
              <w:rPr>
                <w:b/>
                <w:bCs/>
                <w:spacing w:val="-2"/>
                <w:sz w:val="16"/>
                <w:szCs w:val="16"/>
                <w:lang w:val="fr-FR"/>
              </w:rPr>
              <w:br/>
            </w:r>
            <w:r w:rsidRPr="009115F5">
              <w:rPr>
                <w:b/>
                <w:bCs/>
                <w:spacing w:val="-2"/>
                <w:sz w:val="16"/>
                <w:szCs w:val="16"/>
                <w:lang w:val="fr-FR"/>
              </w:rPr>
              <w:t>division</w:t>
            </w:r>
          </w:p>
        </w:tc>
        <w:tc>
          <w:tcPr>
            <w:tcW w:w="910" w:type="dxa"/>
            <w:vMerge w:val="restart"/>
            <w:vAlign w:val="center"/>
          </w:tcPr>
          <w:p w14:paraId="120BB638" w14:textId="77777777" w:rsidR="00510591" w:rsidRPr="009115F5" w:rsidRDefault="00510591" w:rsidP="00880CEE">
            <w:pPr>
              <w:spacing w:before="60" w:after="60"/>
              <w:ind w:left="57" w:right="57"/>
              <w:rPr>
                <w:b/>
                <w:bCs/>
                <w:spacing w:val="-2"/>
                <w:sz w:val="16"/>
                <w:szCs w:val="16"/>
                <w:lang w:val="fr-FR"/>
              </w:rPr>
            </w:pPr>
            <w:r w:rsidRPr="009115F5">
              <w:rPr>
                <w:b/>
                <w:bCs/>
                <w:spacing w:val="-2"/>
                <w:sz w:val="16"/>
                <w:szCs w:val="16"/>
                <w:lang w:val="fr-FR"/>
              </w:rPr>
              <w:t>Risque subsidiaire</w:t>
            </w:r>
          </w:p>
        </w:tc>
        <w:tc>
          <w:tcPr>
            <w:tcW w:w="952" w:type="dxa"/>
            <w:vMerge w:val="restart"/>
            <w:vAlign w:val="center"/>
          </w:tcPr>
          <w:p w14:paraId="665A2A5A" w14:textId="77777777" w:rsidR="00510591" w:rsidRPr="009115F5" w:rsidRDefault="00510591" w:rsidP="00880CEE">
            <w:pPr>
              <w:spacing w:before="60" w:after="60"/>
              <w:ind w:left="57" w:right="57"/>
              <w:rPr>
                <w:b/>
                <w:bCs/>
                <w:spacing w:val="-2"/>
                <w:sz w:val="16"/>
                <w:szCs w:val="16"/>
                <w:lang w:val="fr-FR"/>
              </w:rPr>
            </w:pPr>
            <w:r w:rsidRPr="009115F5">
              <w:rPr>
                <w:b/>
                <w:bCs/>
                <w:spacing w:val="-2"/>
                <w:sz w:val="16"/>
                <w:szCs w:val="16"/>
                <w:lang w:val="fr-FR"/>
              </w:rPr>
              <w:t>Groupe d’emballage</w:t>
            </w:r>
          </w:p>
        </w:tc>
        <w:tc>
          <w:tcPr>
            <w:tcW w:w="938" w:type="dxa"/>
            <w:vMerge w:val="restart"/>
            <w:vAlign w:val="center"/>
          </w:tcPr>
          <w:p w14:paraId="25FD8F7D" w14:textId="377AA297" w:rsidR="00510591" w:rsidRPr="009115F5" w:rsidRDefault="00510591" w:rsidP="009115F5">
            <w:pPr>
              <w:spacing w:before="60" w:after="60"/>
              <w:ind w:left="57" w:right="57"/>
              <w:rPr>
                <w:b/>
                <w:bCs/>
                <w:spacing w:val="-2"/>
                <w:sz w:val="16"/>
                <w:szCs w:val="16"/>
                <w:lang w:val="fr-FR"/>
              </w:rPr>
            </w:pPr>
            <w:r w:rsidRPr="009115F5">
              <w:rPr>
                <w:b/>
                <w:bCs/>
                <w:spacing w:val="-2"/>
                <w:sz w:val="16"/>
                <w:szCs w:val="16"/>
                <w:lang w:val="fr-FR"/>
              </w:rPr>
              <w:t xml:space="preserve">Dispositions spéciales </w:t>
            </w:r>
          </w:p>
        </w:tc>
        <w:tc>
          <w:tcPr>
            <w:tcW w:w="867" w:type="dxa"/>
            <w:gridSpan w:val="2"/>
            <w:vMerge w:val="restart"/>
            <w:vAlign w:val="center"/>
          </w:tcPr>
          <w:p w14:paraId="0B7669AF" w14:textId="77777777" w:rsidR="00510591" w:rsidRPr="009115F5" w:rsidRDefault="00510591" w:rsidP="00880CEE">
            <w:pPr>
              <w:spacing w:before="60" w:after="60"/>
              <w:ind w:left="57" w:right="57"/>
              <w:rPr>
                <w:b/>
                <w:bCs/>
                <w:spacing w:val="-2"/>
                <w:sz w:val="16"/>
                <w:szCs w:val="16"/>
                <w:lang w:val="fr-FR"/>
              </w:rPr>
            </w:pPr>
            <w:r w:rsidRPr="009115F5">
              <w:rPr>
                <w:b/>
                <w:bCs/>
                <w:spacing w:val="-2"/>
                <w:sz w:val="16"/>
                <w:szCs w:val="16"/>
                <w:lang w:val="fr-FR"/>
              </w:rPr>
              <w:t>Quantités limitées et quantités exceptées</w:t>
            </w:r>
          </w:p>
        </w:tc>
        <w:tc>
          <w:tcPr>
            <w:tcW w:w="1834" w:type="dxa"/>
            <w:gridSpan w:val="2"/>
            <w:vAlign w:val="center"/>
          </w:tcPr>
          <w:p w14:paraId="000403BD" w14:textId="20C64702" w:rsidR="00510591" w:rsidRPr="009115F5" w:rsidRDefault="00510591" w:rsidP="009115F5">
            <w:pPr>
              <w:spacing w:before="60" w:after="60"/>
              <w:ind w:left="57" w:right="57"/>
              <w:jc w:val="center"/>
              <w:rPr>
                <w:b/>
                <w:bCs/>
                <w:spacing w:val="-2"/>
                <w:sz w:val="16"/>
                <w:szCs w:val="16"/>
                <w:lang w:val="fr-FR"/>
              </w:rPr>
            </w:pPr>
            <w:r w:rsidRPr="009115F5">
              <w:rPr>
                <w:b/>
                <w:bCs/>
                <w:spacing w:val="-2"/>
                <w:sz w:val="16"/>
                <w:szCs w:val="16"/>
                <w:lang w:val="fr-FR"/>
              </w:rPr>
              <w:t>Emballages et GRV</w:t>
            </w:r>
          </w:p>
        </w:tc>
        <w:tc>
          <w:tcPr>
            <w:tcW w:w="1803" w:type="dxa"/>
            <w:gridSpan w:val="2"/>
            <w:vAlign w:val="center"/>
          </w:tcPr>
          <w:p w14:paraId="3510121F" w14:textId="5C6C94A6" w:rsidR="00510591" w:rsidRPr="009115F5" w:rsidRDefault="00510591" w:rsidP="009115F5">
            <w:pPr>
              <w:spacing w:before="60" w:after="60"/>
              <w:ind w:left="57" w:right="57"/>
              <w:jc w:val="center"/>
              <w:rPr>
                <w:b/>
                <w:bCs/>
                <w:spacing w:val="-2"/>
                <w:sz w:val="16"/>
                <w:szCs w:val="16"/>
                <w:lang w:val="fr-FR"/>
              </w:rPr>
            </w:pPr>
            <w:r w:rsidRPr="009115F5">
              <w:rPr>
                <w:b/>
                <w:bCs/>
                <w:spacing w:val="-2"/>
                <w:sz w:val="16"/>
                <w:szCs w:val="16"/>
                <w:lang w:val="fr-FR"/>
              </w:rPr>
              <w:t xml:space="preserve">Citernes mobiles </w:t>
            </w:r>
            <w:r w:rsidR="00347A8D">
              <w:rPr>
                <w:b/>
                <w:bCs/>
                <w:spacing w:val="-2"/>
                <w:sz w:val="16"/>
                <w:szCs w:val="16"/>
                <w:lang w:val="fr-FR"/>
              </w:rPr>
              <w:br/>
            </w:r>
            <w:r w:rsidRPr="009115F5">
              <w:rPr>
                <w:b/>
                <w:bCs/>
                <w:spacing w:val="-2"/>
                <w:sz w:val="16"/>
                <w:szCs w:val="16"/>
                <w:lang w:val="fr-FR"/>
              </w:rPr>
              <w:t>et conteneurs pour vrac</w:t>
            </w:r>
          </w:p>
        </w:tc>
      </w:tr>
      <w:tr w:rsidR="009115F5" w:rsidRPr="00880CEE" w14:paraId="173C7382" w14:textId="77777777" w:rsidTr="009115F5">
        <w:tc>
          <w:tcPr>
            <w:tcW w:w="597" w:type="dxa"/>
            <w:vMerge/>
            <w:vAlign w:val="center"/>
          </w:tcPr>
          <w:p w14:paraId="7EAC843F" w14:textId="77777777" w:rsidR="00510591" w:rsidRPr="00880CEE" w:rsidRDefault="00510591" w:rsidP="00880CEE">
            <w:pPr>
              <w:spacing w:before="60" w:after="60"/>
              <w:ind w:left="57" w:right="57"/>
              <w:rPr>
                <w:b/>
                <w:bCs/>
                <w:sz w:val="18"/>
                <w:szCs w:val="18"/>
                <w:lang w:val="fr-FR"/>
              </w:rPr>
            </w:pPr>
          </w:p>
        </w:tc>
        <w:tc>
          <w:tcPr>
            <w:tcW w:w="1036" w:type="dxa"/>
            <w:vMerge/>
            <w:vAlign w:val="center"/>
          </w:tcPr>
          <w:p w14:paraId="3B5A6FA8" w14:textId="77777777" w:rsidR="00510591" w:rsidRPr="00880CEE" w:rsidRDefault="00510591" w:rsidP="00880CEE">
            <w:pPr>
              <w:spacing w:before="60" w:after="60"/>
              <w:ind w:left="57" w:right="57"/>
              <w:rPr>
                <w:b/>
                <w:bCs/>
                <w:sz w:val="18"/>
                <w:szCs w:val="18"/>
                <w:lang w:val="fr-FR"/>
              </w:rPr>
            </w:pPr>
          </w:p>
        </w:tc>
        <w:tc>
          <w:tcPr>
            <w:tcW w:w="700" w:type="dxa"/>
            <w:vMerge/>
            <w:vAlign w:val="center"/>
          </w:tcPr>
          <w:p w14:paraId="177A42CC" w14:textId="77777777" w:rsidR="00510591" w:rsidRPr="00880CEE" w:rsidRDefault="00510591" w:rsidP="00880CEE">
            <w:pPr>
              <w:spacing w:before="60" w:after="60"/>
              <w:ind w:left="57" w:right="57"/>
              <w:rPr>
                <w:b/>
                <w:bCs/>
                <w:sz w:val="18"/>
                <w:szCs w:val="18"/>
                <w:lang w:val="fr-FR"/>
              </w:rPr>
            </w:pPr>
          </w:p>
        </w:tc>
        <w:tc>
          <w:tcPr>
            <w:tcW w:w="910" w:type="dxa"/>
            <w:vMerge/>
            <w:vAlign w:val="center"/>
          </w:tcPr>
          <w:p w14:paraId="48613984" w14:textId="77777777" w:rsidR="00510591" w:rsidRPr="00880CEE" w:rsidRDefault="00510591" w:rsidP="00880CEE">
            <w:pPr>
              <w:spacing w:before="60" w:after="60"/>
              <w:ind w:left="57" w:right="57"/>
              <w:rPr>
                <w:b/>
                <w:bCs/>
                <w:sz w:val="18"/>
                <w:szCs w:val="18"/>
                <w:lang w:val="fr-FR"/>
              </w:rPr>
            </w:pPr>
          </w:p>
        </w:tc>
        <w:tc>
          <w:tcPr>
            <w:tcW w:w="952" w:type="dxa"/>
            <w:vMerge/>
            <w:vAlign w:val="center"/>
          </w:tcPr>
          <w:p w14:paraId="54E859A3" w14:textId="77777777" w:rsidR="00510591" w:rsidRPr="00880CEE" w:rsidRDefault="00510591" w:rsidP="00880CEE">
            <w:pPr>
              <w:spacing w:before="60" w:after="60"/>
              <w:ind w:left="57" w:right="57"/>
              <w:rPr>
                <w:b/>
                <w:bCs/>
                <w:sz w:val="18"/>
                <w:szCs w:val="18"/>
                <w:lang w:val="fr-FR"/>
              </w:rPr>
            </w:pPr>
          </w:p>
        </w:tc>
        <w:tc>
          <w:tcPr>
            <w:tcW w:w="938" w:type="dxa"/>
            <w:vMerge/>
            <w:vAlign w:val="center"/>
          </w:tcPr>
          <w:p w14:paraId="70C3B680" w14:textId="77777777" w:rsidR="00510591" w:rsidRPr="00880CEE" w:rsidRDefault="00510591" w:rsidP="00880CEE">
            <w:pPr>
              <w:spacing w:before="60" w:after="60"/>
              <w:ind w:left="57" w:right="57"/>
              <w:rPr>
                <w:b/>
                <w:bCs/>
                <w:sz w:val="18"/>
                <w:szCs w:val="18"/>
                <w:lang w:val="fr-FR"/>
              </w:rPr>
            </w:pPr>
          </w:p>
        </w:tc>
        <w:tc>
          <w:tcPr>
            <w:tcW w:w="867" w:type="dxa"/>
            <w:gridSpan w:val="2"/>
            <w:vMerge/>
            <w:vAlign w:val="center"/>
          </w:tcPr>
          <w:p w14:paraId="1F3D491C" w14:textId="77777777" w:rsidR="00510591" w:rsidRPr="00880CEE" w:rsidRDefault="00510591" w:rsidP="00880CEE">
            <w:pPr>
              <w:spacing w:before="60" w:after="60"/>
              <w:ind w:left="57" w:right="57"/>
              <w:rPr>
                <w:b/>
                <w:bCs/>
                <w:sz w:val="18"/>
                <w:szCs w:val="18"/>
                <w:lang w:val="fr-FR"/>
              </w:rPr>
            </w:pPr>
          </w:p>
        </w:tc>
        <w:tc>
          <w:tcPr>
            <w:tcW w:w="938" w:type="dxa"/>
            <w:vAlign w:val="center"/>
          </w:tcPr>
          <w:p w14:paraId="0D2A6D59" w14:textId="77777777" w:rsidR="00510591" w:rsidRPr="009115F5" w:rsidRDefault="00510591" w:rsidP="009115F5">
            <w:pPr>
              <w:spacing w:before="60" w:after="60"/>
              <w:ind w:left="28" w:right="28"/>
              <w:rPr>
                <w:b/>
                <w:bCs/>
                <w:spacing w:val="-2"/>
                <w:sz w:val="16"/>
                <w:szCs w:val="16"/>
                <w:lang w:val="fr-FR"/>
              </w:rPr>
            </w:pPr>
            <w:r w:rsidRPr="009115F5">
              <w:rPr>
                <w:b/>
                <w:bCs/>
                <w:spacing w:val="-2"/>
                <w:sz w:val="16"/>
                <w:szCs w:val="16"/>
                <w:lang w:val="fr-FR"/>
              </w:rPr>
              <w:t>Instructions d’emballage</w:t>
            </w:r>
          </w:p>
        </w:tc>
        <w:tc>
          <w:tcPr>
            <w:tcW w:w="896" w:type="dxa"/>
            <w:vAlign w:val="center"/>
          </w:tcPr>
          <w:p w14:paraId="2FB1AF52" w14:textId="77777777" w:rsidR="00510591" w:rsidRPr="009115F5" w:rsidRDefault="00510591" w:rsidP="009115F5">
            <w:pPr>
              <w:spacing w:before="60" w:after="60"/>
              <w:ind w:left="28" w:right="28"/>
              <w:rPr>
                <w:b/>
                <w:bCs/>
                <w:spacing w:val="-2"/>
                <w:sz w:val="16"/>
                <w:szCs w:val="16"/>
                <w:lang w:val="fr-FR"/>
              </w:rPr>
            </w:pPr>
            <w:r w:rsidRPr="009115F5">
              <w:rPr>
                <w:b/>
                <w:bCs/>
                <w:spacing w:val="-2"/>
                <w:sz w:val="16"/>
                <w:szCs w:val="16"/>
                <w:lang w:val="fr-FR"/>
              </w:rPr>
              <w:t>Dispositions spéciales d’emballage</w:t>
            </w:r>
          </w:p>
        </w:tc>
        <w:tc>
          <w:tcPr>
            <w:tcW w:w="910" w:type="dxa"/>
            <w:vAlign w:val="center"/>
          </w:tcPr>
          <w:p w14:paraId="4E9FBB46" w14:textId="77777777" w:rsidR="00510591" w:rsidRPr="009115F5" w:rsidRDefault="00510591" w:rsidP="009115F5">
            <w:pPr>
              <w:spacing w:before="60" w:after="60"/>
              <w:ind w:left="28" w:right="28"/>
              <w:rPr>
                <w:b/>
                <w:bCs/>
                <w:spacing w:val="-2"/>
                <w:sz w:val="16"/>
                <w:szCs w:val="16"/>
                <w:lang w:val="fr-FR"/>
              </w:rPr>
            </w:pPr>
            <w:r w:rsidRPr="009115F5">
              <w:rPr>
                <w:b/>
                <w:bCs/>
                <w:spacing w:val="-2"/>
                <w:sz w:val="16"/>
                <w:szCs w:val="16"/>
                <w:lang w:val="fr-FR"/>
              </w:rPr>
              <w:t>Instructions</w:t>
            </w:r>
          </w:p>
        </w:tc>
        <w:tc>
          <w:tcPr>
            <w:tcW w:w="893" w:type="dxa"/>
            <w:vAlign w:val="center"/>
          </w:tcPr>
          <w:p w14:paraId="60E04824" w14:textId="77777777" w:rsidR="00510591" w:rsidRPr="009115F5" w:rsidRDefault="00510591" w:rsidP="009115F5">
            <w:pPr>
              <w:spacing w:before="60" w:after="60"/>
              <w:ind w:left="28" w:right="28"/>
              <w:rPr>
                <w:b/>
                <w:bCs/>
                <w:spacing w:val="-2"/>
                <w:sz w:val="16"/>
                <w:szCs w:val="16"/>
                <w:lang w:val="fr-FR"/>
              </w:rPr>
            </w:pPr>
            <w:r w:rsidRPr="009115F5">
              <w:rPr>
                <w:b/>
                <w:bCs/>
                <w:spacing w:val="-2"/>
                <w:sz w:val="16"/>
                <w:szCs w:val="16"/>
                <w:lang w:val="fr-FR"/>
              </w:rPr>
              <w:t>Dispositions spéciales</w:t>
            </w:r>
          </w:p>
        </w:tc>
      </w:tr>
      <w:tr w:rsidR="009115F5" w:rsidRPr="00880CEE" w14:paraId="56078975" w14:textId="77777777" w:rsidTr="009115F5">
        <w:tc>
          <w:tcPr>
            <w:tcW w:w="597" w:type="dxa"/>
          </w:tcPr>
          <w:p w14:paraId="05280152" w14:textId="77777777" w:rsidR="00510591" w:rsidRPr="00880CEE" w:rsidRDefault="00510591" w:rsidP="00880CEE">
            <w:pPr>
              <w:spacing w:before="60" w:after="60"/>
              <w:ind w:left="57" w:right="57"/>
              <w:rPr>
                <w:sz w:val="18"/>
                <w:szCs w:val="18"/>
                <w:lang w:val="fr-FR"/>
              </w:rPr>
            </w:pPr>
            <w:r w:rsidRPr="00880CEE">
              <w:rPr>
                <w:sz w:val="18"/>
                <w:szCs w:val="18"/>
                <w:lang w:val="fr-FR"/>
              </w:rPr>
              <w:t>35XX</w:t>
            </w:r>
          </w:p>
        </w:tc>
        <w:tc>
          <w:tcPr>
            <w:tcW w:w="1036" w:type="dxa"/>
          </w:tcPr>
          <w:p w14:paraId="6AC75804" w14:textId="77777777" w:rsidR="00510591" w:rsidRPr="00880CEE" w:rsidRDefault="00510591" w:rsidP="00880CEE">
            <w:pPr>
              <w:spacing w:before="60" w:after="60"/>
              <w:ind w:left="57" w:right="57"/>
              <w:rPr>
                <w:sz w:val="18"/>
                <w:szCs w:val="18"/>
                <w:u w:val="single"/>
                <w:lang w:val="fr-FR"/>
              </w:rPr>
            </w:pPr>
            <w:r w:rsidRPr="00880CEE">
              <w:rPr>
                <w:sz w:val="18"/>
                <w:szCs w:val="18"/>
                <w:u w:val="single"/>
                <w:lang w:val="fr-FR"/>
              </w:rPr>
              <w:t>Appareils d’extinction de feu par dispersion</w:t>
            </w:r>
          </w:p>
        </w:tc>
        <w:tc>
          <w:tcPr>
            <w:tcW w:w="700" w:type="dxa"/>
          </w:tcPr>
          <w:p w14:paraId="7C887840" w14:textId="77777777" w:rsidR="00510591" w:rsidRPr="00880CEE" w:rsidRDefault="00510591" w:rsidP="00880CEE">
            <w:pPr>
              <w:spacing w:before="60" w:after="60"/>
              <w:ind w:left="57" w:right="57"/>
              <w:rPr>
                <w:sz w:val="18"/>
                <w:szCs w:val="18"/>
                <w:lang w:val="fr-FR"/>
              </w:rPr>
            </w:pPr>
            <w:r w:rsidRPr="00880CEE">
              <w:rPr>
                <w:sz w:val="18"/>
                <w:szCs w:val="18"/>
                <w:lang w:val="fr-FR"/>
              </w:rPr>
              <w:t>9</w:t>
            </w:r>
          </w:p>
        </w:tc>
        <w:tc>
          <w:tcPr>
            <w:tcW w:w="910" w:type="dxa"/>
          </w:tcPr>
          <w:p w14:paraId="1A7A378C" w14:textId="77777777" w:rsidR="00510591" w:rsidRPr="00880CEE" w:rsidRDefault="00510591" w:rsidP="00880CEE">
            <w:pPr>
              <w:spacing w:before="60" w:after="60"/>
              <w:ind w:left="57" w:right="57"/>
              <w:rPr>
                <w:sz w:val="18"/>
                <w:szCs w:val="18"/>
                <w:lang w:val="fr-FR"/>
              </w:rPr>
            </w:pPr>
          </w:p>
        </w:tc>
        <w:tc>
          <w:tcPr>
            <w:tcW w:w="952" w:type="dxa"/>
          </w:tcPr>
          <w:p w14:paraId="5DB1B8EB" w14:textId="77777777" w:rsidR="00510591" w:rsidRPr="00880CEE" w:rsidRDefault="00510591" w:rsidP="00880CEE">
            <w:pPr>
              <w:spacing w:before="60" w:after="60"/>
              <w:ind w:left="57" w:right="57"/>
              <w:rPr>
                <w:sz w:val="18"/>
                <w:szCs w:val="18"/>
                <w:lang w:val="fr-FR"/>
              </w:rPr>
            </w:pPr>
          </w:p>
        </w:tc>
        <w:tc>
          <w:tcPr>
            <w:tcW w:w="938" w:type="dxa"/>
          </w:tcPr>
          <w:p w14:paraId="060FFF05" w14:textId="77777777" w:rsidR="00510591" w:rsidRPr="00880CEE" w:rsidRDefault="00510591" w:rsidP="00347A8D">
            <w:pPr>
              <w:spacing w:before="60" w:after="60"/>
              <w:ind w:left="57" w:right="57"/>
              <w:jc w:val="center"/>
              <w:rPr>
                <w:sz w:val="18"/>
                <w:szCs w:val="18"/>
                <w:lang w:val="fr-FR"/>
              </w:rPr>
            </w:pPr>
            <w:r w:rsidRPr="00880CEE">
              <w:rPr>
                <w:sz w:val="18"/>
                <w:szCs w:val="18"/>
                <w:lang w:val="fr-FR"/>
              </w:rPr>
              <w:t>XYZ</w:t>
            </w:r>
          </w:p>
        </w:tc>
        <w:tc>
          <w:tcPr>
            <w:tcW w:w="448" w:type="dxa"/>
          </w:tcPr>
          <w:p w14:paraId="2EB708A8" w14:textId="77777777" w:rsidR="00510591" w:rsidRPr="00880CEE" w:rsidRDefault="00510591" w:rsidP="00347A8D">
            <w:pPr>
              <w:spacing w:before="60" w:after="60"/>
              <w:ind w:left="57" w:right="57"/>
              <w:jc w:val="center"/>
              <w:rPr>
                <w:sz w:val="18"/>
                <w:szCs w:val="18"/>
                <w:lang w:val="fr-FR"/>
              </w:rPr>
            </w:pPr>
            <w:r w:rsidRPr="00880CEE">
              <w:rPr>
                <w:sz w:val="18"/>
                <w:szCs w:val="18"/>
                <w:lang w:val="fr-FR"/>
              </w:rPr>
              <w:t>0</w:t>
            </w:r>
          </w:p>
        </w:tc>
        <w:tc>
          <w:tcPr>
            <w:tcW w:w="419" w:type="dxa"/>
          </w:tcPr>
          <w:p w14:paraId="3ED3E475" w14:textId="77777777" w:rsidR="00510591" w:rsidRPr="00880CEE" w:rsidRDefault="00510591" w:rsidP="00347A8D">
            <w:pPr>
              <w:spacing w:before="60" w:after="60"/>
              <w:ind w:left="57" w:right="57"/>
              <w:jc w:val="center"/>
              <w:rPr>
                <w:sz w:val="18"/>
                <w:szCs w:val="18"/>
                <w:lang w:val="fr-FR"/>
              </w:rPr>
            </w:pPr>
            <w:r w:rsidRPr="00880CEE">
              <w:rPr>
                <w:sz w:val="18"/>
                <w:szCs w:val="18"/>
                <w:lang w:val="fr-FR"/>
              </w:rPr>
              <w:t>EO</w:t>
            </w:r>
          </w:p>
        </w:tc>
        <w:tc>
          <w:tcPr>
            <w:tcW w:w="938" w:type="dxa"/>
          </w:tcPr>
          <w:p w14:paraId="61F024A8" w14:textId="77777777" w:rsidR="00510591" w:rsidRPr="00880CEE" w:rsidRDefault="00510591" w:rsidP="00347A8D">
            <w:pPr>
              <w:spacing w:before="60" w:after="60"/>
              <w:ind w:left="57" w:right="57"/>
              <w:jc w:val="center"/>
              <w:rPr>
                <w:sz w:val="18"/>
                <w:szCs w:val="18"/>
                <w:lang w:val="fr-FR"/>
              </w:rPr>
            </w:pPr>
            <w:r w:rsidRPr="00880CEE">
              <w:rPr>
                <w:sz w:val="18"/>
                <w:szCs w:val="18"/>
                <w:lang w:val="fr-FR"/>
              </w:rPr>
              <w:t>P003</w:t>
            </w:r>
          </w:p>
        </w:tc>
        <w:tc>
          <w:tcPr>
            <w:tcW w:w="896" w:type="dxa"/>
          </w:tcPr>
          <w:p w14:paraId="54BB3E29" w14:textId="77777777" w:rsidR="00510591" w:rsidRPr="00880CEE" w:rsidRDefault="00510591" w:rsidP="00880CEE">
            <w:pPr>
              <w:spacing w:before="60" w:after="60"/>
              <w:ind w:left="57" w:right="57"/>
              <w:rPr>
                <w:sz w:val="18"/>
                <w:szCs w:val="18"/>
                <w:lang w:val="fr-FR"/>
              </w:rPr>
            </w:pPr>
          </w:p>
        </w:tc>
        <w:tc>
          <w:tcPr>
            <w:tcW w:w="910" w:type="dxa"/>
          </w:tcPr>
          <w:p w14:paraId="2E4C91C6" w14:textId="77777777" w:rsidR="00510591" w:rsidRPr="00880CEE" w:rsidRDefault="00510591" w:rsidP="00880CEE">
            <w:pPr>
              <w:spacing w:before="60" w:after="60"/>
              <w:ind w:left="57" w:right="57"/>
              <w:rPr>
                <w:sz w:val="18"/>
                <w:szCs w:val="18"/>
                <w:lang w:val="fr-FR"/>
              </w:rPr>
            </w:pPr>
          </w:p>
        </w:tc>
        <w:tc>
          <w:tcPr>
            <w:tcW w:w="893" w:type="dxa"/>
          </w:tcPr>
          <w:p w14:paraId="4A811B77" w14:textId="77777777" w:rsidR="00510591" w:rsidRPr="00880CEE" w:rsidRDefault="00510591" w:rsidP="00880CEE">
            <w:pPr>
              <w:spacing w:before="60" w:after="60"/>
              <w:ind w:left="57" w:right="57"/>
              <w:rPr>
                <w:sz w:val="18"/>
                <w:szCs w:val="18"/>
                <w:lang w:val="fr-FR"/>
              </w:rPr>
            </w:pPr>
          </w:p>
        </w:tc>
      </w:tr>
    </w:tbl>
    <w:p w14:paraId="7A31368D" w14:textId="77777777" w:rsidR="00510591" w:rsidRPr="00131031" w:rsidRDefault="00510591" w:rsidP="009115F5">
      <w:pPr>
        <w:pStyle w:val="SingleTxtG"/>
        <w:keepNext/>
        <w:spacing w:before="240"/>
        <w:rPr>
          <w:lang w:val="fr-FR"/>
        </w:rPr>
      </w:pPr>
      <w:r w:rsidRPr="00131031">
        <w:rPr>
          <w:lang w:val="fr-FR"/>
        </w:rPr>
        <w:t>14.</w:t>
      </w:r>
      <w:r w:rsidRPr="00131031">
        <w:rPr>
          <w:lang w:val="fr-FR"/>
        </w:rPr>
        <w:tab/>
        <w:t xml:space="preserve">Au 3.3.1, </w:t>
      </w:r>
      <w:r w:rsidRPr="003F7F84">
        <w:rPr>
          <w:lang w:val="fr-FR"/>
        </w:rPr>
        <w:t>ajouter une nouvelle disposition spéciale XYZ, libellée comme suit</w:t>
      </w:r>
      <w:r w:rsidRPr="00131031">
        <w:rPr>
          <w:i/>
          <w:iCs/>
          <w:lang w:val="fr-FR"/>
        </w:rPr>
        <w:t> </w:t>
      </w:r>
      <w:r w:rsidRPr="00131031">
        <w:rPr>
          <w:lang w:val="fr-FR"/>
        </w:rPr>
        <w:t>:</w:t>
      </w:r>
    </w:p>
    <w:p w14:paraId="4D06B263" w14:textId="42AFB113" w:rsidR="00510591" w:rsidRPr="00131031" w:rsidRDefault="00510591" w:rsidP="009115F5">
      <w:pPr>
        <w:pStyle w:val="SingleTxtG"/>
        <w:tabs>
          <w:tab w:val="clear" w:pos="2268"/>
          <w:tab w:val="left" w:pos="1985"/>
        </w:tabs>
        <w:ind w:left="1985" w:hanging="851"/>
        <w:rPr>
          <w:lang w:val="fr-FR"/>
        </w:rPr>
      </w:pPr>
      <w:r>
        <w:rPr>
          <w:lang w:val="fr-FR"/>
        </w:rPr>
        <w:t>« </w:t>
      </w:r>
      <w:r w:rsidRPr="00131031">
        <w:rPr>
          <w:lang w:val="fr-FR"/>
        </w:rPr>
        <w:t>XYZ</w:t>
      </w:r>
      <w:r w:rsidR="009115F5">
        <w:rPr>
          <w:lang w:val="fr-FR"/>
        </w:rPr>
        <w:tab/>
      </w:r>
      <w:r w:rsidRPr="00B3073B">
        <w:rPr>
          <w:lang w:val="fr-FR"/>
        </w:rPr>
        <w:tab/>
        <w:t>Les appareils d</w:t>
      </w:r>
      <w:r>
        <w:rPr>
          <w:lang w:val="fr-FR"/>
        </w:rPr>
        <w:t>’</w:t>
      </w:r>
      <w:r w:rsidRPr="00B3073B">
        <w:rPr>
          <w:lang w:val="fr-FR"/>
        </w:rPr>
        <w:t xml:space="preserve">extinction </w:t>
      </w:r>
      <w:r>
        <w:rPr>
          <w:lang w:val="fr-FR"/>
        </w:rPr>
        <w:t xml:space="preserve">de feu </w:t>
      </w:r>
      <w:r w:rsidRPr="00B3073B">
        <w:rPr>
          <w:lang w:val="fr-FR"/>
        </w:rPr>
        <w:t>par dispersion sont conçus pour apporter un gain de sécurité grâce à leur capacité à éteindre les flammes</w:t>
      </w:r>
      <w:r w:rsidRPr="00131031">
        <w:rPr>
          <w:i/>
          <w:iCs/>
          <w:lang w:val="fr-FR"/>
        </w:rPr>
        <w:t xml:space="preserve"> </w:t>
      </w:r>
      <w:r w:rsidRPr="00131031">
        <w:rPr>
          <w:lang w:val="fr-FR"/>
        </w:rPr>
        <w:t>lorsqu</w:t>
      </w:r>
      <w:r>
        <w:rPr>
          <w:lang w:val="fr-FR"/>
        </w:rPr>
        <w:t>’</w:t>
      </w:r>
      <w:r w:rsidRPr="00131031">
        <w:rPr>
          <w:lang w:val="fr-FR"/>
        </w:rPr>
        <w:t xml:space="preserve">ils sont activés. </w:t>
      </w:r>
      <w:r>
        <w:rPr>
          <w:lang w:val="fr-FR"/>
        </w:rPr>
        <w:t>C</w:t>
      </w:r>
      <w:r w:rsidRPr="00131031">
        <w:rPr>
          <w:lang w:val="fr-FR"/>
        </w:rPr>
        <w:t>es appareils peuvent être activés électriquement, manuellement ou thermiquement</w:t>
      </w:r>
      <w:r>
        <w:rPr>
          <w:lang w:val="fr-FR"/>
        </w:rPr>
        <w:t>,</w:t>
      </w:r>
      <w:r w:rsidRPr="00131031">
        <w:rPr>
          <w:lang w:val="fr-FR"/>
        </w:rPr>
        <w:t xml:space="preserve"> et doivent être conçus de manière à éviter toute activation accidentelle, soit en expédiant le composant de déclenchement séparément (par exemple, la tête d</w:t>
      </w:r>
      <w:r>
        <w:rPr>
          <w:lang w:val="fr-FR"/>
        </w:rPr>
        <w:t>’</w:t>
      </w:r>
      <w:r w:rsidRPr="00131031">
        <w:rPr>
          <w:lang w:val="fr-FR"/>
        </w:rPr>
        <w:t>activation thermique et l</w:t>
      </w:r>
      <w:r>
        <w:rPr>
          <w:lang w:val="fr-FR"/>
        </w:rPr>
        <w:t>’</w:t>
      </w:r>
      <w:r w:rsidRPr="00131031">
        <w:rPr>
          <w:lang w:val="fr-FR"/>
        </w:rPr>
        <w:t>unité principale sont expédiées séparément), soit en s</w:t>
      </w:r>
      <w:r>
        <w:rPr>
          <w:lang w:val="fr-FR"/>
        </w:rPr>
        <w:t>’</w:t>
      </w:r>
      <w:r w:rsidRPr="00131031">
        <w:rPr>
          <w:lang w:val="fr-FR"/>
        </w:rPr>
        <w:t>assurant que les dispositifs activés électriquement n</w:t>
      </w:r>
      <w:r>
        <w:rPr>
          <w:lang w:val="fr-FR"/>
        </w:rPr>
        <w:t>’</w:t>
      </w:r>
      <w:r w:rsidRPr="00131031">
        <w:rPr>
          <w:lang w:val="fr-FR"/>
        </w:rPr>
        <w:t>aient pas de connexion électrique et qu</w:t>
      </w:r>
      <w:r>
        <w:rPr>
          <w:lang w:val="fr-FR"/>
        </w:rPr>
        <w:t>’</w:t>
      </w:r>
      <w:r w:rsidRPr="00131031">
        <w:rPr>
          <w:lang w:val="fr-FR"/>
        </w:rPr>
        <w:t>il existe des moyens de protection secondaires pour éviter l</w:t>
      </w:r>
      <w:r>
        <w:rPr>
          <w:lang w:val="fr-FR"/>
        </w:rPr>
        <w:t>’</w:t>
      </w:r>
      <w:r w:rsidRPr="00131031">
        <w:rPr>
          <w:lang w:val="fr-FR"/>
        </w:rPr>
        <w:t xml:space="preserve">activation. Les appareils peuvent contenir des marchandises dangereuses de la </w:t>
      </w:r>
      <w:r>
        <w:rPr>
          <w:lang w:val="fr-FR"/>
        </w:rPr>
        <w:t>d</w:t>
      </w:r>
      <w:r w:rsidRPr="00131031">
        <w:rPr>
          <w:lang w:val="fr-FR"/>
        </w:rPr>
        <w:t>ivision 1.4 s</w:t>
      </w:r>
      <w:r>
        <w:rPr>
          <w:lang w:val="fr-FR"/>
        </w:rPr>
        <w:t>’</w:t>
      </w:r>
      <w:r w:rsidRPr="00131031">
        <w:rPr>
          <w:lang w:val="fr-FR"/>
        </w:rPr>
        <w:t>ils ont été éprouvés conformément à la série d</w:t>
      </w:r>
      <w:r>
        <w:rPr>
          <w:lang w:val="fr-FR"/>
        </w:rPr>
        <w:t>’</w:t>
      </w:r>
      <w:r w:rsidRPr="00131031">
        <w:rPr>
          <w:lang w:val="fr-FR"/>
        </w:rPr>
        <w:t>épreuve 6 c) de la première partie du Manuel d</w:t>
      </w:r>
      <w:r>
        <w:rPr>
          <w:lang w:val="fr-FR"/>
        </w:rPr>
        <w:t>’</w:t>
      </w:r>
      <w:r w:rsidRPr="00131031">
        <w:rPr>
          <w:lang w:val="fr-FR"/>
        </w:rPr>
        <w:t>épreuves et de critères, sans qu</w:t>
      </w:r>
      <w:r>
        <w:rPr>
          <w:lang w:val="fr-FR"/>
        </w:rPr>
        <w:t>’</w:t>
      </w:r>
      <w:r w:rsidRPr="00131031">
        <w:rPr>
          <w:lang w:val="fr-FR"/>
        </w:rPr>
        <w:t>il soit observé d</w:t>
      </w:r>
      <w:r>
        <w:rPr>
          <w:lang w:val="fr-FR"/>
        </w:rPr>
        <w:t>’</w:t>
      </w:r>
      <w:r w:rsidRPr="00131031">
        <w:rPr>
          <w:lang w:val="fr-FR"/>
        </w:rPr>
        <w:t>explosion du dispositif, de fragmentation de l</w:t>
      </w:r>
      <w:r>
        <w:rPr>
          <w:lang w:val="fr-FR"/>
        </w:rPr>
        <w:t>’</w:t>
      </w:r>
      <w:r w:rsidRPr="00131031">
        <w:rPr>
          <w:lang w:val="fr-FR"/>
        </w:rPr>
        <w:t>enveloppe du dispositif ou du récipient à pression, ni de risque de projection ou d</w:t>
      </w:r>
      <w:r>
        <w:rPr>
          <w:lang w:val="fr-FR"/>
        </w:rPr>
        <w:t>’</w:t>
      </w:r>
      <w:r w:rsidRPr="00131031">
        <w:rPr>
          <w:lang w:val="fr-FR"/>
        </w:rPr>
        <w:t>effet thermique qui puissent entraver notablement les activités de lutte contre l</w:t>
      </w:r>
      <w:r>
        <w:rPr>
          <w:lang w:val="fr-FR"/>
        </w:rPr>
        <w:t>’</w:t>
      </w:r>
      <w:r w:rsidRPr="00131031">
        <w:rPr>
          <w:lang w:val="fr-FR"/>
        </w:rPr>
        <w:t>incendie ou autres interventions d</w:t>
      </w:r>
      <w:r>
        <w:rPr>
          <w:lang w:val="fr-FR"/>
        </w:rPr>
        <w:t>’</w:t>
      </w:r>
      <w:r w:rsidRPr="00131031">
        <w:rPr>
          <w:lang w:val="fr-FR"/>
        </w:rPr>
        <w:t xml:space="preserve">urgence au voisinage immédiat. Le dispersant </w:t>
      </w:r>
      <w:r w:rsidRPr="009115F5">
        <w:rPr>
          <w:lang w:val="fr-FR"/>
        </w:rPr>
        <w:t>doit être jugé sans danger pour les espaces habités et être conforme à la norme ISO 15779 ou à la norme UL 2775</w:t>
      </w:r>
      <w:r w:rsidRPr="00131031">
        <w:rPr>
          <w:lang w:val="fr-FR"/>
        </w:rPr>
        <w:t>.</w:t>
      </w:r>
    </w:p>
    <w:p w14:paraId="14F660DA" w14:textId="10BFF091" w:rsidR="00510591" w:rsidRPr="00131031" w:rsidRDefault="00510591" w:rsidP="009115F5">
      <w:pPr>
        <w:pStyle w:val="SingleTxtG"/>
        <w:ind w:left="1985"/>
        <w:rPr>
          <w:lang w:val="fr-FR"/>
        </w:rPr>
      </w:pPr>
      <w:r w:rsidRPr="00131031">
        <w:rPr>
          <w:lang w:val="fr-FR"/>
        </w:rPr>
        <w:t>Cette rubrique ne s</w:t>
      </w:r>
      <w:r>
        <w:rPr>
          <w:lang w:val="fr-FR"/>
        </w:rPr>
        <w:t>’</w:t>
      </w:r>
      <w:r w:rsidRPr="00131031">
        <w:rPr>
          <w:lang w:val="fr-FR"/>
        </w:rPr>
        <w:t xml:space="preserve">applique pas aux </w:t>
      </w:r>
      <w:r>
        <w:rPr>
          <w:lang w:val="fr-FR"/>
        </w:rPr>
        <w:t>« </w:t>
      </w:r>
      <w:r w:rsidRPr="00131031">
        <w:rPr>
          <w:lang w:val="fr-FR"/>
        </w:rPr>
        <w:t>DISPOSITIFS DE SÉCURITÉ à amorçage électrique</w:t>
      </w:r>
      <w:r>
        <w:rPr>
          <w:lang w:val="fr-FR"/>
        </w:rPr>
        <w:t> »</w:t>
      </w:r>
      <w:r w:rsidRPr="00131031">
        <w:rPr>
          <w:lang w:val="fr-FR"/>
        </w:rPr>
        <w:t xml:space="preserve"> décrits dans la disposition spéciale 280 (N</w:t>
      </w:r>
      <w:r w:rsidRPr="00B53927">
        <w:rPr>
          <w:vertAlign w:val="superscript"/>
          <w:lang w:val="fr-FR"/>
        </w:rPr>
        <w:t>o</w:t>
      </w:r>
      <w:r w:rsidR="00B53927">
        <w:rPr>
          <w:lang w:val="fr-FR"/>
        </w:rPr>
        <w:t> </w:t>
      </w:r>
      <w:r w:rsidRPr="00131031">
        <w:rPr>
          <w:lang w:val="fr-FR"/>
        </w:rPr>
        <w:t>ONU 3268)</w:t>
      </w:r>
      <w:r>
        <w:rPr>
          <w:lang w:val="fr-FR"/>
        </w:rPr>
        <w:t> »</w:t>
      </w:r>
      <w:r w:rsidR="00B53927">
        <w:rPr>
          <w:lang w:val="fr-FR"/>
        </w:rPr>
        <w:t>.</w:t>
      </w:r>
    </w:p>
    <w:p w14:paraId="4AEE395A" w14:textId="77777777" w:rsidR="00510591" w:rsidRPr="00131031" w:rsidRDefault="00510591" w:rsidP="009115F5">
      <w:pPr>
        <w:pStyle w:val="SingleTxtG"/>
        <w:rPr>
          <w:lang w:val="fr-FR"/>
        </w:rPr>
      </w:pPr>
      <w:r w:rsidRPr="00131031">
        <w:rPr>
          <w:lang w:val="fr-FR"/>
        </w:rPr>
        <w:t>15.</w:t>
      </w:r>
      <w:r w:rsidRPr="00131031">
        <w:rPr>
          <w:lang w:val="fr-FR"/>
        </w:rPr>
        <w:tab/>
      </w:r>
      <w:r w:rsidRPr="00B3073B">
        <w:rPr>
          <w:lang w:val="fr-FR"/>
        </w:rPr>
        <w:t>Le nom de la rubrique dans l</w:t>
      </w:r>
      <w:r>
        <w:rPr>
          <w:lang w:val="fr-FR"/>
        </w:rPr>
        <w:t>’</w:t>
      </w:r>
      <w:r w:rsidRPr="00B3073B">
        <w:rPr>
          <w:lang w:val="fr-FR"/>
        </w:rPr>
        <w:t>Index</w:t>
      </w:r>
      <w:r w:rsidRPr="00131031">
        <w:rPr>
          <w:i/>
          <w:iCs/>
          <w:lang w:val="fr-FR"/>
        </w:rPr>
        <w:t xml:space="preserve"> </w:t>
      </w:r>
      <w:r w:rsidRPr="00131031">
        <w:rPr>
          <w:lang w:val="fr-FR"/>
        </w:rPr>
        <w:t>doit être modifié comme suit :</w:t>
      </w:r>
    </w:p>
    <w:tbl>
      <w:tblPr>
        <w:tblStyle w:val="TableGrid"/>
        <w:tblW w:w="7371" w:type="dxa"/>
        <w:tblInd w:w="1696" w:type="dxa"/>
        <w:tblLayout w:type="fixed"/>
        <w:tblLook w:val="04A0" w:firstRow="1" w:lastRow="0" w:firstColumn="1" w:lastColumn="0" w:noHBand="0" w:noVBand="1"/>
      </w:tblPr>
      <w:tblGrid>
        <w:gridCol w:w="4390"/>
        <w:gridCol w:w="1412"/>
        <w:gridCol w:w="1569"/>
      </w:tblGrid>
      <w:tr w:rsidR="00510591" w:rsidRPr="009115F5" w14:paraId="1CF0F1EC" w14:textId="77777777" w:rsidTr="009115F5">
        <w:tc>
          <w:tcPr>
            <w:tcW w:w="3969" w:type="dxa"/>
          </w:tcPr>
          <w:p w14:paraId="301B0757" w14:textId="77777777" w:rsidR="00510591" w:rsidRPr="009115F5" w:rsidRDefault="00510591" w:rsidP="009115F5">
            <w:pPr>
              <w:spacing w:before="60" w:after="60"/>
              <w:ind w:left="57" w:right="57"/>
              <w:rPr>
                <w:b/>
                <w:bCs/>
                <w:sz w:val="18"/>
                <w:szCs w:val="18"/>
                <w:lang w:val="fr-FR"/>
              </w:rPr>
            </w:pPr>
            <w:r w:rsidRPr="009115F5">
              <w:rPr>
                <w:b/>
                <w:bCs/>
                <w:lang w:val="fr-FR"/>
              </w:rPr>
              <w:t>Nom et description</w:t>
            </w:r>
          </w:p>
        </w:tc>
        <w:tc>
          <w:tcPr>
            <w:tcW w:w="1276" w:type="dxa"/>
          </w:tcPr>
          <w:p w14:paraId="17F55FB0" w14:textId="77777777" w:rsidR="00510591" w:rsidRPr="009115F5" w:rsidRDefault="00510591" w:rsidP="009115F5">
            <w:pPr>
              <w:spacing w:before="60" w:after="60"/>
              <w:ind w:left="57" w:right="57"/>
              <w:jc w:val="center"/>
              <w:rPr>
                <w:b/>
                <w:bCs/>
                <w:sz w:val="18"/>
                <w:szCs w:val="18"/>
                <w:lang w:val="fr-FR"/>
              </w:rPr>
            </w:pPr>
            <w:r w:rsidRPr="009115F5">
              <w:rPr>
                <w:b/>
                <w:bCs/>
                <w:lang w:val="fr-FR"/>
              </w:rPr>
              <w:t>Classe</w:t>
            </w:r>
          </w:p>
        </w:tc>
        <w:tc>
          <w:tcPr>
            <w:tcW w:w="1418" w:type="dxa"/>
          </w:tcPr>
          <w:p w14:paraId="3B649690" w14:textId="77777777" w:rsidR="00510591" w:rsidRPr="009115F5" w:rsidRDefault="00510591" w:rsidP="009115F5">
            <w:pPr>
              <w:spacing w:before="60" w:after="60"/>
              <w:ind w:left="57" w:right="57"/>
              <w:jc w:val="center"/>
              <w:rPr>
                <w:b/>
                <w:bCs/>
                <w:sz w:val="18"/>
                <w:szCs w:val="18"/>
                <w:lang w:val="fr-FR"/>
              </w:rPr>
            </w:pPr>
            <w:r w:rsidRPr="009115F5">
              <w:rPr>
                <w:b/>
                <w:bCs/>
                <w:lang w:val="fr-FR"/>
              </w:rPr>
              <w:t>Numéro ONU</w:t>
            </w:r>
          </w:p>
        </w:tc>
      </w:tr>
      <w:tr w:rsidR="00510591" w:rsidRPr="00131031" w14:paraId="6EC992F3" w14:textId="77777777" w:rsidTr="009115F5">
        <w:tc>
          <w:tcPr>
            <w:tcW w:w="3969" w:type="dxa"/>
          </w:tcPr>
          <w:p w14:paraId="627DBBE1" w14:textId="77777777" w:rsidR="00510591" w:rsidRPr="00131031" w:rsidRDefault="00510591" w:rsidP="009115F5">
            <w:pPr>
              <w:spacing w:before="60" w:after="60"/>
              <w:ind w:left="57" w:right="57"/>
              <w:rPr>
                <w:strike/>
                <w:sz w:val="18"/>
                <w:szCs w:val="18"/>
                <w:u w:val="single"/>
                <w:lang w:val="fr-FR"/>
              </w:rPr>
            </w:pPr>
            <w:r w:rsidRPr="00131031">
              <w:rPr>
                <w:u w:val="single"/>
                <w:lang w:val="fr-FR"/>
              </w:rPr>
              <w:t>Appareils d</w:t>
            </w:r>
            <w:r>
              <w:rPr>
                <w:u w:val="single"/>
                <w:lang w:val="fr-FR"/>
              </w:rPr>
              <w:t>’</w:t>
            </w:r>
            <w:r w:rsidRPr="00131031">
              <w:rPr>
                <w:u w:val="single"/>
                <w:lang w:val="fr-FR"/>
              </w:rPr>
              <w:t xml:space="preserve">extinction </w:t>
            </w:r>
            <w:r>
              <w:rPr>
                <w:u w:val="single"/>
                <w:lang w:val="fr-FR"/>
              </w:rPr>
              <w:t xml:space="preserve">de feu </w:t>
            </w:r>
            <w:r w:rsidRPr="00131031">
              <w:rPr>
                <w:u w:val="single"/>
                <w:lang w:val="fr-FR"/>
              </w:rPr>
              <w:t>par dispersion</w:t>
            </w:r>
          </w:p>
        </w:tc>
        <w:tc>
          <w:tcPr>
            <w:tcW w:w="1276" w:type="dxa"/>
          </w:tcPr>
          <w:p w14:paraId="0C9D9C14" w14:textId="77777777" w:rsidR="00510591" w:rsidRPr="00131031" w:rsidRDefault="00510591" w:rsidP="009115F5">
            <w:pPr>
              <w:spacing w:before="60" w:after="60"/>
              <w:ind w:left="57" w:right="57"/>
              <w:jc w:val="center"/>
              <w:rPr>
                <w:sz w:val="18"/>
                <w:szCs w:val="18"/>
                <w:lang w:val="fr-FR"/>
              </w:rPr>
            </w:pPr>
            <w:r w:rsidRPr="00131031">
              <w:rPr>
                <w:lang w:val="fr-FR"/>
              </w:rPr>
              <w:t>9</w:t>
            </w:r>
          </w:p>
        </w:tc>
        <w:tc>
          <w:tcPr>
            <w:tcW w:w="1418" w:type="dxa"/>
          </w:tcPr>
          <w:p w14:paraId="15796FFA" w14:textId="77777777" w:rsidR="00510591" w:rsidRPr="00131031" w:rsidRDefault="00510591" w:rsidP="009115F5">
            <w:pPr>
              <w:spacing w:before="60" w:after="60"/>
              <w:ind w:left="57" w:right="57"/>
              <w:jc w:val="center"/>
              <w:rPr>
                <w:sz w:val="18"/>
                <w:szCs w:val="18"/>
                <w:lang w:val="fr-FR"/>
              </w:rPr>
            </w:pPr>
            <w:r w:rsidRPr="00131031">
              <w:rPr>
                <w:lang w:val="fr-FR"/>
              </w:rPr>
              <w:t>35XX</w:t>
            </w:r>
          </w:p>
        </w:tc>
      </w:tr>
    </w:tbl>
    <w:p w14:paraId="461758E8" w14:textId="77777777" w:rsidR="00510591" w:rsidRPr="00131031" w:rsidRDefault="00510591" w:rsidP="009115F5">
      <w:pPr>
        <w:pStyle w:val="SingleTxtG"/>
        <w:keepNext/>
        <w:spacing w:before="240"/>
        <w:rPr>
          <w:lang w:val="fr-FR"/>
        </w:rPr>
      </w:pPr>
      <w:r w:rsidRPr="00131031">
        <w:rPr>
          <w:lang w:val="fr-FR"/>
        </w:rPr>
        <w:t>16.</w:t>
      </w:r>
      <w:r w:rsidRPr="00131031">
        <w:rPr>
          <w:lang w:val="fr-FR"/>
        </w:rPr>
        <w:tab/>
        <w:t>Au 3.3.1, modifier la disposition spéciale 280 en ajoutant le libellé suivant à la fin :</w:t>
      </w:r>
    </w:p>
    <w:p w14:paraId="08BA9407" w14:textId="60BE88C1" w:rsidR="00510591" w:rsidRDefault="00510591" w:rsidP="009115F5">
      <w:pPr>
        <w:pStyle w:val="SingleTxtG"/>
        <w:ind w:left="1701"/>
        <w:rPr>
          <w:lang w:val="fr-FR"/>
        </w:rPr>
      </w:pPr>
      <w:r>
        <w:rPr>
          <w:lang w:val="fr-FR"/>
        </w:rPr>
        <w:t>« </w:t>
      </w:r>
      <w:r w:rsidRPr="00131031">
        <w:rPr>
          <w:lang w:val="fr-FR"/>
        </w:rPr>
        <w:t>Cette rubrique ne s</w:t>
      </w:r>
      <w:r>
        <w:rPr>
          <w:lang w:val="fr-FR"/>
        </w:rPr>
        <w:t>’</w:t>
      </w:r>
      <w:r w:rsidRPr="00131031">
        <w:rPr>
          <w:lang w:val="fr-FR"/>
        </w:rPr>
        <w:t>applique pas aux engins de sauvetage tels que décrits dans la disposition spéciale 296 (N</w:t>
      </w:r>
      <w:r w:rsidRPr="009115F5">
        <w:rPr>
          <w:vertAlign w:val="superscript"/>
          <w:lang w:val="fr-FR"/>
        </w:rPr>
        <w:t>os</w:t>
      </w:r>
      <w:r w:rsidR="009115F5">
        <w:rPr>
          <w:lang w:val="fr-FR"/>
        </w:rPr>
        <w:t> </w:t>
      </w:r>
      <w:r w:rsidRPr="00131031">
        <w:rPr>
          <w:lang w:val="fr-FR"/>
        </w:rPr>
        <w:t xml:space="preserve">ONU 2990 et 3072) </w:t>
      </w:r>
      <w:r w:rsidRPr="00131031">
        <w:rPr>
          <w:i/>
          <w:iCs/>
          <w:lang w:val="fr-FR"/>
        </w:rPr>
        <w:t>et aux appareils d</w:t>
      </w:r>
      <w:r>
        <w:rPr>
          <w:i/>
          <w:iCs/>
          <w:lang w:val="fr-FR"/>
        </w:rPr>
        <w:t>’</w:t>
      </w:r>
      <w:r w:rsidRPr="00131031">
        <w:rPr>
          <w:i/>
          <w:iCs/>
          <w:lang w:val="fr-FR"/>
        </w:rPr>
        <w:t>extinction</w:t>
      </w:r>
      <w:r>
        <w:rPr>
          <w:i/>
          <w:iCs/>
          <w:lang w:val="fr-FR"/>
        </w:rPr>
        <w:t xml:space="preserve"> de feu</w:t>
      </w:r>
      <w:r w:rsidRPr="00131031">
        <w:rPr>
          <w:i/>
          <w:iCs/>
          <w:lang w:val="fr-FR"/>
        </w:rPr>
        <w:t xml:space="preserve"> par dispersion (N</w:t>
      </w:r>
      <w:r w:rsidRPr="009115F5">
        <w:rPr>
          <w:i/>
          <w:iCs/>
          <w:vertAlign w:val="superscript"/>
          <w:lang w:val="fr-FR"/>
        </w:rPr>
        <w:t>o</w:t>
      </w:r>
      <w:r w:rsidR="009115F5">
        <w:rPr>
          <w:i/>
          <w:iCs/>
          <w:lang w:val="fr-FR"/>
        </w:rPr>
        <w:t> </w:t>
      </w:r>
      <w:r w:rsidRPr="00131031">
        <w:rPr>
          <w:i/>
          <w:iCs/>
          <w:lang w:val="fr-FR"/>
        </w:rPr>
        <w:t>ONU 35XX)</w:t>
      </w:r>
      <w:r w:rsidRPr="00131031">
        <w:rPr>
          <w:lang w:val="fr-FR"/>
        </w:rPr>
        <w:t>.</w:t>
      </w:r>
      <w:r>
        <w:rPr>
          <w:lang w:val="fr-FR"/>
        </w:rPr>
        <w:t> »</w:t>
      </w:r>
      <w:r w:rsidR="009115F5">
        <w:rPr>
          <w:lang w:val="fr-FR"/>
        </w:rPr>
        <w:t>.</w:t>
      </w:r>
    </w:p>
    <w:p w14:paraId="08914D9D" w14:textId="495B34A2" w:rsidR="009115F5" w:rsidRPr="009115F5" w:rsidRDefault="009115F5" w:rsidP="009115F5">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9115F5" w:rsidRPr="009115F5" w:rsidSect="00395DA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D8175" w14:textId="77777777" w:rsidR="005000EF" w:rsidRDefault="005000EF" w:rsidP="00F95C08">
      <w:pPr>
        <w:spacing w:line="240" w:lineRule="auto"/>
      </w:pPr>
    </w:p>
  </w:endnote>
  <w:endnote w:type="continuationSeparator" w:id="0">
    <w:p w14:paraId="5C659F44" w14:textId="77777777" w:rsidR="005000EF" w:rsidRPr="00AC3823" w:rsidRDefault="005000EF" w:rsidP="00AC3823">
      <w:pPr>
        <w:pStyle w:val="Footer"/>
      </w:pPr>
    </w:p>
  </w:endnote>
  <w:endnote w:type="continuationNotice" w:id="1">
    <w:p w14:paraId="10D5C2EC" w14:textId="77777777" w:rsidR="005000EF" w:rsidRDefault="005000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26810" w14:textId="307B9537" w:rsidR="00395DA4" w:rsidRPr="00395DA4" w:rsidRDefault="00395DA4" w:rsidP="00395DA4">
    <w:pPr>
      <w:pStyle w:val="Footer"/>
      <w:tabs>
        <w:tab w:val="right" w:pos="9638"/>
      </w:tabs>
    </w:pPr>
    <w:r w:rsidRPr="00395DA4">
      <w:rPr>
        <w:b/>
        <w:sz w:val="18"/>
      </w:rPr>
      <w:fldChar w:fldCharType="begin"/>
    </w:r>
    <w:r w:rsidRPr="00395DA4">
      <w:rPr>
        <w:b/>
        <w:sz w:val="18"/>
      </w:rPr>
      <w:instrText xml:space="preserve"> PAGE  \* MERGEFORMAT </w:instrText>
    </w:r>
    <w:r w:rsidRPr="00395DA4">
      <w:rPr>
        <w:b/>
        <w:sz w:val="18"/>
      </w:rPr>
      <w:fldChar w:fldCharType="separate"/>
    </w:r>
    <w:r w:rsidRPr="00395DA4">
      <w:rPr>
        <w:b/>
        <w:noProof/>
        <w:sz w:val="18"/>
      </w:rPr>
      <w:t>2</w:t>
    </w:r>
    <w:r w:rsidRPr="00395DA4">
      <w:rPr>
        <w:b/>
        <w:sz w:val="18"/>
      </w:rPr>
      <w:fldChar w:fldCharType="end"/>
    </w:r>
    <w:r>
      <w:rPr>
        <w:b/>
        <w:sz w:val="18"/>
      </w:rPr>
      <w:tab/>
    </w:r>
    <w:r>
      <w:t>GE.22-05157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7EDE9" w14:textId="23225774" w:rsidR="00395DA4" w:rsidRPr="00395DA4" w:rsidRDefault="00395DA4" w:rsidP="00395DA4">
    <w:pPr>
      <w:pStyle w:val="Footer"/>
      <w:tabs>
        <w:tab w:val="right" w:pos="9638"/>
      </w:tabs>
      <w:rPr>
        <w:b/>
        <w:sz w:val="18"/>
      </w:rPr>
    </w:pPr>
    <w:r>
      <w:t>GE.22-05157</w:t>
    </w:r>
    <w:r>
      <w:tab/>
    </w:r>
    <w:r w:rsidRPr="00395DA4">
      <w:rPr>
        <w:b/>
        <w:sz w:val="18"/>
      </w:rPr>
      <w:fldChar w:fldCharType="begin"/>
    </w:r>
    <w:r w:rsidRPr="00395DA4">
      <w:rPr>
        <w:b/>
        <w:sz w:val="18"/>
      </w:rPr>
      <w:instrText xml:space="preserve"> PAGE  \* MERGEFORMAT </w:instrText>
    </w:r>
    <w:r w:rsidRPr="00395DA4">
      <w:rPr>
        <w:b/>
        <w:sz w:val="18"/>
      </w:rPr>
      <w:fldChar w:fldCharType="separate"/>
    </w:r>
    <w:r w:rsidRPr="00395DA4">
      <w:rPr>
        <w:b/>
        <w:noProof/>
        <w:sz w:val="18"/>
      </w:rPr>
      <w:t>3</w:t>
    </w:r>
    <w:r w:rsidRPr="00395DA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6385" w14:textId="629D215F" w:rsidR="0068456F" w:rsidRPr="00395DA4" w:rsidRDefault="00395DA4" w:rsidP="00395DA4">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33360D0F" wp14:editId="52EF342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05157  (</w:t>
    </w:r>
    <w:proofErr w:type="gramEnd"/>
    <w:r>
      <w:rPr>
        <w:sz w:val="20"/>
      </w:rPr>
      <w:t>F)</w:t>
    </w:r>
    <w:r>
      <w:rPr>
        <w:noProof/>
        <w:sz w:val="20"/>
      </w:rPr>
      <w:drawing>
        <wp:anchor distT="0" distB="0" distL="114300" distR="114300" simplePos="0" relativeHeight="251660288" behindDoc="0" locked="0" layoutInCell="1" allowOverlap="1" wp14:anchorId="1BE96947" wp14:editId="36793C9D">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090522    100522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9E62D" w14:textId="77777777" w:rsidR="005000EF" w:rsidRPr="00AC3823" w:rsidRDefault="005000EF" w:rsidP="00AC3823">
      <w:pPr>
        <w:pStyle w:val="Footer"/>
        <w:tabs>
          <w:tab w:val="right" w:pos="2155"/>
        </w:tabs>
        <w:spacing w:after="80" w:line="240" w:lineRule="atLeast"/>
        <w:ind w:left="680"/>
        <w:rPr>
          <w:u w:val="single"/>
        </w:rPr>
      </w:pPr>
      <w:r>
        <w:rPr>
          <w:u w:val="single"/>
        </w:rPr>
        <w:tab/>
      </w:r>
    </w:p>
  </w:footnote>
  <w:footnote w:type="continuationSeparator" w:id="0">
    <w:p w14:paraId="3C582B4C" w14:textId="77777777" w:rsidR="005000EF" w:rsidRPr="00AC3823" w:rsidRDefault="005000EF" w:rsidP="00AC3823">
      <w:pPr>
        <w:pStyle w:val="Footer"/>
        <w:tabs>
          <w:tab w:val="right" w:pos="2155"/>
        </w:tabs>
        <w:spacing w:after="80" w:line="240" w:lineRule="atLeast"/>
        <w:ind w:left="680"/>
        <w:rPr>
          <w:u w:val="single"/>
        </w:rPr>
      </w:pPr>
      <w:r>
        <w:rPr>
          <w:u w:val="single"/>
        </w:rPr>
        <w:tab/>
      </w:r>
    </w:p>
  </w:footnote>
  <w:footnote w:type="continuationNotice" w:id="1">
    <w:p w14:paraId="1AD04F7E" w14:textId="77777777" w:rsidR="005000EF" w:rsidRPr="00AC3823" w:rsidRDefault="005000EF">
      <w:pPr>
        <w:spacing w:line="240" w:lineRule="auto"/>
        <w:rPr>
          <w:sz w:val="2"/>
          <w:szCs w:val="2"/>
        </w:rPr>
      </w:pPr>
    </w:p>
  </w:footnote>
  <w:footnote w:id="2">
    <w:p w14:paraId="1A4E9C9B" w14:textId="0845742A" w:rsidR="00510591" w:rsidRPr="006C73E8" w:rsidRDefault="00880CEE" w:rsidP="00510591">
      <w:pPr>
        <w:pStyle w:val="FootnoteText"/>
      </w:pPr>
      <w:r>
        <w:rPr>
          <w:lang w:val="fr-FR"/>
        </w:rPr>
        <w:tab/>
      </w:r>
      <w:r w:rsidR="00510591" w:rsidRPr="008C5A68">
        <w:rPr>
          <w:rStyle w:val="FootnoteReference"/>
        </w:rPr>
        <w:footnoteRef/>
      </w:r>
      <w:r>
        <w:rPr>
          <w:lang w:val="fr-FR"/>
        </w:rPr>
        <w:tab/>
      </w:r>
      <w:r w:rsidR="00510591">
        <w:rPr>
          <w:lang w:val="fr-FR"/>
        </w:rPr>
        <w:t>A/75/6 (Sect.</w:t>
      </w:r>
      <w:r>
        <w:rPr>
          <w:lang w:val="fr-FR"/>
        </w:rPr>
        <w:t> </w:t>
      </w:r>
      <w:r w:rsidR="00510591">
        <w:rPr>
          <w:lang w:val="fr-FR"/>
        </w:rPr>
        <w:t>20), par.</w:t>
      </w:r>
      <w:r>
        <w:rPr>
          <w:lang w:val="fr-FR"/>
        </w:rPr>
        <w:t> </w:t>
      </w:r>
      <w:r w:rsidR="00510591">
        <w:rPr>
          <w:lang w:val="fr-FR"/>
        </w:rPr>
        <w:t>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DFAEC" w14:textId="08B40603" w:rsidR="00395DA4" w:rsidRPr="00395DA4" w:rsidRDefault="005000EF">
    <w:pPr>
      <w:pStyle w:val="Header"/>
    </w:pPr>
    <w:r>
      <w:fldChar w:fldCharType="begin"/>
    </w:r>
    <w:r>
      <w:instrText xml:space="preserve"> TITLE  \* MERGEFORMAT </w:instrText>
    </w:r>
    <w:r>
      <w:fldChar w:fldCharType="separate"/>
    </w:r>
    <w:r w:rsidR="00FC41F6">
      <w:t>ST/SG/AC.10/C.3/2022/25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885A8" w14:textId="1D6A8CC9" w:rsidR="00395DA4" w:rsidRPr="00395DA4" w:rsidRDefault="005000EF" w:rsidP="00395DA4">
    <w:pPr>
      <w:pStyle w:val="Header"/>
      <w:jc w:val="right"/>
    </w:pPr>
    <w:r>
      <w:fldChar w:fldCharType="begin"/>
    </w:r>
    <w:r>
      <w:instrText xml:space="preserve"> TITLE  \* MERGEFORMAT </w:instrText>
    </w:r>
    <w:r>
      <w:fldChar w:fldCharType="separate"/>
    </w:r>
    <w:r w:rsidR="00FC41F6">
      <w:t>ST/SG/AC.10/C.3/2022/25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567"/>
  <w:hyphenationZone w:val="425"/>
  <w:evenAndOddHeaders/>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889"/>
    <w:rsid w:val="00017F94"/>
    <w:rsid w:val="00023842"/>
    <w:rsid w:val="000305D3"/>
    <w:rsid w:val="000334F9"/>
    <w:rsid w:val="0007796D"/>
    <w:rsid w:val="000B7790"/>
    <w:rsid w:val="000C4889"/>
    <w:rsid w:val="00111F2F"/>
    <w:rsid w:val="00132EA9"/>
    <w:rsid w:val="0014365E"/>
    <w:rsid w:val="00172E49"/>
    <w:rsid w:val="00176178"/>
    <w:rsid w:val="001F525A"/>
    <w:rsid w:val="00223272"/>
    <w:rsid w:val="0024779E"/>
    <w:rsid w:val="00283190"/>
    <w:rsid w:val="002832AC"/>
    <w:rsid w:val="002D7C93"/>
    <w:rsid w:val="00347A8D"/>
    <w:rsid w:val="00395DA4"/>
    <w:rsid w:val="003E1D13"/>
    <w:rsid w:val="00433961"/>
    <w:rsid w:val="00441C3B"/>
    <w:rsid w:val="00446FE5"/>
    <w:rsid w:val="00452396"/>
    <w:rsid w:val="004E468C"/>
    <w:rsid w:val="005000EF"/>
    <w:rsid w:val="00510591"/>
    <w:rsid w:val="005505B7"/>
    <w:rsid w:val="00573BE5"/>
    <w:rsid w:val="00584DC4"/>
    <w:rsid w:val="00586ED3"/>
    <w:rsid w:val="00596AA9"/>
    <w:rsid w:val="00646D66"/>
    <w:rsid w:val="0068456F"/>
    <w:rsid w:val="00715695"/>
    <w:rsid w:val="0071601D"/>
    <w:rsid w:val="007A605B"/>
    <w:rsid w:val="007A62E6"/>
    <w:rsid w:val="0080684C"/>
    <w:rsid w:val="008123E0"/>
    <w:rsid w:val="00871C75"/>
    <w:rsid w:val="008776DC"/>
    <w:rsid w:val="00880CEE"/>
    <w:rsid w:val="008B40CD"/>
    <w:rsid w:val="009115F5"/>
    <w:rsid w:val="009705C8"/>
    <w:rsid w:val="009C1CF4"/>
    <w:rsid w:val="00A30353"/>
    <w:rsid w:val="00A412CF"/>
    <w:rsid w:val="00A81281"/>
    <w:rsid w:val="00AC3823"/>
    <w:rsid w:val="00AE323C"/>
    <w:rsid w:val="00B00181"/>
    <w:rsid w:val="00B00B0D"/>
    <w:rsid w:val="00B53927"/>
    <w:rsid w:val="00B765F7"/>
    <w:rsid w:val="00BA0CA9"/>
    <w:rsid w:val="00C02897"/>
    <w:rsid w:val="00D3439C"/>
    <w:rsid w:val="00DB1831"/>
    <w:rsid w:val="00DD3BFD"/>
    <w:rsid w:val="00DF6678"/>
    <w:rsid w:val="00EF2E22"/>
    <w:rsid w:val="00F01738"/>
    <w:rsid w:val="00F660DF"/>
    <w:rsid w:val="00F730C8"/>
    <w:rsid w:val="00F95C08"/>
    <w:rsid w:val="00FC41F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05ED3"/>
  <w15:docId w15:val="{4C0F8B94-8F59-4166-82A2-706C60B8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table" w:customStyle="1" w:styleId="TableGrid1">
    <w:name w:val="Table Grid1"/>
    <w:basedOn w:val="TableNormal"/>
    <w:next w:val="TableGrid"/>
    <w:semiHidden/>
    <w:rsid w:val="00510591"/>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6866BA-A37D-4EF5-98C0-88E0CF63D27A}"/>
</file>

<file path=customXml/itemProps2.xml><?xml version="1.0" encoding="utf-8"?>
<ds:datastoreItem xmlns:ds="http://schemas.openxmlformats.org/officeDocument/2006/customXml" ds:itemID="{55904A02-F024-4E56-B97C-B7D49A31C9EF}"/>
</file>

<file path=customXml/itemProps3.xml><?xml version="1.0" encoding="utf-8"?>
<ds:datastoreItem xmlns:ds="http://schemas.openxmlformats.org/officeDocument/2006/customXml" ds:itemID="{B96ABE67-2B63-4195-A0C5-3EDC129BEF10}"/>
</file>

<file path=docProps/app.xml><?xml version="1.0" encoding="utf-8"?>
<Properties xmlns="http://schemas.openxmlformats.org/officeDocument/2006/extended-properties" xmlns:vt="http://schemas.openxmlformats.org/officeDocument/2006/docPropsVTypes">
  <Template>ST.dotm</Template>
  <TotalTime>1</TotalTime>
  <Pages>5</Pages>
  <Words>1976</Words>
  <Characters>11269</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ST/SG/AC.10/C.3/2022/25</vt:lpstr>
    </vt:vector>
  </TitlesOfParts>
  <Company>DCM</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ST/SG/AC.10/C.3/2022/25</dc:title>
  <dc:subject/>
  <dc:creator>Christine CHAUTAGNAT</dc:creator>
  <cp:keywords/>
  <cp:lastModifiedBy>Laurence Berthet</cp:lastModifiedBy>
  <cp:revision>3</cp:revision>
  <cp:lastPrinted>2022-05-10T09:09:00Z</cp:lastPrinted>
  <dcterms:created xsi:type="dcterms:W3CDTF">2022-05-10T09:09:00Z</dcterms:created>
  <dcterms:modified xsi:type="dcterms:W3CDTF">2022-05-10T09:09:00Z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