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E717503" w14:textId="77777777" w:rsidTr="00F01738">
        <w:trPr>
          <w:trHeight w:hRule="exact" w:val="851"/>
        </w:trPr>
        <w:tc>
          <w:tcPr>
            <w:tcW w:w="1276" w:type="dxa"/>
            <w:tcBorders>
              <w:bottom w:val="single" w:sz="4" w:space="0" w:color="auto"/>
            </w:tcBorders>
          </w:tcPr>
          <w:p w14:paraId="112DF7F1" w14:textId="77777777" w:rsidR="00132EA9" w:rsidRPr="00DB58B5" w:rsidRDefault="00132EA9" w:rsidP="006D642D"/>
        </w:tc>
        <w:tc>
          <w:tcPr>
            <w:tcW w:w="2268" w:type="dxa"/>
            <w:tcBorders>
              <w:bottom w:val="single" w:sz="4" w:space="0" w:color="auto"/>
            </w:tcBorders>
            <w:vAlign w:val="bottom"/>
          </w:tcPr>
          <w:p w14:paraId="2B8D8AE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169C27" w14:textId="43B39D50" w:rsidR="00132EA9" w:rsidRPr="00DB58B5" w:rsidRDefault="006D642D" w:rsidP="006D642D">
            <w:pPr>
              <w:jc w:val="right"/>
            </w:pPr>
            <w:r w:rsidRPr="006D642D">
              <w:rPr>
                <w:sz w:val="40"/>
              </w:rPr>
              <w:t>ST</w:t>
            </w:r>
            <w:r>
              <w:t>/SG/AC.10/C.3/2022/19</w:t>
            </w:r>
          </w:p>
        </w:tc>
      </w:tr>
      <w:tr w:rsidR="00132EA9" w:rsidRPr="00DB58B5" w14:paraId="126FC319" w14:textId="77777777" w:rsidTr="00F01738">
        <w:trPr>
          <w:trHeight w:hRule="exact" w:val="2835"/>
        </w:trPr>
        <w:tc>
          <w:tcPr>
            <w:tcW w:w="1276" w:type="dxa"/>
            <w:tcBorders>
              <w:top w:val="single" w:sz="4" w:space="0" w:color="auto"/>
              <w:bottom w:val="single" w:sz="12" w:space="0" w:color="auto"/>
            </w:tcBorders>
          </w:tcPr>
          <w:p w14:paraId="51A2BCD8" w14:textId="77777777" w:rsidR="00132EA9" w:rsidRPr="00DB58B5" w:rsidRDefault="00132EA9" w:rsidP="00F01738">
            <w:pPr>
              <w:spacing w:before="120"/>
              <w:jc w:val="center"/>
            </w:pPr>
            <w:r>
              <w:rPr>
                <w:noProof/>
                <w:lang w:eastAsia="fr-CH"/>
              </w:rPr>
              <w:drawing>
                <wp:inline distT="0" distB="0" distL="0" distR="0" wp14:anchorId="59463590" wp14:editId="7581B1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33929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D3E0F0A" w14:textId="77777777" w:rsidR="00132EA9" w:rsidRDefault="006D642D" w:rsidP="00F01738">
            <w:pPr>
              <w:spacing w:before="240"/>
            </w:pPr>
            <w:proofErr w:type="spellStart"/>
            <w:r>
              <w:t>Distr</w:t>
            </w:r>
            <w:proofErr w:type="spellEnd"/>
            <w:r>
              <w:t xml:space="preserve">. </w:t>
            </w:r>
            <w:proofErr w:type="gramStart"/>
            <w:r>
              <w:t>générale</w:t>
            </w:r>
            <w:proofErr w:type="gramEnd"/>
          </w:p>
          <w:p w14:paraId="1C074697" w14:textId="77777777" w:rsidR="006D642D" w:rsidRDefault="006D642D" w:rsidP="006D642D">
            <w:pPr>
              <w:spacing w:line="240" w:lineRule="exact"/>
            </w:pPr>
            <w:r>
              <w:t>4 avril 2022</w:t>
            </w:r>
          </w:p>
          <w:p w14:paraId="21040D9C" w14:textId="77777777" w:rsidR="006D642D" w:rsidRDefault="006D642D" w:rsidP="006D642D">
            <w:pPr>
              <w:spacing w:line="240" w:lineRule="exact"/>
            </w:pPr>
            <w:r>
              <w:t>Français</w:t>
            </w:r>
          </w:p>
          <w:p w14:paraId="348CA3AC" w14:textId="6F8DF53B" w:rsidR="006D642D" w:rsidRPr="00DB58B5" w:rsidRDefault="006D642D" w:rsidP="006D642D">
            <w:pPr>
              <w:spacing w:line="240" w:lineRule="exact"/>
            </w:pPr>
            <w:r>
              <w:t>Original : anglais</w:t>
            </w:r>
          </w:p>
        </w:tc>
      </w:tr>
    </w:tbl>
    <w:p w14:paraId="15CAB8FF" w14:textId="48E54416" w:rsidR="006D642D" w:rsidRPr="00CA0680" w:rsidRDefault="006D642D"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1D27D7FE" w14:textId="12ACFBCF" w:rsidR="006D642D" w:rsidRPr="00CA0680" w:rsidRDefault="006D642D"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1F538365" w14:textId="77777777" w:rsidR="006D642D" w:rsidRPr="00397933" w:rsidRDefault="006D642D" w:rsidP="006D642D">
      <w:pPr>
        <w:spacing w:before="120"/>
        <w:rPr>
          <w:b/>
          <w:lang w:val="fr-FR"/>
        </w:rPr>
      </w:pPr>
      <w:r>
        <w:rPr>
          <w:b/>
          <w:bCs/>
          <w:lang w:val="fr-FR"/>
        </w:rPr>
        <w:t>Soixantième session</w:t>
      </w:r>
    </w:p>
    <w:p w14:paraId="61E4787B" w14:textId="77777777" w:rsidR="006D642D" w:rsidRPr="00397933" w:rsidRDefault="006D642D" w:rsidP="006D642D">
      <w:pPr>
        <w:rPr>
          <w:lang w:val="fr-FR"/>
        </w:rPr>
      </w:pPr>
      <w:r>
        <w:rPr>
          <w:lang w:val="fr-FR"/>
        </w:rPr>
        <w:t>Genève, 27 juin-6 juillet 2022</w:t>
      </w:r>
    </w:p>
    <w:p w14:paraId="14EEE8C5" w14:textId="1E69C7A3" w:rsidR="006D642D" w:rsidRPr="00397933" w:rsidRDefault="006D642D" w:rsidP="006D642D">
      <w:pPr>
        <w:rPr>
          <w:lang w:val="fr-FR"/>
        </w:rPr>
      </w:pPr>
      <w:r>
        <w:rPr>
          <w:lang w:val="fr-FR"/>
        </w:rPr>
        <w:t>Point 3 de l’ordre du jour provisoire</w:t>
      </w:r>
    </w:p>
    <w:p w14:paraId="2C647821" w14:textId="77777777" w:rsidR="006D642D" w:rsidRPr="00397933" w:rsidRDefault="006D642D" w:rsidP="006D642D">
      <w:pPr>
        <w:rPr>
          <w:b/>
          <w:bCs/>
          <w:lang w:val="fr-FR"/>
        </w:rPr>
      </w:pPr>
      <w:r>
        <w:rPr>
          <w:b/>
          <w:bCs/>
          <w:lang w:val="fr-FR"/>
        </w:rPr>
        <w:t>Inscription, classement et emballage</w:t>
      </w:r>
    </w:p>
    <w:p w14:paraId="2561440F" w14:textId="7187F5B9" w:rsidR="006D642D" w:rsidRPr="00397933" w:rsidRDefault="006D642D" w:rsidP="006D642D">
      <w:pPr>
        <w:pStyle w:val="HChG"/>
        <w:rPr>
          <w:lang w:val="fr-FR"/>
        </w:rPr>
      </w:pPr>
      <w:r>
        <w:rPr>
          <w:lang w:val="fr-FR"/>
        </w:rPr>
        <w:tab/>
      </w:r>
      <w:r>
        <w:rPr>
          <w:lang w:val="fr-FR"/>
        </w:rPr>
        <w:tab/>
        <w:t xml:space="preserve">Proposition d’ajout d’un numéro ONU pour le </w:t>
      </w:r>
      <w:proofErr w:type="spellStart"/>
      <w:r>
        <w:rPr>
          <w:lang w:val="fr-FR"/>
        </w:rPr>
        <w:t>disilane</w:t>
      </w:r>
      <w:bookmarkStart w:id="0" w:name="_Hlk62717420"/>
      <w:bookmarkEnd w:id="0"/>
      <w:proofErr w:type="spellEnd"/>
    </w:p>
    <w:p w14:paraId="1F7CC486" w14:textId="3A645EB1" w:rsidR="006D642D" w:rsidRPr="00397933" w:rsidRDefault="006D642D" w:rsidP="006D642D">
      <w:pPr>
        <w:pStyle w:val="H1G"/>
        <w:rPr>
          <w:lang w:val="fr-FR"/>
        </w:rPr>
      </w:pPr>
      <w:r>
        <w:rPr>
          <w:lang w:val="fr-FR"/>
        </w:rPr>
        <w:tab/>
      </w:r>
      <w:r>
        <w:rPr>
          <w:lang w:val="fr-FR"/>
        </w:rPr>
        <w:tab/>
        <w:t xml:space="preserve">Communication de la </w:t>
      </w:r>
      <w:r w:rsidRPr="006D642D">
        <w:t>Compressed</w:t>
      </w:r>
      <w:r>
        <w:rPr>
          <w:lang w:val="fr-FR"/>
        </w:rPr>
        <w:t xml:space="preserve"> Gas Association (CGA) </w:t>
      </w:r>
      <w:r>
        <w:rPr>
          <w:lang w:val="fr-FR"/>
        </w:rPr>
        <w:br/>
        <w:t>et de l’Association européenne des gaz industriels (EIGA)</w:t>
      </w:r>
      <w:r w:rsidR="00967C33" w:rsidRPr="00967C33">
        <w:rPr>
          <w:rStyle w:val="FootnoteReference"/>
          <w:b w:val="0"/>
          <w:bCs/>
          <w:sz w:val="20"/>
          <w:vertAlign w:val="baseline"/>
        </w:rPr>
        <w:footnoteReference w:customMarkFollows="1" w:id="2"/>
        <w:t>*</w:t>
      </w:r>
    </w:p>
    <w:p w14:paraId="15B194DD" w14:textId="4AA9DE89" w:rsidR="00446FE5" w:rsidRDefault="006D642D" w:rsidP="006D642D">
      <w:pPr>
        <w:pStyle w:val="HChG"/>
        <w:rPr>
          <w:lang w:val="fr-FR"/>
        </w:rPr>
      </w:pPr>
      <w:r>
        <w:rPr>
          <w:lang w:val="fr-FR"/>
        </w:rPr>
        <w:tab/>
      </w:r>
      <w:r>
        <w:rPr>
          <w:lang w:val="fr-FR"/>
        </w:rPr>
        <w:tab/>
        <w:t>Contexte</w:t>
      </w:r>
    </w:p>
    <w:p w14:paraId="13F88878" w14:textId="275B5FDE" w:rsidR="006D642D" w:rsidRPr="00397933" w:rsidRDefault="006D642D" w:rsidP="006D642D">
      <w:pPr>
        <w:pStyle w:val="SingleTxtG"/>
        <w:rPr>
          <w:lang w:val="fr-FR"/>
        </w:rPr>
      </w:pPr>
      <w:r>
        <w:rPr>
          <w:lang w:val="fr-FR"/>
        </w:rPr>
        <w:t>1.</w:t>
      </w:r>
      <w:r>
        <w:rPr>
          <w:lang w:val="fr-FR"/>
        </w:rPr>
        <w:tab/>
        <w:t xml:space="preserve">La CGA et l’EIGA ont présenté le document ST/SG/AC.10/C.3/2017/43 à la cinquante-deuxième session du Sous-Comité d’experts du transport des marchandises dangereuses (décembre 2017). Il s’agissait d’une proposition visant à créer un numéro ONU pour le </w:t>
      </w:r>
      <w:proofErr w:type="spellStart"/>
      <w:r>
        <w:rPr>
          <w:lang w:val="fr-FR"/>
        </w:rPr>
        <w:t>disilane</w:t>
      </w:r>
      <w:proofErr w:type="spellEnd"/>
      <w:r>
        <w:rPr>
          <w:lang w:val="fr-FR"/>
        </w:rPr>
        <w:t xml:space="preserve"> et des numéros ONU pour les gaz pyrophoriques ainsi qu’à ajouter des critères pour les gaz pyrophoriques dans la division 2.1. Les experts ont dans l’ensemble appuyé la proposition, et il a été convenu qu’une proposition modifiée serait présentée au Sous-Comité.</w:t>
      </w:r>
    </w:p>
    <w:p w14:paraId="40981FC3" w14:textId="13576249" w:rsidR="006D642D" w:rsidRPr="00397933" w:rsidRDefault="006D642D" w:rsidP="006D642D">
      <w:pPr>
        <w:pStyle w:val="SingleTxtG"/>
        <w:rPr>
          <w:lang w:val="fr-FR"/>
        </w:rPr>
      </w:pPr>
      <w:r>
        <w:rPr>
          <w:lang w:val="fr-FR"/>
        </w:rPr>
        <w:t>2.</w:t>
      </w:r>
      <w:r>
        <w:rPr>
          <w:lang w:val="fr-FR"/>
        </w:rPr>
        <w:tab/>
        <w:t>La CGA et l’EIGA ont présenté, pour examen par le Sous-Comité à sa session de juin</w:t>
      </w:r>
      <w:r w:rsidR="00183EBE">
        <w:rPr>
          <w:lang w:val="fr-FR"/>
        </w:rPr>
        <w:t xml:space="preserve"> </w:t>
      </w:r>
      <w:r>
        <w:rPr>
          <w:lang w:val="fr-FR"/>
        </w:rPr>
        <w:t>2021, le document ST/SG/AC.10/C.3/2021/31, comprenant les modifications techniques et d’ordre rédactionnel qui avaient été décidées à la session de 2017.</w:t>
      </w:r>
    </w:p>
    <w:p w14:paraId="27075036" w14:textId="0A18CA90" w:rsidR="006D642D" w:rsidRPr="00397933" w:rsidRDefault="006D642D" w:rsidP="006D642D">
      <w:pPr>
        <w:pStyle w:val="SingleTxtG"/>
        <w:rPr>
          <w:lang w:val="fr-FR"/>
        </w:rPr>
      </w:pPr>
      <w:r>
        <w:rPr>
          <w:lang w:val="fr-FR"/>
        </w:rPr>
        <w:t>3.</w:t>
      </w:r>
      <w:r>
        <w:rPr>
          <w:lang w:val="fr-FR"/>
        </w:rPr>
        <w:tab/>
        <w:t>Depuis la soumission de ce document, des parties prenantes, notamment de l’industrie, ont signalé plusieurs points pouvant nécessiter un examen plus poussé et des précisions. Ces observations portaient sur les conséquences potentielles des nouvelles définitions des gaz pyrophoriques en ce qui concerne le stockage de ces matières. En conséquence, la CGA et l’EIGA ont décidé de retirer le document ST/SG/AC.10/C.3/2021/31 (document informel INF.7 (cinquante-huitième session)) et de présenter un document révisé à une session ultérieure.</w:t>
      </w:r>
    </w:p>
    <w:p w14:paraId="5E9CEF52" w14:textId="002B8041" w:rsidR="006D642D" w:rsidRPr="00397933" w:rsidRDefault="006D642D" w:rsidP="006D642D">
      <w:pPr>
        <w:pStyle w:val="SingleTxtG"/>
        <w:rPr>
          <w:lang w:val="fr-FR"/>
        </w:rPr>
      </w:pPr>
      <w:r>
        <w:rPr>
          <w:lang w:val="fr-FR"/>
        </w:rPr>
        <w:t>4.</w:t>
      </w:r>
      <w:r>
        <w:rPr>
          <w:lang w:val="fr-FR"/>
        </w:rPr>
        <w:tab/>
        <w:t xml:space="preserve">La CGA et l’EIGA soumettent dans le présent document une proposition révisée portant uniquement sur le </w:t>
      </w:r>
      <w:proofErr w:type="spellStart"/>
      <w:r>
        <w:rPr>
          <w:lang w:val="fr-FR"/>
        </w:rPr>
        <w:t>disilane</w:t>
      </w:r>
      <w:proofErr w:type="spellEnd"/>
      <w:r>
        <w:rPr>
          <w:lang w:val="fr-FR"/>
        </w:rPr>
        <w:t>.</w:t>
      </w:r>
    </w:p>
    <w:p w14:paraId="45961679" w14:textId="30BB1548" w:rsidR="006D642D" w:rsidRPr="00397933" w:rsidRDefault="006D642D" w:rsidP="006D642D">
      <w:pPr>
        <w:pStyle w:val="SingleTxtG"/>
        <w:rPr>
          <w:lang w:val="fr-FR"/>
        </w:rPr>
      </w:pPr>
      <w:r>
        <w:rPr>
          <w:lang w:val="fr-FR"/>
        </w:rPr>
        <w:t>5.</w:t>
      </w:r>
      <w:r>
        <w:rPr>
          <w:lang w:val="fr-FR"/>
        </w:rPr>
        <w:tab/>
        <w:t xml:space="preserve">Le </w:t>
      </w:r>
      <w:proofErr w:type="spellStart"/>
      <w:r>
        <w:rPr>
          <w:lang w:val="fr-FR"/>
        </w:rPr>
        <w:t>disilane</w:t>
      </w:r>
      <w:proofErr w:type="spellEnd"/>
      <w:r>
        <w:rPr>
          <w:lang w:val="fr-FR"/>
        </w:rPr>
        <w:t xml:space="preserve"> (numéro 1590-87-0 dans le registre du Chemical Abstracts Service (CAS)) est un gaz liquéfié pyrophorique sous pression. À la pression atmosphérique, il atteint son point d’ébullition à -14,3 °C, et sa pression de vapeur à 20 °C est de 2,3 bars. En outre, ce gaz s’enflamme spontanément au contact de l’air. Sa température critique étant supérieure à </w:t>
      </w:r>
      <w:r>
        <w:rPr>
          <w:lang w:val="fr-FR"/>
        </w:rPr>
        <w:lastRenderedPageBreak/>
        <w:t>65 °C, il est également classé comme gaz liquéfié à basse pression au sens du 2.2.1.2 b) ii) du Règlement type pour le transport des marchandises dangereuses.</w:t>
      </w:r>
    </w:p>
    <w:p w14:paraId="29E8F933" w14:textId="012A2998" w:rsidR="006D642D" w:rsidRPr="00397933" w:rsidRDefault="006D642D" w:rsidP="006D642D">
      <w:pPr>
        <w:pStyle w:val="SingleTxtG"/>
        <w:rPr>
          <w:lang w:val="fr-FR"/>
        </w:rPr>
      </w:pPr>
      <w:r>
        <w:rPr>
          <w:lang w:val="fr-FR"/>
        </w:rPr>
        <w:t>6.</w:t>
      </w:r>
      <w:r>
        <w:rPr>
          <w:lang w:val="fr-FR"/>
        </w:rPr>
        <w:tab/>
        <w:t xml:space="preserve">Un numéro générique est utilisé pour le transport du </w:t>
      </w:r>
      <w:proofErr w:type="spellStart"/>
      <w:r>
        <w:rPr>
          <w:lang w:val="fr-FR"/>
        </w:rPr>
        <w:t>disilane</w:t>
      </w:r>
      <w:proofErr w:type="spellEnd"/>
      <w:r>
        <w:rPr>
          <w:lang w:val="fr-FR"/>
        </w:rPr>
        <w:t xml:space="preserve"> (No ONU 3161). La désignation officielle de transport est « GAZ LIQUÉFIÉ INFLAMMABLE, N.S.A. (</w:t>
      </w:r>
      <w:proofErr w:type="spellStart"/>
      <w:r>
        <w:rPr>
          <w:lang w:val="fr-FR"/>
        </w:rPr>
        <w:t>disilane</w:t>
      </w:r>
      <w:proofErr w:type="spellEnd"/>
      <w:r>
        <w:rPr>
          <w:lang w:val="fr-FR"/>
        </w:rPr>
        <w:t xml:space="preserve">) » puisqu’il n’existe pas de numéro spécifique pour ce gaz. Le numéro ONU générique ne rend toutefois pas totalement compte de l’inflammabilité du </w:t>
      </w:r>
      <w:proofErr w:type="spellStart"/>
      <w:r>
        <w:rPr>
          <w:lang w:val="fr-FR"/>
        </w:rPr>
        <w:t>disilane</w:t>
      </w:r>
      <w:proofErr w:type="spellEnd"/>
      <w:r>
        <w:rPr>
          <w:lang w:val="fr-FR"/>
        </w:rPr>
        <w:t xml:space="preserve">. Le </w:t>
      </w:r>
      <w:proofErr w:type="spellStart"/>
      <w:r>
        <w:rPr>
          <w:lang w:val="fr-FR"/>
        </w:rPr>
        <w:t>disilane</w:t>
      </w:r>
      <w:proofErr w:type="spellEnd"/>
      <w:r>
        <w:rPr>
          <w:lang w:val="fr-FR"/>
        </w:rPr>
        <w:t xml:space="preserve"> est pyrophorique, tout comme le silane (No ONU 2203), lequel ne doit pas être transporté par avion, que ce soit dans un avion-cargo ou dans un avion de transport de passagers. Toutes les autres matières pyrophoriques figurant dans le Règlement type de l’ONU sont interdites au transport par avion-cargo ou dans un avion de transport de passagers.</w:t>
      </w:r>
    </w:p>
    <w:p w14:paraId="69ACD9D0" w14:textId="1EC9EEF9" w:rsidR="006D642D" w:rsidRPr="00397933" w:rsidRDefault="006D642D" w:rsidP="006D642D">
      <w:pPr>
        <w:pStyle w:val="SingleTxtG"/>
        <w:rPr>
          <w:lang w:val="fr-FR"/>
        </w:rPr>
      </w:pPr>
      <w:r>
        <w:rPr>
          <w:lang w:val="fr-FR"/>
        </w:rPr>
        <w:t>7.</w:t>
      </w:r>
      <w:r>
        <w:rPr>
          <w:lang w:val="fr-FR"/>
        </w:rPr>
        <w:tab/>
        <w:t xml:space="preserve">La CGA et l’EIGA souhaitent que le risque lié au </w:t>
      </w:r>
      <w:proofErr w:type="spellStart"/>
      <w:r>
        <w:rPr>
          <w:lang w:val="fr-FR"/>
        </w:rPr>
        <w:t>disilane</w:t>
      </w:r>
      <w:proofErr w:type="spellEnd"/>
      <w:r>
        <w:rPr>
          <w:lang w:val="fr-FR"/>
        </w:rPr>
        <w:t xml:space="preserve"> soit clarifié de sorte qu’il ne soit pas possible de transporter ce produit par avion.</w:t>
      </w:r>
    </w:p>
    <w:p w14:paraId="272CFAEC" w14:textId="77777777" w:rsidR="006D642D" w:rsidRPr="00397933" w:rsidRDefault="006D642D" w:rsidP="006D642D">
      <w:pPr>
        <w:pStyle w:val="SingleTxtG"/>
        <w:rPr>
          <w:lang w:val="fr-FR"/>
        </w:rPr>
      </w:pPr>
      <w:r>
        <w:rPr>
          <w:lang w:val="fr-FR"/>
        </w:rPr>
        <w:t>8.</w:t>
      </w:r>
      <w:r>
        <w:rPr>
          <w:lang w:val="fr-FR"/>
        </w:rPr>
        <w:tab/>
        <w:t>On trouvera ci-après deux propositions :</w:t>
      </w:r>
    </w:p>
    <w:p w14:paraId="03A2FAF7" w14:textId="77777777" w:rsidR="006D642D" w:rsidRPr="00397933" w:rsidRDefault="006D642D" w:rsidP="006D642D">
      <w:pPr>
        <w:pStyle w:val="SingleTxtG"/>
        <w:ind w:firstLine="567"/>
        <w:rPr>
          <w:lang w:val="fr-FR"/>
        </w:rPr>
      </w:pPr>
      <w:r>
        <w:rPr>
          <w:lang w:val="fr-FR"/>
        </w:rPr>
        <w:t>a)</w:t>
      </w:r>
      <w:r>
        <w:rPr>
          <w:lang w:val="fr-FR"/>
        </w:rPr>
        <w:tab/>
        <w:t xml:space="preserve">Ajouter à la liste des marchandises dangereuses une nouvelle rubrique pour le </w:t>
      </w:r>
      <w:proofErr w:type="spellStart"/>
      <w:r>
        <w:rPr>
          <w:lang w:val="fr-FR"/>
        </w:rPr>
        <w:t>disilane</w:t>
      </w:r>
      <w:proofErr w:type="spellEnd"/>
      <w:r>
        <w:rPr>
          <w:lang w:val="fr-FR"/>
        </w:rPr>
        <w:t> ;</w:t>
      </w:r>
    </w:p>
    <w:p w14:paraId="1E82974C" w14:textId="7DE54388" w:rsidR="006D642D" w:rsidRPr="00397933" w:rsidRDefault="006D642D" w:rsidP="006D642D">
      <w:pPr>
        <w:pStyle w:val="SingleTxtG"/>
        <w:ind w:firstLine="567"/>
        <w:rPr>
          <w:lang w:val="fr-FR"/>
        </w:rPr>
      </w:pPr>
      <w:r>
        <w:rPr>
          <w:lang w:val="fr-FR"/>
        </w:rPr>
        <w:t>b)</w:t>
      </w:r>
      <w:r>
        <w:rPr>
          <w:lang w:val="fr-FR"/>
        </w:rPr>
        <w:tab/>
        <w:t xml:space="preserve">Ajouter dans l’instruction d’emballage P200 une nouvelle rubrique pour le </w:t>
      </w:r>
      <w:proofErr w:type="spellStart"/>
      <w:r>
        <w:rPr>
          <w:lang w:val="fr-FR"/>
        </w:rPr>
        <w:t>disilane</w:t>
      </w:r>
      <w:proofErr w:type="spellEnd"/>
      <w:r>
        <w:rPr>
          <w:lang w:val="fr-FR"/>
        </w:rPr>
        <w:t>.</w:t>
      </w:r>
    </w:p>
    <w:p w14:paraId="12F2EF9E" w14:textId="77777777" w:rsidR="006D642D" w:rsidRPr="00397933" w:rsidRDefault="006D642D" w:rsidP="006D642D">
      <w:pPr>
        <w:pStyle w:val="H1G"/>
        <w:rPr>
          <w:lang w:val="fr-FR"/>
        </w:rPr>
      </w:pPr>
      <w:r>
        <w:rPr>
          <w:lang w:val="fr-FR"/>
        </w:rPr>
        <w:tab/>
      </w:r>
      <w:r>
        <w:rPr>
          <w:lang w:val="fr-FR"/>
        </w:rPr>
        <w:tab/>
      </w:r>
      <w:r>
        <w:rPr>
          <w:bCs/>
          <w:lang w:val="fr-FR"/>
        </w:rPr>
        <w:t>Proposition 1</w:t>
      </w:r>
    </w:p>
    <w:p w14:paraId="0CDF2BEF" w14:textId="04483D3B" w:rsidR="006D642D" w:rsidRPr="00397933" w:rsidRDefault="006D642D" w:rsidP="006D642D">
      <w:pPr>
        <w:pStyle w:val="SingleTxtG"/>
        <w:rPr>
          <w:lang w:val="fr-FR"/>
        </w:rPr>
      </w:pPr>
      <w:r>
        <w:rPr>
          <w:lang w:val="fr-FR"/>
        </w:rPr>
        <w:t>9.</w:t>
      </w:r>
      <w:r>
        <w:rPr>
          <w:lang w:val="fr-FR"/>
        </w:rPr>
        <w:tab/>
        <w:t xml:space="preserve">Au 3.2.2, Liste des marchandises dangereuses, ajouter la nouvelle rubrique ci-après, permettant d’identifier le </w:t>
      </w:r>
      <w:proofErr w:type="spellStart"/>
      <w:r>
        <w:rPr>
          <w:lang w:val="fr-FR"/>
        </w:rPr>
        <w:t>disilane</w:t>
      </w:r>
      <w:proofErr w:type="spellEnd"/>
      <w:r>
        <w:rPr>
          <w:lang w:val="fr-FR"/>
        </w:rPr>
        <w:t>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9"/>
        <w:gridCol w:w="1822"/>
        <w:gridCol w:w="700"/>
        <w:gridCol w:w="812"/>
        <w:gridCol w:w="838"/>
        <w:gridCol w:w="800"/>
        <w:gridCol w:w="419"/>
        <w:gridCol w:w="406"/>
        <w:gridCol w:w="863"/>
        <w:gridCol w:w="817"/>
        <w:gridCol w:w="826"/>
        <w:gridCol w:w="798"/>
      </w:tblGrid>
      <w:tr w:rsidR="006D642D" w:rsidRPr="007762FD" w14:paraId="342A5710" w14:textId="77777777" w:rsidTr="00967C33">
        <w:trPr>
          <w:tblHeader/>
        </w:trPr>
        <w:tc>
          <w:tcPr>
            <w:tcW w:w="539" w:type="dxa"/>
            <w:vMerge w:val="restart"/>
            <w:tcBorders>
              <w:top w:val="single" w:sz="4" w:space="0" w:color="auto"/>
            </w:tcBorders>
            <w:shd w:val="clear" w:color="auto" w:fill="auto"/>
            <w:vAlign w:val="bottom"/>
          </w:tcPr>
          <w:p w14:paraId="68A537C1" w14:textId="77777777" w:rsidR="006D642D" w:rsidRPr="00361421" w:rsidRDefault="006D642D" w:rsidP="0021533F">
            <w:pPr>
              <w:suppressAutoHyphens w:val="0"/>
              <w:spacing w:before="40" w:after="40" w:line="200" w:lineRule="exact"/>
              <w:ind w:left="57" w:right="57"/>
              <w:jc w:val="center"/>
              <w:rPr>
                <w:b/>
                <w:bCs/>
                <w:iCs/>
                <w:sz w:val="14"/>
                <w:szCs w:val="14"/>
              </w:rPr>
            </w:pPr>
            <w:bookmarkStart w:id="1" w:name="_Hlk63179852"/>
            <w:r w:rsidRPr="00361421">
              <w:rPr>
                <w:b/>
                <w:bCs/>
                <w:iCs/>
                <w:sz w:val="14"/>
                <w:szCs w:val="14"/>
                <w:lang w:val="fr-FR"/>
              </w:rPr>
              <w:t>N</w:t>
            </w:r>
            <w:r w:rsidRPr="0090176E">
              <w:rPr>
                <w:b/>
                <w:bCs/>
                <w:iCs/>
                <w:sz w:val="14"/>
                <w:szCs w:val="14"/>
                <w:lang w:val="fr-FR"/>
              </w:rPr>
              <w:t>o</w:t>
            </w:r>
            <w:r w:rsidRPr="00361421">
              <w:rPr>
                <w:b/>
                <w:bCs/>
                <w:iCs/>
                <w:sz w:val="14"/>
                <w:szCs w:val="14"/>
                <w:lang w:val="fr-FR"/>
              </w:rPr>
              <w:t xml:space="preserve"> ONU</w:t>
            </w:r>
          </w:p>
        </w:tc>
        <w:tc>
          <w:tcPr>
            <w:tcW w:w="1822" w:type="dxa"/>
            <w:vMerge w:val="restart"/>
            <w:tcBorders>
              <w:top w:val="single" w:sz="4" w:space="0" w:color="auto"/>
            </w:tcBorders>
            <w:shd w:val="clear" w:color="auto" w:fill="auto"/>
            <w:vAlign w:val="bottom"/>
          </w:tcPr>
          <w:p w14:paraId="2558CF57" w14:textId="77777777" w:rsidR="006D642D" w:rsidRPr="00361421" w:rsidRDefault="006D642D" w:rsidP="0021533F">
            <w:pPr>
              <w:suppressAutoHyphens w:val="0"/>
              <w:spacing w:before="40" w:after="40" w:line="200" w:lineRule="exact"/>
              <w:ind w:left="57" w:right="57"/>
              <w:jc w:val="center"/>
              <w:rPr>
                <w:b/>
                <w:bCs/>
                <w:iCs/>
                <w:sz w:val="14"/>
                <w:szCs w:val="14"/>
              </w:rPr>
            </w:pPr>
            <w:r w:rsidRPr="00361421">
              <w:rPr>
                <w:b/>
                <w:bCs/>
                <w:iCs/>
                <w:sz w:val="14"/>
                <w:szCs w:val="14"/>
                <w:lang w:val="fr-FR"/>
              </w:rPr>
              <w:t>Nom et description</w:t>
            </w:r>
          </w:p>
        </w:tc>
        <w:tc>
          <w:tcPr>
            <w:tcW w:w="700" w:type="dxa"/>
            <w:vMerge w:val="restart"/>
            <w:tcBorders>
              <w:top w:val="single" w:sz="4" w:space="0" w:color="auto"/>
            </w:tcBorders>
            <w:shd w:val="clear" w:color="auto" w:fill="auto"/>
            <w:vAlign w:val="bottom"/>
          </w:tcPr>
          <w:p w14:paraId="5B17097B" w14:textId="77777777" w:rsidR="006D642D" w:rsidRPr="00361421" w:rsidRDefault="006D642D" w:rsidP="002F001E">
            <w:pPr>
              <w:suppressAutoHyphens w:val="0"/>
              <w:spacing w:before="40" w:after="40" w:line="200" w:lineRule="exact"/>
              <w:ind w:left="57" w:right="57"/>
              <w:jc w:val="center"/>
              <w:rPr>
                <w:b/>
                <w:bCs/>
                <w:iCs/>
                <w:sz w:val="14"/>
                <w:szCs w:val="14"/>
              </w:rPr>
            </w:pPr>
            <w:r w:rsidRPr="00361421">
              <w:rPr>
                <w:b/>
                <w:bCs/>
                <w:iCs/>
                <w:sz w:val="14"/>
                <w:szCs w:val="14"/>
                <w:lang w:val="fr-FR"/>
              </w:rPr>
              <w:t>Classe ou division</w:t>
            </w:r>
          </w:p>
        </w:tc>
        <w:tc>
          <w:tcPr>
            <w:tcW w:w="812" w:type="dxa"/>
            <w:vMerge w:val="restart"/>
            <w:tcBorders>
              <w:top w:val="single" w:sz="4" w:space="0" w:color="auto"/>
            </w:tcBorders>
            <w:shd w:val="clear" w:color="auto" w:fill="auto"/>
            <w:vAlign w:val="bottom"/>
          </w:tcPr>
          <w:p w14:paraId="1DD39B76" w14:textId="49AECB29" w:rsidR="006D642D" w:rsidRPr="00361421" w:rsidRDefault="006D642D" w:rsidP="002F001E">
            <w:pPr>
              <w:suppressAutoHyphens w:val="0"/>
              <w:spacing w:before="40" w:after="40" w:line="200" w:lineRule="exact"/>
              <w:ind w:left="57" w:right="57"/>
              <w:jc w:val="center"/>
              <w:rPr>
                <w:b/>
                <w:bCs/>
                <w:iCs/>
                <w:sz w:val="14"/>
                <w:szCs w:val="14"/>
              </w:rPr>
            </w:pPr>
            <w:r w:rsidRPr="00361421">
              <w:rPr>
                <w:b/>
                <w:bCs/>
                <w:iCs/>
                <w:sz w:val="14"/>
                <w:szCs w:val="14"/>
                <w:lang w:val="fr-FR"/>
              </w:rPr>
              <w:t>Danger subsidiaire</w:t>
            </w:r>
          </w:p>
        </w:tc>
        <w:tc>
          <w:tcPr>
            <w:tcW w:w="838" w:type="dxa"/>
            <w:vMerge w:val="restart"/>
            <w:tcBorders>
              <w:top w:val="single" w:sz="4" w:space="0" w:color="auto"/>
            </w:tcBorders>
            <w:shd w:val="clear" w:color="auto" w:fill="auto"/>
            <w:vAlign w:val="bottom"/>
          </w:tcPr>
          <w:p w14:paraId="59FFC74C" w14:textId="5A791538" w:rsidR="006D642D" w:rsidRPr="00361421" w:rsidRDefault="006D642D" w:rsidP="002F001E">
            <w:pPr>
              <w:suppressAutoHyphens w:val="0"/>
              <w:spacing w:before="40" w:after="40" w:line="200" w:lineRule="exact"/>
              <w:ind w:left="57" w:right="57"/>
              <w:jc w:val="center"/>
              <w:rPr>
                <w:b/>
                <w:bCs/>
                <w:iCs/>
                <w:sz w:val="14"/>
                <w:szCs w:val="14"/>
              </w:rPr>
            </w:pPr>
            <w:r w:rsidRPr="00361421">
              <w:rPr>
                <w:b/>
                <w:bCs/>
                <w:iCs/>
                <w:sz w:val="14"/>
                <w:szCs w:val="14"/>
                <w:lang w:val="fr-FR"/>
              </w:rPr>
              <w:t xml:space="preserve">Groupe </w:t>
            </w:r>
            <w:r w:rsidRPr="00361421">
              <w:rPr>
                <w:b/>
                <w:bCs/>
                <w:iCs/>
                <w:spacing w:val="-5"/>
                <w:sz w:val="14"/>
                <w:szCs w:val="14"/>
                <w:lang w:val="fr-FR"/>
              </w:rPr>
              <w:t>d</w:t>
            </w:r>
            <w:r>
              <w:rPr>
                <w:b/>
                <w:bCs/>
                <w:iCs/>
                <w:spacing w:val="-5"/>
                <w:sz w:val="14"/>
                <w:szCs w:val="14"/>
                <w:lang w:val="fr-FR"/>
              </w:rPr>
              <w:t>’</w:t>
            </w:r>
            <w:r w:rsidRPr="00361421">
              <w:rPr>
                <w:b/>
                <w:bCs/>
                <w:iCs/>
                <w:spacing w:val="-5"/>
                <w:sz w:val="14"/>
                <w:szCs w:val="14"/>
                <w:lang w:val="fr-FR"/>
              </w:rPr>
              <w:t>emballage</w:t>
            </w:r>
          </w:p>
        </w:tc>
        <w:tc>
          <w:tcPr>
            <w:tcW w:w="800" w:type="dxa"/>
            <w:vMerge w:val="restart"/>
            <w:tcBorders>
              <w:top w:val="single" w:sz="4" w:space="0" w:color="auto"/>
            </w:tcBorders>
            <w:shd w:val="clear" w:color="auto" w:fill="auto"/>
            <w:vAlign w:val="bottom"/>
          </w:tcPr>
          <w:p w14:paraId="448D88C0" w14:textId="77777777" w:rsidR="006D642D" w:rsidRPr="00361421" w:rsidRDefault="006D642D" w:rsidP="002F001E">
            <w:pPr>
              <w:suppressAutoHyphens w:val="0"/>
              <w:spacing w:before="40" w:after="40" w:line="200" w:lineRule="exact"/>
              <w:ind w:left="57" w:right="57"/>
              <w:jc w:val="center"/>
              <w:rPr>
                <w:b/>
                <w:bCs/>
                <w:iCs/>
                <w:sz w:val="14"/>
                <w:szCs w:val="14"/>
              </w:rPr>
            </w:pPr>
            <w:r w:rsidRPr="00361421">
              <w:rPr>
                <w:b/>
                <w:bCs/>
                <w:iCs/>
                <w:spacing w:val="-4"/>
                <w:sz w:val="14"/>
                <w:szCs w:val="14"/>
                <w:lang w:val="fr-FR"/>
              </w:rPr>
              <w:t xml:space="preserve">Dispositions </w:t>
            </w:r>
            <w:r w:rsidRPr="00361421">
              <w:rPr>
                <w:b/>
                <w:bCs/>
                <w:iCs/>
                <w:sz w:val="14"/>
                <w:szCs w:val="14"/>
                <w:lang w:val="fr-FR"/>
              </w:rPr>
              <w:t>spéciales</w:t>
            </w:r>
          </w:p>
        </w:tc>
        <w:tc>
          <w:tcPr>
            <w:tcW w:w="825" w:type="dxa"/>
            <w:gridSpan w:val="2"/>
            <w:vMerge w:val="restart"/>
            <w:tcBorders>
              <w:top w:val="single" w:sz="4" w:space="0" w:color="auto"/>
            </w:tcBorders>
            <w:shd w:val="clear" w:color="auto" w:fill="auto"/>
            <w:vAlign w:val="bottom"/>
          </w:tcPr>
          <w:p w14:paraId="04C3F4F0" w14:textId="77777777" w:rsidR="006D642D" w:rsidRPr="00361421" w:rsidRDefault="006D642D" w:rsidP="002F001E">
            <w:pPr>
              <w:suppressAutoHyphens w:val="0"/>
              <w:spacing w:before="40" w:after="40" w:line="200" w:lineRule="exact"/>
              <w:ind w:left="57" w:right="57"/>
              <w:jc w:val="center"/>
              <w:rPr>
                <w:b/>
                <w:bCs/>
                <w:iCs/>
                <w:spacing w:val="-2"/>
                <w:sz w:val="14"/>
                <w:szCs w:val="14"/>
                <w:lang w:val="fr-FR"/>
              </w:rPr>
            </w:pPr>
            <w:r w:rsidRPr="00361421">
              <w:rPr>
                <w:b/>
                <w:bCs/>
                <w:iCs/>
                <w:spacing w:val="-2"/>
                <w:sz w:val="14"/>
                <w:szCs w:val="14"/>
                <w:lang w:val="fr-FR"/>
              </w:rPr>
              <w:t>Quantités limitées et quantités exceptées</w:t>
            </w:r>
          </w:p>
        </w:tc>
        <w:tc>
          <w:tcPr>
            <w:tcW w:w="1680" w:type="dxa"/>
            <w:gridSpan w:val="2"/>
            <w:tcBorders>
              <w:top w:val="single" w:sz="4" w:space="0" w:color="auto"/>
            </w:tcBorders>
            <w:shd w:val="clear" w:color="auto" w:fill="auto"/>
            <w:vAlign w:val="center"/>
          </w:tcPr>
          <w:p w14:paraId="6C983DBA" w14:textId="77777777" w:rsidR="006D642D" w:rsidRPr="00361421" w:rsidRDefault="006D642D" w:rsidP="002F001E">
            <w:pPr>
              <w:suppressAutoHyphens w:val="0"/>
              <w:spacing w:before="40" w:after="40" w:line="200" w:lineRule="exact"/>
              <w:ind w:left="57" w:right="57"/>
              <w:jc w:val="center"/>
              <w:rPr>
                <w:b/>
                <w:bCs/>
                <w:iCs/>
                <w:sz w:val="14"/>
                <w:szCs w:val="14"/>
              </w:rPr>
            </w:pPr>
            <w:r w:rsidRPr="00361421">
              <w:rPr>
                <w:b/>
                <w:bCs/>
                <w:iCs/>
                <w:sz w:val="14"/>
                <w:szCs w:val="14"/>
                <w:lang w:val="fr-FR"/>
              </w:rPr>
              <w:t>Emballages et GRV</w:t>
            </w:r>
          </w:p>
        </w:tc>
        <w:tc>
          <w:tcPr>
            <w:tcW w:w="1624" w:type="dxa"/>
            <w:gridSpan w:val="2"/>
            <w:tcBorders>
              <w:top w:val="single" w:sz="4" w:space="0" w:color="auto"/>
            </w:tcBorders>
            <w:shd w:val="clear" w:color="auto" w:fill="auto"/>
            <w:vAlign w:val="bottom"/>
          </w:tcPr>
          <w:p w14:paraId="2784FEA9" w14:textId="77777777" w:rsidR="006D642D" w:rsidRPr="00361421" w:rsidRDefault="006D642D" w:rsidP="002F001E">
            <w:pPr>
              <w:suppressAutoHyphens w:val="0"/>
              <w:spacing w:before="40" w:after="40" w:line="200" w:lineRule="exact"/>
              <w:ind w:left="57" w:right="57"/>
              <w:jc w:val="center"/>
              <w:rPr>
                <w:b/>
                <w:bCs/>
                <w:iCs/>
                <w:sz w:val="14"/>
                <w:szCs w:val="14"/>
                <w:lang w:val="fr-FR"/>
              </w:rPr>
            </w:pPr>
            <w:r w:rsidRPr="00361421">
              <w:rPr>
                <w:b/>
                <w:bCs/>
                <w:iCs/>
                <w:sz w:val="14"/>
                <w:szCs w:val="14"/>
                <w:lang w:val="fr-FR"/>
              </w:rPr>
              <w:t xml:space="preserve">Citernes mobiles et </w:t>
            </w:r>
            <w:r w:rsidRPr="00361421">
              <w:rPr>
                <w:b/>
                <w:bCs/>
                <w:iCs/>
                <w:sz w:val="14"/>
                <w:szCs w:val="14"/>
                <w:lang w:val="fr-FR"/>
              </w:rPr>
              <w:br/>
              <w:t>conteneurs pour vrac</w:t>
            </w:r>
          </w:p>
        </w:tc>
      </w:tr>
      <w:tr w:rsidR="008B7F16" w:rsidRPr="00361421" w14:paraId="5F7AA758" w14:textId="77777777" w:rsidTr="008B7F16">
        <w:trPr>
          <w:tblHeader/>
        </w:trPr>
        <w:tc>
          <w:tcPr>
            <w:tcW w:w="539" w:type="dxa"/>
            <w:vMerge/>
            <w:tcBorders>
              <w:bottom w:val="single" w:sz="12" w:space="0" w:color="auto"/>
            </w:tcBorders>
            <w:shd w:val="clear" w:color="auto" w:fill="auto"/>
            <w:vAlign w:val="bottom"/>
          </w:tcPr>
          <w:p w14:paraId="575AC718" w14:textId="77777777" w:rsidR="006D642D" w:rsidRPr="00361421" w:rsidRDefault="006D642D" w:rsidP="002F001E">
            <w:pPr>
              <w:suppressAutoHyphens w:val="0"/>
              <w:spacing w:before="40" w:after="40" w:line="200" w:lineRule="exact"/>
              <w:ind w:left="57" w:right="57"/>
              <w:rPr>
                <w:rFonts w:eastAsia="Calibri"/>
                <w:sz w:val="14"/>
                <w:szCs w:val="14"/>
                <w:lang w:val="fr-FR"/>
              </w:rPr>
            </w:pPr>
          </w:p>
        </w:tc>
        <w:tc>
          <w:tcPr>
            <w:tcW w:w="1822" w:type="dxa"/>
            <w:vMerge/>
            <w:tcBorders>
              <w:bottom w:val="single" w:sz="12" w:space="0" w:color="auto"/>
            </w:tcBorders>
            <w:shd w:val="clear" w:color="auto" w:fill="auto"/>
            <w:vAlign w:val="bottom"/>
          </w:tcPr>
          <w:p w14:paraId="5094CC18" w14:textId="77777777" w:rsidR="006D642D" w:rsidRPr="00361421" w:rsidRDefault="006D642D" w:rsidP="002F001E">
            <w:pPr>
              <w:suppressAutoHyphens w:val="0"/>
              <w:spacing w:before="40" w:after="40" w:line="200" w:lineRule="exact"/>
              <w:ind w:left="57" w:right="57"/>
              <w:jc w:val="right"/>
              <w:rPr>
                <w:rFonts w:eastAsia="Calibri"/>
                <w:sz w:val="14"/>
                <w:szCs w:val="14"/>
                <w:lang w:val="fr-FR"/>
              </w:rPr>
            </w:pPr>
          </w:p>
        </w:tc>
        <w:tc>
          <w:tcPr>
            <w:tcW w:w="700" w:type="dxa"/>
            <w:vMerge/>
            <w:tcBorders>
              <w:bottom w:val="single" w:sz="12" w:space="0" w:color="auto"/>
            </w:tcBorders>
            <w:shd w:val="clear" w:color="auto" w:fill="auto"/>
            <w:vAlign w:val="bottom"/>
          </w:tcPr>
          <w:p w14:paraId="77668F87" w14:textId="77777777" w:rsidR="006D642D" w:rsidRPr="00361421" w:rsidRDefault="006D642D" w:rsidP="002F001E">
            <w:pPr>
              <w:suppressAutoHyphens w:val="0"/>
              <w:spacing w:before="40" w:after="40" w:line="200" w:lineRule="exact"/>
              <w:ind w:left="57" w:right="57"/>
              <w:jc w:val="right"/>
              <w:rPr>
                <w:rFonts w:eastAsia="Calibri"/>
                <w:sz w:val="14"/>
                <w:szCs w:val="14"/>
                <w:lang w:val="fr-FR"/>
              </w:rPr>
            </w:pPr>
          </w:p>
        </w:tc>
        <w:tc>
          <w:tcPr>
            <w:tcW w:w="812" w:type="dxa"/>
            <w:vMerge/>
            <w:tcBorders>
              <w:bottom w:val="single" w:sz="12" w:space="0" w:color="auto"/>
            </w:tcBorders>
            <w:shd w:val="clear" w:color="auto" w:fill="auto"/>
            <w:vAlign w:val="bottom"/>
          </w:tcPr>
          <w:p w14:paraId="349D33F1" w14:textId="77777777" w:rsidR="006D642D" w:rsidRPr="00361421" w:rsidRDefault="006D642D" w:rsidP="002F001E">
            <w:pPr>
              <w:suppressAutoHyphens w:val="0"/>
              <w:spacing w:before="40" w:after="40" w:line="200" w:lineRule="exact"/>
              <w:ind w:left="57" w:right="57"/>
              <w:jc w:val="right"/>
              <w:rPr>
                <w:rFonts w:eastAsia="Calibri"/>
                <w:sz w:val="14"/>
                <w:szCs w:val="14"/>
                <w:lang w:val="fr-FR"/>
              </w:rPr>
            </w:pPr>
          </w:p>
        </w:tc>
        <w:tc>
          <w:tcPr>
            <w:tcW w:w="838" w:type="dxa"/>
            <w:vMerge/>
            <w:tcBorders>
              <w:bottom w:val="single" w:sz="12" w:space="0" w:color="auto"/>
            </w:tcBorders>
            <w:shd w:val="clear" w:color="auto" w:fill="auto"/>
            <w:vAlign w:val="bottom"/>
          </w:tcPr>
          <w:p w14:paraId="0DDE6ECF" w14:textId="77777777" w:rsidR="006D642D" w:rsidRPr="00361421" w:rsidRDefault="006D642D" w:rsidP="002F001E">
            <w:pPr>
              <w:suppressAutoHyphens w:val="0"/>
              <w:spacing w:before="40" w:after="40" w:line="200" w:lineRule="exact"/>
              <w:ind w:left="57" w:right="57"/>
              <w:jc w:val="right"/>
              <w:rPr>
                <w:rFonts w:eastAsia="Calibri"/>
                <w:sz w:val="14"/>
                <w:szCs w:val="14"/>
                <w:lang w:val="fr-FR"/>
              </w:rPr>
            </w:pPr>
          </w:p>
        </w:tc>
        <w:tc>
          <w:tcPr>
            <w:tcW w:w="800" w:type="dxa"/>
            <w:vMerge/>
            <w:tcBorders>
              <w:bottom w:val="single" w:sz="12" w:space="0" w:color="auto"/>
            </w:tcBorders>
            <w:shd w:val="clear" w:color="auto" w:fill="auto"/>
            <w:vAlign w:val="bottom"/>
          </w:tcPr>
          <w:p w14:paraId="294DAEE7" w14:textId="77777777" w:rsidR="006D642D" w:rsidRPr="00361421" w:rsidRDefault="006D642D" w:rsidP="002F001E">
            <w:pPr>
              <w:suppressAutoHyphens w:val="0"/>
              <w:spacing w:before="40" w:after="40" w:line="200" w:lineRule="exact"/>
              <w:ind w:left="57" w:right="57"/>
              <w:jc w:val="right"/>
              <w:rPr>
                <w:rFonts w:eastAsia="Calibri"/>
                <w:sz w:val="14"/>
                <w:szCs w:val="14"/>
                <w:lang w:val="fr-FR"/>
              </w:rPr>
            </w:pPr>
          </w:p>
        </w:tc>
        <w:tc>
          <w:tcPr>
            <w:tcW w:w="825" w:type="dxa"/>
            <w:gridSpan w:val="2"/>
            <w:vMerge/>
            <w:tcBorders>
              <w:bottom w:val="single" w:sz="12" w:space="0" w:color="auto"/>
            </w:tcBorders>
            <w:shd w:val="clear" w:color="auto" w:fill="auto"/>
            <w:vAlign w:val="bottom"/>
          </w:tcPr>
          <w:p w14:paraId="243B9422" w14:textId="77777777" w:rsidR="006D642D" w:rsidRPr="00361421" w:rsidRDefault="006D642D" w:rsidP="002F001E">
            <w:pPr>
              <w:suppressAutoHyphens w:val="0"/>
              <w:spacing w:before="40" w:after="40" w:line="200" w:lineRule="exact"/>
              <w:ind w:left="57" w:right="57"/>
              <w:jc w:val="right"/>
              <w:rPr>
                <w:rFonts w:eastAsia="Calibri"/>
                <w:sz w:val="14"/>
                <w:szCs w:val="14"/>
                <w:lang w:val="fr-FR"/>
              </w:rPr>
            </w:pPr>
          </w:p>
        </w:tc>
        <w:tc>
          <w:tcPr>
            <w:tcW w:w="863" w:type="dxa"/>
            <w:tcBorders>
              <w:bottom w:val="single" w:sz="12" w:space="0" w:color="auto"/>
            </w:tcBorders>
            <w:shd w:val="clear" w:color="auto" w:fill="auto"/>
            <w:vAlign w:val="bottom"/>
          </w:tcPr>
          <w:p w14:paraId="1CAEA961" w14:textId="332CED41" w:rsidR="006D642D" w:rsidRPr="00361421" w:rsidRDefault="006D642D" w:rsidP="002F001E">
            <w:pPr>
              <w:suppressAutoHyphens w:val="0"/>
              <w:spacing w:before="40" w:after="40" w:line="200" w:lineRule="exact"/>
              <w:ind w:left="57" w:right="57"/>
              <w:jc w:val="center"/>
              <w:rPr>
                <w:b/>
                <w:bCs/>
                <w:sz w:val="14"/>
                <w:szCs w:val="14"/>
              </w:rPr>
            </w:pPr>
            <w:r w:rsidRPr="00361421">
              <w:rPr>
                <w:b/>
                <w:bCs/>
                <w:sz w:val="14"/>
                <w:szCs w:val="14"/>
                <w:lang w:val="fr-FR"/>
              </w:rPr>
              <w:t>Instructions d</w:t>
            </w:r>
            <w:r>
              <w:rPr>
                <w:b/>
                <w:bCs/>
                <w:sz w:val="14"/>
                <w:szCs w:val="14"/>
                <w:lang w:val="fr-FR"/>
              </w:rPr>
              <w:t>’</w:t>
            </w:r>
            <w:r w:rsidRPr="00361421">
              <w:rPr>
                <w:b/>
                <w:bCs/>
                <w:sz w:val="14"/>
                <w:szCs w:val="14"/>
                <w:lang w:val="fr-FR"/>
              </w:rPr>
              <w:t>emballage</w:t>
            </w:r>
          </w:p>
        </w:tc>
        <w:tc>
          <w:tcPr>
            <w:tcW w:w="817" w:type="dxa"/>
            <w:tcBorders>
              <w:bottom w:val="single" w:sz="12" w:space="0" w:color="auto"/>
            </w:tcBorders>
            <w:shd w:val="clear" w:color="auto" w:fill="auto"/>
            <w:vAlign w:val="bottom"/>
          </w:tcPr>
          <w:p w14:paraId="73A4BD96" w14:textId="77777777" w:rsidR="006D642D" w:rsidRPr="00361421" w:rsidRDefault="006D642D" w:rsidP="002F001E">
            <w:pPr>
              <w:suppressAutoHyphens w:val="0"/>
              <w:spacing w:before="40" w:after="40" w:line="200" w:lineRule="exact"/>
              <w:ind w:left="57" w:right="57"/>
              <w:jc w:val="center"/>
              <w:rPr>
                <w:b/>
                <w:bCs/>
                <w:sz w:val="14"/>
                <w:szCs w:val="14"/>
              </w:rPr>
            </w:pPr>
            <w:r w:rsidRPr="00361421">
              <w:rPr>
                <w:b/>
                <w:bCs/>
                <w:spacing w:val="-4"/>
                <w:sz w:val="14"/>
                <w:szCs w:val="14"/>
                <w:lang w:val="fr-FR"/>
              </w:rPr>
              <w:t>Dispositions</w:t>
            </w:r>
            <w:r w:rsidRPr="00361421">
              <w:rPr>
                <w:b/>
                <w:bCs/>
                <w:sz w:val="14"/>
                <w:szCs w:val="14"/>
                <w:lang w:val="fr-FR"/>
              </w:rPr>
              <w:t xml:space="preserve"> spéciales</w:t>
            </w:r>
          </w:p>
        </w:tc>
        <w:tc>
          <w:tcPr>
            <w:tcW w:w="826" w:type="dxa"/>
            <w:tcBorders>
              <w:bottom w:val="single" w:sz="12" w:space="0" w:color="auto"/>
            </w:tcBorders>
            <w:shd w:val="clear" w:color="auto" w:fill="auto"/>
            <w:vAlign w:val="bottom"/>
          </w:tcPr>
          <w:p w14:paraId="120A0B0C" w14:textId="495AB93A" w:rsidR="006D642D" w:rsidRPr="00361421" w:rsidRDefault="006D642D" w:rsidP="002F001E">
            <w:pPr>
              <w:suppressAutoHyphens w:val="0"/>
              <w:spacing w:before="40" w:after="40" w:line="200" w:lineRule="exact"/>
              <w:ind w:left="57" w:right="57"/>
              <w:jc w:val="center"/>
              <w:rPr>
                <w:b/>
                <w:bCs/>
                <w:sz w:val="14"/>
                <w:szCs w:val="14"/>
              </w:rPr>
            </w:pPr>
            <w:r w:rsidRPr="00361421">
              <w:rPr>
                <w:b/>
                <w:bCs/>
                <w:spacing w:val="-3"/>
                <w:sz w:val="14"/>
                <w:szCs w:val="14"/>
                <w:lang w:val="fr-FR"/>
              </w:rPr>
              <w:t>Instructions</w:t>
            </w:r>
            <w:r w:rsidRPr="00361421">
              <w:rPr>
                <w:b/>
                <w:bCs/>
                <w:sz w:val="14"/>
                <w:szCs w:val="14"/>
                <w:lang w:val="fr-FR"/>
              </w:rPr>
              <w:t xml:space="preserve"> de</w:t>
            </w:r>
            <w:r w:rsidR="00D32D27">
              <w:rPr>
                <w:b/>
                <w:bCs/>
                <w:sz w:val="14"/>
                <w:szCs w:val="14"/>
                <w:lang w:val="fr-FR"/>
              </w:rPr>
              <w:t xml:space="preserve"> </w:t>
            </w:r>
            <w:r w:rsidRPr="00FC68C3">
              <w:rPr>
                <w:b/>
                <w:bCs/>
                <w:sz w:val="14"/>
                <w:szCs w:val="14"/>
                <w:lang w:val="fr-FR"/>
              </w:rPr>
              <w:t>t</w:t>
            </w:r>
            <w:r w:rsidRPr="00361421">
              <w:rPr>
                <w:b/>
                <w:bCs/>
                <w:sz w:val="14"/>
                <w:szCs w:val="14"/>
                <w:lang w:val="fr-FR"/>
              </w:rPr>
              <w:t>ransport</w:t>
            </w:r>
          </w:p>
        </w:tc>
        <w:tc>
          <w:tcPr>
            <w:tcW w:w="798" w:type="dxa"/>
            <w:tcBorders>
              <w:bottom w:val="single" w:sz="12" w:space="0" w:color="auto"/>
            </w:tcBorders>
            <w:shd w:val="clear" w:color="auto" w:fill="auto"/>
            <w:vAlign w:val="bottom"/>
          </w:tcPr>
          <w:p w14:paraId="26568009" w14:textId="77777777" w:rsidR="006D642D" w:rsidRPr="00361421" w:rsidRDefault="006D642D" w:rsidP="002F001E">
            <w:pPr>
              <w:suppressAutoHyphens w:val="0"/>
              <w:spacing w:before="40" w:after="40" w:line="200" w:lineRule="exact"/>
              <w:ind w:left="57" w:right="57"/>
              <w:jc w:val="center"/>
              <w:rPr>
                <w:b/>
                <w:bCs/>
                <w:sz w:val="14"/>
                <w:szCs w:val="14"/>
              </w:rPr>
            </w:pPr>
            <w:r w:rsidRPr="00361421">
              <w:rPr>
                <w:b/>
                <w:bCs/>
                <w:spacing w:val="-5"/>
                <w:sz w:val="14"/>
                <w:szCs w:val="14"/>
                <w:lang w:val="fr-FR"/>
              </w:rPr>
              <w:t>Dispositions</w:t>
            </w:r>
            <w:r w:rsidRPr="00361421">
              <w:rPr>
                <w:b/>
                <w:bCs/>
                <w:sz w:val="14"/>
                <w:szCs w:val="14"/>
                <w:lang w:val="fr-FR"/>
              </w:rPr>
              <w:t xml:space="preserve"> spéciales</w:t>
            </w:r>
          </w:p>
        </w:tc>
      </w:tr>
      <w:tr w:rsidR="002F001E" w:rsidRPr="002F001E" w14:paraId="09CB72CC" w14:textId="77777777" w:rsidTr="001A754C">
        <w:tc>
          <w:tcPr>
            <w:tcW w:w="539" w:type="dxa"/>
            <w:tcBorders>
              <w:top w:val="single" w:sz="12" w:space="0" w:color="auto"/>
              <w:bottom w:val="single" w:sz="2" w:space="0" w:color="auto"/>
            </w:tcBorders>
            <w:shd w:val="clear" w:color="auto" w:fill="auto"/>
          </w:tcPr>
          <w:p w14:paraId="7F72BF25"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(1)</w:t>
            </w:r>
          </w:p>
        </w:tc>
        <w:tc>
          <w:tcPr>
            <w:tcW w:w="1822" w:type="dxa"/>
            <w:tcBorders>
              <w:top w:val="single" w:sz="12" w:space="0" w:color="auto"/>
              <w:bottom w:val="single" w:sz="2" w:space="0" w:color="auto"/>
            </w:tcBorders>
            <w:shd w:val="clear" w:color="auto" w:fill="auto"/>
            <w:vAlign w:val="bottom"/>
          </w:tcPr>
          <w:p w14:paraId="701BE905"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(2)</w:t>
            </w:r>
          </w:p>
        </w:tc>
        <w:tc>
          <w:tcPr>
            <w:tcW w:w="700" w:type="dxa"/>
            <w:tcBorders>
              <w:top w:val="single" w:sz="12" w:space="0" w:color="auto"/>
              <w:bottom w:val="single" w:sz="2" w:space="0" w:color="auto"/>
            </w:tcBorders>
            <w:shd w:val="clear" w:color="auto" w:fill="auto"/>
            <w:vAlign w:val="bottom"/>
          </w:tcPr>
          <w:p w14:paraId="79C76B4F"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(3)</w:t>
            </w:r>
          </w:p>
        </w:tc>
        <w:tc>
          <w:tcPr>
            <w:tcW w:w="812" w:type="dxa"/>
            <w:tcBorders>
              <w:top w:val="single" w:sz="12" w:space="0" w:color="auto"/>
              <w:bottom w:val="single" w:sz="2" w:space="0" w:color="auto"/>
            </w:tcBorders>
            <w:shd w:val="clear" w:color="auto" w:fill="auto"/>
            <w:vAlign w:val="bottom"/>
          </w:tcPr>
          <w:p w14:paraId="726CB7B2"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(4)</w:t>
            </w:r>
          </w:p>
        </w:tc>
        <w:tc>
          <w:tcPr>
            <w:tcW w:w="838" w:type="dxa"/>
            <w:tcBorders>
              <w:top w:val="single" w:sz="12" w:space="0" w:color="auto"/>
              <w:bottom w:val="single" w:sz="2" w:space="0" w:color="auto"/>
            </w:tcBorders>
            <w:shd w:val="clear" w:color="auto" w:fill="auto"/>
            <w:vAlign w:val="bottom"/>
          </w:tcPr>
          <w:p w14:paraId="4FD02D8F"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(5)</w:t>
            </w:r>
          </w:p>
        </w:tc>
        <w:tc>
          <w:tcPr>
            <w:tcW w:w="800" w:type="dxa"/>
            <w:tcBorders>
              <w:top w:val="single" w:sz="12" w:space="0" w:color="auto"/>
              <w:bottom w:val="single" w:sz="2" w:space="0" w:color="auto"/>
            </w:tcBorders>
            <w:shd w:val="clear" w:color="auto" w:fill="auto"/>
            <w:vAlign w:val="bottom"/>
          </w:tcPr>
          <w:p w14:paraId="0070B792"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(6)</w:t>
            </w:r>
          </w:p>
        </w:tc>
        <w:tc>
          <w:tcPr>
            <w:tcW w:w="419" w:type="dxa"/>
            <w:tcBorders>
              <w:top w:val="single" w:sz="12" w:space="0" w:color="auto"/>
              <w:bottom w:val="single" w:sz="2" w:space="0" w:color="auto"/>
            </w:tcBorders>
            <w:shd w:val="clear" w:color="auto" w:fill="auto"/>
            <w:vAlign w:val="bottom"/>
          </w:tcPr>
          <w:p w14:paraId="7F3F0FBC" w14:textId="77777777" w:rsidR="006D642D" w:rsidRPr="00183EBE" w:rsidRDefault="006D642D" w:rsidP="002F001E">
            <w:pPr>
              <w:suppressAutoHyphens w:val="0"/>
              <w:spacing w:before="40" w:after="40" w:line="220" w:lineRule="exact"/>
              <w:ind w:left="57" w:right="57"/>
              <w:jc w:val="center"/>
              <w:rPr>
                <w:b/>
                <w:bCs/>
                <w:spacing w:val="-5"/>
                <w:sz w:val="16"/>
                <w:szCs w:val="16"/>
              </w:rPr>
            </w:pPr>
            <w:r w:rsidRPr="00183EBE">
              <w:rPr>
                <w:b/>
                <w:bCs/>
                <w:spacing w:val="-5"/>
                <w:sz w:val="16"/>
                <w:szCs w:val="16"/>
                <w:lang w:val="fr-FR"/>
              </w:rPr>
              <w:t>(7a)</w:t>
            </w:r>
          </w:p>
        </w:tc>
        <w:tc>
          <w:tcPr>
            <w:tcW w:w="406" w:type="dxa"/>
            <w:tcBorders>
              <w:top w:val="single" w:sz="12" w:space="0" w:color="auto"/>
              <w:bottom w:val="single" w:sz="2" w:space="0" w:color="auto"/>
            </w:tcBorders>
            <w:shd w:val="clear" w:color="auto" w:fill="auto"/>
            <w:vAlign w:val="bottom"/>
          </w:tcPr>
          <w:p w14:paraId="314BAC3D"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(7b)</w:t>
            </w:r>
          </w:p>
        </w:tc>
        <w:tc>
          <w:tcPr>
            <w:tcW w:w="863" w:type="dxa"/>
            <w:tcBorders>
              <w:top w:val="single" w:sz="12" w:space="0" w:color="auto"/>
              <w:bottom w:val="single" w:sz="2" w:space="0" w:color="auto"/>
            </w:tcBorders>
            <w:shd w:val="clear" w:color="auto" w:fill="auto"/>
            <w:vAlign w:val="bottom"/>
          </w:tcPr>
          <w:p w14:paraId="3F1B78CD"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(8)</w:t>
            </w:r>
          </w:p>
        </w:tc>
        <w:tc>
          <w:tcPr>
            <w:tcW w:w="817" w:type="dxa"/>
            <w:tcBorders>
              <w:top w:val="single" w:sz="12" w:space="0" w:color="auto"/>
              <w:bottom w:val="single" w:sz="2" w:space="0" w:color="auto"/>
            </w:tcBorders>
            <w:shd w:val="clear" w:color="auto" w:fill="auto"/>
            <w:vAlign w:val="bottom"/>
          </w:tcPr>
          <w:p w14:paraId="1BF625BE"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(9)</w:t>
            </w:r>
          </w:p>
        </w:tc>
        <w:tc>
          <w:tcPr>
            <w:tcW w:w="826" w:type="dxa"/>
            <w:tcBorders>
              <w:top w:val="single" w:sz="12" w:space="0" w:color="auto"/>
              <w:bottom w:val="single" w:sz="2" w:space="0" w:color="auto"/>
            </w:tcBorders>
            <w:shd w:val="clear" w:color="auto" w:fill="auto"/>
            <w:vAlign w:val="bottom"/>
          </w:tcPr>
          <w:p w14:paraId="4D12B89F"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(10)</w:t>
            </w:r>
          </w:p>
        </w:tc>
        <w:tc>
          <w:tcPr>
            <w:tcW w:w="798" w:type="dxa"/>
            <w:tcBorders>
              <w:top w:val="single" w:sz="12" w:space="0" w:color="auto"/>
              <w:bottom w:val="single" w:sz="2" w:space="0" w:color="auto"/>
            </w:tcBorders>
            <w:shd w:val="clear" w:color="auto" w:fill="auto"/>
            <w:vAlign w:val="bottom"/>
          </w:tcPr>
          <w:p w14:paraId="62419A5B"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(11)</w:t>
            </w:r>
          </w:p>
        </w:tc>
      </w:tr>
      <w:tr w:rsidR="002F001E" w:rsidRPr="002F001E" w14:paraId="51EF0BA7" w14:textId="77777777" w:rsidTr="001A754C">
        <w:tc>
          <w:tcPr>
            <w:tcW w:w="539" w:type="dxa"/>
            <w:tcBorders>
              <w:top w:val="single" w:sz="2" w:space="0" w:color="auto"/>
              <w:bottom w:val="single" w:sz="2" w:space="0" w:color="auto"/>
            </w:tcBorders>
            <w:shd w:val="clear" w:color="auto" w:fill="auto"/>
          </w:tcPr>
          <w:p w14:paraId="5CFFB880" w14:textId="77777777" w:rsidR="006D642D" w:rsidRPr="001A754C" w:rsidRDefault="006D642D" w:rsidP="002F001E">
            <w:pPr>
              <w:suppressAutoHyphens w:val="0"/>
              <w:spacing w:before="40" w:after="40" w:line="220" w:lineRule="exact"/>
              <w:ind w:left="57" w:right="57"/>
              <w:jc w:val="center"/>
              <w:rPr>
                <w:sz w:val="16"/>
                <w:szCs w:val="16"/>
              </w:rPr>
            </w:pPr>
            <w:r w:rsidRPr="001A754C">
              <w:rPr>
                <w:b/>
                <w:bCs/>
                <w:sz w:val="16"/>
                <w:szCs w:val="16"/>
                <w:lang w:val="fr-FR"/>
              </w:rPr>
              <w:t>-</w:t>
            </w:r>
          </w:p>
        </w:tc>
        <w:tc>
          <w:tcPr>
            <w:tcW w:w="1822" w:type="dxa"/>
            <w:tcBorders>
              <w:top w:val="single" w:sz="2" w:space="0" w:color="auto"/>
              <w:bottom w:val="single" w:sz="2" w:space="0" w:color="auto"/>
            </w:tcBorders>
            <w:shd w:val="clear" w:color="auto" w:fill="auto"/>
            <w:vAlign w:val="bottom"/>
          </w:tcPr>
          <w:p w14:paraId="5955EFC6"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3.1.2</w:t>
            </w:r>
          </w:p>
        </w:tc>
        <w:tc>
          <w:tcPr>
            <w:tcW w:w="700" w:type="dxa"/>
            <w:tcBorders>
              <w:top w:val="single" w:sz="2" w:space="0" w:color="auto"/>
              <w:bottom w:val="single" w:sz="2" w:space="0" w:color="auto"/>
            </w:tcBorders>
            <w:shd w:val="clear" w:color="auto" w:fill="auto"/>
            <w:vAlign w:val="bottom"/>
          </w:tcPr>
          <w:p w14:paraId="50DC60A3"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2.0</w:t>
            </w:r>
          </w:p>
        </w:tc>
        <w:tc>
          <w:tcPr>
            <w:tcW w:w="812" w:type="dxa"/>
            <w:tcBorders>
              <w:top w:val="single" w:sz="2" w:space="0" w:color="auto"/>
              <w:bottom w:val="single" w:sz="2" w:space="0" w:color="auto"/>
            </w:tcBorders>
            <w:shd w:val="clear" w:color="auto" w:fill="auto"/>
            <w:vAlign w:val="bottom"/>
          </w:tcPr>
          <w:p w14:paraId="317421A9"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2.0</w:t>
            </w:r>
          </w:p>
        </w:tc>
        <w:tc>
          <w:tcPr>
            <w:tcW w:w="838" w:type="dxa"/>
            <w:tcBorders>
              <w:top w:val="single" w:sz="2" w:space="0" w:color="auto"/>
              <w:bottom w:val="single" w:sz="2" w:space="0" w:color="auto"/>
            </w:tcBorders>
            <w:shd w:val="clear" w:color="auto" w:fill="auto"/>
            <w:vAlign w:val="bottom"/>
          </w:tcPr>
          <w:p w14:paraId="4F3C1F12"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2.0.1.3</w:t>
            </w:r>
          </w:p>
        </w:tc>
        <w:tc>
          <w:tcPr>
            <w:tcW w:w="800" w:type="dxa"/>
            <w:tcBorders>
              <w:top w:val="single" w:sz="2" w:space="0" w:color="auto"/>
              <w:bottom w:val="single" w:sz="2" w:space="0" w:color="auto"/>
            </w:tcBorders>
            <w:shd w:val="clear" w:color="auto" w:fill="auto"/>
            <w:vAlign w:val="bottom"/>
          </w:tcPr>
          <w:p w14:paraId="5080C4BD"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3.3</w:t>
            </w:r>
          </w:p>
        </w:tc>
        <w:tc>
          <w:tcPr>
            <w:tcW w:w="419" w:type="dxa"/>
            <w:tcBorders>
              <w:top w:val="single" w:sz="2" w:space="0" w:color="auto"/>
              <w:bottom w:val="single" w:sz="2" w:space="0" w:color="auto"/>
            </w:tcBorders>
            <w:shd w:val="clear" w:color="auto" w:fill="auto"/>
            <w:vAlign w:val="bottom"/>
          </w:tcPr>
          <w:p w14:paraId="77086045"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3.4</w:t>
            </w:r>
          </w:p>
        </w:tc>
        <w:tc>
          <w:tcPr>
            <w:tcW w:w="406" w:type="dxa"/>
            <w:tcBorders>
              <w:top w:val="single" w:sz="2" w:space="0" w:color="auto"/>
              <w:bottom w:val="single" w:sz="2" w:space="0" w:color="auto"/>
            </w:tcBorders>
            <w:shd w:val="clear" w:color="auto" w:fill="auto"/>
            <w:vAlign w:val="bottom"/>
          </w:tcPr>
          <w:p w14:paraId="17624090"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3.5</w:t>
            </w:r>
          </w:p>
        </w:tc>
        <w:tc>
          <w:tcPr>
            <w:tcW w:w="863" w:type="dxa"/>
            <w:tcBorders>
              <w:top w:val="single" w:sz="2" w:space="0" w:color="auto"/>
              <w:bottom w:val="single" w:sz="2" w:space="0" w:color="auto"/>
            </w:tcBorders>
            <w:shd w:val="clear" w:color="auto" w:fill="auto"/>
            <w:vAlign w:val="bottom"/>
          </w:tcPr>
          <w:p w14:paraId="2F5393C7"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4.1.4</w:t>
            </w:r>
          </w:p>
        </w:tc>
        <w:tc>
          <w:tcPr>
            <w:tcW w:w="817" w:type="dxa"/>
            <w:tcBorders>
              <w:top w:val="single" w:sz="2" w:space="0" w:color="auto"/>
              <w:bottom w:val="single" w:sz="2" w:space="0" w:color="auto"/>
            </w:tcBorders>
            <w:shd w:val="clear" w:color="auto" w:fill="auto"/>
            <w:vAlign w:val="bottom"/>
          </w:tcPr>
          <w:p w14:paraId="34590D5D"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4.1.4</w:t>
            </w:r>
          </w:p>
        </w:tc>
        <w:tc>
          <w:tcPr>
            <w:tcW w:w="826" w:type="dxa"/>
            <w:tcBorders>
              <w:top w:val="single" w:sz="2" w:space="0" w:color="auto"/>
              <w:bottom w:val="single" w:sz="2" w:space="0" w:color="auto"/>
            </w:tcBorders>
            <w:shd w:val="clear" w:color="auto" w:fill="auto"/>
            <w:vAlign w:val="bottom"/>
          </w:tcPr>
          <w:p w14:paraId="57627AFB" w14:textId="62E59EEF"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4.2.5/4.3.2</w:t>
            </w:r>
          </w:p>
        </w:tc>
        <w:tc>
          <w:tcPr>
            <w:tcW w:w="798" w:type="dxa"/>
            <w:tcBorders>
              <w:top w:val="single" w:sz="2" w:space="0" w:color="auto"/>
              <w:bottom w:val="single" w:sz="2" w:space="0" w:color="auto"/>
            </w:tcBorders>
            <w:shd w:val="clear" w:color="auto" w:fill="auto"/>
            <w:vAlign w:val="bottom"/>
          </w:tcPr>
          <w:p w14:paraId="7814D2FC" w14:textId="77777777" w:rsidR="006D642D" w:rsidRPr="00183EBE" w:rsidRDefault="006D642D" w:rsidP="002F001E">
            <w:pPr>
              <w:suppressAutoHyphens w:val="0"/>
              <w:spacing w:before="40" w:after="40" w:line="220" w:lineRule="exact"/>
              <w:ind w:left="57" w:right="57"/>
              <w:jc w:val="center"/>
              <w:rPr>
                <w:b/>
                <w:bCs/>
                <w:sz w:val="16"/>
                <w:szCs w:val="16"/>
              </w:rPr>
            </w:pPr>
            <w:r w:rsidRPr="00183EBE">
              <w:rPr>
                <w:b/>
                <w:bCs/>
                <w:sz w:val="16"/>
                <w:szCs w:val="16"/>
                <w:lang w:val="fr-FR"/>
              </w:rPr>
              <w:t>4.2.5</w:t>
            </w:r>
          </w:p>
        </w:tc>
      </w:tr>
      <w:tr w:rsidR="00D32D27" w:rsidRPr="002F001E" w14:paraId="41A099D9" w14:textId="77777777" w:rsidTr="001A754C">
        <w:tc>
          <w:tcPr>
            <w:tcW w:w="539" w:type="dxa"/>
            <w:tcBorders>
              <w:top w:val="single" w:sz="2" w:space="0" w:color="auto"/>
              <w:bottom w:val="single" w:sz="12" w:space="0" w:color="auto"/>
            </w:tcBorders>
            <w:shd w:val="clear" w:color="auto" w:fill="auto"/>
          </w:tcPr>
          <w:p w14:paraId="5A9ED41E" w14:textId="77777777" w:rsidR="006D642D" w:rsidRPr="00183EBE" w:rsidRDefault="006D642D" w:rsidP="002F001E">
            <w:pPr>
              <w:suppressAutoHyphens w:val="0"/>
              <w:spacing w:before="40" w:after="40" w:line="220" w:lineRule="exact"/>
              <w:ind w:left="57" w:right="57"/>
              <w:jc w:val="center"/>
              <w:rPr>
                <w:sz w:val="16"/>
                <w:szCs w:val="16"/>
                <w:lang w:val="fr-FR"/>
              </w:rPr>
            </w:pPr>
            <w:proofErr w:type="spellStart"/>
            <w:proofErr w:type="gramStart"/>
            <w:r w:rsidRPr="00183EBE">
              <w:rPr>
                <w:sz w:val="16"/>
                <w:szCs w:val="16"/>
                <w:lang w:val="fr-FR"/>
              </w:rPr>
              <w:t>xxxx</w:t>
            </w:r>
            <w:proofErr w:type="spellEnd"/>
            <w:proofErr w:type="gramEnd"/>
          </w:p>
        </w:tc>
        <w:tc>
          <w:tcPr>
            <w:tcW w:w="1822" w:type="dxa"/>
            <w:tcBorders>
              <w:top w:val="single" w:sz="2" w:space="0" w:color="auto"/>
              <w:bottom w:val="single" w:sz="12" w:space="0" w:color="auto"/>
            </w:tcBorders>
            <w:shd w:val="clear" w:color="auto" w:fill="auto"/>
            <w:vAlign w:val="bottom"/>
          </w:tcPr>
          <w:p w14:paraId="1A3C638F" w14:textId="77777777" w:rsidR="006D642D" w:rsidRPr="00183EBE" w:rsidRDefault="006D642D" w:rsidP="002F001E">
            <w:pPr>
              <w:suppressAutoHyphens w:val="0"/>
              <w:spacing w:before="40" w:after="40" w:line="220" w:lineRule="exact"/>
              <w:ind w:left="57" w:right="57"/>
              <w:jc w:val="center"/>
              <w:rPr>
                <w:sz w:val="16"/>
                <w:szCs w:val="16"/>
                <w:lang w:val="fr-FR"/>
              </w:rPr>
            </w:pPr>
            <w:r w:rsidRPr="00183EBE">
              <w:rPr>
                <w:sz w:val="16"/>
                <w:szCs w:val="16"/>
                <w:lang w:val="fr-FR"/>
              </w:rPr>
              <w:t>DISILANE</w:t>
            </w:r>
          </w:p>
        </w:tc>
        <w:tc>
          <w:tcPr>
            <w:tcW w:w="700" w:type="dxa"/>
            <w:tcBorders>
              <w:top w:val="single" w:sz="2" w:space="0" w:color="auto"/>
              <w:bottom w:val="single" w:sz="12" w:space="0" w:color="auto"/>
            </w:tcBorders>
            <w:shd w:val="clear" w:color="auto" w:fill="auto"/>
            <w:vAlign w:val="bottom"/>
          </w:tcPr>
          <w:p w14:paraId="19C42491" w14:textId="77777777" w:rsidR="006D642D" w:rsidRPr="00183EBE" w:rsidRDefault="006D642D" w:rsidP="002F001E">
            <w:pPr>
              <w:suppressAutoHyphens w:val="0"/>
              <w:spacing w:before="40" w:after="40" w:line="220" w:lineRule="exact"/>
              <w:ind w:left="57" w:right="57"/>
              <w:jc w:val="center"/>
              <w:rPr>
                <w:sz w:val="16"/>
                <w:szCs w:val="16"/>
              </w:rPr>
            </w:pPr>
            <w:r w:rsidRPr="00183EBE">
              <w:rPr>
                <w:sz w:val="16"/>
                <w:szCs w:val="16"/>
                <w:lang w:val="fr-FR"/>
              </w:rPr>
              <w:t>2.1</w:t>
            </w:r>
          </w:p>
        </w:tc>
        <w:tc>
          <w:tcPr>
            <w:tcW w:w="812" w:type="dxa"/>
            <w:tcBorders>
              <w:top w:val="single" w:sz="2" w:space="0" w:color="auto"/>
              <w:bottom w:val="single" w:sz="12" w:space="0" w:color="auto"/>
            </w:tcBorders>
            <w:shd w:val="clear" w:color="auto" w:fill="auto"/>
            <w:vAlign w:val="bottom"/>
          </w:tcPr>
          <w:p w14:paraId="14BB8A52" w14:textId="77777777" w:rsidR="006D642D" w:rsidRPr="00183EBE" w:rsidRDefault="006D642D" w:rsidP="002F001E">
            <w:pPr>
              <w:suppressAutoHyphens w:val="0"/>
              <w:spacing w:before="40" w:after="40" w:line="220" w:lineRule="exact"/>
              <w:ind w:left="57" w:right="57"/>
              <w:jc w:val="center"/>
              <w:rPr>
                <w:rFonts w:eastAsia="Calibri"/>
                <w:sz w:val="16"/>
                <w:szCs w:val="16"/>
              </w:rPr>
            </w:pPr>
          </w:p>
        </w:tc>
        <w:tc>
          <w:tcPr>
            <w:tcW w:w="838" w:type="dxa"/>
            <w:tcBorders>
              <w:top w:val="single" w:sz="2" w:space="0" w:color="auto"/>
              <w:bottom w:val="single" w:sz="12" w:space="0" w:color="auto"/>
            </w:tcBorders>
            <w:shd w:val="clear" w:color="auto" w:fill="auto"/>
            <w:vAlign w:val="bottom"/>
          </w:tcPr>
          <w:p w14:paraId="79B635BD" w14:textId="77777777" w:rsidR="006D642D" w:rsidRPr="00183EBE" w:rsidRDefault="006D642D" w:rsidP="002F001E">
            <w:pPr>
              <w:suppressAutoHyphens w:val="0"/>
              <w:spacing w:before="40" w:after="40" w:line="220" w:lineRule="exact"/>
              <w:ind w:left="57" w:right="57"/>
              <w:jc w:val="center"/>
              <w:rPr>
                <w:rFonts w:eastAsia="Calibri"/>
                <w:sz w:val="16"/>
                <w:szCs w:val="16"/>
                <w:lang w:val="en-US"/>
              </w:rPr>
            </w:pPr>
          </w:p>
        </w:tc>
        <w:tc>
          <w:tcPr>
            <w:tcW w:w="800" w:type="dxa"/>
            <w:tcBorders>
              <w:top w:val="single" w:sz="2" w:space="0" w:color="auto"/>
              <w:bottom w:val="single" w:sz="12" w:space="0" w:color="auto"/>
            </w:tcBorders>
            <w:shd w:val="clear" w:color="auto" w:fill="auto"/>
            <w:vAlign w:val="bottom"/>
          </w:tcPr>
          <w:p w14:paraId="5E389E93" w14:textId="77777777" w:rsidR="006D642D" w:rsidRPr="00183EBE" w:rsidRDefault="006D642D" w:rsidP="002F001E">
            <w:pPr>
              <w:suppressAutoHyphens w:val="0"/>
              <w:spacing w:before="40" w:after="40" w:line="220" w:lineRule="exact"/>
              <w:ind w:left="57" w:right="57"/>
              <w:jc w:val="center"/>
              <w:rPr>
                <w:rFonts w:eastAsia="Calibri"/>
                <w:sz w:val="16"/>
                <w:szCs w:val="16"/>
                <w:lang w:val="en-US"/>
              </w:rPr>
            </w:pPr>
          </w:p>
        </w:tc>
        <w:tc>
          <w:tcPr>
            <w:tcW w:w="419" w:type="dxa"/>
            <w:tcBorders>
              <w:top w:val="single" w:sz="2" w:space="0" w:color="auto"/>
              <w:bottom w:val="single" w:sz="12" w:space="0" w:color="auto"/>
            </w:tcBorders>
            <w:shd w:val="clear" w:color="auto" w:fill="auto"/>
            <w:vAlign w:val="bottom"/>
          </w:tcPr>
          <w:p w14:paraId="3D28649D" w14:textId="77777777" w:rsidR="006D642D" w:rsidRPr="00183EBE" w:rsidRDefault="006D642D" w:rsidP="002F001E">
            <w:pPr>
              <w:suppressAutoHyphens w:val="0"/>
              <w:spacing w:before="40" w:after="40" w:line="220" w:lineRule="exact"/>
              <w:ind w:left="57" w:right="57"/>
              <w:jc w:val="center"/>
              <w:rPr>
                <w:sz w:val="16"/>
                <w:szCs w:val="16"/>
              </w:rPr>
            </w:pPr>
            <w:r w:rsidRPr="00183EBE">
              <w:rPr>
                <w:sz w:val="16"/>
                <w:szCs w:val="16"/>
                <w:lang w:val="fr-FR"/>
              </w:rPr>
              <w:t>0</w:t>
            </w:r>
          </w:p>
        </w:tc>
        <w:tc>
          <w:tcPr>
            <w:tcW w:w="406" w:type="dxa"/>
            <w:tcBorders>
              <w:top w:val="single" w:sz="2" w:space="0" w:color="auto"/>
              <w:bottom w:val="single" w:sz="12" w:space="0" w:color="auto"/>
            </w:tcBorders>
            <w:shd w:val="clear" w:color="auto" w:fill="auto"/>
            <w:vAlign w:val="bottom"/>
          </w:tcPr>
          <w:p w14:paraId="51A8B480" w14:textId="77777777" w:rsidR="006D642D" w:rsidRPr="00183EBE" w:rsidRDefault="006D642D" w:rsidP="002F001E">
            <w:pPr>
              <w:suppressAutoHyphens w:val="0"/>
              <w:spacing w:before="40" w:after="40" w:line="220" w:lineRule="exact"/>
              <w:ind w:left="57" w:right="57"/>
              <w:jc w:val="center"/>
              <w:rPr>
                <w:sz w:val="16"/>
                <w:szCs w:val="16"/>
              </w:rPr>
            </w:pPr>
            <w:r w:rsidRPr="00183EBE">
              <w:rPr>
                <w:sz w:val="16"/>
                <w:szCs w:val="16"/>
                <w:lang w:val="fr-FR"/>
              </w:rPr>
              <w:t>E0</w:t>
            </w:r>
          </w:p>
        </w:tc>
        <w:tc>
          <w:tcPr>
            <w:tcW w:w="863" w:type="dxa"/>
            <w:tcBorders>
              <w:top w:val="single" w:sz="2" w:space="0" w:color="auto"/>
              <w:bottom w:val="single" w:sz="12" w:space="0" w:color="auto"/>
            </w:tcBorders>
            <w:shd w:val="clear" w:color="auto" w:fill="auto"/>
            <w:vAlign w:val="bottom"/>
          </w:tcPr>
          <w:p w14:paraId="502167B1" w14:textId="77777777" w:rsidR="006D642D" w:rsidRPr="00183EBE" w:rsidRDefault="006D642D" w:rsidP="002F001E">
            <w:pPr>
              <w:suppressAutoHyphens w:val="0"/>
              <w:spacing w:before="40" w:after="40" w:line="220" w:lineRule="exact"/>
              <w:ind w:left="57" w:right="57"/>
              <w:jc w:val="center"/>
              <w:rPr>
                <w:sz w:val="16"/>
                <w:szCs w:val="16"/>
              </w:rPr>
            </w:pPr>
            <w:r w:rsidRPr="00183EBE">
              <w:rPr>
                <w:sz w:val="16"/>
                <w:szCs w:val="16"/>
                <w:lang w:val="fr-FR"/>
              </w:rPr>
              <w:t>P200</w:t>
            </w:r>
          </w:p>
        </w:tc>
        <w:tc>
          <w:tcPr>
            <w:tcW w:w="817" w:type="dxa"/>
            <w:tcBorders>
              <w:top w:val="single" w:sz="2" w:space="0" w:color="auto"/>
              <w:bottom w:val="single" w:sz="12" w:space="0" w:color="auto"/>
            </w:tcBorders>
            <w:shd w:val="clear" w:color="auto" w:fill="auto"/>
            <w:vAlign w:val="bottom"/>
          </w:tcPr>
          <w:p w14:paraId="2C93DF4C" w14:textId="77777777" w:rsidR="006D642D" w:rsidRPr="00183EBE" w:rsidRDefault="006D642D" w:rsidP="002F001E">
            <w:pPr>
              <w:suppressAutoHyphens w:val="0"/>
              <w:spacing w:before="40" w:after="40" w:line="220" w:lineRule="exact"/>
              <w:ind w:left="57" w:right="57"/>
              <w:jc w:val="center"/>
              <w:rPr>
                <w:sz w:val="16"/>
                <w:szCs w:val="16"/>
                <w:lang w:val="en-US"/>
              </w:rPr>
            </w:pPr>
          </w:p>
        </w:tc>
        <w:tc>
          <w:tcPr>
            <w:tcW w:w="826" w:type="dxa"/>
            <w:tcBorders>
              <w:top w:val="single" w:sz="2" w:space="0" w:color="auto"/>
              <w:bottom w:val="single" w:sz="12" w:space="0" w:color="auto"/>
            </w:tcBorders>
            <w:shd w:val="clear" w:color="auto" w:fill="auto"/>
            <w:vAlign w:val="bottom"/>
          </w:tcPr>
          <w:p w14:paraId="3FEA32F6" w14:textId="77777777" w:rsidR="006D642D" w:rsidRPr="00183EBE" w:rsidRDefault="006D642D" w:rsidP="002F001E">
            <w:pPr>
              <w:suppressAutoHyphens w:val="0"/>
              <w:spacing w:before="40" w:after="40" w:line="220" w:lineRule="exact"/>
              <w:ind w:left="57" w:right="57"/>
              <w:jc w:val="center"/>
              <w:rPr>
                <w:rFonts w:eastAsia="Calibri"/>
                <w:sz w:val="16"/>
                <w:szCs w:val="16"/>
                <w:lang w:val="en-US"/>
              </w:rPr>
            </w:pPr>
          </w:p>
        </w:tc>
        <w:tc>
          <w:tcPr>
            <w:tcW w:w="798" w:type="dxa"/>
            <w:tcBorders>
              <w:top w:val="single" w:sz="2" w:space="0" w:color="auto"/>
              <w:bottom w:val="single" w:sz="12" w:space="0" w:color="auto"/>
            </w:tcBorders>
            <w:shd w:val="clear" w:color="auto" w:fill="auto"/>
            <w:vAlign w:val="bottom"/>
          </w:tcPr>
          <w:p w14:paraId="16B1E4BB" w14:textId="77777777" w:rsidR="006D642D" w:rsidRPr="00183EBE" w:rsidRDefault="006D642D" w:rsidP="002F001E">
            <w:pPr>
              <w:suppressAutoHyphens w:val="0"/>
              <w:spacing w:before="40" w:after="40" w:line="220" w:lineRule="exact"/>
              <w:ind w:left="57" w:right="57"/>
              <w:jc w:val="center"/>
              <w:rPr>
                <w:rFonts w:eastAsia="Calibri"/>
                <w:sz w:val="16"/>
                <w:szCs w:val="16"/>
                <w:lang w:val="en-US"/>
              </w:rPr>
            </w:pPr>
          </w:p>
        </w:tc>
      </w:tr>
    </w:tbl>
    <w:bookmarkEnd w:id="1"/>
    <w:p w14:paraId="493AF159" w14:textId="77777777" w:rsidR="006D642D" w:rsidRPr="00FC68C3" w:rsidRDefault="006D642D" w:rsidP="006D642D">
      <w:pPr>
        <w:pStyle w:val="H1G"/>
        <w:rPr>
          <w:lang w:val="fr-FR"/>
        </w:rPr>
      </w:pPr>
      <w:r>
        <w:rPr>
          <w:lang w:val="fr-FR"/>
        </w:rPr>
        <w:tab/>
      </w:r>
      <w:r>
        <w:rPr>
          <w:lang w:val="fr-FR"/>
        </w:rPr>
        <w:tab/>
      </w:r>
      <w:r>
        <w:rPr>
          <w:bCs/>
          <w:lang w:val="fr-FR"/>
        </w:rPr>
        <w:t>Proposition 2</w:t>
      </w:r>
    </w:p>
    <w:p w14:paraId="7549C32A" w14:textId="4318FA44" w:rsidR="006D642D" w:rsidRPr="00397933" w:rsidRDefault="006D642D" w:rsidP="006D642D">
      <w:pPr>
        <w:pStyle w:val="SingleTxtG"/>
        <w:rPr>
          <w:lang w:val="fr-FR"/>
        </w:rPr>
      </w:pPr>
      <w:r>
        <w:rPr>
          <w:lang w:val="fr-FR"/>
        </w:rPr>
        <w:t>10.</w:t>
      </w:r>
      <w:r>
        <w:rPr>
          <w:lang w:val="fr-FR"/>
        </w:rPr>
        <w:tab/>
        <w:t>Au 4.1.4.1, dans l’instruction d’emballage P200, ajouter la nouvelle rubrique ci</w:t>
      </w:r>
      <w:r>
        <w:rPr>
          <w:lang w:val="fr-FR"/>
        </w:rPr>
        <w:noBreakHyphen/>
        <w:t>après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5"/>
        <w:gridCol w:w="2346"/>
        <w:gridCol w:w="615"/>
        <w:gridCol w:w="527"/>
        <w:gridCol w:w="846"/>
        <w:gridCol w:w="449"/>
        <w:gridCol w:w="449"/>
        <w:gridCol w:w="493"/>
        <w:gridCol w:w="486"/>
        <w:gridCol w:w="410"/>
        <w:gridCol w:w="599"/>
        <w:gridCol w:w="558"/>
        <w:gridCol w:w="642"/>
        <w:gridCol w:w="593"/>
      </w:tblGrid>
      <w:tr w:rsidR="006D642D" w:rsidRPr="007762FD" w14:paraId="5338A7D3" w14:textId="77777777" w:rsidTr="008B7F16">
        <w:trPr>
          <w:cantSplit/>
          <w:tblHeader/>
        </w:trPr>
        <w:tc>
          <w:tcPr>
            <w:tcW w:w="9638" w:type="dxa"/>
            <w:gridSpan w:val="14"/>
            <w:tcBorders>
              <w:top w:val="single" w:sz="2" w:space="0" w:color="auto"/>
              <w:bottom w:val="single" w:sz="2" w:space="0" w:color="auto"/>
            </w:tcBorders>
            <w:shd w:val="clear" w:color="auto" w:fill="auto"/>
            <w:vAlign w:val="bottom"/>
          </w:tcPr>
          <w:p w14:paraId="29D10850" w14:textId="41A9783A" w:rsidR="006D642D" w:rsidRPr="006E50FA" w:rsidRDefault="006D642D" w:rsidP="00D14FD7">
            <w:pPr>
              <w:keepNext/>
              <w:keepLines/>
              <w:tabs>
                <w:tab w:val="left" w:pos="0"/>
                <w:tab w:val="left" w:pos="3254"/>
                <w:tab w:val="left" w:pos="9072"/>
              </w:tabs>
              <w:suppressAutoHyphens w:val="0"/>
              <w:spacing w:before="60" w:after="60" w:line="200" w:lineRule="exact"/>
              <w:ind w:left="57" w:right="57"/>
              <w:rPr>
                <w:b/>
                <w:bCs/>
                <w:iCs/>
                <w:sz w:val="18"/>
                <w:szCs w:val="18"/>
                <w:lang w:val="fr-FR"/>
              </w:rPr>
            </w:pPr>
            <w:r w:rsidRPr="006E50FA">
              <w:rPr>
                <w:b/>
                <w:bCs/>
                <w:iCs/>
                <w:sz w:val="18"/>
                <w:szCs w:val="18"/>
                <w:lang w:val="fr-FR"/>
              </w:rPr>
              <w:t>P200</w:t>
            </w:r>
            <w:r w:rsidR="004013B1">
              <w:rPr>
                <w:b/>
                <w:bCs/>
                <w:iCs/>
                <w:sz w:val="18"/>
                <w:szCs w:val="18"/>
                <w:lang w:val="fr-FR"/>
              </w:rPr>
              <w:tab/>
            </w:r>
            <w:r w:rsidRPr="006E50FA">
              <w:rPr>
                <w:b/>
                <w:bCs/>
                <w:iCs/>
                <w:sz w:val="18"/>
                <w:szCs w:val="18"/>
                <w:lang w:val="fr-FR"/>
              </w:rPr>
              <w:t>INSTRUCTION D</w:t>
            </w:r>
            <w:r>
              <w:rPr>
                <w:b/>
                <w:bCs/>
                <w:iCs/>
                <w:sz w:val="18"/>
                <w:szCs w:val="18"/>
                <w:lang w:val="fr-FR"/>
              </w:rPr>
              <w:t>’</w:t>
            </w:r>
            <w:r w:rsidRPr="006E50FA">
              <w:rPr>
                <w:b/>
                <w:bCs/>
                <w:iCs/>
                <w:sz w:val="18"/>
                <w:szCs w:val="18"/>
                <w:lang w:val="fr-FR"/>
              </w:rPr>
              <w:t xml:space="preserve">EMBALLAGE </w:t>
            </w:r>
            <w:r w:rsidRPr="00D32D27">
              <w:rPr>
                <w:b/>
                <w:bCs/>
                <w:iCs/>
                <w:sz w:val="18"/>
                <w:szCs w:val="18"/>
                <w:lang w:val="fr-FR"/>
              </w:rPr>
              <w:t>(</w:t>
            </w:r>
            <w:r w:rsidRPr="00D32D27">
              <w:rPr>
                <w:b/>
                <w:bCs/>
                <w:i/>
                <w:sz w:val="18"/>
                <w:szCs w:val="18"/>
                <w:lang w:val="fr-FR"/>
              </w:rPr>
              <w:t>suite</w:t>
            </w:r>
            <w:r w:rsidRPr="00D32D27">
              <w:rPr>
                <w:b/>
                <w:bCs/>
                <w:iCs/>
                <w:sz w:val="18"/>
                <w:szCs w:val="18"/>
                <w:lang w:val="fr-FR"/>
              </w:rPr>
              <w:t>)</w:t>
            </w:r>
            <w:r w:rsidRPr="006E50FA">
              <w:rPr>
                <w:b/>
                <w:bCs/>
                <w:iCs/>
                <w:sz w:val="18"/>
                <w:szCs w:val="18"/>
                <w:lang w:val="fr-FR"/>
              </w:rPr>
              <w:tab/>
              <w:t>P200</w:t>
            </w:r>
          </w:p>
        </w:tc>
      </w:tr>
      <w:tr w:rsidR="006D642D" w:rsidRPr="007762FD" w14:paraId="56F494EB" w14:textId="77777777" w:rsidTr="008B7F16">
        <w:trPr>
          <w:cantSplit/>
        </w:trPr>
        <w:tc>
          <w:tcPr>
            <w:tcW w:w="9638" w:type="dxa"/>
            <w:gridSpan w:val="14"/>
            <w:tcBorders>
              <w:top w:val="single" w:sz="2" w:space="0" w:color="auto"/>
            </w:tcBorders>
            <w:shd w:val="clear" w:color="auto" w:fill="auto"/>
          </w:tcPr>
          <w:p w14:paraId="3F8B1D6C" w14:textId="77777777" w:rsidR="006D642D" w:rsidRPr="002F001E" w:rsidRDefault="006D642D" w:rsidP="00582674">
            <w:pPr>
              <w:keepNext/>
              <w:keepLines/>
              <w:suppressAutoHyphens w:val="0"/>
              <w:spacing w:before="60" w:after="60" w:line="220" w:lineRule="exact"/>
              <w:ind w:left="57" w:right="57"/>
              <w:jc w:val="center"/>
              <w:rPr>
                <w:b/>
                <w:bCs/>
                <w:iCs/>
                <w:sz w:val="18"/>
                <w:szCs w:val="18"/>
                <w:lang w:val="fr-FR"/>
              </w:rPr>
            </w:pPr>
            <w:r w:rsidRPr="002F001E">
              <w:rPr>
                <w:b/>
                <w:bCs/>
                <w:iCs/>
                <w:sz w:val="18"/>
                <w:szCs w:val="18"/>
                <w:lang w:val="fr-FR"/>
              </w:rPr>
              <w:t>Tableau 2 : GAZ LIQUÉFIÉS ET GAZ DISSOUS</w:t>
            </w:r>
          </w:p>
        </w:tc>
      </w:tr>
      <w:tr w:rsidR="006D642D" w:rsidRPr="006E50FA" w14:paraId="7B20E7DD" w14:textId="77777777" w:rsidTr="0021533F">
        <w:trPr>
          <w:cantSplit/>
          <w:trHeight w:val="1810"/>
        </w:trPr>
        <w:tc>
          <w:tcPr>
            <w:tcW w:w="625" w:type="dxa"/>
            <w:tcBorders>
              <w:bottom w:val="single" w:sz="12" w:space="0" w:color="auto"/>
            </w:tcBorders>
            <w:shd w:val="clear" w:color="auto" w:fill="auto"/>
            <w:vAlign w:val="bottom"/>
          </w:tcPr>
          <w:p w14:paraId="0001EFAA" w14:textId="77777777" w:rsidR="006D642D" w:rsidRPr="006E50FA" w:rsidRDefault="006D642D" w:rsidP="0021533F">
            <w:pPr>
              <w:keepNext/>
              <w:keepLines/>
              <w:suppressAutoHyphens w:val="0"/>
              <w:spacing w:before="60" w:after="60" w:line="220" w:lineRule="exact"/>
              <w:ind w:left="57" w:right="57"/>
              <w:jc w:val="center"/>
              <w:rPr>
                <w:b/>
                <w:bCs/>
                <w:sz w:val="16"/>
                <w:szCs w:val="16"/>
              </w:rPr>
            </w:pPr>
            <w:r w:rsidRPr="006E50FA">
              <w:rPr>
                <w:b/>
                <w:bCs/>
                <w:sz w:val="16"/>
                <w:szCs w:val="16"/>
                <w:lang w:val="fr-FR"/>
              </w:rPr>
              <w:t>No </w:t>
            </w:r>
            <w:r w:rsidRPr="006E50FA">
              <w:rPr>
                <w:b/>
                <w:bCs/>
                <w:sz w:val="16"/>
                <w:szCs w:val="16"/>
                <w:lang w:val="fr-FR"/>
              </w:rPr>
              <w:br/>
              <w:t>ONU</w:t>
            </w:r>
          </w:p>
        </w:tc>
        <w:tc>
          <w:tcPr>
            <w:tcW w:w="2346" w:type="dxa"/>
            <w:tcBorders>
              <w:bottom w:val="single" w:sz="12" w:space="0" w:color="auto"/>
            </w:tcBorders>
            <w:shd w:val="clear" w:color="auto" w:fill="auto"/>
            <w:vAlign w:val="bottom"/>
          </w:tcPr>
          <w:p w14:paraId="6553FCA3" w14:textId="77777777" w:rsidR="006D642D" w:rsidRPr="002F001E" w:rsidRDefault="006D642D" w:rsidP="0021533F">
            <w:pPr>
              <w:keepNext/>
              <w:keepLines/>
              <w:suppressAutoHyphens w:val="0"/>
              <w:spacing w:before="60" w:after="60" w:line="220" w:lineRule="exact"/>
              <w:ind w:left="57" w:right="57"/>
              <w:jc w:val="center"/>
              <w:rPr>
                <w:b/>
                <w:bCs/>
                <w:sz w:val="16"/>
                <w:szCs w:val="16"/>
              </w:rPr>
            </w:pPr>
            <w:r w:rsidRPr="002F001E">
              <w:rPr>
                <w:b/>
                <w:bCs/>
                <w:sz w:val="16"/>
                <w:szCs w:val="16"/>
                <w:lang w:val="fr-FR"/>
              </w:rPr>
              <w:t>Nom et description</w:t>
            </w:r>
          </w:p>
        </w:tc>
        <w:tc>
          <w:tcPr>
            <w:tcW w:w="615" w:type="dxa"/>
            <w:tcBorders>
              <w:bottom w:val="single" w:sz="12" w:space="0" w:color="auto"/>
            </w:tcBorders>
            <w:shd w:val="clear" w:color="auto" w:fill="auto"/>
            <w:textDirection w:val="btLr"/>
            <w:vAlign w:val="center"/>
          </w:tcPr>
          <w:p w14:paraId="620FD5AD" w14:textId="77777777" w:rsidR="006D642D" w:rsidRPr="002F001E" w:rsidRDefault="006D642D" w:rsidP="0021533F">
            <w:pPr>
              <w:keepNext/>
              <w:keepLines/>
              <w:suppressAutoHyphens w:val="0"/>
              <w:spacing w:before="60" w:after="60" w:line="180" w:lineRule="exact"/>
              <w:ind w:left="57" w:right="57"/>
              <w:rPr>
                <w:b/>
                <w:bCs/>
                <w:iCs/>
                <w:sz w:val="16"/>
                <w:szCs w:val="16"/>
                <w:lang w:val="fr-FR"/>
              </w:rPr>
            </w:pPr>
            <w:r w:rsidRPr="002F001E">
              <w:rPr>
                <w:b/>
                <w:bCs/>
                <w:iCs/>
                <w:sz w:val="16"/>
                <w:szCs w:val="16"/>
                <w:lang w:val="fr-FR"/>
              </w:rPr>
              <w:t>Classe ou division</w:t>
            </w:r>
          </w:p>
        </w:tc>
        <w:tc>
          <w:tcPr>
            <w:tcW w:w="527" w:type="dxa"/>
            <w:tcBorders>
              <w:bottom w:val="single" w:sz="12" w:space="0" w:color="auto"/>
            </w:tcBorders>
            <w:shd w:val="clear" w:color="auto" w:fill="auto"/>
            <w:textDirection w:val="btLr"/>
            <w:vAlign w:val="center"/>
          </w:tcPr>
          <w:p w14:paraId="14853B19" w14:textId="77777777" w:rsidR="006D642D" w:rsidRPr="002F001E" w:rsidRDefault="006D642D" w:rsidP="0021533F">
            <w:pPr>
              <w:keepNext/>
              <w:keepLines/>
              <w:suppressAutoHyphens w:val="0"/>
              <w:spacing w:before="60" w:after="60" w:line="180" w:lineRule="exact"/>
              <w:ind w:left="57" w:right="57"/>
              <w:rPr>
                <w:b/>
                <w:bCs/>
                <w:iCs/>
                <w:sz w:val="16"/>
                <w:szCs w:val="16"/>
                <w:lang w:val="fr-FR"/>
              </w:rPr>
            </w:pPr>
            <w:r w:rsidRPr="002F001E">
              <w:rPr>
                <w:b/>
                <w:bCs/>
                <w:iCs/>
                <w:sz w:val="16"/>
                <w:szCs w:val="16"/>
                <w:lang w:val="fr-FR"/>
              </w:rPr>
              <w:t>Danger subsidiaire</w:t>
            </w:r>
          </w:p>
        </w:tc>
        <w:tc>
          <w:tcPr>
            <w:tcW w:w="846" w:type="dxa"/>
            <w:tcBorders>
              <w:bottom w:val="single" w:sz="12" w:space="0" w:color="auto"/>
            </w:tcBorders>
            <w:shd w:val="clear" w:color="auto" w:fill="auto"/>
            <w:textDirection w:val="btLr"/>
            <w:vAlign w:val="center"/>
          </w:tcPr>
          <w:p w14:paraId="5638DB1D" w14:textId="0EFE454A" w:rsidR="006D642D" w:rsidRPr="002F001E" w:rsidRDefault="006D642D" w:rsidP="0021533F">
            <w:pPr>
              <w:keepNext/>
              <w:keepLines/>
              <w:suppressAutoHyphens w:val="0"/>
              <w:spacing w:before="60" w:after="60" w:line="180" w:lineRule="exact"/>
              <w:ind w:left="57" w:right="57"/>
              <w:rPr>
                <w:b/>
                <w:bCs/>
                <w:iCs/>
                <w:sz w:val="16"/>
                <w:szCs w:val="16"/>
                <w:lang w:val="fr-FR"/>
              </w:rPr>
            </w:pPr>
            <w:r w:rsidRPr="002F001E">
              <w:rPr>
                <w:b/>
                <w:bCs/>
                <w:iCs/>
                <w:sz w:val="16"/>
                <w:szCs w:val="16"/>
                <w:lang w:val="fr-FR"/>
              </w:rPr>
              <w:t>CL</w:t>
            </w:r>
            <w:r w:rsidRPr="002F001E">
              <w:rPr>
                <w:b/>
                <w:bCs/>
                <w:iCs/>
                <w:sz w:val="16"/>
                <w:szCs w:val="16"/>
                <w:vertAlign w:val="subscript"/>
                <w:lang w:val="fr-FR"/>
              </w:rPr>
              <w:t>50</w:t>
            </w:r>
            <w:r w:rsidRPr="002F001E">
              <w:rPr>
                <w:b/>
                <w:bCs/>
                <w:iCs/>
                <w:sz w:val="16"/>
                <w:szCs w:val="16"/>
                <w:lang w:val="fr-FR"/>
              </w:rPr>
              <w:t xml:space="preserve"> (en ml/m</w:t>
            </w:r>
            <w:r w:rsidRPr="002F001E">
              <w:rPr>
                <w:b/>
                <w:bCs/>
                <w:iCs/>
                <w:sz w:val="16"/>
                <w:szCs w:val="16"/>
                <w:vertAlign w:val="superscript"/>
                <w:lang w:val="fr-FR"/>
              </w:rPr>
              <w:t>3</w:t>
            </w:r>
            <w:r w:rsidRPr="002F001E">
              <w:rPr>
                <w:b/>
                <w:bCs/>
                <w:iCs/>
                <w:sz w:val="16"/>
                <w:szCs w:val="16"/>
                <w:lang w:val="fr-FR"/>
              </w:rPr>
              <w:t>)</w:t>
            </w:r>
          </w:p>
        </w:tc>
        <w:tc>
          <w:tcPr>
            <w:tcW w:w="449" w:type="dxa"/>
            <w:tcBorders>
              <w:bottom w:val="single" w:sz="12" w:space="0" w:color="auto"/>
            </w:tcBorders>
            <w:shd w:val="clear" w:color="auto" w:fill="auto"/>
            <w:textDirection w:val="btLr"/>
            <w:vAlign w:val="center"/>
          </w:tcPr>
          <w:p w14:paraId="5E3AC7BE" w14:textId="77777777" w:rsidR="006D642D" w:rsidRPr="002F001E" w:rsidRDefault="006D642D" w:rsidP="0021533F">
            <w:pPr>
              <w:keepNext/>
              <w:keepLines/>
              <w:suppressAutoHyphens w:val="0"/>
              <w:spacing w:before="60" w:after="60" w:line="180" w:lineRule="exact"/>
              <w:ind w:left="57" w:right="57"/>
              <w:rPr>
                <w:b/>
                <w:bCs/>
                <w:iCs/>
                <w:sz w:val="16"/>
                <w:szCs w:val="16"/>
                <w:lang w:val="fr-FR"/>
              </w:rPr>
            </w:pPr>
            <w:r w:rsidRPr="002F001E">
              <w:rPr>
                <w:b/>
                <w:bCs/>
                <w:iCs/>
                <w:sz w:val="16"/>
                <w:szCs w:val="16"/>
                <w:lang w:val="fr-FR"/>
              </w:rPr>
              <w:t>Bouteilles</w:t>
            </w:r>
          </w:p>
        </w:tc>
        <w:tc>
          <w:tcPr>
            <w:tcW w:w="449" w:type="dxa"/>
            <w:tcBorders>
              <w:bottom w:val="single" w:sz="12" w:space="0" w:color="auto"/>
            </w:tcBorders>
            <w:shd w:val="clear" w:color="auto" w:fill="auto"/>
            <w:textDirection w:val="btLr"/>
            <w:vAlign w:val="center"/>
          </w:tcPr>
          <w:p w14:paraId="100DA68F" w14:textId="77777777" w:rsidR="006D642D" w:rsidRPr="002F001E" w:rsidRDefault="006D642D" w:rsidP="0021533F">
            <w:pPr>
              <w:keepNext/>
              <w:keepLines/>
              <w:suppressAutoHyphens w:val="0"/>
              <w:spacing w:before="60" w:after="60" w:line="180" w:lineRule="exact"/>
              <w:ind w:left="57" w:right="57"/>
              <w:rPr>
                <w:b/>
                <w:bCs/>
                <w:iCs/>
                <w:sz w:val="16"/>
                <w:szCs w:val="16"/>
                <w:lang w:val="fr-FR"/>
              </w:rPr>
            </w:pPr>
            <w:r w:rsidRPr="002F001E">
              <w:rPr>
                <w:b/>
                <w:bCs/>
                <w:iCs/>
                <w:sz w:val="16"/>
                <w:szCs w:val="16"/>
                <w:lang w:val="fr-FR"/>
              </w:rPr>
              <w:t>Tubes</w:t>
            </w:r>
          </w:p>
        </w:tc>
        <w:tc>
          <w:tcPr>
            <w:tcW w:w="493" w:type="dxa"/>
            <w:tcBorders>
              <w:bottom w:val="single" w:sz="12" w:space="0" w:color="auto"/>
            </w:tcBorders>
            <w:shd w:val="clear" w:color="auto" w:fill="auto"/>
            <w:textDirection w:val="btLr"/>
            <w:vAlign w:val="center"/>
          </w:tcPr>
          <w:p w14:paraId="76BB69F4" w14:textId="77777777" w:rsidR="006D642D" w:rsidRPr="002F001E" w:rsidRDefault="006D642D" w:rsidP="0021533F">
            <w:pPr>
              <w:keepNext/>
              <w:keepLines/>
              <w:suppressAutoHyphens w:val="0"/>
              <w:spacing w:before="60" w:after="60" w:line="160" w:lineRule="exact"/>
              <w:ind w:left="57" w:right="57"/>
              <w:rPr>
                <w:b/>
                <w:bCs/>
                <w:iCs/>
                <w:sz w:val="16"/>
                <w:szCs w:val="16"/>
                <w:lang w:val="fr-FR"/>
              </w:rPr>
            </w:pPr>
            <w:r w:rsidRPr="002F001E">
              <w:rPr>
                <w:b/>
                <w:bCs/>
                <w:iCs/>
                <w:sz w:val="16"/>
                <w:szCs w:val="16"/>
                <w:lang w:val="fr-FR"/>
              </w:rPr>
              <w:t>Fûts à pression</w:t>
            </w:r>
          </w:p>
        </w:tc>
        <w:tc>
          <w:tcPr>
            <w:tcW w:w="486" w:type="dxa"/>
            <w:tcBorders>
              <w:bottom w:val="single" w:sz="12" w:space="0" w:color="auto"/>
            </w:tcBorders>
            <w:shd w:val="clear" w:color="auto" w:fill="auto"/>
            <w:textDirection w:val="btLr"/>
            <w:vAlign w:val="center"/>
          </w:tcPr>
          <w:p w14:paraId="0EDCA3B7" w14:textId="77777777" w:rsidR="006D642D" w:rsidRPr="002F001E" w:rsidRDefault="006D642D" w:rsidP="0021533F">
            <w:pPr>
              <w:keepNext/>
              <w:keepLines/>
              <w:suppressAutoHyphens w:val="0"/>
              <w:spacing w:before="60" w:after="60" w:line="180" w:lineRule="exact"/>
              <w:ind w:left="57" w:right="57"/>
              <w:rPr>
                <w:b/>
                <w:bCs/>
                <w:iCs/>
                <w:sz w:val="16"/>
                <w:szCs w:val="16"/>
                <w:lang w:val="fr-FR"/>
              </w:rPr>
            </w:pPr>
            <w:r w:rsidRPr="002F001E">
              <w:rPr>
                <w:b/>
                <w:bCs/>
                <w:iCs/>
                <w:sz w:val="16"/>
                <w:szCs w:val="16"/>
                <w:lang w:val="fr-FR"/>
              </w:rPr>
              <w:t>Cadres de bouteilles</w:t>
            </w:r>
          </w:p>
        </w:tc>
        <w:tc>
          <w:tcPr>
            <w:tcW w:w="410" w:type="dxa"/>
            <w:tcBorders>
              <w:bottom w:val="single" w:sz="12" w:space="0" w:color="auto"/>
            </w:tcBorders>
            <w:shd w:val="clear" w:color="auto" w:fill="auto"/>
            <w:textDirection w:val="btLr"/>
            <w:vAlign w:val="center"/>
          </w:tcPr>
          <w:p w14:paraId="41815083" w14:textId="77777777" w:rsidR="006D642D" w:rsidRPr="002F001E" w:rsidRDefault="006D642D" w:rsidP="0021533F">
            <w:pPr>
              <w:keepNext/>
              <w:keepLines/>
              <w:suppressAutoHyphens w:val="0"/>
              <w:spacing w:before="60" w:after="60" w:line="180" w:lineRule="exact"/>
              <w:ind w:left="57" w:right="57"/>
              <w:rPr>
                <w:b/>
                <w:bCs/>
                <w:iCs/>
                <w:sz w:val="16"/>
                <w:szCs w:val="16"/>
                <w:lang w:val="fr-FR"/>
              </w:rPr>
            </w:pPr>
            <w:r w:rsidRPr="002F001E">
              <w:rPr>
                <w:b/>
                <w:bCs/>
                <w:iCs/>
                <w:sz w:val="16"/>
                <w:szCs w:val="16"/>
                <w:lang w:val="fr-FR"/>
              </w:rPr>
              <w:t>CGEM</w:t>
            </w:r>
          </w:p>
        </w:tc>
        <w:tc>
          <w:tcPr>
            <w:tcW w:w="599" w:type="dxa"/>
            <w:tcBorders>
              <w:bottom w:val="single" w:sz="12" w:space="0" w:color="auto"/>
            </w:tcBorders>
            <w:shd w:val="clear" w:color="auto" w:fill="auto"/>
            <w:textDirection w:val="btLr"/>
            <w:vAlign w:val="center"/>
          </w:tcPr>
          <w:p w14:paraId="18FA91CD" w14:textId="77777777" w:rsidR="006D642D" w:rsidRPr="002F001E" w:rsidRDefault="006D642D" w:rsidP="0021533F">
            <w:pPr>
              <w:keepNext/>
              <w:keepLines/>
              <w:suppressAutoHyphens w:val="0"/>
              <w:spacing w:before="60" w:after="60" w:line="150" w:lineRule="exact"/>
              <w:ind w:left="57" w:right="57"/>
              <w:rPr>
                <w:b/>
                <w:bCs/>
                <w:iCs/>
                <w:sz w:val="16"/>
                <w:szCs w:val="16"/>
                <w:lang w:val="fr-FR"/>
              </w:rPr>
            </w:pPr>
            <w:r w:rsidRPr="002F001E">
              <w:rPr>
                <w:b/>
                <w:bCs/>
                <w:iCs/>
                <w:sz w:val="16"/>
                <w:szCs w:val="16"/>
                <w:lang w:val="fr-FR"/>
              </w:rPr>
              <w:t>Périodicité des épreuves (en années)</w:t>
            </w:r>
          </w:p>
        </w:tc>
        <w:tc>
          <w:tcPr>
            <w:tcW w:w="558" w:type="dxa"/>
            <w:tcBorders>
              <w:bottom w:val="single" w:sz="12" w:space="0" w:color="auto"/>
            </w:tcBorders>
            <w:shd w:val="clear" w:color="auto" w:fill="auto"/>
            <w:textDirection w:val="btLr"/>
            <w:vAlign w:val="center"/>
          </w:tcPr>
          <w:p w14:paraId="5FB821A3" w14:textId="0BE3C4A9" w:rsidR="006D642D" w:rsidRPr="002F001E" w:rsidRDefault="00D32D27" w:rsidP="0021533F">
            <w:pPr>
              <w:keepNext/>
              <w:keepLines/>
              <w:suppressAutoHyphens w:val="0"/>
              <w:spacing w:before="60" w:after="60" w:line="140" w:lineRule="exact"/>
              <w:ind w:left="57" w:right="57"/>
              <w:rPr>
                <w:b/>
                <w:bCs/>
                <w:iCs/>
                <w:sz w:val="16"/>
                <w:szCs w:val="16"/>
                <w:lang w:val="fr-FR"/>
              </w:rPr>
            </w:pPr>
            <w:r w:rsidRPr="002F001E">
              <w:rPr>
                <w:b/>
                <w:bCs/>
                <w:iCs/>
                <w:sz w:val="16"/>
                <w:szCs w:val="16"/>
                <w:lang w:val="fr-FR"/>
              </w:rPr>
              <w:t xml:space="preserve">Pression d’épreuve </w:t>
            </w:r>
            <w:r w:rsidR="008C7738">
              <w:rPr>
                <w:b/>
                <w:bCs/>
                <w:iCs/>
                <w:sz w:val="16"/>
                <w:szCs w:val="16"/>
                <w:lang w:val="fr-FR"/>
              </w:rPr>
              <w:br/>
            </w:r>
            <w:r w:rsidRPr="002F001E">
              <w:rPr>
                <w:b/>
                <w:bCs/>
                <w:iCs/>
                <w:sz w:val="16"/>
                <w:szCs w:val="16"/>
                <w:lang w:val="fr-FR"/>
              </w:rPr>
              <w:t>(en bar)</w:t>
            </w:r>
          </w:p>
        </w:tc>
        <w:tc>
          <w:tcPr>
            <w:tcW w:w="642" w:type="dxa"/>
            <w:tcBorders>
              <w:bottom w:val="single" w:sz="12" w:space="0" w:color="auto"/>
            </w:tcBorders>
            <w:shd w:val="clear" w:color="auto" w:fill="auto"/>
            <w:textDirection w:val="btLr"/>
            <w:vAlign w:val="center"/>
          </w:tcPr>
          <w:p w14:paraId="35EF64F3" w14:textId="77777777" w:rsidR="006D642D" w:rsidRPr="002F001E" w:rsidRDefault="006D642D" w:rsidP="0021533F">
            <w:pPr>
              <w:keepNext/>
              <w:keepLines/>
              <w:suppressAutoHyphens w:val="0"/>
              <w:spacing w:before="60" w:after="60" w:line="160" w:lineRule="exact"/>
              <w:ind w:left="57" w:right="57"/>
              <w:rPr>
                <w:b/>
                <w:bCs/>
                <w:iCs/>
                <w:sz w:val="16"/>
                <w:szCs w:val="16"/>
                <w:lang w:val="fr-FR"/>
              </w:rPr>
            </w:pPr>
            <w:r w:rsidRPr="002F001E">
              <w:rPr>
                <w:b/>
                <w:bCs/>
                <w:iCs/>
                <w:sz w:val="16"/>
                <w:szCs w:val="16"/>
                <w:lang w:val="fr-FR"/>
              </w:rPr>
              <w:t>Taux de remplissage</w:t>
            </w:r>
          </w:p>
        </w:tc>
        <w:tc>
          <w:tcPr>
            <w:tcW w:w="593" w:type="dxa"/>
            <w:tcBorders>
              <w:bottom w:val="single" w:sz="12" w:space="0" w:color="auto"/>
            </w:tcBorders>
            <w:shd w:val="clear" w:color="auto" w:fill="auto"/>
            <w:textDirection w:val="btLr"/>
            <w:vAlign w:val="center"/>
          </w:tcPr>
          <w:p w14:paraId="3C0085FC" w14:textId="60483A91" w:rsidR="006D642D" w:rsidRPr="002F001E" w:rsidRDefault="006D642D" w:rsidP="0021533F">
            <w:pPr>
              <w:keepNext/>
              <w:keepLines/>
              <w:suppressAutoHyphens w:val="0"/>
              <w:spacing w:before="60" w:after="60" w:line="160" w:lineRule="exact"/>
              <w:ind w:left="57" w:right="57"/>
              <w:rPr>
                <w:b/>
                <w:bCs/>
                <w:iCs/>
                <w:sz w:val="16"/>
                <w:szCs w:val="16"/>
                <w:lang w:val="fr-FR"/>
              </w:rPr>
            </w:pPr>
            <w:r w:rsidRPr="002F001E">
              <w:rPr>
                <w:b/>
                <w:bCs/>
                <w:iCs/>
                <w:sz w:val="16"/>
                <w:szCs w:val="16"/>
                <w:lang w:val="fr-FR"/>
              </w:rPr>
              <w:t xml:space="preserve">Dispositions spéciales </w:t>
            </w:r>
            <w:r w:rsidRPr="00D32D27">
              <w:rPr>
                <w:b/>
                <w:bCs/>
                <w:iCs/>
                <w:spacing w:val="-2"/>
                <w:sz w:val="16"/>
                <w:szCs w:val="16"/>
                <w:lang w:val="fr-FR"/>
              </w:rPr>
              <w:t>d</w:t>
            </w:r>
            <w:r w:rsidR="00183EBE">
              <w:rPr>
                <w:b/>
                <w:bCs/>
                <w:iCs/>
                <w:spacing w:val="-2"/>
                <w:sz w:val="16"/>
                <w:szCs w:val="16"/>
                <w:lang w:val="fr-FR"/>
              </w:rPr>
              <w:t>’</w:t>
            </w:r>
            <w:r w:rsidRPr="00D32D27">
              <w:rPr>
                <w:b/>
                <w:bCs/>
                <w:iCs/>
                <w:spacing w:val="-2"/>
                <w:sz w:val="16"/>
                <w:szCs w:val="16"/>
                <w:lang w:val="fr-FR"/>
              </w:rPr>
              <w:t>emballage</w:t>
            </w:r>
          </w:p>
        </w:tc>
      </w:tr>
      <w:tr w:rsidR="006D642D" w:rsidRPr="006E50FA" w14:paraId="5B8925DF" w14:textId="77777777" w:rsidTr="00CB2C01">
        <w:trPr>
          <w:cantSplit/>
        </w:trPr>
        <w:tc>
          <w:tcPr>
            <w:tcW w:w="625" w:type="dxa"/>
            <w:tcBorders>
              <w:top w:val="single" w:sz="12" w:space="0" w:color="auto"/>
              <w:bottom w:val="single" w:sz="12" w:space="0" w:color="auto"/>
            </w:tcBorders>
            <w:shd w:val="clear" w:color="auto" w:fill="auto"/>
          </w:tcPr>
          <w:p w14:paraId="386C08E4" w14:textId="77777777" w:rsidR="006D642D" w:rsidRPr="006E50FA" w:rsidRDefault="006D642D" w:rsidP="00582674">
            <w:pPr>
              <w:keepNext/>
              <w:keepLines/>
              <w:suppressAutoHyphens w:val="0"/>
              <w:spacing w:before="60" w:after="60" w:line="220" w:lineRule="exact"/>
              <w:ind w:left="57" w:right="57"/>
              <w:rPr>
                <w:sz w:val="18"/>
                <w:szCs w:val="18"/>
              </w:rPr>
            </w:pPr>
            <w:proofErr w:type="spellStart"/>
            <w:proofErr w:type="gramStart"/>
            <w:r w:rsidRPr="006E50FA">
              <w:rPr>
                <w:sz w:val="18"/>
                <w:szCs w:val="18"/>
                <w:lang w:val="fr-FR"/>
              </w:rPr>
              <w:t>xxxx</w:t>
            </w:r>
            <w:proofErr w:type="spellEnd"/>
            <w:proofErr w:type="gramEnd"/>
          </w:p>
        </w:tc>
        <w:tc>
          <w:tcPr>
            <w:tcW w:w="2346" w:type="dxa"/>
            <w:tcBorders>
              <w:top w:val="single" w:sz="12" w:space="0" w:color="auto"/>
              <w:bottom w:val="single" w:sz="12" w:space="0" w:color="auto"/>
            </w:tcBorders>
            <w:shd w:val="clear" w:color="auto" w:fill="auto"/>
          </w:tcPr>
          <w:p w14:paraId="239DD332" w14:textId="77777777" w:rsidR="006D642D" w:rsidRPr="006E50FA" w:rsidRDefault="006D642D" w:rsidP="00582674">
            <w:pPr>
              <w:keepNext/>
              <w:keepLines/>
              <w:suppressAutoHyphens w:val="0"/>
              <w:spacing w:before="60" w:after="60" w:line="220" w:lineRule="exact"/>
              <w:ind w:left="57" w:right="57"/>
              <w:rPr>
                <w:sz w:val="18"/>
                <w:szCs w:val="18"/>
              </w:rPr>
            </w:pPr>
            <w:r w:rsidRPr="006E50FA">
              <w:rPr>
                <w:sz w:val="18"/>
                <w:szCs w:val="18"/>
                <w:lang w:val="fr-FR"/>
              </w:rPr>
              <w:t>DISILANE</w:t>
            </w:r>
          </w:p>
        </w:tc>
        <w:tc>
          <w:tcPr>
            <w:tcW w:w="615" w:type="dxa"/>
            <w:tcBorders>
              <w:top w:val="single" w:sz="12" w:space="0" w:color="auto"/>
              <w:bottom w:val="single" w:sz="12" w:space="0" w:color="auto"/>
            </w:tcBorders>
            <w:shd w:val="clear" w:color="auto" w:fill="auto"/>
          </w:tcPr>
          <w:p w14:paraId="78BBD9C3" w14:textId="77777777" w:rsidR="006D642D" w:rsidRPr="006E50FA" w:rsidRDefault="006D642D" w:rsidP="00582674">
            <w:pPr>
              <w:keepNext/>
              <w:keepLines/>
              <w:suppressAutoHyphens w:val="0"/>
              <w:spacing w:before="60" w:after="60" w:line="220" w:lineRule="exact"/>
              <w:ind w:left="57" w:right="57"/>
              <w:jc w:val="center"/>
              <w:rPr>
                <w:sz w:val="18"/>
                <w:szCs w:val="18"/>
              </w:rPr>
            </w:pPr>
            <w:r w:rsidRPr="006E50FA">
              <w:rPr>
                <w:sz w:val="18"/>
                <w:szCs w:val="18"/>
                <w:lang w:val="fr-FR"/>
              </w:rPr>
              <w:t>2.1</w:t>
            </w:r>
          </w:p>
        </w:tc>
        <w:tc>
          <w:tcPr>
            <w:tcW w:w="527" w:type="dxa"/>
            <w:tcBorders>
              <w:top w:val="single" w:sz="12" w:space="0" w:color="auto"/>
              <w:bottom w:val="single" w:sz="12" w:space="0" w:color="auto"/>
            </w:tcBorders>
            <w:shd w:val="clear" w:color="auto" w:fill="auto"/>
          </w:tcPr>
          <w:p w14:paraId="599DFB4F" w14:textId="77777777" w:rsidR="006D642D" w:rsidRPr="006E50FA" w:rsidRDefault="006D642D" w:rsidP="00582674">
            <w:pPr>
              <w:keepNext/>
              <w:keepLines/>
              <w:suppressAutoHyphens w:val="0"/>
              <w:spacing w:before="60" w:after="60" w:line="220" w:lineRule="exact"/>
              <w:ind w:left="57" w:right="57"/>
              <w:jc w:val="center"/>
              <w:rPr>
                <w:sz w:val="18"/>
                <w:szCs w:val="18"/>
              </w:rPr>
            </w:pPr>
          </w:p>
        </w:tc>
        <w:tc>
          <w:tcPr>
            <w:tcW w:w="846" w:type="dxa"/>
            <w:tcBorders>
              <w:top w:val="single" w:sz="12" w:space="0" w:color="auto"/>
              <w:bottom w:val="single" w:sz="12" w:space="0" w:color="auto"/>
            </w:tcBorders>
            <w:shd w:val="clear" w:color="auto" w:fill="auto"/>
          </w:tcPr>
          <w:p w14:paraId="1CBEEE14" w14:textId="77777777" w:rsidR="006D642D" w:rsidRPr="006E50FA" w:rsidRDefault="006D642D" w:rsidP="00582674">
            <w:pPr>
              <w:keepNext/>
              <w:keepLines/>
              <w:suppressAutoHyphens w:val="0"/>
              <w:spacing w:before="60" w:after="60" w:line="220" w:lineRule="exact"/>
              <w:ind w:left="57" w:right="57"/>
              <w:jc w:val="center"/>
              <w:rPr>
                <w:sz w:val="18"/>
                <w:szCs w:val="18"/>
              </w:rPr>
            </w:pPr>
          </w:p>
        </w:tc>
        <w:tc>
          <w:tcPr>
            <w:tcW w:w="449" w:type="dxa"/>
            <w:tcBorders>
              <w:top w:val="single" w:sz="12" w:space="0" w:color="auto"/>
              <w:bottom w:val="single" w:sz="12" w:space="0" w:color="auto"/>
            </w:tcBorders>
            <w:shd w:val="clear" w:color="auto" w:fill="auto"/>
          </w:tcPr>
          <w:p w14:paraId="63C029B7" w14:textId="77777777" w:rsidR="006D642D" w:rsidRPr="006E50FA" w:rsidRDefault="006D642D" w:rsidP="00582674">
            <w:pPr>
              <w:keepNext/>
              <w:keepLines/>
              <w:suppressAutoHyphens w:val="0"/>
              <w:spacing w:before="60" w:after="60" w:line="220" w:lineRule="exact"/>
              <w:ind w:left="57" w:right="57"/>
              <w:jc w:val="center"/>
              <w:rPr>
                <w:sz w:val="18"/>
                <w:szCs w:val="18"/>
              </w:rPr>
            </w:pPr>
            <w:r w:rsidRPr="006E50FA">
              <w:rPr>
                <w:sz w:val="18"/>
                <w:szCs w:val="18"/>
                <w:lang w:val="fr-FR"/>
              </w:rPr>
              <w:t>X</w:t>
            </w:r>
          </w:p>
        </w:tc>
        <w:tc>
          <w:tcPr>
            <w:tcW w:w="449" w:type="dxa"/>
            <w:tcBorders>
              <w:top w:val="single" w:sz="12" w:space="0" w:color="auto"/>
              <w:bottom w:val="single" w:sz="12" w:space="0" w:color="auto"/>
            </w:tcBorders>
            <w:shd w:val="clear" w:color="auto" w:fill="auto"/>
          </w:tcPr>
          <w:p w14:paraId="5E0D3103" w14:textId="77777777" w:rsidR="006D642D" w:rsidRPr="006E50FA" w:rsidRDefault="006D642D" w:rsidP="00582674">
            <w:pPr>
              <w:keepNext/>
              <w:keepLines/>
              <w:suppressAutoHyphens w:val="0"/>
              <w:spacing w:before="60" w:after="60" w:line="220" w:lineRule="exact"/>
              <w:ind w:left="57" w:right="57"/>
              <w:jc w:val="center"/>
              <w:rPr>
                <w:sz w:val="18"/>
                <w:szCs w:val="18"/>
              </w:rPr>
            </w:pPr>
            <w:r w:rsidRPr="006E50FA">
              <w:rPr>
                <w:sz w:val="18"/>
                <w:szCs w:val="18"/>
                <w:lang w:val="fr-FR"/>
              </w:rPr>
              <w:t>X</w:t>
            </w:r>
          </w:p>
        </w:tc>
        <w:tc>
          <w:tcPr>
            <w:tcW w:w="493" w:type="dxa"/>
            <w:tcBorders>
              <w:top w:val="single" w:sz="12" w:space="0" w:color="auto"/>
              <w:bottom w:val="single" w:sz="12" w:space="0" w:color="auto"/>
            </w:tcBorders>
            <w:shd w:val="clear" w:color="auto" w:fill="auto"/>
          </w:tcPr>
          <w:p w14:paraId="3B1E30A2" w14:textId="77777777" w:rsidR="006D642D" w:rsidRPr="006E50FA" w:rsidRDefault="006D642D" w:rsidP="00582674">
            <w:pPr>
              <w:keepNext/>
              <w:keepLines/>
              <w:suppressAutoHyphens w:val="0"/>
              <w:spacing w:before="60" w:after="60" w:line="220" w:lineRule="exact"/>
              <w:ind w:left="57" w:right="57"/>
              <w:jc w:val="center"/>
              <w:rPr>
                <w:sz w:val="18"/>
                <w:szCs w:val="18"/>
              </w:rPr>
            </w:pPr>
            <w:r w:rsidRPr="006E50FA">
              <w:rPr>
                <w:sz w:val="18"/>
                <w:szCs w:val="18"/>
                <w:lang w:val="fr-FR"/>
              </w:rPr>
              <w:t>X</w:t>
            </w:r>
          </w:p>
        </w:tc>
        <w:tc>
          <w:tcPr>
            <w:tcW w:w="486" w:type="dxa"/>
            <w:tcBorders>
              <w:top w:val="single" w:sz="12" w:space="0" w:color="auto"/>
              <w:bottom w:val="single" w:sz="12" w:space="0" w:color="auto"/>
            </w:tcBorders>
            <w:shd w:val="clear" w:color="auto" w:fill="auto"/>
          </w:tcPr>
          <w:p w14:paraId="103C89F3" w14:textId="77777777" w:rsidR="006D642D" w:rsidRPr="006E50FA" w:rsidRDefault="006D642D" w:rsidP="00582674">
            <w:pPr>
              <w:keepNext/>
              <w:keepLines/>
              <w:suppressAutoHyphens w:val="0"/>
              <w:spacing w:before="60" w:after="60" w:line="220" w:lineRule="exact"/>
              <w:ind w:left="57" w:right="57"/>
              <w:jc w:val="center"/>
              <w:rPr>
                <w:sz w:val="18"/>
                <w:szCs w:val="18"/>
              </w:rPr>
            </w:pPr>
            <w:r w:rsidRPr="006E50FA">
              <w:rPr>
                <w:sz w:val="18"/>
                <w:szCs w:val="18"/>
                <w:lang w:val="fr-FR"/>
              </w:rPr>
              <w:t>X</w:t>
            </w:r>
          </w:p>
        </w:tc>
        <w:tc>
          <w:tcPr>
            <w:tcW w:w="410" w:type="dxa"/>
            <w:tcBorders>
              <w:top w:val="single" w:sz="12" w:space="0" w:color="auto"/>
              <w:bottom w:val="single" w:sz="12" w:space="0" w:color="auto"/>
            </w:tcBorders>
            <w:shd w:val="clear" w:color="auto" w:fill="auto"/>
          </w:tcPr>
          <w:p w14:paraId="7D84F39C" w14:textId="77777777" w:rsidR="006D642D" w:rsidRPr="006E50FA" w:rsidRDefault="006D642D" w:rsidP="00582674">
            <w:pPr>
              <w:keepNext/>
              <w:keepLines/>
              <w:suppressAutoHyphens w:val="0"/>
              <w:spacing w:before="60" w:after="60" w:line="220" w:lineRule="exact"/>
              <w:ind w:left="57" w:right="57"/>
              <w:jc w:val="center"/>
              <w:rPr>
                <w:sz w:val="18"/>
                <w:szCs w:val="18"/>
              </w:rPr>
            </w:pPr>
          </w:p>
        </w:tc>
        <w:tc>
          <w:tcPr>
            <w:tcW w:w="599" w:type="dxa"/>
            <w:tcBorders>
              <w:top w:val="single" w:sz="12" w:space="0" w:color="auto"/>
              <w:bottom w:val="single" w:sz="12" w:space="0" w:color="auto"/>
            </w:tcBorders>
            <w:shd w:val="clear" w:color="auto" w:fill="auto"/>
          </w:tcPr>
          <w:p w14:paraId="70829AAF" w14:textId="77777777" w:rsidR="006D642D" w:rsidRPr="006E50FA" w:rsidRDefault="006D642D" w:rsidP="00582674">
            <w:pPr>
              <w:keepNext/>
              <w:keepLines/>
              <w:suppressAutoHyphens w:val="0"/>
              <w:spacing w:before="60" w:after="60" w:line="220" w:lineRule="exact"/>
              <w:ind w:left="57" w:right="57"/>
              <w:jc w:val="center"/>
              <w:rPr>
                <w:sz w:val="18"/>
                <w:szCs w:val="18"/>
              </w:rPr>
            </w:pPr>
            <w:r w:rsidRPr="006E50FA">
              <w:rPr>
                <w:sz w:val="18"/>
                <w:szCs w:val="18"/>
                <w:lang w:val="fr-FR"/>
              </w:rPr>
              <w:t>10</w:t>
            </w:r>
          </w:p>
        </w:tc>
        <w:tc>
          <w:tcPr>
            <w:tcW w:w="558" w:type="dxa"/>
            <w:tcBorders>
              <w:top w:val="single" w:sz="12" w:space="0" w:color="auto"/>
              <w:bottom w:val="single" w:sz="12" w:space="0" w:color="auto"/>
            </w:tcBorders>
            <w:shd w:val="clear" w:color="auto" w:fill="auto"/>
          </w:tcPr>
          <w:p w14:paraId="5D7524E2" w14:textId="77777777" w:rsidR="006D642D" w:rsidRPr="006E50FA" w:rsidRDefault="006D642D" w:rsidP="00582674">
            <w:pPr>
              <w:keepNext/>
              <w:keepLines/>
              <w:suppressAutoHyphens w:val="0"/>
              <w:spacing w:before="60" w:after="60" w:line="220" w:lineRule="exact"/>
              <w:ind w:left="57" w:right="57"/>
              <w:jc w:val="center"/>
              <w:rPr>
                <w:sz w:val="18"/>
                <w:szCs w:val="18"/>
              </w:rPr>
            </w:pPr>
            <w:r w:rsidRPr="006E50FA">
              <w:rPr>
                <w:sz w:val="18"/>
                <w:szCs w:val="18"/>
                <w:lang w:val="fr-FR"/>
              </w:rPr>
              <w:t>225</w:t>
            </w:r>
          </w:p>
        </w:tc>
        <w:tc>
          <w:tcPr>
            <w:tcW w:w="642" w:type="dxa"/>
            <w:tcBorders>
              <w:top w:val="single" w:sz="12" w:space="0" w:color="auto"/>
              <w:bottom w:val="single" w:sz="12" w:space="0" w:color="auto"/>
            </w:tcBorders>
            <w:shd w:val="clear" w:color="auto" w:fill="auto"/>
          </w:tcPr>
          <w:p w14:paraId="7214CEEF" w14:textId="77777777" w:rsidR="006D642D" w:rsidRPr="006E50FA" w:rsidRDefault="006D642D" w:rsidP="00582674">
            <w:pPr>
              <w:keepNext/>
              <w:keepLines/>
              <w:suppressAutoHyphens w:val="0"/>
              <w:spacing w:before="60" w:after="60" w:line="220" w:lineRule="exact"/>
              <w:ind w:left="57" w:right="57"/>
              <w:jc w:val="center"/>
              <w:rPr>
                <w:sz w:val="18"/>
                <w:szCs w:val="18"/>
              </w:rPr>
            </w:pPr>
            <w:r w:rsidRPr="006E50FA">
              <w:rPr>
                <w:sz w:val="18"/>
                <w:szCs w:val="18"/>
                <w:lang w:val="fr-FR"/>
              </w:rPr>
              <w:t>0,39</w:t>
            </w:r>
          </w:p>
        </w:tc>
        <w:tc>
          <w:tcPr>
            <w:tcW w:w="593" w:type="dxa"/>
            <w:tcBorders>
              <w:top w:val="single" w:sz="12" w:space="0" w:color="auto"/>
              <w:bottom w:val="single" w:sz="12" w:space="0" w:color="auto"/>
            </w:tcBorders>
            <w:shd w:val="clear" w:color="auto" w:fill="auto"/>
          </w:tcPr>
          <w:p w14:paraId="2353A90D" w14:textId="77777777" w:rsidR="006D642D" w:rsidRPr="006E50FA" w:rsidRDefault="006D642D" w:rsidP="00582674">
            <w:pPr>
              <w:keepNext/>
              <w:keepLines/>
              <w:suppressAutoHyphens w:val="0"/>
              <w:spacing w:before="60" w:after="60" w:line="220" w:lineRule="exact"/>
              <w:ind w:left="57" w:right="57"/>
              <w:jc w:val="center"/>
              <w:rPr>
                <w:sz w:val="18"/>
                <w:szCs w:val="18"/>
              </w:rPr>
            </w:pPr>
            <w:proofErr w:type="gramStart"/>
            <w:r w:rsidRPr="006E50FA">
              <w:rPr>
                <w:sz w:val="18"/>
                <w:szCs w:val="18"/>
                <w:lang w:val="fr-FR"/>
              </w:rPr>
              <w:t>q</w:t>
            </w:r>
            <w:proofErr w:type="gramEnd"/>
          </w:p>
        </w:tc>
      </w:tr>
    </w:tbl>
    <w:p w14:paraId="377EC729" w14:textId="599B77CD" w:rsidR="006D642D" w:rsidRPr="00397933" w:rsidRDefault="006D642D" w:rsidP="002F001E">
      <w:pPr>
        <w:pStyle w:val="SingleTxtG"/>
        <w:spacing w:before="120"/>
        <w:rPr>
          <w:lang w:val="fr-FR"/>
        </w:rPr>
      </w:pPr>
      <w:r>
        <w:rPr>
          <w:lang w:val="fr-FR"/>
        </w:rPr>
        <w:t>11.</w:t>
      </w:r>
      <w:r>
        <w:rPr>
          <w:lang w:val="fr-FR"/>
        </w:rPr>
        <w:tab/>
        <w:t xml:space="preserve">L’annexe 1 contient une fiche de renseignements sur le </w:t>
      </w:r>
      <w:proofErr w:type="spellStart"/>
      <w:r>
        <w:rPr>
          <w:lang w:val="fr-FR"/>
        </w:rPr>
        <w:t>disilane</w:t>
      </w:r>
      <w:proofErr w:type="spellEnd"/>
      <w:r>
        <w:rPr>
          <w:lang w:val="fr-FR"/>
        </w:rPr>
        <w:t>.</w:t>
      </w:r>
    </w:p>
    <w:p w14:paraId="15AB3FFF" w14:textId="539E0114" w:rsidR="006D642D" w:rsidRDefault="006D642D" w:rsidP="006D642D">
      <w:pPr>
        <w:pStyle w:val="SingleTxtG"/>
        <w:rPr>
          <w:lang w:val="fr-FR"/>
        </w:rPr>
      </w:pPr>
      <w:r>
        <w:rPr>
          <w:lang w:val="fr-FR"/>
        </w:rPr>
        <w:t>12.</w:t>
      </w:r>
      <w:r>
        <w:rPr>
          <w:lang w:val="fr-FR"/>
        </w:rPr>
        <w:tab/>
        <w:t>Comme il n’existe pas de données publiées sur le taux de remplissage, celui-ci a été calculé à l’aide de la formule figurant au 3) c) de l’instruction d’emballage P200 (voir</w:t>
      </w:r>
      <w:r w:rsidR="002F001E">
        <w:rPr>
          <w:lang w:val="fr-FR"/>
        </w:rPr>
        <w:t> </w:t>
      </w:r>
      <w:r>
        <w:rPr>
          <w:lang w:val="fr-FR"/>
        </w:rPr>
        <w:t>l’annexe 2).</w:t>
      </w:r>
    </w:p>
    <w:p w14:paraId="65C2D3C7" w14:textId="77777777" w:rsidR="006D642D" w:rsidRPr="00397933" w:rsidRDefault="006D642D" w:rsidP="006D642D">
      <w:pPr>
        <w:pStyle w:val="H1G"/>
        <w:rPr>
          <w:lang w:val="fr-FR"/>
        </w:rPr>
      </w:pPr>
      <w:r>
        <w:rPr>
          <w:lang w:val="fr-FR"/>
        </w:rPr>
        <w:tab/>
      </w:r>
      <w:r>
        <w:rPr>
          <w:lang w:val="fr-FR"/>
        </w:rPr>
        <w:tab/>
      </w:r>
      <w:r>
        <w:rPr>
          <w:bCs/>
          <w:lang w:val="fr-FR"/>
        </w:rPr>
        <w:t>Incidences sur la sécurité</w:t>
      </w:r>
    </w:p>
    <w:p w14:paraId="7E4377B2" w14:textId="7FF55BC8" w:rsidR="006D642D" w:rsidRPr="00397933" w:rsidRDefault="006D642D" w:rsidP="006D642D">
      <w:pPr>
        <w:pStyle w:val="SingleTxtG"/>
        <w:rPr>
          <w:lang w:val="fr-FR"/>
        </w:rPr>
      </w:pPr>
      <w:r>
        <w:rPr>
          <w:lang w:val="fr-FR"/>
        </w:rPr>
        <w:t>13.</w:t>
      </w:r>
      <w:r>
        <w:rPr>
          <w:lang w:val="fr-FR"/>
        </w:rPr>
        <w:tab/>
        <w:t>Aucune incidence n’est prévue. La CGA et l’EIGA estiment que les conditions de sécurité pour le transport du gaz pyrophorique visé seront renforcées.</w:t>
      </w:r>
    </w:p>
    <w:p w14:paraId="7D53D1E9" w14:textId="77777777" w:rsidR="006D642D" w:rsidRPr="00397933" w:rsidRDefault="006D642D" w:rsidP="006D642D">
      <w:pPr>
        <w:suppressAutoHyphens w:val="0"/>
        <w:kinsoku/>
        <w:overflowPunct/>
        <w:autoSpaceDE/>
        <w:autoSpaceDN/>
        <w:adjustRightInd/>
        <w:snapToGrid/>
        <w:spacing w:after="200" w:line="276" w:lineRule="auto"/>
        <w:rPr>
          <w:lang w:val="fr-FR"/>
        </w:rPr>
      </w:pPr>
      <w:r w:rsidRPr="00397933">
        <w:rPr>
          <w:lang w:val="fr-FR"/>
        </w:rPr>
        <w:br w:type="page"/>
      </w:r>
    </w:p>
    <w:p w14:paraId="13A8C75E" w14:textId="77777777" w:rsidR="006D642D" w:rsidRPr="00FC68C3" w:rsidRDefault="006D642D" w:rsidP="006D642D">
      <w:pPr>
        <w:keepNext/>
        <w:keepLines/>
        <w:tabs>
          <w:tab w:val="right" w:pos="851"/>
        </w:tabs>
        <w:spacing w:before="360" w:after="240" w:line="300" w:lineRule="exact"/>
        <w:ind w:left="1134" w:right="1134" w:hanging="1134"/>
        <w:outlineLvl w:val="1"/>
        <w:rPr>
          <w:rFonts w:eastAsia="Arial"/>
          <w:b/>
          <w:sz w:val="28"/>
          <w:lang w:val="fr-FR"/>
        </w:rPr>
      </w:pPr>
      <w:r w:rsidRPr="00FC68C3">
        <w:rPr>
          <w:b/>
          <w:sz w:val="28"/>
          <w:lang w:val="fr-FR"/>
        </w:rPr>
        <w:t>Annexe I</w:t>
      </w:r>
    </w:p>
    <w:p w14:paraId="4CF50E08" w14:textId="03F1C3FD" w:rsidR="006D642D" w:rsidRPr="00FC68C3" w:rsidRDefault="006D642D" w:rsidP="006D642D">
      <w:pPr>
        <w:keepNext/>
        <w:keepLines/>
        <w:tabs>
          <w:tab w:val="right" w:pos="851"/>
        </w:tabs>
        <w:spacing w:before="360" w:after="240" w:line="300" w:lineRule="exact"/>
        <w:ind w:left="1134" w:right="1134" w:hanging="1134"/>
        <w:outlineLvl w:val="1"/>
        <w:rPr>
          <w:rFonts w:eastAsia="Arial"/>
          <w:b/>
          <w:sz w:val="28"/>
          <w:lang w:val="fr-FR"/>
        </w:rPr>
      </w:pPr>
      <w:r w:rsidRPr="00FC68C3">
        <w:rPr>
          <w:b/>
          <w:spacing w:val="4"/>
          <w:sz w:val="28"/>
          <w:lang w:val="fr-FR"/>
        </w:rPr>
        <w:tab/>
      </w:r>
      <w:r w:rsidRPr="00FC68C3">
        <w:rPr>
          <w:b/>
          <w:spacing w:val="4"/>
          <w:sz w:val="28"/>
          <w:lang w:val="fr-FR"/>
        </w:rPr>
        <w:tab/>
        <w:t>Formule de renseignements à communiquer à l</w:t>
      </w:r>
      <w:r>
        <w:rPr>
          <w:b/>
          <w:spacing w:val="4"/>
          <w:sz w:val="28"/>
          <w:lang w:val="fr-FR"/>
        </w:rPr>
        <w:t>’</w:t>
      </w:r>
      <w:r w:rsidRPr="00FC68C3">
        <w:rPr>
          <w:b/>
          <w:spacing w:val="4"/>
          <w:sz w:val="28"/>
          <w:lang w:val="fr-FR"/>
        </w:rPr>
        <w:t>ONU</w:t>
      </w:r>
      <w:r w:rsidRPr="00FC68C3">
        <w:rPr>
          <w:b/>
          <w:sz w:val="28"/>
          <w:lang w:val="fr-FR"/>
        </w:rPr>
        <w:t xml:space="preserve"> </w:t>
      </w:r>
      <w:r w:rsidRPr="00FC68C3">
        <w:rPr>
          <w:b/>
          <w:sz w:val="28"/>
          <w:lang w:val="fr-FR"/>
        </w:rPr>
        <w:br/>
      </w:r>
      <w:r w:rsidRPr="00FC68C3">
        <w:rPr>
          <w:b/>
          <w:spacing w:val="-1"/>
          <w:sz w:val="28"/>
          <w:lang w:val="fr-FR"/>
        </w:rPr>
        <w:t>en vue du classement ou du reclassement d</w:t>
      </w:r>
      <w:r>
        <w:rPr>
          <w:b/>
          <w:spacing w:val="-1"/>
          <w:sz w:val="28"/>
          <w:lang w:val="fr-FR"/>
        </w:rPr>
        <w:t>’</w:t>
      </w:r>
      <w:r w:rsidRPr="00FC68C3">
        <w:rPr>
          <w:b/>
          <w:spacing w:val="-1"/>
          <w:sz w:val="28"/>
          <w:lang w:val="fr-FR"/>
        </w:rPr>
        <w:t>une matière</w:t>
      </w:r>
    </w:p>
    <w:p w14:paraId="70281B2D" w14:textId="77777777" w:rsidR="006D642D" w:rsidRPr="00FC68C3" w:rsidRDefault="006D642D" w:rsidP="006D642D">
      <w:pPr>
        <w:tabs>
          <w:tab w:val="left" w:pos="1701"/>
          <w:tab w:val="left" w:pos="2268"/>
          <w:tab w:val="left" w:pos="2835"/>
          <w:tab w:val="left" w:pos="6804"/>
        </w:tabs>
        <w:spacing w:after="120"/>
        <w:ind w:left="1134" w:right="1134"/>
        <w:jc w:val="both"/>
        <w:rPr>
          <w:rFonts w:eastAsia="Arial"/>
          <w:lang w:val="fr-FR"/>
        </w:rPr>
      </w:pPr>
      <w:r w:rsidRPr="00FC68C3">
        <w:rPr>
          <w:lang w:val="fr-FR"/>
        </w:rPr>
        <w:t>Soumise par : CGA et EIGA</w:t>
      </w:r>
      <w:r w:rsidRPr="00FC68C3">
        <w:rPr>
          <w:lang w:val="fr-FR"/>
        </w:rPr>
        <w:tab/>
        <w:t xml:space="preserve">Date : </w:t>
      </w:r>
      <w:r>
        <w:rPr>
          <w:lang w:val="fr-FR"/>
        </w:rPr>
        <w:t>30 mars 2022</w:t>
      </w:r>
    </w:p>
    <w:p w14:paraId="4DA7781F" w14:textId="25E9F142" w:rsidR="006D642D" w:rsidRPr="00FC68C3" w:rsidRDefault="006D642D" w:rsidP="006D642D">
      <w:pPr>
        <w:tabs>
          <w:tab w:val="left" w:pos="1701"/>
          <w:tab w:val="left" w:pos="2268"/>
          <w:tab w:val="left" w:pos="2835"/>
        </w:tabs>
        <w:spacing w:after="120"/>
        <w:ind w:left="1134" w:right="1134" w:firstLine="567"/>
        <w:jc w:val="both"/>
        <w:rPr>
          <w:rFonts w:eastAsia="Arial"/>
          <w:lang w:val="fr-FR"/>
        </w:rPr>
      </w:pPr>
      <w:r w:rsidRPr="00FC68C3">
        <w:rPr>
          <w:lang w:val="fr-FR"/>
        </w:rPr>
        <w:t>Fournir tous les renseignements pertinents, y compris les sources des principales données relatives au classement. Les données doivent se rapporter au produit tel qu</w:t>
      </w:r>
      <w:r>
        <w:rPr>
          <w:lang w:val="fr-FR"/>
        </w:rPr>
        <w:t>’</w:t>
      </w:r>
      <w:r w:rsidRPr="00FC68C3">
        <w:rPr>
          <w:lang w:val="fr-FR"/>
        </w:rPr>
        <w:t>il est présenté au transport. Indiquer les méthodes d</w:t>
      </w:r>
      <w:r>
        <w:rPr>
          <w:lang w:val="fr-FR"/>
        </w:rPr>
        <w:t>’</w:t>
      </w:r>
      <w:r w:rsidRPr="00FC68C3">
        <w:rPr>
          <w:lang w:val="fr-FR"/>
        </w:rPr>
        <w:t>essai. Répondre à toutes les questions</w:t>
      </w:r>
      <w:r w:rsidR="00C43ADD">
        <w:rPr>
          <w:lang w:val="fr-FR"/>
        </w:rPr>
        <w:t xml:space="preserve"> −</w:t>
      </w:r>
      <w:r w:rsidRPr="00FC68C3">
        <w:rPr>
          <w:lang w:val="fr-FR"/>
        </w:rPr>
        <w:t xml:space="preserve"> le cas échéant, répondre « non connu » ou « sans objet ». Si les renseignements ne sont pas disponibles sous la forme requise, fournir toute autre information dont on dispose, avec les commentaires nécessaires. Biffer les mentions inutiles.</w:t>
      </w:r>
    </w:p>
    <w:p w14:paraId="2CB810F5" w14:textId="77777777" w:rsidR="006D642D" w:rsidRPr="00FC68C3" w:rsidRDefault="006D642D" w:rsidP="006D642D">
      <w:pPr>
        <w:keepNext/>
        <w:keepLines/>
        <w:tabs>
          <w:tab w:val="right" w:pos="851"/>
        </w:tabs>
        <w:spacing w:before="240" w:after="120" w:line="240" w:lineRule="exact"/>
        <w:ind w:left="1134" w:right="1134" w:hanging="1134"/>
        <w:outlineLvl w:val="3"/>
        <w:rPr>
          <w:rFonts w:eastAsia="Arial"/>
          <w:b/>
          <w:lang w:val="fr-FR"/>
        </w:rPr>
      </w:pPr>
      <w:r w:rsidRPr="00FC68C3">
        <w:rPr>
          <w:b/>
          <w:lang w:val="fr-FR"/>
        </w:rPr>
        <w:tab/>
      </w:r>
      <w:r w:rsidRPr="00FC68C3">
        <w:rPr>
          <w:b/>
          <w:lang w:val="fr-FR"/>
        </w:rPr>
        <w:tab/>
        <w:t>Section 1. IDENTIFICATION DE LA MATIÈRE</w:t>
      </w:r>
    </w:p>
    <w:p w14:paraId="2C6F5CB9" w14:textId="77777777" w:rsidR="006D642D" w:rsidRPr="00FC68C3" w:rsidRDefault="006D642D" w:rsidP="006D642D">
      <w:pPr>
        <w:tabs>
          <w:tab w:val="left" w:pos="1701"/>
          <w:tab w:val="left" w:pos="2268"/>
          <w:tab w:val="left" w:pos="2835"/>
        </w:tabs>
        <w:spacing w:after="120"/>
        <w:ind w:left="1134" w:right="1134"/>
        <w:jc w:val="both"/>
        <w:rPr>
          <w:rFonts w:eastAsia="Arial"/>
          <w:b/>
          <w:lang w:val="fr-FR"/>
        </w:rPr>
      </w:pPr>
      <w:r w:rsidRPr="00FC68C3">
        <w:rPr>
          <w:lang w:val="fr-FR"/>
        </w:rPr>
        <w:t>1.1</w:t>
      </w:r>
      <w:r w:rsidRPr="00FC68C3">
        <w:rPr>
          <w:lang w:val="fr-FR"/>
        </w:rPr>
        <w:tab/>
        <w:t xml:space="preserve">Nom chimique : </w:t>
      </w:r>
      <w:r w:rsidRPr="00FC68C3">
        <w:rPr>
          <w:b/>
          <w:bCs/>
          <w:lang w:val="fr-FR"/>
        </w:rPr>
        <w:t>DISILANE</w:t>
      </w:r>
    </w:p>
    <w:p w14:paraId="4744F741" w14:textId="77777777" w:rsidR="006D642D" w:rsidRPr="00FC68C3" w:rsidRDefault="006D642D" w:rsidP="006D642D">
      <w:pPr>
        <w:tabs>
          <w:tab w:val="left" w:pos="1701"/>
          <w:tab w:val="left" w:pos="2268"/>
          <w:tab w:val="left" w:pos="2835"/>
        </w:tabs>
        <w:spacing w:after="120"/>
        <w:ind w:left="1134" w:right="1134"/>
        <w:jc w:val="both"/>
        <w:rPr>
          <w:rFonts w:eastAsia="Arial"/>
          <w:b/>
          <w:lang w:val="fr-FR"/>
        </w:rPr>
      </w:pPr>
      <w:r w:rsidRPr="00FC68C3">
        <w:rPr>
          <w:lang w:val="fr-FR"/>
        </w:rPr>
        <w:t>1.2</w:t>
      </w:r>
      <w:r w:rsidRPr="00FC68C3">
        <w:rPr>
          <w:lang w:val="fr-FR"/>
        </w:rPr>
        <w:tab/>
        <w:t xml:space="preserve">Formule chimique : </w:t>
      </w:r>
      <w:r w:rsidRPr="00FC68C3">
        <w:rPr>
          <w:b/>
          <w:bCs/>
          <w:lang w:val="fr-FR"/>
        </w:rPr>
        <w:t>Si</w:t>
      </w:r>
      <w:r w:rsidRPr="00FC68C3">
        <w:rPr>
          <w:b/>
          <w:bCs/>
          <w:vertAlign w:val="subscript"/>
          <w:lang w:val="fr-FR"/>
        </w:rPr>
        <w:t>2</w:t>
      </w:r>
      <w:r w:rsidRPr="00FC68C3">
        <w:rPr>
          <w:b/>
          <w:bCs/>
          <w:lang w:val="fr-FR"/>
        </w:rPr>
        <w:t>H</w:t>
      </w:r>
      <w:r w:rsidRPr="00FC68C3">
        <w:rPr>
          <w:b/>
          <w:bCs/>
          <w:vertAlign w:val="subscript"/>
          <w:lang w:val="fr-FR"/>
        </w:rPr>
        <w:t>6</w:t>
      </w:r>
    </w:p>
    <w:p w14:paraId="3BCE4E7B" w14:textId="77777777" w:rsidR="006D642D" w:rsidRPr="007762FD" w:rsidRDefault="006D642D" w:rsidP="006D642D">
      <w:pPr>
        <w:tabs>
          <w:tab w:val="left" w:pos="1701"/>
          <w:tab w:val="left" w:pos="2268"/>
          <w:tab w:val="left" w:pos="2835"/>
        </w:tabs>
        <w:spacing w:after="120"/>
        <w:ind w:left="1134" w:right="1134"/>
        <w:jc w:val="both"/>
        <w:rPr>
          <w:b/>
          <w:bCs/>
          <w:lang w:val="fr-FR"/>
        </w:rPr>
      </w:pPr>
      <w:r w:rsidRPr="00FC68C3">
        <w:rPr>
          <w:lang w:val="fr-FR"/>
        </w:rPr>
        <w:t>1.3</w:t>
      </w:r>
      <w:r w:rsidRPr="00FC68C3">
        <w:rPr>
          <w:lang w:val="fr-FR"/>
        </w:rPr>
        <w:tab/>
      </w:r>
      <w:r>
        <w:rPr>
          <w:lang w:val="fr-FR"/>
        </w:rPr>
        <w:t xml:space="preserve">Masse moléculaire : </w:t>
      </w:r>
      <w:r>
        <w:rPr>
          <w:b/>
          <w:bCs/>
          <w:lang w:val="fr-FR"/>
        </w:rPr>
        <w:t>62,22</w:t>
      </w:r>
    </w:p>
    <w:p w14:paraId="74A5A4AA" w14:textId="77777777" w:rsidR="006D642D" w:rsidRPr="00FC68C3" w:rsidRDefault="006D642D" w:rsidP="006D642D">
      <w:pPr>
        <w:tabs>
          <w:tab w:val="left" w:pos="1701"/>
          <w:tab w:val="left" w:pos="2268"/>
          <w:tab w:val="left" w:pos="2835"/>
        </w:tabs>
        <w:spacing w:after="120"/>
        <w:ind w:left="1134" w:right="1134"/>
        <w:jc w:val="both"/>
        <w:rPr>
          <w:rFonts w:eastAsia="Arial"/>
          <w:b/>
          <w:lang w:val="fr-FR"/>
        </w:rPr>
      </w:pPr>
      <w:r>
        <w:rPr>
          <w:lang w:val="fr-FR"/>
        </w:rPr>
        <w:t>1.4</w:t>
      </w:r>
      <w:r>
        <w:rPr>
          <w:lang w:val="fr-FR"/>
        </w:rPr>
        <w:tab/>
      </w:r>
      <w:r w:rsidRPr="00FC68C3">
        <w:rPr>
          <w:lang w:val="fr-FR"/>
        </w:rPr>
        <w:t xml:space="preserve">Autres noms/synonymes : </w:t>
      </w:r>
      <w:r w:rsidRPr="00FC68C3">
        <w:rPr>
          <w:b/>
          <w:bCs/>
          <w:lang w:val="fr-FR"/>
        </w:rPr>
        <w:t>Hydrure de silicium</w:t>
      </w:r>
    </w:p>
    <w:p w14:paraId="11AB01C0" w14:textId="77777777" w:rsidR="006D642D" w:rsidRPr="00FC68C3" w:rsidRDefault="006D642D" w:rsidP="006D642D">
      <w:pPr>
        <w:tabs>
          <w:tab w:val="left" w:pos="1701"/>
          <w:tab w:val="left" w:pos="2268"/>
          <w:tab w:val="left" w:pos="2835"/>
        </w:tabs>
        <w:spacing w:after="120"/>
        <w:ind w:left="1701" w:right="1134" w:hanging="567"/>
        <w:jc w:val="both"/>
        <w:rPr>
          <w:rFonts w:eastAsia="Arial"/>
          <w:b/>
          <w:lang w:val="fr-FR"/>
        </w:rPr>
      </w:pPr>
      <w:r w:rsidRPr="00FC68C3">
        <w:rPr>
          <w:lang w:val="fr-FR"/>
        </w:rPr>
        <w:t>1.</w:t>
      </w:r>
      <w:r>
        <w:rPr>
          <w:lang w:val="fr-FR"/>
        </w:rPr>
        <w:t>5</w:t>
      </w:r>
      <w:r w:rsidRPr="00FC68C3">
        <w:rPr>
          <w:lang w:val="fr-FR"/>
        </w:rPr>
        <w:t>.1</w:t>
      </w:r>
      <w:r w:rsidRPr="00FC68C3">
        <w:rPr>
          <w:lang w:val="fr-FR"/>
        </w:rPr>
        <w:tab/>
        <w:t xml:space="preserve">Numéro ONU : </w:t>
      </w:r>
      <w:r w:rsidRPr="00FC68C3">
        <w:rPr>
          <w:b/>
          <w:bCs/>
          <w:lang w:val="fr-FR"/>
        </w:rPr>
        <w:t>3161 GAZ LIQUÉFIÉ INFLAMMABLE, N.S.A. (DISILANE)</w:t>
      </w:r>
      <w:r w:rsidRPr="00FC68C3">
        <w:rPr>
          <w:lang w:val="fr-FR"/>
        </w:rPr>
        <w:t xml:space="preserve">. </w:t>
      </w:r>
      <w:r w:rsidRPr="00FC68C3">
        <w:rPr>
          <w:b/>
          <w:bCs/>
          <w:lang w:val="fr-FR"/>
        </w:rPr>
        <w:t>(Numéro utilisé actuellement aux fins du transport)</w:t>
      </w:r>
    </w:p>
    <w:p w14:paraId="686EDD1E" w14:textId="77777777" w:rsidR="006D642D" w:rsidRPr="00FC68C3" w:rsidRDefault="006D642D" w:rsidP="006D642D">
      <w:pPr>
        <w:tabs>
          <w:tab w:val="left" w:pos="1701"/>
          <w:tab w:val="left" w:pos="2268"/>
          <w:tab w:val="left" w:pos="2835"/>
        </w:tabs>
        <w:spacing w:after="120"/>
        <w:ind w:left="1134" w:right="1134"/>
        <w:jc w:val="both"/>
        <w:rPr>
          <w:rFonts w:eastAsia="Arial"/>
          <w:b/>
          <w:lang w:val="fr-FR"/>
        </w:rPr>
      </w:pPr>
      <w:r w:rsidRPr="00FC68C3">
        <w:rPr>
          <w:lang w:val="fr-FR"/>
        </w:rPr>
        <w:t>1.</w:t>
      </w:r>
      <w:r>
        <w:rPr>
          <w:lang w:val="fr-FR"/>
        </w:rPr>
        <w:t>5</w:t>
      </w:r>
      <w:r w:rsidRPr="00FC68C3">
        <w:rPr>
          <w:lang w:val="fr-FR"/>
        </w:rPr>
        <w:t>.2</w:t>
      </w:r>
      <w:r w:rsidRPr="00FC68C3">
        <w:rPr>
          <w:lang w:val="fr-FR"/>
        </w:rPr>
        <w:tab/>
        <w:t xml:space="preserve">Numéro CAS : </w:t>
      </w:r>
      <w:r w:rsidRPr="00FC68C3">
        <w:rPr>
          <w:b/>
          <w:bCs/>
          <w:lang w:val="fr-FR"/>
        </w:rPr>
        <w:t>1590-87-0</w:t>
      </w:r>
    </w:p>
    <w:p w14:paraId="0025B4D9" w14:textId="77777777"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rPr>
          <w:lang w:val="fr-FR"/>
        </w:rPr>
        <w:t>1.</w:t>
      </w:r>
      <w:r>
        <w:rPr>
          <w:lang w:val="fr-FR"/>
        </w:rPr>
        <w:t>6</w:t>
      </w:r>
      <w:r w:rsidRPr="00FC68C3">
        <w:rPr>
          <w:lang w:val="fr-FR"/>
        </w:rPr>
        <w:tab/>
        <w:t>Classement proposé dans les Recommandations</w:t>
      </w:r>
    </w:p>
    <w:p w14:paraId="4197A05B" w14:textId="77777777" w:rsidR="006D642D" w:rsidRPr="00FC68C3" w:rsidRDefault="006D642D" w:rsidP="006D642D">
      <w:pPr>
        <w:tabs>
          <w:tab w:val="left" w:pos="1701"/>
          <w:tab w:val="left" w:pos="2268"/>
          <w:tab w:val="left" w:pos="2835"/>
        </w:tabs>
        <w:spacing w:after="120"/>
        <w:ind w:left="1134" w:right="1134" w:firstLine="567"/>
        <w:jc w:val="both"/>
        <w:rPr>
          <w:rFonts w:eastAsia="Arial"/>
          <w:lang w:val="fr-FR"/>
        </w:rPr>
      </w:pPr>
      <w:r w:rsidRPr="00FC68C3">
        <w:rPr>
          <w:lang w:val="fr-FR"/>
        </w:rPr>
        <w:t>1.</w:t>
      </w:r>
      <w:r>
        <w:rPr>
          <w:lang w:val="fr-FR"/>
        </w:rPr>
        <w:t>6</w:t>
      </w:r>
      <w:r w:rsidRPr="00FC68C3">
        <w:rPr>
          <w:lang w:val="fr-FR"/>
        </w:rPr>
        <w:t>.1</w:t>
      </w:r>
      <w:r w:rsidRPr="00FC68C3">
        <w:rPr>
          <w:lang w:val="fr-FR"/>
        </w:rPr>
        <w:tab/>
        <w:t xml:space="preserve">Désignation officielle de transport : </w:t>
      </w:r>
      <w:r w:rsidRPr="00FC68C3">
        <w:rPr>
          <w:b/>
          <w:bCs/>
          <w:lang w:val="fr-FR"/>
        </w:rPr>
        <w:t>DISILANE</w:t>
      </w:r>
    </w:p>
    <w:p w14:paraId="70EF8D63" w14:textId="20407E06" w:rsidR="006D642D" w:rsidRPr="00FC68C3" w:rsidRDefault="006D642D" w:rsidP="006D642D">
      <w:pPr>
        <w:tabs>
          <w:tab w:val="left" w:pos="1701"/>
          <w:tab w:val="left" w:pos="2268"/>
          <w:tab w:val="left" w:pos="2835"/>
        </w:tabs>
        <w:spacing w:after="120"/>
        <w:ind w:left="2268" w:right="1134" w:hanging="567"/>
        <w:rPr>
          <w:rFonts w:eastAsia="Arial"/>
          <w:b/>
          <w:lang w:val="fr-FR"/>
        </w:rPr>
      </w:pPr>
      <w:r w:rsidRPr="00FC68C3">
        <w:rPr>
          <w:lang w:val="fr-FR"/>
        </w:rPr>
        <w:t>1.</w:t>
      </w:r>
      <w:r>
        <w:rPr>
          <w:lang w:val="fr-FR"/>
        </w:rPr>
        <w:t>6</w:t>
      </w:r>
      <w:r w:rsidRPr="00FC68C3">
        <w:rPr>
          <w:lang w:val="fr-FR"/>
        </w:rPr>
        <w:t>.2</w:t>
      </w:r>
      <w:r w:rsidRPr="00FC68C3">
        <w:rPr>
          <w:lang w:val="fr-FR"/>
        </w:rPr>
        <w:tab/>
        <w:t xml:space="preserve">Classe/division : </w:t>
      </w:r>
      <w:r w:rsidRPr="00FC68C3">
        <w:rPr>
          <w:b/>
          <w:bCs/>
          <w:lang w:val="fr-FR"/>
        </w:rPr>
        <w:t>2.1</w:t>
      </w:r>
      <w:r w:rsidRPr="00FC68C3">
        <w:rPr>
          <w:lang w:val="fr-FR"/>
        </w:rPr>
        <w:t xml:space="preserve"> Danger(s) subsidiaire(s) : </w:t>
      </w:r>
      <w:r w:rsidRPr="00FC68C3">
        <w:rPr>
          <w:b/>
          <w:bCs/>
          <w:lang w:val="fr-FR"/>
        </w:rPr>
        <w:t>pyrophorique</w:t>
      </w:r>
      <w:r w:rsidRPr="00FC68C3">
        <w:rPr>
          <w:lang w:val="fr-FR"/>
        </w:rPr>
        <w:t xml:space="preserve"> Groupe d</w:t>
      </w:r>
      <w:r>
        <w:rPr>
          <w:lang w:val="fr-FR"/>
        </w:rPr>
        <w:t>’</w:t>
      </w:r>
      <w:r w:rsidRPr="00FC68C3">
        <w:rPr>
          <w:lang w:val="fr-FR"/>
        </w:rPr>
        <w:t xml:space="preserve">emballage : </w:t>
      </w:r>
      <w:r w:rsidRPr="00FC68C3">
        <w:rPr>
          <w:b/>
          <w:bCs/>
          <w:lang w:val="fr-FR"/>
        </w:rPr>
        <w:t>sans objet</w:t>
      </w:r>
    </w:p>
    <w:p w14:paraId="310FFE62" w14:textId="77777777" w:rsidR="006D642D" w:rsidRPr="00FC68C3" w:rsidRDefault="006D642D" w:rsidP="006D642D">
      <w:pPr>
        <w:tabs>
          <w:tab w:val="left" w:pos="1701"/>
          <w:tab w:val="left" w:pos="2268"/>
          <w:tab w:val="left" w:pos="2835"/>
        </w:tabs>
        <w:spacing w:after="120"/>
        <w:ind w:left="1134" w:right="1134" w:firstLine="567"/>
        <w:jc w:val="both"/>
        <w:rPr>
          <w:rFonts w:eastAsia="Arial"/>
          <w:b/>
          <w:lang w:val="fr-FR"/>
        </w:rPr>
      </w:pPr>
      <w:r w:rsidRPr="00FC68C3">
        <w:rPr>
          <w:lang w:val="fr-FR"/>
        </w:rPr>
        <w:t>1.</w:t>
      </w:r>
      <w:r>
        <w:rPr>
          <w:lang w:val="fr-FR"/>
        </w:rPr>
        <w:t>6</w:t>
      </w:r>
      <w:r w:rsidRPr="00FC68C3">
        <w:rPr>
          <w:lang w:val="fr-FR"/>
        </w:rPr>
        <w:t>.3</w:t>
      </w:r>
      <w:r w:rsidRPr="00FC68C3">
        <w:rPr>
          <w:lang w:val="fr-FR"/>
        </w:rPr>
        <w:tab/>
        <w:t xml:space="preserve">Dispositions spéciales proposées, le cas échéant : </w:t>
      </w:r>
      <w:r>
        <w:rPr>
          <w:b/>
          <w:bCs/>
          <w:lang w:val="fr-FR"/>
        </w:rPr>
        <w:t>néant</w:t>
      </w:r>
    </w:p>
    <w:p w14:paraId="4D9ED356" w14:textId="65D17D90" w:rsidR="006D642D" w:rsidRPr="00FC68C3" w:rsidRDefault="006D642D" w:rsidP="006D642D">
      <w:pPr>
        <w:tabs>
          <w:tab w:val="left" w:pos="1701"/>
          <w:tab w:val="left" w:pos="2268"/>
          <w:tab w:val="left" w:pos="2835"/>
        </w:tabs>
        <w:spacing w:after="120"/>
        <w:ind w:left="1134" w:right="1134" w:firstLine="567"/>
        <w:jc w:val="both"/>
        <w:rPr>
          <w:rFonts w:eastAsia="Arial"/>
          <w:b/>
          <w:lang w:val="fr-FR"/>
        </w:rPr>
      </w:pPr>
      <w:r w:rsidRPr="00FC68C3">
        <w:rPr>
          <w:lang w:val="fr-FR"/>
        </w:rPr>
        <w:t>1.</w:t>
      </w:r>
      <w:r>
        <w:rPr>
          <w:lang w:val="fr-FR"/>
        </w:rPr>
        <w:t>6</w:t>
      </w:r>
      <w:r w:rsidRPr="00FC68C3">
        <w:rPr>
          <w:lang w:val="fr-FR"/>
        </w:rPr>
        <w:t>.4</w:t>
      </w:r>
      <w:r w:rsidRPr="00FC68C3">
        <w:rPr>
          <w:lang w:val="fr-FR"/>
        </w:rPr>
        <w:tab/>
        <w:t>Méthode d</w:t>
      </w:r>
      <w:r>
        <w:rPr>
          <w:lang w:val="fr-FR"/>
        </w:rPr>
        <w:t>’</w:t>
      </w:r>
      <w:r w:rsidRPr="00FC68C3">
        <w:rPr>
          <w:lang w:val="fr-FR"/>
        </w:rPr>
        <w:t xml:space="preserve">emballage proposée : </w:t>
      </w:r>
      <w:r w:rsidRPr="00FC68C3">
        <w:rPr>
          <w:b/>
          <w:bCs/>
          <w:lang w:val="fr-FR"/>
        </w:rPr>
        <w:t>P200</w:t>
      </w:r>
    </w:p>
    <w:p w14:paraId="611E6CFF" w14:textId="77777777" w:rsidR="006D642D" w:rsidRPr="00FC68C3" w:rsidRDefault="006D642D" w:rsidP="006D642D">
      <w:pPr>
        <w:keepNext/>
        <w:keepLines/>
        <w:tabs>
          <w:tab w:val="right" w:pos="851"/>
        </w:tabs>
        <w:spacing w:before="240" w:after="120" w:line="240" w:lineRule="exact"/>
        <w:ind w:left="1134" w:right="1134" w:hanging="1134"/>
        <w:outlineLvl w:val="3"/>
        <w:rPr>
          <w:rFonts w:eastAsia="Arial"/>
          <w:b/>
          <w:lang w:val="fr-FR"/>
        </w:rPr>
      </w:pPr>
      <w:r w:rsidRPr="00FC68C3">
        <w:rPr>
          <w:bCs/>
          <w:lang w:val="fr-FR"/>
        </w:rPr>
        <w:tab/>
      </w:r>
      <w:r w:rsidRPr="00FC68C3">
        <w:rPr>
          <w:bCs/>
          <w:lang w:val="fr-FR"/>
        </w:rPr>
        <w:tab/>
      </w:r>
      <w:r w:rsidRPr="00FC68C3">
        <w:rPr>
          <w:b/>
          <w:lang w:val="fr-FR"/>
        </w:rPr>
        <w:t>Section 2. PROPRIÉTÉS PHYSIQUES</w:t>
      </w:r>
    </w:p>
    <w:p w14:paraId="67485BE9" w14:textId="77777777" w:rsidR="006D642D" w:rsidRPr="00FC68C3" w:rsidRDefault="006D642D" w:rsidP="006D642D">
      <w:pPr>
        <w:tabs>
          <w:tab w:val="left" w:pos="1701"/>
          <w:tab w:val="left" w:pos="2268"/>
          <w:tab w:val="left" w:pos="2835"/>
        </w:tabs>
        <w:spacing w:after="120"/>
        <w:ind w:left="1134" w:right="1134"/>
        <w:jc w:val="both"/>
        <w:rPr>
          <w:rFonts w:eastAsia="Arial"/>
          <w:b/>
          <w:lang w:val="fr-FR"/>
        </w:rPr>
      </w:pPr>
      <w:r w:rsidRPr="00FC68C3">
        <w:rPr>
          <w:lang w:val="fr-FR"/>
        </w:rPr>
        <w:t>2.1</w:t>
      </w:r>
      <w:r w:rsidRPr="00FC68C3">
        <w:rPr>
          <w:lang w:val="fr-FR"/>
        </w:rPr>
        <w:tab/>
        <w:t xml:space="preserve">Point ou plage de fusion : </w:t>
      </w:r>
      <w:r w:rsidRPr="00FC68C3">
        <w:rPr>
          <w:b/>
          <w:bCs/>
          <w:lang w:val="fr-FR"/>
        </w:rPr>
        <w:t>-133 °C</w:t>
      </w:r>
    </w:p>
    <w:p w14:paraId="5DFADB59" w14:textId="73D7605E" w:rsidR="006D642D" w:rsidRPr="00FC68C3" w:rsidRDefault="006D642D" w:rsidP="006D642D">
      <w:pPr>
        <w:tabs>
          <w:tab w:val="left" w:pos="1701"/>
          <w:tab w:val="left" w:pos="2268"/>
          <w:tab w:val="left" w:pos="2835"/>
        </w:tabs>
        <w:spacing w:after="120"/>
        <w:ind w:left="1134" w:right="1134"/>
        <w:jc w:val="both"/>
        <w:rPr>
          <w:rFonts w:eastAsia="Arial"/>
          <w:b/>
          <w:lang w:val="fr-FR"/>
        </w:rPr>
      </w:pPr>
      <w:r w:rsidRPr="00FC68C3">
        <w:rPr>
          <w:lang w:val="fr-FR"/>
        </w:rPr>
        <w:t>2.2</w:t>
      </w:r>
      <w:r w:rsidRPr="00FC68C3">
        <w:rPr>
          <w:lang w:val="fr-FR"/>
        </w:rPr>
        <w:tab/>
        <w:t>Point ou plage d</w:t>
      </w:r>
      <w:r>
        <w:rPr>
          <w:lang w:val="fr-FR"/>
        </w:rPr>
        <w:t>’</w:t>
      </w:r>
      <w:r w:rsidRPr="00FC68C3">
        <w:rPr>
          <w:lang w:val="fr-FR"/>
        </w:rPr>
        <w:t xml:space="preserve">ébullition : </w:t>
      </w:r>
      <w:r w:rsidRPr="00FC68C3">
        <w:rPr>
          <w:b/>
          <w:bCs/>
          <w:lang w:val="fr-FR"/>
        </w:rPr>
        <w:t>-14,3 °C</w:t>
      </w:r>
    </w:p>
    <w:p w14:paraId="7BBDE023" w14:textId="77777777" w:rsidR="006D642D" w:rsidRPr="007762FD" w:rsidRDefault="006D642D" w:rsidP="006D642D">
      <w:pPr>
        <w:tabs>
          <w:tab w:val="left" w:pos="1701"/>
          <w:tab w:val="left" w:pos="2268"/>
          <w:tab w:val="left" w:pos="2835"/>
        </w:tabs>
        <w:spacing w:after="120"/>
        <w:ind w:left="1134" w:right="1134"/>
        <w:jc w:val="both"/>
        <w:rPr>
          <w:rFonts w:eastAsia="Arial"/>
          <w:lang w:val="fr-FR"/>
        </w:rPr>
      </w:pPr>
      <w:r w:rsidRPr="007762FD">
        <w:rPr>
          <w:lang w:val="fr-FR"/>
        </w:rPr>
        <w:t>2.3</w:t>
      </w:r>
      <w:r w:rsidRPr="007762FD">
        <w:rPr>
          <w:lang w:val="fr-FR"/>
        </w:rPr>
        <w:tab/>
        <w:t>Densité relative/masse volumique</w:t>
      </w:r>
      <w:r w:rsidRPr="00E0209D">
        <w:rPr>
          <w:lang w:val="fr-FR"/>
        </w:rPr>
        <w:t> :</w:t>
      </w:r>
    </w:p>
    <w:p w14:paraId="3E4C93C1" w14:textId="77777777" w:rsidR="006D642D" w:rsidRPr="00FC68C3" w:rsidRDefault="006D642D" w:rsidP="006D642D">
      <w:pPr>
        <w:tabs>
          <w:tab w:val="left" w:pos="1701"/>
          <w:tab w:val="left" w:pos="2268"/>
          <w:tab w:val="left" w:pos="2835"/>
        </w:tabs>
        <w:spacing w:after="120"/>
        <w:ind w:left="2268" w:right="1134" w:hanging="567"/>
        <w:jc w:val="both"/>
        <w:rPr>
          <w:rFonts w:eastAsia="Arial"/>
          <w:lang w:val="fr-FR"/>
        </w:rPr>
      </w:pPr>
      <w:r w:rsidRPr="00FC68C3">
        <w:rPr>
          <w:lang w:val="fr-FR"/>
        </w:rPr>
        <w:t xml:space="preserve">2.3.1 </w:t>
      </w:r>
      <w:r>
        <w:rPr>
          <w:lang w:val="fr-FR"/>
        </w:rPr>
        <w:tab/>
      </w:r>
      <w:r w:rsidRPr="00FC68C3">
        <w:rPr>
          <w:lang w:val="fr-FR"/>
        </w:rPr>
        <w:t xml:space="preserve">à 15 °C : </w:t>
      </w:r>
      <w:r w:rsidRPr="00FC68C3">
        <w:rPr>
          <w:b/>
          <w:bCs/>
          <w:lang w:val="fr-FR"/>
        </w:rPr>
        <w:t>0,675 (aucune donnée disponible sur la température)</w:t>
      </w:r>
    </w:p>
    <w:p w14:paraId="1ACD2277" w14:textId="77777777" w:rsidR="006D642D" w:rsidRPr="00FC68C3" w:rsidRDefault="006D642D" w:rsidP="006D642D">
      <w:pPr>
        <w:tabs>
          <w:tab w:val="left" w:pos="1701"/>
          <w:tab w:val="left" w:pos="2268"/>
          <w:tab w:val="left" w:pos="2835"/>
        </w:tabs>
        <w:spacing w:after="120"/>
        <w:ind w:left="2268" w:right="1134" w:hanging="567"/>
        <w:jc w:val="both"/>
        <w:rPr>
          <w:rFonts w:eastAsia="Arial"/>
          <w:lang w:val="fr-FR"/>
        </w:rPr>
      </w:pPr>
      <w:r w:rsidRPr="00FC68C3">
        <w:rPr>
          <w:lang w:val="fr-FR"/>
        </w:rPr>
        <w:t xml:space="preserve">2.3.2 </w:t>
      </w:r>
      <w:r>
        <w:rPr>
          <w:lang w:val="fr-FR"/>
        </w:rPr>
        <w:tab/>
      </w:r>
      <w:r w:rsidRPr="00FC68C3">
        <w:rPr>
          <w:lang w:val="fr-FR"/>
        </w:rPr>
        <w:t xml:space="preserve">à 20 °C : </w:t>
      </w:r>
      <w:r w:rsidRPr="00FC68C3">
        <w:rPr>
          <w:b/>
          <w:bCs/>
          <w:lang w:val="fr-FR"/>
        </w:rPr>
        <w:t>aucune donnée disponible</w:t>
      </w:r>
    </w:p>
    <w:p w14:paraId="4AAFF06B" w14:textId="77777777" w:rsidR="006D642D" w:rsidRPr="00FC68C3" w:rsidRDefault="006D642D" w:rsidP="006D642D">
      <w:pPr>
        <w:tabs>
          <w:tab w:val="left" w:pos="1701"/>
          <w:tab w:val="left" w:pos="2268"/>
          <w:tab w:val="left" w:pos="2835"/>
        </w:tabs>
        <w:spacing w:after="120"/>
        <w:ind w:left="2268" w:right="1134" w:hanging="567"/>
        <w:jc w:val="both"/>
        <w:rPr>
          <w:rFonts w:eastAsia="Arial"/>
          <w:lang w:val="fr-FR"/>
        </w:rPr>
      </w:pPr>
      <w:r w:rsidRPr="00FC68C3">
        <w:rPr>
          <w:lang w:val="fr-FR"/>
        </w:rPr>
        <w:t xml:space="preserve">2.3.3 </w:t>
      </w:r>
      <w:r>
        <w:rPr>
          <w:lang w:val="fr-FR"/>
        </w:rPr>
        <w:tab/>
      </w:r>
      <w:r w:rsidRPr="00FC68C3">
        <w:rPr>
          <w:lang w:val="fr-FR"/>
        </w:rPr>
        <w:t xml:space="preserve">à 50 °C : </w:t>
      </w:r>
      <w:r w:rsidRPr="00FC68C3">
        <w:rPr>
          <w:b/>
          <w:bCs/>
          <w:lang w:val="fr-FR"/>
        </w:rPr>
        <w:t>aucune donnée disponible</w:t>
      </w:r>
    </w:p>
    <w:p w14:paraId="5AA713C2" w14:textId="77777777" w:rsidR="006D642D" w:rsidRPr="00E0209D" w:rsidRDefault="006D642D" w:rsidP="006D642D">
      <w:pPr>
        <w:tabs>
          <w:tab w:val="left" w:pos="1701"/>
          <w:tab w:val="left" w:pos="2268"/>
          <w:tab w:val="left" w:pos="2835"/>
        </w:tabs>
        <w:spacing w:after="120"/>
        <w:ind w:left="1134" w:right="1134"/>
        <w:jc w:val="both"/>
        <w:rPr>
          <w:rFonts w:eastAsia="Arial"/>
          <w:lang w:val="fr-FR"/>
        </w:rPr>
      </w:pPr>
      <w:r w:rsidRPr="007762FD">
        <w:rPr>
          <w:lang w:val="fr-FR"/>
        </w:rPr>
        <w:t>2.4</w:t>
      </w:r>
      <w:r w:rsidRPr="007762FD">
        <w:rPr>
          <w:lang w:val="fr-FR"/>
        </w:rPr>
        <w:tab/>
        <w:t>Pression de vapeur</w:t>
      </w:r>
      <w:r w:rsidRPr="00E0209D">
        <w:rPr>
          <w:lang w:val="fr-FR"/>
        </w:rPr>
        <w:t> :</w:t>
      </w:r>
    </w:p>
    <w:p w14:paraId="56ADDFFA" w14:textId="77777777" w:rsidR="006D642D" w:rsidRPr="00FC68C3" w:rsidRDefault="006D642D" w:rsidP="006D642D">
      <w:pPr>
        <w:tabs>
          <w:tab w:val="left" w:pos="1701"/>
          <w:tab w:val="left" w:pos="2268"/>
          <w:tab w:val="left" w:pos="2835"/>
        </w:tabs>
        <w:spacing w:after="120"/>
        <w:ind w:left="2268" w:right="1134" w:hanging="567"/>
        <w:jc w:val="both"/>
        <w:rPr>
          <w:rFonts w:eastAsia="Arial"/>
          <w:lang w:val="fr-FR"/>
        </w:rPr>
      </w:pPr>
      <w:r w:rsidRPr="00FC68C3">
        <w:rPr>
          <w:lang w:val="fr-FR"/>
        </w:rPr>
        <w:t xml:space="preserve">2.4.1 </w:t>
      </w:r>
      <w:r>
        <w:rPr>
          <w:lang w:val="fr-FR"/>
        </w:rPr>
        <w:tab/>
      </w:r>
      <w:r w:rsidRPr="00FC68C3">
        <w:rPr>
          <w:lang w:val="fr-FR"/>
        </w:rPr>
        <w:t xml:space="preserve">à 50 °C : </w:t>
      </w:r>
      <w:r w:rsidRPr="00FC68C3">
        <w:rPr>
          <w:b/>
          <w:bCs/>
          <w:lang w:val="fr-FR"/>
        </w:rPr>
        <w:t xml:space="preserve">7,4 </w:t>
      </w:r>
      <w:proofErr w:type="gramStart"/>
      <w:r w:rsidRPr="00FC68C3">
        <w:rPr>
          <w:b/>
          <w:bCs/>
          <w:lang w:val="fr-FR"/>
        </w:rPr>
        <w:t>bar</w:t>
      </w:r>
      <w:proofErr w:type="gramEnd"/>
      <w:r w:rsidRPr="00FC68C3">
        <w:rPr>
          <w:b/>
          <w:bCs/>
          <w:lang w:val="fr-FR"/>
        </w:rPr>
        <w:t xml:space="preserve"> (a) ou 740 kPa</w:t>
      </w:r>
    </w:p>
    <w:p w14:paraId="6776663D" w14:textId="77777777" w:rsidR="006D642D" w:rsidRPr="00FC68C3" w:rsidRDefault="006D642D" w:rsidP="006D642D">
      <w:pPr>
        <w:tabs>
          <w:tab w:val="left" w:pos="1701"/>
          <w:tab w:val="left" w:pos="2268"/>
          <w:tab w:val="left" w:pos="2835"/>
        </w:tabs>
        <w:spacing w:after="120"/>
        <w:ind w:left="2268" w:right="1134" w:hanging="567"/>
        <w:jc w:val="both"/>
        <w:rPr>
          <w:rFonts w:eastAsia="Arial"/>
          <w:lang w:val="fr-FR"/>
        </w:rPr>
      </w:pPr>
      <w:r w:rsidRPr="00FC68C3">
        <w:rPr>
          <w:lang w:val="fr-FR"/>
        </w:rPr>
        <w:t xml:space="preserve">2.4.2 </w:t>
      </w:r>
      <w:r>
        <w:rPr>
          <w:lang w:val="fr-FR"/>
        </w:rPr>
        <w:tab/>
      </w:r>
      <w:r w:rsidRPr="00FC68C3">
        <w:rPr>
          <w:lang w:val="fr-FR"/>
        </w:rPr>
        <w:t xml:space="preserve">à 65 °C : </w:t>
      </w:r>
      <w:r w:rsidRPr="00FC68C3">
        <w:rPr>
          <w:b/>
          <w:bCs/>
          <w:lang w:val="fr-FR"/>
        </w:rPr>
        <w:t>aucune donnée disponible</w:t>
      </w:r>
    </w:p>
    <w:p w14:paraId="443D2BFE" w14:textId="77777777"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rPr>
          <w:lang w:val="fr-FR"/>
        </w:rPr>
        <w:t>2.5</w:t>
      </w:r>
      <w:r w:rsidRPr="00FC68C3">
        <w:rPr>
          <w:lang w:val="fr-FR"/>
        </w:rPr>
        <w:tab/>
        <w:t xml:space="preserve">Viscosité à 20 °C : </w:t>
      </w:r>
      <w:r w:rsidRPr="00FC68C3">
        <w:rPr>
          <w:b/>
          <w:bCs/>
          <w:lang w:val="fr-FR"/>
        </w:rPr>
        <w:t>sans objet</w:t>
      </w:r>
    </w:p>
    <w:p w14:paraId="79CD9672" w14:textId="0D6F409F"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rPr>
          <w:lang w:val="fr-FR"/>
        </w:rPr>
        <w:t>2.6</w:t>
      </w:r>
      <w:r w:rsidRPr="00FC68C3">
        <w:rPr>
          <w:lang w:val="fr-FR"/>
        </w:rPr>
        <w:tab/>
        <w:t>Solubilité dans l</w:t>
      </w:r>
      <w:r>
        <w:rPr>
          <w:lang w:val="fr-FR"/>
        </w:rPr>
        <w:t>’</w:t>
      </w:r>
      <w:r w:rsidRPr="00FC68C3">
        <w:rPr>
          <w:lang w:val="fr-FR"/>
        </w:rPr>
        <w:t xml:space="preserve">eau à 20 °C : </w:t>
      </w:r>
      <w:r w:rsidRPr="00FC68C3">
        <w:rPr>
          <w:b/>
          <w:bCs/>
          <w:lang w:val="fr-FR"/>
        </w:rPr>
        <w:t>totalement soluble</w:t>
      </w:r>
    </w:p>
    <w:p w14:paraId="5F11982F" w14:textId="77777777"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rPr>
          <w:lang w:val="fr-FR"/>
        </w:rPr>
        <w:t>2.7</w:t>
      </w:r>
      <w:r w:rsidRPr="00FC68C3">
        <w:rPr>
          <w:lang w:val="fr-FR"/>
        </w:rPr>
        <w:tab/>
        <w:t xml:space="preserve">État physique à 20 °C : </w:t>
      </w:r>
      <w:r w:rsidRPr="00FC68C3">
        <w:rPr>
          <w:b/>
          <w:bCs/>
          <w:lang w:val="fr-FR"/>
        </w:rPr>
        <w:t>gazeux</w:t>
      </w:r>
      <w:r>
        <w:rPr>
          <w:b/>
          <w:bCs/>
          <w:lang w:val="fr-FR"/>
        </w:rPr>
        <w:t> ; le gaz est également un gaz liquéfié à basse pression au sens du 2.2.1.2 b) ii), car il a une température critique supérieure à 65 °C</w:t>
      </w:r>
    </w:p>
    <w:p w14:paraId="41083E2F" w14:textId="77777777"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2.8</w:t>
      </w:r>
      <w:r w:rsidRPr="00FC68C3">
        <w:rPr>
          <w:lang w:val="fr-FR"/>
        </w:rPr>
        <w:tab/>
        <w:t>Aspect aux températures de transport normales, couleur, odeur, etc. : incolore, odeur de moisi</w:t>
      </w:r>
    </w:p>
    <w:p w14:paraId="74465542" w14:textId="77777777" w:rsidR="006D642D" w:rsidRDefault="006D642D" w:rsidP="00C43ADD">
      <w:pPr>
        <w:keepNext/>
        <w:tabs>
          <w:tab w:val="left" w:pos="1701"/>
          <w:tab w:val="left" w:pos="2268"/>
          <w:tab w:val="left" w:pos="2835"/>
        </w:tabs>
        <w:spacing w:after="120"/>
        <w:ind w:left="1134" w:right="1134"/>
        <w:jc w:val="both"/>
        <w:rPr>
          <w:lang w:val="fr-FR"/>
        </w:rPr>
      </w:pPr>
      <w:r w:rsidRPr="00FC68C3">
        <w:rPr>
          <w:lang w:val="fr-FR"/>
        </w:rPr>
        <w:t>2.9</w:t>
      </w:r>
      <w:r w:rsidRPr="00FC68C3">
        <w:rPr>
          <w:lang w:val="fr-FR"/>
        </w:rPr>
        <w:tab/>
        <w:t>Autres propriétés physiques pertinentes</w:t>
      </w:r>
      <w:r>
        <w:rPr>
          <w:lang w:val="fr-FR"/>
        </w:rPr>
        <w:t> :</w:t>
      </w:r>
    </w:p>
    <w:p w14:paraId="7231EAD2" w14:textId="77777777" w:rsidR="00D32D27" w:rsidRDefault="006D642D" w:rsidP="00D32D27">
      <w:pPr>
        <w:pStyle w:val="SingleTxtG"/>
        <w:rPr>
          <w:lang w:val="fr-FR"/>
        </w:rPr>
      </w:pPr>
      <w:r w:rsidRPr="008D6D41">
        <w:rPr>
          <w:lang w:val="fr-FR"/>
        </w:rPr>
        <w:t>Température critique</w:t>
      </w:r>
      <w:r>
        <w:rPr>
          <w:lang w:val="fr-FR"/>
        </w:rPr>
        <w:t> </w:t>
      </w:r>
      <w:r w:rsidRPr="008D6D41">
        <w:rPr>
          <w:lang w:val="fr-FR"/>
        </w:rPr>
        <w:t>: 158,85</w:t>
      </w:r>
      <w:r>
        <w:rPr>
          <w:lang w:val="fr-FR"/>
        </w:rPr>
        <w:t> </w:t>
      </w:r>
      <w:r w:rsidRPr="008D6D41">
        <w:rPr>
          <w:lang w:val="fr-FR"/>
        </w:rPr>
        <w:t>°C (d</w:t>
      </w:r>
      <w:r>
        <w:rPr>
          <w:lang w:val="fr-FR"/>
        </w:rPr>
        <w:t>’</w:t>
      </w:r>
      <w:r w:rsidRPr="008D6D41">
        <w:rPr>
          <w:lang w:val="fr-FR"/>
        </w:rPr>
        <w:t>après le Matheson Gas Data Book)</w:t>
      </w:r>
      <w:r>
        <w:rPr>
          <w:lang w:val="fr-FR"/>
        </w:rPr>
        <w:t> ;</w:t>
      </w:r>
      <w:r w:rsidRPr="008D6D41">
        <w:rPr>
          <w:lang w:val="fr-FR"/>
        </w:rPr>
        <w:t xml:space="preserve"> la substance </w:t>
      </w:r>
      <w:r>
        <w:rPr>
          <w:lang w:val="fr-FR"/>
        </w:rPr>
        <w:t xml:space="preserve">est donc </w:t>
      </w:r>
      <w:r w:rsidRPr="008D6D41">
        <w:rPr>
          <w:lang w:val="fr-FR"/>
        </w:rPr>
        <w:t>un gaz liquéfié à basse pression, et l</w:t>
      </w:r>
      <w:r>
        <w:rPr>
          <w:lang w:val="fr-FR"/>
        </w:rPr>
        <w:t>’</w:t>
      </w:r>
      <w:r w:rsidRPr="008D6D41">
        <w:rPr>
          <w:lang w:val="fr-FR"/>
        </w:rPr>
        <w:t>équation utilisée pour calculer la densité de remplissage est celle figurant au 3) c) de l</w:t>
      </w:r>
      <w:r>
        <w:rPr>
          <w:lang w:val="fr-FR"/>
        </w:rPr>
        <w:t>’</w:t>
      </w:r>
      <w:r w:rsidRPr="008D6D41">
        <w:rPr>
          <w:lang w:val="fr-FR"/>
        </w:rPr>
        <w:t>instruction d</w:t>
      </w:r>
      <w:r>
        <w:rPr>
          <w:lang w:val="fr-FR"/>
        </w:rPr>
        <w:t>’</w:t>
      </w:r>
      <w:r w:rsidRPr="008D6D41">
        <w:rPr>
          <w:lang w:val="fr-FR"/>
        </w:rPr>
        <w:t>emballage P200 (voir l</w:t>
      </w:r>
      <w:r>
        <w:rPr>
          <w:lang w:val="fr-FR"/>
        </w:rPr>
        <w:t>’</w:t>
      </w:r>
      <w:r w:rsidRPr="008D6D41">
        <w:rPr>
          <w:lang w:val="fr-FR"/>
        </w:rPr>
        <w:t>annexe 2).</w:t>
      </w:r>
    </w:p>
    <w:p w14:paraId="4941AA0E" w14:textId="307ACDB2" w:rsidR="006D642D" w:rsidRPr="00FC68C3" w:rsidRDefault="006D642D" w:rsidP="006D642D">
      <w:pPr>
        <w:keepNext/>
        <w:keepLines/>
        <w:tabs>
          <w:tab w:val="right" w:pos="851"/>
        </w:tabs>
        <w:spacing w:before="240" w:after="120" w:line="240" w:lineRule="exact"/>
        <w:ind w:left="1134" w:right="1134" w:hanging="1134"/>
        <w:outlineLvl w:val="3"/>
        <w:rPr>
          <w:rFonts w:eastAsia="Arial"/>
          <w:b/>
          <w:lang w:val="fr-FR"/>
        </w:rPr>
      </w:pPr>
      <w:r w:rsidRPr="00FC68C3">
        <w:rPr>
          <w:bCs/>
          <w:lang w:val="fr-FR"/>
        </w:rPr>
        <w:tab/>
      </w:r>
      <w:r w:rsidRPr="00FC68C3">
        <w:rPr>
          <w:b/>
          <w:lang w:val="fr-FR"/>
        </w:rPr>
        <w:tab/>
        <w:t>Section 3. INFLAMMABILITÉ</w:t>
      </w:r>
    </w:p>
    <w:p w14:paraId="7725B645" w14:textId="77777777"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rPr>
          <w:lang w:val="fr-FR"/>
        </w:rPr>
        <w:t>3.1</w:t>
      </w:r>
      <w:r w:rsidRPr="00FC68C3">
        <w:rPr>
          <w:lang w:val="fr-FR"/>
        </w:rPr>
        <w:tab/>
        <w:t>Vapeurs inflammables</w:t>
      </w:r>
    </w:p>
    <w:p w14:paraId="7CCE7770" w14:textId="6A62B4A1" w:rsidR="006D642D" w:rsidRPr="00FC68C3" w:rsidRDefault="006D642D" w:rsidP="006D642D">
      <w:pPr>
        <w:tabs>
          <w:tab w:val="left" w:pos="1701"/>
          <w:tab w:val="left" w:pos="2268"/>
          <w:tab w:val="left" w:pos="2835"/>
        </w:tabs>
        <w:spacing w:after="120"/>
        <w:ind w:left="2268" w:right="1134" w:hanging="567"/>
        <w:jc w:val="both"/>
        <w:rPr>
          <w:rFonts w:eastAsia="Arial"/>
          <w:b/>
          <w:lang w:val="fr-FR"/>
        </w:rPr>
      </w:pPr>
      <w:r w:rsidRPr="00FC68C3">
        <w:rPr>
          <w:lang w:val="fr-FR"/>
        </w:rPr>
        <w:t>3.1.1</w:t>
      </w:r>
      <w:r w:rsidRPr="00FC68C3">
        <w:rPr>
          <w:lang w:val="fr-FR"/>
        </w:rPr>
        <w:tab/>
        <w:t>Point d</w:t>
      </w:r>
      <w:r>
        <w:rPr>
          <w:lang w:val="fr-FR"/>
        </w:rPr>
        <w:t>’</w:t>
      </w:r>
      <w:r w:rsidRPr="00FC68C3">
        <w:rPr>
          <w:lang w:val="fr-FR"/>
        </w:rPr>
        <w:t>éclair (cf. 2.3.3</w:t>
      </w:r>
      <w:r w:rsidRPr="00C43ADD">
        <w:rPr>
          <w:sz w:val="18"/>
          <w:szCs w:val="18"/>
          <w:vertAlign w:val="superscript"/>
          <w:lang w:val="fr-FR"/>
        </w:rPr>
        <w:t>1</w:t>
      </w:r>
      <w:r w:rsidRPr="00FC68C3">
        <w:rPr>
          <w:lang w:val="fr-FR"/>
        </w:rPr>
        <w:t xml:space="preserve">) : </w:t>
      </w:r>
      <w:r w:rsidRPr="00FC68C3">
        <w:rPr>
          <w:b/>
          <w:bCs/>
          <w:lang w:val="fr-FR"/>
        </w:rPr>
        <w:t>sans objet pour les gaz et les mélanges de gaz</w:t>
      </w:r>
    </w:p>
    <w:p w14:paraId="17C905FE" w14:textId="77777777" w:rsidR="006D642D" w:rsidRPr="00FC68C3" w:rsidRDefault="006D642D" w:rsidP="006D642D">
      <w:pPr>
        <w:tabs>
          <w:tab w:val="left" w:pos="1701"/>
          <w:tab w:val="left" w:pos="2268"/>
          <w:tab w:val="left" w:pos="2835"/>
        </w:tabs>
        <w:spacing w:after="120"/>
        <w:ind w:left="2268" w:right="1134" w:hanging="567"/>
        <w:jc w:val="both"/>
        <w:rPr>
          <w:rFonts w:eastAsia="Arial"/>
          <w:b/>
          <w:lang w:val="fr-FR"/>
        </w:rPr>
      </w:pPr>
      <w:r w:rsidRPr="00FC68C3">
        <w:rPr>
          <w:lang w:val="fr-FR"/>
        </w:rPr>
        <w:t>3.1.2</w:t>
      </w:r>
      <w:r w:rsidRPr="00FC68C3">
        <w:rPr>
          <w:lang w:val="fr-FR"/>
        </w:rPr>
        <w:tab/>
        <w:t>La matière entretient-elle une combustion ? (</w:t>
      </w:r>
      <w:proofErr w:type="gramStart"/>
      <w:r w:rsidRPr="00FC68C3">
        <w:rPr>
          <w:lang w:val="fr-FR"/>
        </w:rPr>
        <w:t>cf.</w:t>
      </w:r>
      <w:proofErr w:type="gramEnd"/>
      <w:r w:rsidRPr="00FC68C3">
        <w:rPr>
          <w:lang w:val="fr-FR"/>
        </w:rPr>
        <w:t xml:space="preserve"> 2.3.1.3</w:t>
      </w:r>
      <w:r w:rsidRPr="00C43ADD">
        <w:rPr>
          <w:sz w:val="18"/>
          <w:szCs w:val="18"/>
          <w:vertAlign w:val="superscript"/>
          <w:lang w:val="fr-FR"/>
        </w:rPr>
        <w:t>1</w:t>
      </w:r>
      <w:r w:rsidRPr="00FC68C3">
        <w:rPr>
          <w:lang w:val="fr-FR"/>
        </w:rPr>
        <w:t>)</w:t>
      </w:r>
      <w:r>
        <w:rPr>
          <w:lang w:val="fr-FR"/>
        </w:rPr>
        <w:t> :</w:t>
      </w:r>
      <w:r w:rsidRPr="00FC68C3">
        <w:rPr>
          <w:lang w:val="fr-FR"/>
        </w:rPr>
        <w:t xml:space="preserve"> </w:t>
      </w:r>
      <w:r w:rsidRPr="00FC68C3">
        <w:rPr>
          <w:b/>
          <w:bCs/>
          <w:lang w:val="fr-FR"/>
        </w:rPr>
        <w:t>sans objet pour les gaz et les mélanges de gaz</w:t>
      </w:r>
    </w:p>
    <w:p w14:paraId="15F78FF5" w14:textId="2D03A942" w:rsidR="006D642D" w:rsidRPr="00FC68C3" w:rsidRDefault="006D642D" w:rsidP="006D642D">
      <w:pPr>
        <w:tabs>
          <w:tab w:val="left" w:pos="1701"/>
          <w:tab w:val="left" w:pos="2268"/>
          <w:tab w:val="left" w:pos="2835"/>
        </w:tabs>
        <w:spacing w:after="120"/>
        <w:ind w:left="1134" w:right="1134"/>
        <w:jc w:val="both"/>
        <w:rPr>
          <w:rFonts w:eastAsia="Arial"/>
          <w:b/>
          <w:lang w:val="fr-FR"/>
        </w:rPr>
      </w:pPr>
      <w:r w:rsidRPr="00FC68C3">
        <w:rPr>
          <w:lang w:val="fr-FR"/>
        </w:rPr>
        <w:t>3.2</w:t>
      </w:r>
      <w:r w:rsidRPr="00FC68C3">
        <w:rPr>
          <w:lang w:val="fr-FR"/>
        </w:rPr>
        <w:tab/>
        <w:t>Température d</w:t>
      </w:r>
      <w:r>
        <w:rPr>
          <w:lang w:val="fr-FR"/>
        </w:rPr>
        <w:t>’</w:t>
      </w:r>
      <w:r w:rsidRPr="00FC68C3">
        <w:rPr>
          <w:lang w:val="fr-FR"/>
        </w:rPr>
        <w:t xml:space="preserve">auto-inflammation : </w:t>
      </w:r>
      <w:r w:rsidRPr="00FC68C3">
        <w:rPr>
          <w:b/>
          <w:bCs/>
          <w:lang w:val="fr-FR"/>
        </w:rPr>
        <w:t>-50 °C</w:t>
      </w:r>
    </w:p>
    <w:p w14:paraId="555A63B3" w14:textId="7397AF50"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rPr>
          <w:lang w:val="fr-FR"/>
        </w:rPr>
        <w:t>3.3</w:t>
      </w:r>
      <w:r w:rsidRPr="00FC68C3">
        <w:rPr>
          <w:lang w:val="fr-FR"/>
        </w:rPr>
        <w:tab/>
        <w:t>Limites d</w:t>
      </w:r>
      <w:r>
        <w:rPr>
          <w:lang w:val="fr-FR"/>
        </w:rPr>
        <w:t>’</w:t>
      </w:r>
      <w:r w:rsidRPr="00FC68C3">
        <w:rPr>
          <w:lang w:val="fr-FR"/>
        </w:rPr>
        <w:t xml:space="preserve">inflammabilité (LII/LSI) : </w:t>
      </w:r>
      <w:r w:rsidRPr="00FC68C3">
        <w:rPr>
          <w:b/>
          <w:bCs/>
          <w:lang w:val="fr-FR"/>
        </w:rPr>
        <w:t>(pyrophorique)</w:t>
      </w:r>
    </w:p>
    <w:p w14:paraId="07AF9EA0" w14:textId="77777777"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rPr>
          <w:lang w:val="fr-FR"/>
        </w:rPr>
        <w:t>3.4</w:t>
      </w:r>
      <w:r w:rsidRPr="00FC68C3">
        <w:rPr>
          <w:lang w:val="fr-FR"/>
        </w:rPr>
        <w:tab/>
        <w:t>La matière est-elle une matière solide inflammable ? (</w:t>
      </w:r>
      <w:proofErr w:type="gramStart"/>
      <w:r w:rsidRPr="00FC68C3">
        <w:rPr>
          <w:lang w:val="fr-FR"/>
        </w:rPr>
        <w:t>cf.</w:t>
      </w:r>
      <w:proofErr w:type="gramEnd"/>
      <w:r w:rsidRPr="00FC68C3">
        <w:rPr>
          <w:lang w:val="fr-FR"/>
        </w:rPr>
        <w:t> 2.4.2</w:t>
      </w:r>
      <w:r w:rsidRPr="00D32D27">
        <w:rPr>
          <w:sz w:val="18"/>
          <w:szCs w:val="18"/>
          <w:vertAlign w:val="superscript"/>
          <w:lang w:val="fr-FR"/>
        </w:rPr>
        <w:t>1</w:t>
      </w:r>
      <w:r w:rsidRPr="00FC68C3">
        <w:rPr>
          <w:lang w:val="fr-FR"/>
        </w:rPr>
        <w:t xml:space="preserve">) : </w:t>
      </w:r>
      <w:r w:rsidRPr="00FC68C3">
        <w:rPr>
          <w:b/>
          <w:bCs/>
          <w:lang w:val="fr-FR"/>
        </w:rPr>
        <w:t>non</w:t>
      </w:r>
    </w:p>
    <w:p w14:paraId="7765165F" w14:textId="77777777" w:rsidR="006D642D" w:rsidRPr="00FC68C3" w:rsidRDefault="006D642D" w:rsidP="006D642D">
      <w:pPr>
        <w:keepNext/>
        <w:keepLines/>
        <w:tabs>
          <w:tab w:val="right" w:pos="851"/>
        </w:tabs>
        <w:spacing w:before="240" w:after="120" w:line="240" w:lineRule="exact"/>
        <w:ind w:left="1134" w:right="1134" w:hanging="1134"/>
        <w:outlineLvl w:val="3"/>
        <w:rPr>
          <w:rFonts w:eastAsia="Arial"/>
          <w:b/>
          <w:lang w:val="fr-FR"/>
        </w:rPr>
      </w:pPr>
      <w:r w:rsidRPr="00FC68C3">
        <w:rPr>
          <w:b/>
          <w:lang w:val="fr-FR"/>
        </w:rPr>
        <w:tab/>
      </w:r>
      <w:r w:rsidRPr="00FC68C3">
        <w:rPr>
          <w:b/>
          <w:lang w:val="fr-FR"/>
        </w:rPr>
        <w:tab/>
        <w:t>Section 4. PROPRIÉTÉS CHIMIQUES</w:t>
      </w:r>
    </w:p>
    <w:p w14:paraId="7C1827D4" w14:textId="76525170"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4.1</w:t>
      </w:r>
      <w:r w:rsidRPr="00FC68C3">
        <w:rPr>
          <w:lang w:val="fr-FR"/>
        </w:rPr>
        <w:tab/>
        <w:t>La matière nécessite-t-elle une inhibition/stabilisation ou un autre traitement (transport sous atmosphère d</w:t>
      </w:r>
      <w:r>
        <w:rPr>
          <w:lang w:val="fr-FR"/>
        </w:rPr>
        <w:t>’</w:t>
      </w:r>
      <w:r w:rsidRPr="00FC68C3">
        <w:rPr>
          <w:lang w:val="fr-FR"/>
        </w:rPr>
        <w:t xml:space="preserve">azote, par exemple) pour empêcher des réactions dangereuses ? : </w:t>
      </w:r>
      <w:r w:rsidRPr="00FC68C3">
        <w:rPr>
          <w:b/>
          <w:bCs/>
          <w:lang w:val="fr-FR"/>
        </w:rPr>
        <w:t>non</w:t>
      </w:r>
    </w:p>
    <w:p w14:paraId="45BCF0D1" w14:textId="77777777" w:rsidR="006D642D" w:rsidRPr="00FC68C3" w:rsidRDefault="006D642D" w:rsidP="006D642D">
      <w:pPr>
        <w:tabs>
          <w:tab w:val="left" w:pos="1701"/>
          <w:tab w:val="left" w:pos="2268"/>
          <w:tab w:val="left" w:pos="2835"/>
        </w:tabs>
        <w:spacing w:after="120"/>
        <w:ind w:left="1701" w:right="1134" w:hanging="567"/>
        <w:jc w:val="both"/>
        <w:rPr>
          <w:rFonts w:eastAsia="Arial"/>
          <w:b/>
          <w:spacing w:val="-2"/>
          <w:lang w:val="fr-FR"/>
        </w:rPr>
      </w:pPr>
      <w:r w:rsidRPr="00FC68C3">
        <w:rPr>
          <w:spacing w:val="-2"/>
          <w:lang w:val="fr-FR"/>
        </w:rPr>
        <w:t>4.2</w:t>
      </w:r>
      <w:r w:rsidRPr="00FC68C3">
        <w:rPr>
          <w:spacing w:val="-2"/>
          <w:lang w:val="fr-FR"/>
        </w:rPr>
        <w:tab/>
        <w:t>La matière est-elle une matière explosible au sens du paragraphe 2.1.1.1 ? (</w:t>
      </w:r>
      <w:proofErr w:type="gramStart"/>
      <w:r w:rsidRPr="00FC68C3">
        <w:rPr>
          <w:spacing w:val="-2"/>
          <w:lang w:val="fr-FR"/>
        </w:rPr>
        <w:t>cf.</w:t>
      </w:r>
      <w:proofErr w:type="gramEnd"/>
      <w:r w:rsidRPr="00FC68C3">
        <w:rPr>
          <w:spacing w:val="-2"/>
          <w:lang w:val="fr-FR"/>
        </w:rPr>
        <w:t> 2.1</w:t>
      </w:r>
      <w:r w:rsidRPr="00D32D27">
        <w:rPr>
          <w:spacing w:val="-2"/>
          <w:sz w:val="18"/>
          <w:szCs w:val="18"/>
          <w:vertAlign w:val="superscript"/>
          <w:lang w:val="fr-FR"/>
        </w:rPr>
        <w:t>1</w:t>
      </w:r>
      <w:r w:rsidRPr="00FC68C3">
        <w:rPr>
          <w:spacing w:val="-2"/>
          <w:lang w:val="fr-FR"/>
        </w:rPr>
        <w:t>) :</w:t>
      </w:r>
      <w:r>
        <w:rPr>
          <w:spacing w:val="-2"/>
          <w:lang w:val="fr-FR"/>
        </w:rPr>
        <w:t xml:space="preserve"> </w:t>
      </w:r>
      <w:r w:rsidRPr="00FC68C3">
        <w:rPr>
          <w:b/>
          <w:bCs/>
          <w:spacing w:val="-2"/>
          <w:lang w:val="fr-FR"/>
        </w:rPr>
        <w:t>non</w:t>
      </w:r>
    </w:p>
    <w:p w14:paraId="7C6F650D" w14:textId="77777777" w:rsidR="006D642D" w:rsidRPr="00FC68C3" w:rsidRDefault="006D642D" w:rsidP="006D642D">
      <w:pPr>
        <w:tabs>
          <w:tab w:val="left" w:pos="1701"/>
          <w:tab w:val="left" w:pos="2268"/>
          <w:tab w:val="left" w:pos="2835"/>
        </w:tabs>
        <w:spacing w:after="120"/>
        <w:ind w:left="1134" w:right="1134"/>
        <w:jc w:val="both"/>
        <w:rPr>
          <w:rFonts w:eastAsia="Arial"/>
          <w:b/>
          <w:lang w:val="fr-FR"/>
        </w:rPr>
      </w:pPr>
      <w:r w:rsidRPr="00FC68C3">
        <w:rPr>
          <w:lang w:val="fr-FR"/>
        </w:rPr>
        <w:t>4.3</w:t>
      </w:r>
      <w:r w:rsidRPr="00FC68C3">
        <w:rPr>
          <w:lang w:val="fr-FR"/>
        </w:rPr>
        <w:tab/>
        <w:t>La matière est-elle une matière explosible désensibilisée ? (</w:t>
      </w:r>
      <w:proofErr w:type="gramStart"/>
      <w:r w:rsidRPr="00FC68C3">
        <w:rPr>
          <w:lang w:val="fr-FR"/>
        </w:rPr>
        <w:t>cf.</w:t>
      </w:r>
      <w:proofErr w:type="gramEnd"/>
      <w:r w:rsidRPr="00FC68C3">
        <w:rPr>
          <w:lang w:val="fr-FR"/>
        </w:rPr>
        <w:t> 2.4.2.4</w:t>
      </w:r>
      <w:r w:rsidRPr="00D32D27">
        <w:rPr>
          <w:sz w:val="18"/>
          <w:szCs w:val="18"/>
          <w:vertAlign w:val="superscript"/>
          <w:lang w:val="fr-FR"/>
        </w:rPr>
        <w:t>1</w:t>
      </w:r>
      <w:r w:rsidRPr="00FC68C3">
        <w:rPr>
          <w:lang w:val="fr-FR"/>
        </w:rPr>
        <w:t xml:space="preserve">) : </w:t>
      </w:r>
      <w:r w:rsidRPr="00FC68C3">
        <w:rPr>
          <w:b/>
          <w:bCs/>
          <w:lang w:val="fr-FR"/>
        </w:rPr>
        <w:t>non</w:t>
      </w:r>
    </w:p>
    <w:p w14:paraId="5884AFD6" w14:textId="77777777"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rPr>
          <w:lang w:val="fr-FR"/>
        </w:rPr>
        <w:t>4.4</w:t>
      </w:r>
      <w:r w:rsidRPr="00FC68C3">
        <w:rPr>
          <w:lang w:val="fr-FR"/>
        </w:rPr>
        <w:tab/>
        <w:t xml:space="preserve">La matière est-elle une matière </w:t>
      </w:r>
      <w:proofErr w:type="spellStart"/>
      <w:r w:rsidRPr="00FC68C3">
        <w:rPr>
          <w:lang w:val="fr-FR"/>
        </w:rPr>
        <w:t>autoréactive</w:t>
      </w:r>
      <w:proofErr w:type="spellEnd"/>
      <w:r w:rsidRPr="00FC68C3">
        <w:rPr>
          <w:lang w:val="fr-FR"/>
        </w:rPr>
        <w:t> ? (</w:t>
      </w:r>
      <w:proofErr w:type="gramStart"/>
      <w:r w:rsidRPr="00FC68C3">
        <w:rPr>
          <w:lang w:val="fr-FR"/>
        </w:rPr>
        <w:t>cf.</w:t>
      </w:r>
      <w:proofErr w:type="gramEnd"/>
      <w:r w:rsidRPr="00FC68C3">
        <w:rPr>
          <w:lang w:val="fr-FR"/>
        </w:rPr>
        <w:t> 2.4.1</w:t>
      </w:r>
      <w:r w:rsidRPr="00D32D27">
        <w:rPr>
          <w:sz w:val="18"/>
          <w:szCs w:val="18"/>
          <w:vertAlign w:val="superscript"/>
          <w:lang w:val="fr-FR"/>
        </w:rPr>
        <w:t>1</w:t>
      </w:r>
      <w:r w:rsidRPr="00FC68C3">
        <w:rPr>
          <w:lang w:val="fr-FR"/>
        </w:rPr>
        <w:t xml:space="preserve">) : </w:t>
      </w:r>
      <w:r w:rsidRPr="00FC68C3">
        <w:rPr>
          <w:b/>
          <w:bCs/>
          <w:lang w:val="fr-FR"/>
        </w:rPr>
        <w:t>non</w:t>
      </w:r>
    </w:p>
    <w:p w14:paraId="755A985B" w14:textId="77777777" w:rsidR="006D642D" w:rsidRPr="00FC68C3" w:rsidRDefault="006D642D" w:rsidP="006D642D">
      <w:pPr>
        <w:tabs>
          <w:tab w:val="left" w:pos="1701"/>
          <w:tab w:val="left" w:pos="2268"/>
          <w:tab w:val="left" w:pos="2835"/>
        </w:tabs>
        <w:spacing w:after="120"/>
        <w:ind w:left="1134" w:right="1134"/>
        <w:jc w:val="both"/>
        <w:rPr>
          <w:rFonts w:eastAsia="Arial"/>
          <w:b/>
          <w:lang w:val="fr-FR"/>
        </w:rPr>
      </w:pPr>
      <w:r w:rsidRPr="00FC68C3">
        <w:rPr>
          <w:lang w:val="fr-FR"/>
        </w:rPr>
        <w:t>4.5</w:t>
      </w:r>
      <w:r w:rsidRPr="00FC68C3">
        <w:rPr>
          <w:lang w:val="fr-FR"/>
        </w:rPr>
        <w:tab/>
        <w:t>La matière est-elle pyrophorique ? (</w:t>
      </w:r>
      <w:proofErr w:type="gramStart"/>
      <w:r w:rsidRPr="00FC68C3">
        <w:rPr>
          <w:lang w:val="fr-FR"/>
        </w:rPr>
        <w:t>cf.</w:t>
      </w:r>
      <w:proofErr w:type="gramEnd"/>
      <w:r w:rsidRPr="00FC68C3">
        <w:rPr>
          <w:lang w:val="fr-FR"/>
        </w:rPr>
        <w:t> 2.4.3</w:t>
      </w:r>
      <w:r w:rsidRPr="00D32D27">
        <w:rPr>
          <w:sz w:val="18"/>
          <w:szCs w:val="18"/>
          <w:vertAlign w:val="superscript"/>
          <w:lang w:val="fr-FR"/>
        </w:rPr>
        <w:t>1</w:t>
      </w:r>
      <w:r w:rsidRPr="00FC68C3">
        <w:rPr>
          <w:lang w:val="fr-FR"/>
        </w:rPr>
        <w:t xml:space="preserve">) : </w:t>
      </w:r>
      <w:r w:rsidRPr="00FC68C3">
        <w:rPr>
          <w:b/>
          <w:bCs/>
          <w:lang w:val="fr-FR"/>
        </w:rPr>
        <w:t>oui</w:t>
      </w:r>
    </w:p>
    <w:p w14:paraId="2F93BF50" w14:textId="6FFD49A0" w:rsidR="006D642D" w:rsidRPr="00FC68C3" w:rsidRDefault="006D642D" w:rsidP="006D642D">
      <w:pPr>
        <w:tabs>
          <w:tab w:val="left" w:pos="1701"/>
          <w:tab w:val="left" w:pos="2268"/>
          <w:tab w:val="left" w:pos="2835"/>
        </w:tabs>
        <w:spacing w:after="120"/>
        <w:ind w:left="2268" w:right="1134" w:hanging="567"/>
        <w:jc w:val="both"/>
        <w:rPr>
          <w:rFonts w:eastAsia="Arial"/>
          <w:lang w:val="fr-FR"/>
        </w:rPr>
      </w:pPr>
      <w:r w:rsidRPr="00FC68C3">
        <w:rPr>
          <w:lang w:val="fr-FR"/>
        </w:rPr>
        <w:t>4.5.1</w:t>
      </w:r>
      <w:r w:rsidRPr="00FC68C3">
        <w:rPr>
          <w:lang w:val="fr-FR"/>
        </w:rPr>
        <w:tab/>
        <w:t>Dans l</w:t>
      </w:r>
      <w:r>
        <w:rPr>
          <w:lang w:val="fr-FR"/>
        </w:rPr>
        <w:t>’</w:t>
      </w:r>
      <w:r w:rsidRPr="00FC68C3">
        <w:rPr>
          <w:lang w:val="fr-FR"/>
        </w:rPr>
        <w:t xml:space="preserve">affirmative, donner des précisions : </w:t>
      </w:r>
      <w:r w:rsidRPr="00FC68C3">
        <w:rPr>
          <w:b/>
          <w:bCs/>
          <w:lang w:val="fr-FR"/>
        </w:rPr>
        <w:t>cette matière n</w:t>
      </w:r>
      <w:r>
        <w:rPr>
          <w:b/>
          <w:bCs/>
          <w:lang w:val="fr-FR"/>
        </w:rPr>
        <w:t>’</w:t>
      </w:r>
      <w:r w:rsidRPr="00FC68C3">
        <w:rPr>
          <w:b/>
          <w:bCs/>
          <w:lang w:val="fr-FR"/>
        </w:rPr>
        <w:t>est ni un liquide ni un solide.</w:t>
      </w:r>
      <w:r w:rsidRPr="00FC68C3">
        <w:rPr>
          <w:lang w:val="fr-FR"/>
        </w:rPr>
        <w:t xml:space="preserve"> </w:t>
      </w:r>
      <w:r w:rsidRPr="00FC68C3">
        <w:rPr>
          <w:b/>
          <w:bCs/>
          <w:lang w:val="fr-FR"/>
        </w:rPr>
        <w:t>Elle s</w:t>
      </w:r>
      <w:r>
        <w:rPr>
          <w:b/>
          <w:bCs/>
          <w:lang w:val="fr-FR"/>
        </w:rPr>
        <w:t>’</w:t>
      </w:r>
      <w:r w:rsidRPr="00FC68C3">
        <w:rPr>
          <w:b/>
          <w:bCs/>
          <w:lang w:val="fr-FR"/>
        </w:rPr>
        <w:t>enflamme spontanément au contact de l</w:t>
      </w:r>
      <w:r>
        <w:rPr>
          <w:b/>
          <w:bCs/>
          <w:lang w:val="fr-FR"/>
        </w:rPr>
        <w:t>’</w:t>
      </w:r>
      <w:r w:rsidRPr="00FC68C3">
        <w:rPr>
          <w:b/>
          <w:bCs/>
          <w:lang w:val="fr-FR"/>
        </w:rPr>
        <w:t>air comme le silane (N</w:t>
      </w:r>
      <w:r w:rsidRPr="00C43ADD">
        <w:rPr>
          <w:b/>
          <w:bCs/>
          <w:lang w:val="fr-FR"/>
        </w:rPr>
        <w:t>o</w:t>
      </w:r>
      <w:r w:rsidRPr="00FC68C3">
        <w:rPr>
          <w:b/>
          <w:bCs/>
          <w:lang w:val="fr-FR"/>
        </w:rPr>
        <w:t> ONU 2203)</w:t>
      </w:r>
    </w:p>
    <w:p w14:paraId="521F3B66" w14:textId="55372FFD"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rPr>
          <w:lang w:val="fr-FR"/>
        </w:rPr>
        <w:t>4.6</w:t>
      </w:r>
      <w:r w:rsidRPr="00FC68C3">
        <w:rPr>
          <w:lang w:val="fr-FR"/>
        </w:rPr>
        <w:tab/>
        <w:t>La matière est-elle sujette à l</w:t>
      </w:r>
      <w:r>
        <w:rPr>
          <w:lang w:val="fr-FR"/>
        </w:rPr>
        <w:t>’</w:t>
      </w:r>
      <w:r w:rsidRPr="00FC68C3">
        <w:rPr>
          <w:lang w:val="fr-FR"/>
        </w:rPr>
        <w:t>auto-échauffement ? (</w:t>
      </w:r>
      <w:proofErr w:type="gramStart"/>
      <w:r w:rsidRPr="00FC68C3">
        <w:rPr>
          <w:lang w:val="fr-FR"/>
        </w:rPr>
        <w:t>cf.</w:t>
      </w:r>
      <w:proofErr w:type="gramEnd"/>
      <w:r w:rsidRPr="00FC68C3">
        <w:rPr>
          <w:lang w:val="fr-FR"/>
        </w:rPr>
        <w:t> 2.4.3</w:t>
      </w:r>
      <w:r w:rsidRPr="00D32D27">
        <w:rPr>
          <w:sz w:val="18"/>
          <w:szCs w:val="18"/>
          <w:vertAlign w:val="superscript"/>
          <w:lang w:val="fr-FR"/>
        </w:rPr>
        <w:t>1</w:t>
      </w:r>
      <w:r w:rsidRPr="00FC68C3">
        <w:rPr>
          <w:lang w:val="fr-FR"/>
        </w:rPr>
        <w:t xml:space="preserve">) : </w:t>
      </w:r>
      <w:r w:rsidRPr="00FC68C3">
        <w:rPr>
          <w:b/>
          <w:bCs/>
          <w:lang w:val="fr-FR"/>
        </w:rPr>
        <w:t>non</w:t>
      </w:r>
    </w:p>
    <w:p w14:paraId="1336A202" w14:textId="77777777" w:rsidR="006D642D" w:rsidRPr="00FC68C3" w:rsidRDefault="006D642D" w:rsidP="006D642D">
      <w:pPr>
        <w:tabs>
          <w:tab w:val="left" w:pos="1701"/>
          <w:tab w:val="left" w:pos="2268"/>
          <w:tab w:val="left" w:pos="2835"/>
        </w:tabs>
        <w:spacing w:after="120"/>
        <w:ind w:left="1134" w:right="1134"/>
        <w:jc w:val="both"/>
        <w:rPr>
          <w:rFonts w:eastAsia="Arial"/>
          <w:b/>
          <w:i/>
          <w:lang w:val="fr-FR"/>
        </w:rPr>
      </w:pPr>
      <w:r w:rsidRPr="00FC68C3">
        <w:rPr>
          <w:lang w:val="fr-FR"/>
        </w:rPr>
        <w:t>4.7</w:t>
      </w:r>
      <w:r w:rsidRPr="00FC68C3">
        <w:rPr>
          <w:lang w:val="fr-FR"/>
        </w:rPr>
        <w:tab/>
        <w:t>La matière est-elle un peroxyde organique ? (</w:t>
      </w:r>
      <w:proofErr w:type="gramStart"/>
      <w:r w:rsidRPr="00FC68C3">
        <w:rPr>
          <w:lang w:val="fr-FR"/>
        </w:rPr>
        <w:t>cf.</w:t>
      </w:r>
      <w:proofErr w:type="gramEnd"/>
      <w:r w:rsidRPr="00FC68C3">
        <w:rPr>
          <w:lang w:val="fr-FR"/>
        </w:rPr>
        <w:t> 2.5.1</w:t>
      </w:r>
      <w:r w:rsidRPr="00D32D27">
        <w:rPr>
          <w:sz w:val="18"/>
          <w:szCs w:val="18"/>
          <w:vertAlign w:val="superscript"/>
          <w:lang w:val="fr-FR"/>
        </w:rPr>
        <w:t>1</w:t>
      </w:r>
      <w:r w:rsidRPr="00FC68C3">
        <w:rPr>
          <w:lang w:val="fr-FR"/>
        </w:rPr>
        <w:t xml:space="preserve">) : </w:t>
      </w:r>
      <w:r w:rsidRPr="00FC68C3">
        <w:rPr>
          <w:b/>
          <w:bCs/>
          <w:lang w:val="fr-FR"/>
        </w:rPr>
        <w:t>non</w:t>
      </w:r>
    </w:p>
    <w:p w14:paraId="31F1D40F" w14:textId="4078C88C" w:rsidR="006D642D" w:rsidRPr="00FC68C3" w:rsidRDefault="006D642D" w:rsidP="006D642D">
      <w:pPr>
        <w:tabs>
          <w:tab w:val="left" w:pos="1701"/>
          <w:tab w:val="left" w:pos="2268"/>
          <w:tab w:val="left" w:pos="2835"/>
        </w:tabs>
        <w:spacing w:after="120"/>
        <w:ind w:left="1134" w:right="1134"/>
        <w:jc w:val="both"/>
        <w:rPr>
          <w:rFonts w:eastAsia="Arial"/>
          <w:b/>
          <w:lang w:val="fr-FR"/>
        </w:rPr>
      </w:pPr>
      <w:r w:rsidRPr="00FC68C3">
        <w:rPr>
          <w:lang w:val="fr-FR"/>
        </w:rPr>
        <w:t>4.8</w:t>
      </w:r>
      <w:r w:rsidRPr="00FC68C3">
        <w:rPr>
          <w:lang w:val="fr-FR"/>
        </w:rPr>
        <w:tab/>
        <w:t>La matière dégage-t-elle des gaz inflammables au contact de l</w:t>
      </w:r>
      <w:r>
        <w:rPr>
          <w:lang w:val="fr-FR"/>
        </w:rPr>
        <w:t>’</w:t>
      </w:r>
      <w:r w:rsidRPr="00FC68C3">
        <w:rPr>
          <w:lang w:val="fr-FR"/>
        </w:rPr>
        <w:t>eau ? (</w:t>
      </w:r>
      <w:proofErr w:type="gramStart"/>
      <w:r w:rsidRPr="00FC68C3">
        <w:rPr>
          <w:lang w:val="fr-FR"/>
        </w:rPr>
        <w:t>cf.</w:t>
      </w:r>
      <w:proofErr w:type="gramEnd"/>
      <w:r w:rsidRPr="00FC68C3">
        <w:rPr>
          <w:lang w:val="fr-FR"/>
        </w:rPr>
        <w:t> 2.4.4</w:t>
      </w:r>
      <w:r w:rsidRPr="00D32D27">
        <w:rPr>
          <w:sz w:val="18"/>
          <w:szCs w:val="18"/>
          <w:vertAlign w:val="superscript"/>
          <w:lang w:val="fr-FR"/>
        </w:rPr>
        <w:t>1</w:t>
      </w:r>
      <w:r w:rsidRPr="00FC68C3">
        <w:rPr>
          <w:lang w:val="fr-FR"/>
        </w:rPr>
        <w:t xml:space="preserve">) : </w:t>
      </w:r>
      <w:r w:rsidRPr="00FC68C3">
        <w:rPr>
          <w:b/>
          <w:bCs/>
          <w:lang w:val="fr-FR"/>
        </w:rPr>
        <w:t>non</w:t>
      </w:r>
    </w:p>
    <w:p w14:paraId="2561192B" w14:textId="77777777" w:rsidR="006D642D" w:rsidRPr="00FC68C3" w:rsidRDefault="006D642D" w:rsidP="006D642D">
      <w:pPr>
        <w:tabs>
          <w:tab w:val="left" w:pos="1701"/>
          <w:tab w:val="left" w:pos="2268"/>
          <w:tab w:val="left" w:pos="2835"/>
        </w:tabs>
        <w:spacing w:after="120"/>
        <w:ind w:left="1134" w:right="1134"/>
        <w:jc w:val="both"/>
        <w:rPr>
          <w:rFonts w:eastAsia="Arial"/>
          <w:b/>
          <w:lang w:val="fr-FR"/>
        </w:rPr>
      </w:pPr>
      <w:r w:rsidRPr="00FC68C3">
        <w:rPr>
          <w:lang w:val="fr-FR"/>
        </w:rPr>
        <w:t>4.9</w:t>
      </w:r>
      <w:r w:rsidRPr="00FC68C3">
        <w:rPr>
          <w:lang w:val="fr-FR"/>
        </w:rPr>
        <w:tab/>
        <w:t>La matière a-t-elle des propriétés comburantes ? (</w:t>
      </w:r>
      <w:proofErr w:type="gramStart"/>
      <w:r w:rsidRPr="00FC68C3">
        <w:rPr>
          <w:lang w:val="fr-FR"/>
        </w:rPr>
        <w:t>cf.</w:t>
      </w:r>
      <w:proofErr w:type="gramEnd"/>
      <w:r w:rsidRPr="00FC68C3">
        <w:rPr>
          <w:lang w:val="fr-FR"/>
        </w:rPr>
        <w:t> 2.5.1</w:t>
      </w:r>
      <w:r w:rsidRPr="00D32D27">
        <w:rPr>
          <w:sz w:val="18"/>
          <w:szCs w:val="18"/>
          <w:vertAlign w:val="superscript"/>
          <w:lang w:val="fr-FR"/>
        </w:rPr>
        <w:t>1</w:t>
      </w:r>
      <w:r w:rsidRPr="00FC68C3">
        <w:rPr>
          <w:lang w:val="fr-FR"/>
        </w:rPr>
        <w:t xml:space="preserve">) : </w:t>
      </w:r>
      <w:r w:rsidRPr="00FC68C3">
        <w:rPr>
          <w:b/>
          <w:bCs/>
          <w:lang w:val="fr-FR"/>
        </w:rPr>
        <w:t>non</w:t>
      </w:r>
    </w:p>
    <w:p w14:paraId="190F58AC" w14:textId="7CC023B5" w:rsidR="006D642D" w:rsidRPr="00FC68C3" w:rsidRDefault="006D642D" w:rsidP="006D642D">
      <w:pPr>
        <w:tabs>
          <w:tab w:val="left" w:pos="1701"/>
          <w:tab w:val="left" w:pos="2268"/>
          <w:tab w:val="left" w:pos="2835"/>
        </w:tabs>
        <w:spacing w:after="120"/>
        <w:ind w:left="1701" w:right="1134" w:hanging="567"/>
        <w:jc w:val="both"/>
        <w:rPr>
          <w:rFonts w:eastAsia="Arial"/>
          <w:b/>
          <w:lang w:val="fr-FR"/>
        </w:rPr>
      </w:pPr>
      <w:r w:rsidRPr="00FC68C3">
        <w:rPr>
          <w:lang w:val="fr-FR"/>
        </w:rPr>
        <w:t>4.10</w:t>
      </w:r>
      <w:r w:rsidRPr="00FC68C3">
        <w:rPr>
          <w:lang w:val="fr-FR"/>
        </w:rPr>
        <w:tab/>
        <w:t>Action corrosive sur le matériau des emballages (cf. 2.8</w:t>
      </w:r>
      <w:r w:rsidRPr="00D32D27">
        <w:rPr>
          <w:sz w:val="18"/>
          <w:szCs w:val="18"/>
          <w:vertAlign w:val="superscript"/>
          <w:lang w:val="fr-FR"/>
        </w:rPr>
        <w:t>1</w:t>
      </w:r>
      <w:r w:rsidRPr="00FC68C3">
        <w:rPr>
          <w:lang w:val="fr-FR"/>
        </w:rPr>
        <w:t xml:space="preserve">) : </w:t>
      </w:r>
      <w:r w:rsidRPr="00FC68C3">
        <w:rPr>
          <w:b/>
          <w:bCs/>
          <w:lang w:val="fr-FR"/>
        </w:rPr>
        <w:t>cette matière n</w:t>
      </w:r>
      <w:r>
        <w:rPr>
          <w:b/>
          <w:bCs/>
          <w:lang w:val="fr-FR"/>
        </w:rPr>
        <w:t>’</w:t>
      </w:r>
      <w:r w:rsidRPr="00FC68C3">
        <w:rPr>
          <w:b/>
          <w:bCs/>
          <w:lang w:val="fr-FR"/>
        </w:rPr>
        <w:t>est pas connue pour être corrosive</w:t>
      </w:r>
    </w:p>
    <w:p w14:paraId="7CC96DFC" w14:textId="77777777"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rPr>
          <w:lang w:val="fr-FR"/>
        </w:rPr>
        <w:t>4.11</w:t>
      </w:r>
      <w:r w:rsidRPr="00FC68C3">
        <w:rPr>
          <w:lang w:val="fr-FR"/>
        </w:rPr>
        <w:tab/>
        <w:t xml:space="preserve">Autres propriétés chimiques pertinentes : </w:t>
      </w:r>
      <w:r w:rsidRPr="00FC68C3">
        <w:rPr>
          <w:b/>
          <w:bCs/>
          <w:lang w:val="fr-FR"/>
        </w:rPr>
        <w:t>aucune donnée disponible</w:t>
      </w:r>
    </w:p>
    <w:p w14:paraId="568D62E4" w14:textId="77777777" w:rsidR="006D642D" w:rsidRPr="00FC68C3" w:rsidRDefault="006D642D" w:rsidP="006D642D">
      <w:pPr>
        <w:keepNext/>
        <w:keepLines/>
        <w:tabs>
          <w:tab w:val="right" w:pos="851"/>
        </w:tabs>
        <w:spacing w:before="240" w:after="120" w:line="240" w:lineRule="exact"/>
        <w:ind w:left="1134" w:right="1134" w:hanging="1134"/>
        <w:outlineLvl w:val="3"/>
        <w:rPr>
          <w:rFonts w:eastAsia="Arial"/>
          <w:b/>
          <w:lang w:val="fr-FR"/>
        </w:rPr>
      </w:pPr>
      <w:r w:rsidRPr="00FC68C3">
        <w:rPr>
          <w:b/>
          <w:lang w:val="fr-FR"/>
        </w:rPr>
        <w:tab/>
      </w:r>
      <w:r w:rsidRPr="00FC68C3">
        <w:rPr>
          <w:b/>
          <w:lang w:val="fr-FR"/>
        </w:rPr>
        <w:tab/>
        <w:t>Section 5. EFFETS BIOLOGIQUES NOCIFS</w:t>
      </w:r>
    </w:p>
    <w:p w14:paraId="0917B8E5" w14:textId="3DE2C3DF"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5.1</w:t>
      </w:r>
      <w:r w:rsidRPr="00FC68C3">
        <w:rPr>
          <w:lang w:val="fr-FR"/>
        </w:rPr>
        <w:tab/>
        <w:t>DL</w:t>
      </w:r>
      <w:r w:rsidRPr="00FC68C3">
        <w:rPr>
          <w:vertAlign w:val="subscript"/>
          <w:lang w:val="fr-FR"/>
        </w:rPr>
        <w:t>50</w:t>
      </w:r>
      <w:r w:rsidRPr="00FC68C3">
        <w:rPr>
          <w:lang w:val="fr-FR"/>
        </w:rPr>
        <w:t xml:space="preserve"> à l</w:t>
      </w:r>
      <w:r>
        <w:rPr>
          <w:lang w:val="fr-FR"/>
        </w:rPr>
        <w:t>’</w:t>
      </w:r>
      <w:r w:rsidRPr="00FC68C3">
        <w:rPr>
          <w:lang w:val="fr-FR"/>
        </w:rPr>
        <w:t>ingestion (cf. 2.6.2.1.1</w:t>
      </w:r>
      <w:r w:rsidRPr="00D32D27">
        <w:rPr>
          <w:sz w:val="18"/>
          <w:szCs w:val="18"/>
          <w:vertAlign w:val="superscript"/>
          <w:lang w:val="fr-FR"/>
        </w:rPr>
        <w:t>1</w:t>
      </w:r>
      <w:r w:rsidRPr="00FC68C3">
        <w:rPr>
          <w:lang w:val="fr-FR"/>
        </w:rPr>
        <w:t xml:space="preserve">) : </w:t>
      </w:r>
      <w:r w:rsidRPr="00FC68C3">
        <w:rPr>
          <w:b/>
          <w:bCs/>
          <w:lang w:val="fr-FR"/>
        </w:rPr>
        <w:t>cette matière n</w:t>
      </w:r>
      <w:r>
        <w:rPr>
          <w:b/>
          <w:bCs/>
          <w:lang w:val="fr-FR"/>
        </w:rPr>
        <w:t>’</w:t>
      </w:r>
      <w:r w:rsidRPr="00FC68C3">
        <w:rPr>
          <w:b/>
          <w:bCs/>
          <w:lang w:val="fr-FR"/>
        </w:rPr>
        <w:t>est pas connue pour être toxique en cas d</w:t>
      </w:r>
      <w:r>
        <w:rPr>
          <w:b/>
          <w:bCs/>
          <w:lang w:val="fr-FR"/>
        </w:rPr>
        <w:t>’</w:t>
      </w:r>
      <w:r w:rsidRPr="00FC68C3">
        <w:rPr>
          <w:b/>
          <w:bCs/>
          <w:lang w:val="fr-FR"/>
        </w:rPr>
        <w:t>ingestion</w:t>
      </w:r>
    </w:p>
    <w:p w14:paraId="6E1CEA87" w14:textId="32166136"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5.2</w:t>
      </w:r>
      <w:r w:rsidRPr="00FC68C3">
        <w:rPr>
          <w:lang w:val="fr-FR"/>
        </w:rPr>
        <w:tab/>
        <w:t>DL</w:t>
      </w:r>
      <w:r w:rsidRPr="00FC68C3">
        <w:rPr>
          <w:vertAlign w:val="subscript"/>
          <w:lang w:val="fr-FR"/>
        </w:rPr>
        <w:t>50</w:t>
      </w:r>
      <w:r w:rsidRPr="00FC68C3">
        <w:rPr>
          <w:lang w:val="fr-FR"/>
        </w:rPr>
        <w:t xml:space="preserve"> à l</w:t>
      </w:r>
      <w:r>
        <w:rPr>
          <w:lang w:val="fr-FR"/>
        </w:rPr>
        <w:t>’</w:t>
      </w:r>
      <w:r w:rsidRPr="00FC68C3">
        <w:rPr>
          <w:lang w:val="fr-FR"/>
        </w:rPr>
        <w:t>absorption cutanée (cf. 2.6.2.12</w:t>
      </w:r>
      <w:r w:rsidRPr="00D32D27">
        <w:rPr>
          <w:sz w:val="18"/>
          <w:szCs w:val="18"/>
          <w:vertAlign w:val="superscript"/>
          <w:lang w:val="fr-FR"/>
        </w:rPr>
        <w:t>1</w:t>
      </w:r>
      <w:r w:rsidRPr="00FC68C3">
        <w:rPr>
          <w:lang w:val="fr-FR"/>
        </w:rPr>
        <w:t xml:space="preserve">) : </w:t>
      </w:r>
      <w:r w:rsidRPr="00FC68C3">
        <w:rPr>
          <w:b/>
          <w:bCs/>
          <w:lang w:val="fr-FR"/>
        </w:rPr>
        <w:t>cette matière n</w:t>
      </w:r>
      <w:r>
        <w:rPr>
          <w:b/>
          <w:bCs/>
          <w:lang w:val="fr-FR"/>
        </w:rPr>
        <w:t>’</w:t>
      </w:r>
      <w:r w:rsidRPr="00FC68C3">
        <w:rPr>
          <w:b/>
          <w:bCs/>
          <w:lang w:val="fr-FR"/>
        </w:rPr>
        <w:t>est pas connue pour être toxique en cas d</w:t>
      </w:r>
      <w:r>
        <w:rPr>
          <w:b/>
          <w:bCs/>
          <w:lang w:val="fr-FR"/>
        </w:rPr>
        <w:t>’</w:t>
      </w:r>
      <w:r w:rsidRPr="00FC68C3">
        <w:rPr>
          <w:b/>
          <w:bCs/>
          <w:lang w:val="fr-FR"/>
        </w:rPr>
        <w:t>absorption cutanée</w:t>
      </w:r>
    </w:p>
    <w:p w14:paraId="665E25DE" w14:textId="08DE7814"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5.3</w:t>
      </w:r>
      <w:r w:rsidRPr="00FC68C3">
        <w:rPr>
          <w:lang w:val="fr-FR"/>
        </w:rPr>
        <w:tab/>
        <w:t>CL</w:t>
      </w:r>
      <w:r w:rsidRPr="00FC68C3">
        <w:rPr>
          <w:vertAlign w:val="subscript"/>
          <w:lang w:val="fr-FR"/>
        </w:rPr>
        <w:t>50</w:t>
      </w:r>
      <w:r w:rsidRPr="00FC68C3">
        <w:rPr>
          <w:lang w:val="fr-FR"/>
        </w:rPr>
        <w:t xml:space="preserve"> à l</w:t>
      </w:r>
      <w:r>
        <w:rPr>
          <w:lang w:val="fr-FR"/>
        </w:rPr>
        <w:t>’</w:t>
      </w:r>
      <w:r w:rsidRPr="00FC68C3">
        <w:rPr>
          <w:lang w:val="fr-FR"/>
        </w:rPr>
        <w:t>inhalation (cf. 2.6.2.1.3</w:t>
      </w:r>
      <w:r w:rsidRPr="00D32D27">
        <w:rPr>
          <w:sz w:val="18"/>
          <w:szCs w:val="18"/>
          <w:vertAlign w:val="superscript"/>
          <w:lang w:val="fr-FR"/>
        </w:rPr>
        <w:t>1</w:t>
      </w:r>
      <w:r w:rsidRPr="00FC68C3">
        <w:rPr>
          <w:lang w:val="fr-FR"/>
        </w:rPr>
        <w:t xml:space="preserve">) : </w:t>
      </w:r>
      <w:r w:rsidRPr="00FC68C3">
        <w:rPr>
          <w:b/>
          <w:bCs/>
          <w:lang w:val="fr-FR"/>
        </w:rPr>
        <w:t>cette matière n</w:t>
      </w:r>
      <w:r>
        <w:rPr>
          <w:b/>
          <w:bCs/>
          <w:lang w:val="fr-FR"/>
        </w:rPr>
        <w:t>’</w:t>
      </w:r>
      <w:r w:rsidRPr="00FC68C3">
        <w:rPr>
          <w:b/>
          <w:bCs/>
          <w:lang w:val="fr-FR"/>
        </w:rPr>
        <w:t>est pas connue pour être toxique en cas d</w:t>
      </w:r>
      <w:r>
        <w:rPr>
          <w:b/>
          <w:bCs/>
          <w:lang w:val="fr-FR"/>
        </w:rPr>
        <w:t>’</w:t>
      </w:r>
      <w:r w:rsidRPr="00FC68C3">
        <w:rPr>
          <w:b/>
          <w:bCs/>
          <w:lang w:val="fr-FR"/>
        </w:rPr>
        <w:t>inhalation</w:t>
      </w:r>
    </w:p>
    <w:p w14:paraId="44DF93FC" w14:textId="77777777" w:rsidR="006D642D" w:rsidRPr="00FC68C3" w:rsidRDefault="006D642D" w:rsidP="006D642D">
      <w:pPr>
        <w:tabs>
          <w:tab w:val="left" w:pos="1701"/>
          <w:tab w:val="left" w:pos="2268"/>
          <w:tab w:val="left" w:pos="2835"/>
        </w:tabs>
        <w:spacing w:after="120"/>
        <w:ind w:left="1701" w:right="1134" w:hanging="567"/>
        <w:jc w:val="both"/>
        <w:rPr>
          <w:rFonts w:eastAsia="Arial"/>
          <w:b/>
          <w:lang w:val="fr-FR"/>
        </w:rPr>
      </w:pPr>
      <w:r w:rsidRPr="00FC68C3">
        <w:rPr>
          <w:lang w:val="fr-FR"/>
        </w:rPr>
        <w:t>5.4</w:t>
      </w:r>
      <w:r w:rsidRPr="00FC68C3">
        <w:rPr>
          <w:lang w:val="fr-FR"/>
        </w:rPr>
        <w:tab/>
        <w:t xml:space="preserve">Concentration de vapeur saturée à 20 °C (cf. 2.6.2.2.4.3) : </w:t>
      </w:r>
      <w:r w:rsidRPr="00FC68C3">
        <w:rPr>
          <w:b/>
          <w:bCs/>
          <w:lang w:val="fr-FR"/>
        </w:rPr>
        <w:t>cette matière est totalement gazeuse à 20 °C</w:t>
      </w:r>
    </w:p>
    <w:p w14:paraId="503CF852" w14:textId="28D36220"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5.5</w:t>
      </w:r>
      <w:r w:rsidRPr="00FC68C3">
        <w:rPr>
          <w:lang w:val="fr-FR"/>
        </w:rPr>
        <w:tab/>
        <w:t>Résultats des essais cutanés (cf. 2.8</w:t>
      </w:r>
      <w:r w:rsidRPr="00D32D27">
        <w:rPr>
          <w:sz w:val="18"/>
          <w:szCs w:val="18"/>
          <w:vertAlign w:val="superscript"/>
          <w:lang w:val="fr-FR"/>
        </w:rPr>
        <w:t>1</w:t>
      </w:r>
      <w:r w:rsidRPr="00FC68C3">
        <w:rPr>
          <w:lang w:val="fr-FR"/>
        </w:rPr>
        <w:t xml:space="preserve">) : </w:t>
      </w:r>
      <w:r w:rsidRPr="00FC68C3">
        <w:rPr>
          <w:b/>
          <w:bCs/>
          <w:lang w:val="fr-FR"/>
        </w:rPr>
        <w:t>cette matière n</w:t>
      </w:r>
      <w:r>
        <w:rPr>
          <w:b/>
          <w:bCs/>
          <w:lang w:val="fr-FR"/>
        </w:rPr>
        <w:t>’</w:t>
      </w:r>
      <w:r w:rsidRPr="00FC68C3">
        <w:rPr>
          <w:b/>
          <w:bCs/>
          <w:lang w:val="fr-FR"/>
        </w:rPr>
        <w:t>est pas connue pour être toxique en cas d</w:t>
      </w:r>
      <w:r>
        <w:rPr>
          <w:b/>
          <w:bCs/>
          <w:lang w:val="fr-FR"/>
        </w:rPr>
        <w:t>’</w:t>
      </w:r>
      <w:r w:rsidRPr="00FC68C3">
        <w:rPr>
          <w:b/>
          <w:bCs/>
          <w:lang w:val="fr-FR"/>
        </w:rPr>
        <w:t>absorption cutanée</w:t>
      </w:r>
    </w:p>
    <w:p w14:paraId="4E0F5075" w14:textId="77777777"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5.6</w:t>
      </w:r>
      <w:r w:rsidRPr="00FC68C3">
        <w:rPr>
          <w:lang w:val="fr-FR"/>
        </w:rPr>
        <w:tab/>
        <w:t xml:space="preserve">Autres données : </w:t>
      </w:r>
      <w:r w:rsidRPr="00FC68C3">
        <w:rPr>
          <w:b/>
          <w:bCs/>
          <w:lang w:val="fr-FR"/>
        </w:rPr>
        <w:t>aucune donnée disponible</w:t>
      </w:r>
    </w:p>
    <w:p w14:paraId="3C8E7D35" w14:textId="47D686BE"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5.7</w:t>
      </w:r>
      <w:r w:rsidRPr="00FC68C3">
        <w:rPr>
          <w:lang w:val="fr-FR"/>
        </w:rPr>
        <w:tab/>
        <w:t>Effets sur l</w:t>
      </w:r>
      <w:r>
        <w:rPr>
          <w:lang w:val="fr-FR"/>
        </w:rPr>
        <w:t>’</w:t>
      </w:r>
      <w:r w:rsidRPr="00FC68C3">
        <w:rPr>
          <w:lang w:val="fr-FR"/>
        </w:rPr>
        <w:t xml:space="preserve">homme : </w:t>
      </w:r>
      <w:r w:rsidRPr="00FC68C3">
        <w:rPr>
          <w:b/>
          <w:bCs/>
          <w:lang w:val="fr-FR"/>
        </w:rPr>
        <w:t>aucune donnée disponible</w:t>
      </w:r>
    </w:p>
    <w:p w14:paraId="416638E3" w14:textId="77777777" w:rsidR="006D642D" w:rsidRPr="00FC68C3" w:rsidRDefault="006D642D" w:rsidP="006D642D">
      <w:pPr>
        <w:keepNext/>
        <w:keepLines/>
        <w:tabs>
          <w:tab w:val="right" w:pos="851"/>
        </w:tabs>
        <w:spacing w:before="240" w:after="120" w:line="240" w:lineRule="exact"/>
        <w:ind w:left="1134" w:right="1134" w:hanging="1134"/>
        <w:outlineLvl w:val="3"/>
        <w:rPr>
          <w:rFonts w:eastAsia="Arial"/>
          <w:b/>
          <w:lang w:val="fr-FR"/>
        </w:rPr>
      </w:pPr>
      <w:r w:rsidRPr="00FC68C3">
        <w:rPr>
          <w:b/>
          <w:lang w:val="fr-FR"/>
        </w:rPr>
        <w:tab/>
      </w:r>
      <w:r w:rsidRPr="00FC68C3">
        <w:rPr>
          <w:b/>
          <w:lang w:val="fr-FR"/>
        </w:rPr>
        <w:tab/>
        <w:t>Section 6. INFORMATIONS COMPLÉMENTAIRES</w:t>
      </w:r>
    </w:p>
    <w:p w14:paraId="09A1461E" w14:textId="5D6693B5"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6.1</w:t>
      </w:r>
      <w:r w:rsidRPr="00FC68C3">
        <w:rPr>
          <w:lang w:val="fr-FR"/>
        </w:rPr>
        <w:tab/>
        <w:t>Mesures recommandées en cas d</w:t>
      </w:r>
      <w:r>
        <w:rPr>
          <w:lang w:val="fr-FR"/>
        </w:rPr>
        <w:t>’</w:t>
      </w:r>
      <w:r w:rsidRPr="00FC68C3">
        <w:rPr>
          <w:lang w:val="fr-FR"/>
        </w:rPr>
        <w:t>urgence</w:t>
      </w:r>
    </w:p>
    <w:p w14:paraId="0B0BA4B9" w14:textId="7D06CEF2" w:rsidR="006D642D" w:rsidRPr="00FC68C3" w:rsidRDefault="006D642D" w:rsidP="006D642D">
      <w:pPr>
        <w:tabs>
          <w:tab w:val="left" w:pos="1701"/>
          <w:tab w:val="left" w:pos="2268"/>
          <w:tab w:val="left" w:pos="2835"/>
        </w:tabs>
        <w:spacing w:after="120"/>
        <w:ind w:left="2268" w:right="1134" w:hanging="567"/>
        <w:jc w:val="both"/>
        <w:rPr>
          <w:rFonts w:eastAsia="Arial"/>
          <w:lang w:val="fr-FR"/>
        </w:rPr>
      </w:pPr>
      <w:r w:rsidRPr="00FC68C3">
        <w:rPr>
          <w:lang w:val="fr-FR"/>
        </w:rPr>
        <w:t>6.1.1</w:t>
      </w:r>
      <w:r w:rsidRPr="00FC68C3">
        <w:rPr>
          <w:lang w:val="fr-FR"/>
        </w:rPr>
        <w:tab/>
        <w:t>Incendie (indiquer les agents d</w:t>
      </w:r>
      <w:r>
        <w:rPr>
          <w:lang w:val="fr-FR"/>
        </w:rPr>
        <w:t>’</w:t>
      </w:r>
      <w:r w:rsidRPr="00FC68C3">
        <w:rPr>
          <w:lang w:val="fr-FR"/>
        </w:rPr>
        <w:t xml:space="preserve">extinction appropriés et ceux à ne pas utiliser) : </w:t>
      </w:r>
      <w:r w:rsidRPr="00FC68C3">
        <w:rPr>
          <w:b/>
          <w:bCs/>
          <w:lang w:val="fr-FR"/>
        </w:rPr>
        <w:t>La méthode à privilégier est la coupure de la source du gaz.</w:t>
      </w:r>
      <w:r w:rsidRPr="00FC68C3">
        <w:rPr>
          <w:lang w:val="fr-FR"/>
        </w:rPr>
        <w:t xml:space="preserve"> </w:t>
      </w:r>
      <w:r w:rsidRPr="00FC68C3">
        <w:rPr>
          <w:b/>
          <w:bCs/>
          <w:lang w:val="fr-FR"/>
        </w:rPr>
        <w:t>Si cela n</w:t>
      </w:r>
      <w:r>
        <w:rPr>
          <w:b/>
          <w:bCs/>
          <w:lang w:val="fr-FR"/>
        </w:rPr>
        <w:t>’</w:t>
      </w:r>
      <w:r w:rsidRPr="00FC68C3">
        <w:rPr>
          <w:b/>
          <w:bCs/>
          <w:lang w:val="fr-FR"/>
        </w:rPr>
        <w:t>est pas possible, ne pas éteindre ;</w:t>
      </w:r>
      <w:r w:rsidRPr="00FC68C3">
        <w:rPr>
          <w:lang w:val="fr-FR"/>
        </w:rPr>
        <w:t xml:space="preserve"> </w:t>
      </w:r>
      <w:r w:rsidRPr="00FC68C3">
        <w:rPr>
          <w:b/>
          <w:bCs/>
          <w:lang w:val="fr-FR"/>
        </w:rPr>
        <w:t>refroidir le point d</w:t>
      </w:r>
      <w:r>
        <w:rPr>
          <w:b/>
          <w:bCs/>
          <w:lang w:val="fr-FR"/>
        </w:rPr>
        <w:t>’</w:t>
      </w:r>
      <w:r w:rsidRPr="00FC68C3">
        <w:rPr>
          <w:b/>
          <w:bCs/>
          <w:lang w:val="fr-FR"/>
        </w:rPr>
        <w:t>échappement par pulvérisation ou nébulisation d</w:t>
      </w:r>
      <w:r>
        <w:rPr>
          <w:b/>
          <w:bCs/>
          <w:lang w:val="fr-FR"/>
        </w:rPr>
        <w:t>’</w:t>
      </w:r>
      <w:r w:rsidRPr="00FC68C3">
        <w:rPr>
          <w:b/>
          <w:bCs/>
          <w:lang w:val="fr-FR"/>
        </w:rPr>
        <w:t>eau en prenant garde de ne pas éteindre la flamme.</w:t>
      </w:r>
    </w:p>
    <w:p w14:paraId="58BB0D0B" w14:textId="6742F16D" w:rsidR="006D642D" w:rsidRPr="00FC68C3" w:rsidRDefault="006D642D" w:rsidP="006D642D">
      <w:pPr>
        <w:tabs>
          <w:tab w:val="left" w:pos="1701"/>
          <w:tab w:val="left" w:pos="2268"/>
          <w:tab w:val="left" w:pos="2835"/>
        </w:tabs>
        <w:spacing w:after="120"/>
        <w:ind w:left="2268" w:right="1134" w:hanging="567"/>
        <w:jc w:val="both"/>
        <w:rPr>
          <w:rFonts w:eastAsia="Arial"/>
          <w:lang w:val="fr-FR"/>
        </w:rPr>
      </w:pPr>
      <w:r w:rsidRPr="00FC68C3">
        <w:rPr>
          <w:lang w:val="fr-FR"/>
        </w:rPr>
        <w:t>6.1.2</w:t>
      </w:r>
      <w:r w:rsidRPr="00FC68C3">
        <w:rPr>
          <w:lang w:val="fr-FR"/>
        </w:rPr>
        <w:tab/>
        <w:t xml:space="preserve">Fuite de matière : </w:t>
      </w:r>
      <w:r w:rsidRPr="00FC68C3">
        <w:rPr>
          <w:b/>
          <w:bCs/>
          <w:lang w:val="fr-FR"/>
        </w:rPr>
        <w:t>La zone de la fuite doit être maintenue évacuée et à l</w:t>
      </w:r>
      <w:r>
        <w:rPr>
          <w:b/>
          <w:bCs/>
          <w:lang w:val="fr-FR"/>
        </w:rPr>
        <w:t>’</w:t>
      </w:r>
      <w:r w:rsidRPr="00FC68C3">
        <w:rPr>
          <w:b/>
          <w:bCs/>
          <w:lang w:val="fr-FR"/>
        </w:rPr>
        <w:t>écart de toute source d</w:t>
      </w:r>
      <w:r>
        <w:rPr>
          <w:b/>
          <w:bCs/>
          <w:lang w:val="fr-FR"/>
        </w:rPr>
        <w:t>’</w:t>
      </w:r>
      <w:r w:rsidRPr="00FC68C3">
        <w:rPr>
          <w:b/>
          <w:bCs/>
          <w:lang w:val="fr-FR"/>
        </w:rPr>
        <w:t>inflammation jusqu</w:t>
      </w:r>
      <w:r>
        <w:rPr>
          <w:b/>
          <w:bCs/>
          <w:lang w:val="fr-FR"/>
        </w:rPr>
        <w:t>’</w:t>
      </w:r>
      <w:r w:rsidRPr="00FC68C3">
        <w:rPr>
          <w:b/>
          <w:bCs/>
          <w:lang w:val="fr-FR"/>
        </w:rPr>
        <w:t>à évaporation du liquide ayant fui (sol libéré du givre).</w:t>
      </w:r>
      <w:r w:rsidRPr="00FC68C3">
        <w:rPr>
          <w:lang w:val="fr-FR"/>
        </w:rPr>
        <w:t xml:space="preserve"> </w:t>
      </w:r>
      <w:r w:rsidRPr="00FC68C3">
        <w:rPr>
          <w:b/>
          <w:bCs/>
          <w:lang w:val="fr-FR"/>
        </w:rPr>
        <w:t>La poussière qui s</w:t>
      </w:r>
      <w:r>
        <w:rPr>
          <w:b/>
          <w:bCs/>
          <w:lang w:val="fr-FR"/>
        </w:rPr>
        <w:t>’</w:t>
      </w:r>
      <w:r w:rsidRPr="00FC68C3">
        <w:rPr>
          <w:b/>
          <w:bCs/>
          <w:lang w:val="fr-FR"/>
        </w:rPr>
        <w:t xml:space="preserve">est déposée </w:t>
      </w:r>
      <w:proofErr w:type="gramStart"/>
      <w:r w:rsidRPr="00FC68C3">
        <w:rPr>
          <w:b/>
          <w:bCs/>
          <w:lang w:val="fr-FR"/>
        </w:rPr>
        <w:t>peut être</w:t>
      </w:r>
      <w:proofErr w:type="gramEnd"/>
      <w:r w:rsidRPr="00FC68C3">
        <w:rPr>
          <w:b/>
          <w:bCs/>
          <w:lang w:val="fr-FR"/>
        </w:rPr>
        <w:t xml:space="preserve"> retirée par aspiration ou par lavage à l</w:t>
      </w:r>
      <w:r>
        <w:rPr>
          <w:b/>
          <w:bCs/>
          <w:lang w:val="fr-FR"/>
        </w:rPr>
        <w:t>’</w:t>
      </w:r>
      <w:r w:rsidRPr="00FC68C3">
        <w:rPr>
          <w:b/>
          <w:bCs/>
          <w:lang w:val="fr-FR"/>
        </w:rPr>
        <w:t>eau.</w:t>
      </w:r>
    </w:p>
    <w:p w14:paraId="1AF055E9" w14:textId="77777777"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6.2</w:t>
      </w:r>
      <w:r w:rsidRPr="00FC68C3">
        <w:rPr>
          <w:lang w:val="fr-FR"/>
        </w:rPr>
        <w:tab/>
        <w:t>Est-il prévu de transporter la matière en :</w:t>
      </w:r>
    </w:p>
    <w:p w14:paraId="111C893D" w14:textId="77777777" w:rsidR="006D642D" w:rsidRPr="00FC68C3" w:rsidRDefault="006D642D" w:rsidP="006D642D">
      <w:pPr>
        <w:tabs>
          <w:tab w:val="left" w:pos="1701"/>
          <w:tab w:val="left" w:pos="2268"/>
          <w:tab w:val="left" w:pos="2835"/>
        </w:tabs>
        <w:spacing w:after="120"/>
        <w:ind w:left="2268" w:right="1134" w:hanging="567"/>
        <w:jc w:val="both"/>
        <w:rPr>
          <w:rFonts w:eastAsia="Arial"/>
          <w:b/>
          <w:lang w:val="fr-FR"/>
        </w:rPr>
      </w:pPr>
      <w:r w:rsidRPr="00FC68C3">
        <w:rPr>
          <w:lang w:val="fr-FR"/>
        </w:rPr>
        <w:t>6.2.1</w:t>
      </w:r>
      <w:r w:rsidRPr="00FC68C3">
        <w:rPr>
          <w:lang w:val="fr-FR"/>
        </w:rPr>
        <w:tab/>
        <w:t>Conteneurs pour vrac (cf. 6.8</w:t>
      </w:r>
      <w:r w:rsidRPr="00D32D27">
        <w:rPr>
          <w:sz w:val="18"/>
          <w:szCs w:val="18"/>
          <w:vertAlign w:val="superscript"/>
          <w:lang w:val="fr-FR"/>
        </w:rPr>
        <w:t>1</w:t>
      </w:r>
      <w:r w:rsidRPr="00FC68C3">
        <w:rPr>
          <w:lang w:val="fr-FR"/>
        </w:rPr>
        <w:t xml:space="preserve">) ? : </w:t>
      </w:r>
      <w:r w:rsidRPr="00FC68C3">
        <w:rPr>
          <w:b/>
          <w:bCs/>
          <w:lang w:val="fr-FR"/>
        </w:rPr>
        <w:t>non</w:t>
      </w:r>
    </w:p>
    <w:p w14:paraId="0EC9A87A" w14:textId="77777777" w:rsidR="006D642D" w:rsidRPr="00FC68C3" w:rsidRDefault="006D642D" w:rsidP="006D642D">
      <w:pPr>
        <w:tabs>
          <w:tab w:val="left" w:pos="1701"/>
          <w:tab w:val="left" w:pos="2268"/>
          <w:tab w:val="left" w:pos="2835"/>
        </w:tabs>
        <w:spacing w:after="120"/>
        <w:ind w:left="2268" w:right="1134" w:hanging="567"/>
        <w:jc w:val="both"/>
        <w:rPr>
          <w:rFonts w:eastAsia="Arial"/>
          <w:b/>
          <w:lang w:val="fr-FR"/>
        </w:rPr>
      </w:pPr>
      <w:r w:rsidRPr="00FC68C3">
        <w:rPr>
          <w:lang w:val="fr-FR"/>
        </w:rPr>
        <w:t>6.2.2</w:t>
      </w:r>
      <w:r w:rsidRPr="00FC68C3">
        <w:rPr>
          <w:lang w:val="fr-FR"/>
        </w:rPr>
        <w:tab/>
        <w:t>Grands récipients pour vrac (cf. 6.5</w:t>
      </w:r>
      <w:r w:rsidRPr="00D32D27">
        <w:rPr>
          <w:sz w:val="18"/>
          <w:szCs w:val="18"/>
          <w:vertAlign w:val="superscript"/>
          <w:lang w:val="fr-FR"/>
        </w:rPr>
        <w:t>1</w:t>
      </w:r>
      <w:r w:rsidRPr="00FC68C3">
        <w:rPr>
          <w:lang w:val="fr-FR"/>
        </w:rPr>
        <w:t xml:space="preserve">) ? : </w:t>
      </w:r>
      <w:r w:rsidRPr="00FC68C3">
        <w:rPr>
          <w:b/>
          <w:bCs/>
          <w:lang w:val="fr-FR"/>
        </w:rPr>
        <w:t>non</w:t>
      </w:r>
    </w:p>
    <w:p w14:paraId="69511673" w14:textId="77777777" w:rsidR="006D642D" w:rsidRPr="00FC68C3" w:rsidRDefault="006D642D" w:rsidP="006D642D">
      <w:pPr>
        <w:tabs>
          <w:tab w:val="left" w:pos="1701"/>
          <w:tab w:val="left" w:pos="2268"/>
          <w:tab w:val="left" w:pos="2835"/>
        </w:tabs>
        <w:spacing w:after="120"/>
        <w:ind w:left="2268" w:right="1134" w:hanging="567"/>
        <w:jc w:val="both"/>
        <w:rPr>
          <w:rFonts w:eastAsia="Arial"/>
          <w:b/>
          <w:lang w:val="fr-FR"/>
        </w:rPr>
      </w:pPr>
      <w:r w:rsidRPr="00FC68C3">
        <w:rPr>
          <w:lang w:val="fr-FR"/>
        </w:rPr>
        <w:t>6.2.3</w:t>
      </w:r>
      <w:r w:rsidRPr="00FC68C3">
        <w:rPr>
          <w:lang w:val="fr-FR"/>
        </w:rPr>
        <w:tab/>
        <w:t>Citernes mobiles (cf. 6.7</w:t>
      </w:r>
      <w:r w:rsidRPr="00D32D27">
        <w:rPr>
          <w:sz w:val="18"/>
          <w:szCs w:val="18"/>
          <w:vertAlign w:val="superscript"/>
          <w:lang w:val="fr-FR"/>
        </w:rPr>
        <w:t>1</w:t>
      </w:r>
      <w:r w:rsidRPr="00FC68C3">
        <w:rPr>
          <w:lang w:val="fr-FR"/>
        </w:rPr>
        <w:t xml:space="preserve">) ? : </w:t>
      </w:r>
      <w:r w:rsidRPr="00FC68C3">
        <w:rPr>
          <w:b/>
          <w:bCs/>
          <w:lang w:val="fr-FR"/>
        </w:rPr>
        <w:t>non</w:t>
      </w:r>
    </w:p>
    <w:p w14:paraId="66D73A94" w14:textId="77777777" w:rsidR="006D642D" w:rsidRPr="00FC68C3" w:rsidRDefault="006D642D" w:rsidP="006D642D">
      <w:pPr>
        <w:tabs>
          <w:tab w:val="left" w:pos="1701"/>
          <w:tab w:val="left" w:pos="2268"/>
          <w:tab w:val="left" w:pos="2835"/>
        </w:tabs>
        <w:spacing w:after="120"/>
        <w:ind w:left="1134" w:right="1134"/>
        <w:jc w:val="both"/>
        <w:rPr>
          <w:rFonts w:eastAsia="Arial"/>
          <w:lang w:val="fr-FR"/>
        </w:rPr>
      </w:pPr>
      <w:r w:rsidRPr="00FC68C3">
        <w:t>Si</w:t>
      </w:r>
      <w:r w:rsidRPr="00FC68C3">
        <w:rPr>
          <w:lang w:val="fr-FR"/>
        </w:rPr>
        <w:t xml:space="preserve"> la réponse est affirmative, donner des précisions dans les sections 7, 8 ou 9 ci-dessous, respectivement.</w:t>
      </w:r>
    </w:p>
    <w:p w14:paraId="69EF22D2" w14:textId="77777777" w:rsidR="006D642D" w:rsidRPr="00FC68C3" w:rsidRDefault="006D642D" w:rsidP="006D642D">
      <w:pPr>
        <w:keepNext/>
        <w:keepLines/>
        <w:tabs>
          <w:tab w:val="right" w:pos="851"/>
        </w:tabs>
        <w:spacing w:before="240" w:after="120" w:line="240" w:lineRule="exact"/>
        <w:ind w:left="1134" w:right="1134" w:hanging="1134"/>
        <w:outlineLvl w:val="3"/>
        <w:rPr>
          <w:rFonts w:eastAsia="Arial"/>
          <w:b/>
          <w:lang w:val="fr-FR"/>
        </w:rPr>
      </w:pPr>
      <w:r w:rsidRPr="00FC68C3">
        <w:rPr>
          <w:bCs/>
          <w:lang w:val="fr-FR"/>
        </w:rPr>
        <w:tab/>
      </w:r>
      <w:r w:rsidRPr="00FC68C3">
        <w:rPr>
          <w:bCs/>
          <w:lang w:val="fr-FR"/>
        </w:rPr>
        <w:tab/>
      </w:r>
      <w:r w:rsidRPr="00FC68C3">
        <w:rPr>
          <w:b/>
          <w:lang w:val="fr-FR"/>
        </w:rPr>
        <w:t xml:space="preserve">Section 7. TRANSPORT EN CONTENEURS POUR VRAC </w:t>
      </w:r>
      <w:r w:rsidRPr="00FC68C3">
        <w:rPr>
          <w:b/>
          <w:lang w:val="fr-FR"/>
        </w:rPr>
        <w:br/>
        <w:t>(à ne remplir que si la réponse sous 6.2.1 est « oui »)</w:t>
      </w:r>
    </w:p>
    <w:p w14:paraId="1617B114" w14:textId="77777777" w:rsidR="006D642D" w:rsidRPr="00FC68C3" w:rsidRDefault="006D642D" w:rsidP="006D642D">
      <w:pPr>
        <w:tabs>
          <w:tab w:val="left" w:pos="1701"/>
          <w:tab w:val="left" w:pos="2268"/>
          <w:tab w:val="left" w:pos="2835"/>
        </w:tabs>
        <w:spacing w:after="120"/>
        <w:ind w:left="1701" w:right="1134" w:hanging="567"/>
        <w:jc w:val="both"/>
        <w:rPr>
          <w:rFonts w:eastAsia="Arial"/>
          <w:b/>
          <w:lang w:val="fr-FR"/>
        </w:rPr>
      </w:pPr>
      <w:r w:rsidRPr="00FC68C3">
        <w:rPr>
          <w:lang w:val="fr-FR"/>
        </w:rPr>
        <w:t>7.1</w:t>
      </w:r>
      <w:r w:rsidRPr="00FC68C3">
        <w:rPr>
          <w:lang w:val="fr-FR"/>
        </w:rPr>
        <w:tab/>
        <w:t xml:space="preserve">Type(s) proposé(s) : </w:t>
      </w:r>
      <w:r w:rsidRPr="00FC68C3">
        <w:rPr>
          <w:b/>
          <w:bCs/>
          <w:lang w:val="fr-FR"/>
        </w:rPr>
        <w:t>sans objet</w:t>
      </w:r>
    </w:p>
    <w:p w14:paraId="25F0F720" w14:textId="77777777" w:rsidR="006D642D" w:rsidRPr="00FC68C3" w:rsidRDefault="006D642D" w:rsidP="006D642D">
      <w:pPr>
        <w:keepNext/>
        <w:keepLines/>
        <w:tabs>
          <w:tab w:val="right" w:pos="851"/>
        </w:tabs>
        <w:spacing w:before="240" w:after="120" w:line="240" w:lineRule="exact"/>
        <w:ind w:left="1134" w:right="1134" w:hanging="1134"/>
        <w:outlineLvl w:val="3"/>
        <w:rPr>
          <w:rFonts w:eastAsia="Arial"/>
          <w:b/>
          <w:lang w:val="fr-FR"/>
        </w:rPr>
      </w:pPr>
      <w:r w:rsidRPr="00FC68C3">
        <w:rPr>
          <w:b/>
          <w:lang w:val="fr-FR"/>
        </w:rPr>
        <w:tab/>
      </w:r>
      <w:r w:rsidRPr="00FC68C3">
        <w:rPr>
          <w:b/>
          <w:lang w:val="fr-FR"/>
        </w:rPr>
        <w:tab/>
        <w:t xml:space="preserve">Section 8. TRANSPORT EN GRANDS RÉCIPIENTS POUR VRAC (GRV) </w:t>
      </w:r>
      <w:r w:rsidRPr="00FC68C3">
        <w:rPr>
          <w:b/>
          <w:lang w:val="fr-FR"/>
        </w:rPr>
        <w:br/>
        <w:t>(à ne remplir que si la réponse sous 6.2.2 est « oui »)</w:t>
      </w:r>
    </w:p>
    <w:p w14:paraId="28455C92" w14:textId="77777777"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8.1</w:t>
      </w:r>
      <w:r w:rsidRPr="00FC68C3">
        <w:rPr>
          <w:lang w:val="fr-FR"/>
        </w:rPr>
        <w:tab/>
        <w:t xml:space="preserve">Type(s) proposé(s) : </w:t>
      </w:r>
      <w:r w:rsidRPr="00FC68C3">
        <w:rPr>
          <w:b/>
          <w:bCs/>
          <w:lang w:val="fr-FR"/>
        </w:rPr>
        <w:t>sans objet</w:t>
      </w:r>
    </w:p>
    <w:p w14:paraId="07FD0DA2" w14:textId="77777777" w:rsidR="006D642D" w:rsidRPr="00FC68C3" w:rsidRDefault="006D642D" w:rsidP="006D642D">
      <w:pPr>
        <w:keepNext/>
        <w:keepLines/>
        <w:tabs>
          <w:tab w:val="right" w:pos="851"/>
        </w:tabs>
        <w:spacing w:before="240" w:after="120" w:line="240" w:lineRule="exact"/>
        <w:ind w:left="1134" w:right="1134" w:hanging="1134"/>
        <w:outlineLvl w:val="3"/>
        <w:rPr>
          <w:rFonts w:eastAsia="Arial"/>
          <w:b/>
          <w:lang w:val="fr-FR"/>
        </w:rPr>
      </w:pPr>
      <w:r w:rsidRPr="00FC68C3">
        <w:rPr>
          <w:bCs/>
          <w:lang w:val="fr-FR"/>
        </w:rPr>
        <w:tab/>
      </w:r>
      <w:r w:rsidRPr="00FC68C3">
        <w:rPr>
          <w:b/>
          <w:lang w:val="fr-FR"/>
        </w:rPr>
        <w:tab/>
        <w:t xml:space="preserve">Section 9. TRANSPORT EN CITERNES MOBILES </w:t>
      </w:r>
      <w:r w:rsidRPr="00FC68C3">
        <w:rPr>
          <w:b/>
          <w:lang w:val="fr-FR"/>
        </w:rPr>
        <w:br/>
        <w:t>(à ne remplir que si la réponse sous 6.2.3 est « oui »)</w:t>
      </w:r>
    </w:p>
    <w:p w14:paraId="1200A2FF" w14:textId="1B895FB2"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9.1</w:t>
      </w:r>
      <w:r w:rsidRPr="00FC68C3">
        <w:rPr>
          <w:lang w:val="fr-FR"/>
        </w:rPr>
        <w:tab/>
        <w:t>Description de la citerne mobile prévue (y compris le type de citerne OMI s</w:t>
      </w:r>
      <w:r>
        <w:rPr>
          <w:lang w:val="fr-FR"/>
        </w:rPr>
        <w:t>’</w:t>
      </w:r>
      <w:r w:rsidRPr="00FC68C3">
        <w:rPr>
          <w:lang w:val="fr-FR"/>
        </w:rPr>
        <w:t xml:space="preserve">il est connu) : </w:t>
      </w:r>
      <w:r w:rsidRPr="00FC68C3">
        <w:rPr>
          <w:b/>
          <w:bCs/>
          <w:lang w:val="fr-FR"/>
        </w:rPr>
        <w:t>sans objet</w:t>
      </w:r>
    </w:p>
    <w:p w14:paraId="3D79CB62" w14:textId="3ADE166A"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9.2</w:t>
      </w:r>
      <w:r w:rsidRPr="00FC68C3">
        <w:rPr>
          <w:lang w:val="fr-FR"/>
        </w:rPr>
        <w:tab/>
        <w:t>Pression minimale d</w:t>
      </w:r>
      <w:r>
        <w:rPr>
          <w:lang w:val="fr-FR"/>
        </w:rPr>
        <w:t>’</w:t>
      </w:r>
      <w:r w:rsidRPr="00FC68C3">
        <w:rPr>
          <w:lang w:val="fr-FR"/>
        </w:rPr>
        <w:t xml:space="preserve">épreuve : </w:t>
      </w:r>
      <w:r w:rsidRPr="00FC68C3">
        <w:rPr>
          <w:b/>
          <w:bCs/>
          <w:lang w:val="fr-FR"/>
        </w:rPr>
        <w:t>sans objet</w:t>
      </w:r>
    </w:p>
    <w:p w14:paraId="047C31AB" w14:textId="77777777"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9.3</w:t>
      </w:r>
      <w:r w:rsidRPr="00FC68C3">
        <w:rPr>
          <w:lang w:val="fr-FR"/>
        </w:rPr>
        <w:tab/>
        <w:t xml:space="preserve">Épaisseur minimale du réservoir : </w:t>
      </w:r>
      <w:r w:rsidRPr="00FC68C3">
        <w:rPr>
          <w:b/>
          <w:bCs/>
          <w:lang w:val="fr-FR"/>
        </w:rPr>
        <w:t>sans objet</w:t>
      </w:r>
    </w:p>
    <w:p w14:paraId="2B8A100A" w14:textId="5220DC1A"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9.4</w:t>
      </w:r>
      <w:r w:rsidRPr="00FC68C3">
        <w:rPr>
          <w:lang w:val="fr-FR"/>
        </w:rPr>
        <w:tab/>
        <w:t>Caractéristiques des orifices de vidange par le bas, s</w:t>
      </w:r>
      <w:r>
        <w:rPr>
          <w:lang w:val="fr-FR"/>
        </w:rPr>
        <w:t>’</w:t>
      </w:r>
      <w:r w:rsidRPr="00FC68C3">
        <w:rPr>
          <w:lang w:val="fr-FR"/>
        </w:rPr>
        <w:t xml:space="preserve">ils existent : </w:t>
      </w:r>
      <w:r w:rsidRPr="00FC68C3">
        <w:rPr>
          <w:b/>
          <w:bCs/>
          <w:lang w:val="fr-FR"/>
        </w:rPr>
        <w:t>sans objet</w:t>
      </w:r>
    </w:p>
    <w:p w14:paraId="6A961BD5" w14:textId="77777777"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9.5</w:t>
      </w:r>
      <w:r w:rsidRPr="00FC68C3">
        <w:rPr>
          <w:lang w:val="fr-FR"/>
        </w:rPr>
        <w:tab/>
        <w:t xml:space="preserve">Dispositifs de décompression : </w:t>
      </w:r>
      <w:r w:rsidRPr="00FC68C3">
        <w:rPr>
          <w:b/>
          <w:bCs/>
          <w:lang w:val="fr-FR"/>
        </w:rPr>
        <w:t>sans objet</w:t>
      </w:r>
    </w:p>
    <w:p w14:paraId="1BB6B02B" w14:textId="77777777" w:rsidR="006D642D" w:rsidRPr="00FC68C3" w:rsidRDefault="006D642D" w:rsidP="006D642D">
      <w:pPr>
        <w:tabs>
          <w:tab w:val="left" w:pos="1701"/>
          <w:tab w:val="left" w:pos="2268"/>
          <w:tab w:val="left" w:pos="2835"/>
        </w:tabs>
        <w:spacing w:after="120"/>
        <w:ind w:left="1701" w:right="1134" w:hanging="567"/>
        <w:jc w:val="both"/>
        <w:rPr>
          <w:rFonts w:eastAsia="Arial"/>
          <w:lang w:val="fr-FR"/>
        </w:rPr>
      </w:pPr>
      <w:r w:rsidRPr="00FC68C3">
        <w:rPr>
          <w:lang w:val="fr-FR"/>
        </w:rPr>
        <w:t>9.6</w:t>
      </w:r>
      <w:r w:rsidRPr="00FC68C3">
        <w:rPr>
          <w:lang w:val="fr-FR"/>
        </w:rPr>
        <w:tab/>
        <w:t xml:space="preserve">Taux de remplissage : </w:t>
      </w:r>
      <w:r w:rsidRPr="00FC68C3">
        <w:rPr>
          <w:b/>
          <w:bCs/>
          <w:lang w:val="fr-FR"/>
        </w:rPr>
        <w:t>sans objet</w:t>
      </w:r>
    </w:p>
    <w:p w14:paraId="4A9129C7" w14:textId="77777777" w:rsidR="006D642D" w:rsidRPr="00FC68C3" w:rsidRDefault="006D642D" w:rsidP="006D642D">
      <w:pPr>
        <w:tabs>
          <w:tab w:val="left" w:pos="1701"/>
          <w:tab w:val="left" w:pos="2268"/>
          <w:tab w:val="left" w:pos="2835"/>
        </w:tabs>
        <w:spacing w:after="120"/>
        <w:ind w:left="1701" w:right="1134" w:hanging="567"/>
        <w:jc w:val="both"/>
        <w:rPr>
          <w:rFonts w:eastAsia="Arial"/>
          <w:i/>
          <w:lang w:val="fr-FR"/>
        </w:rPr>
      </w:pPr>
      <w:r w:rsidRPr="00FC68C3">
        <w:rPr>
          <w:lang w:val="fr-FR"/>
        </w:rPr>
        <w:t>9.7</w:t>
      </w:r>
      <w:r w:rsidRPr="00FC68C3">
        <w:rPr>
          <w:lang w:val="fr-FR"/>
        </w:rPr>
        <w:tab/>
        <w:t xml:space="preserve">Matériaux à ne pas utiliser pour la construction : </w:t>
      </w:r>
      <w:r w:rsidRPr="00FC68C3">
        <w:rPr>
          <w:b/>
          <w:bCs/>
          <w:lang w:val="fr-FR"/>
        </w:rPr>
        <w:t>sans objet</w:t>
      </w:r>
    </w:p>
    <w:p w14:paraId="3DFC8E0F" w14:textId="77777777" w:rsidR="006D642D" w:rsidRPr="00FC68C3" w:rsidRDefault="006D642D" w:rsidP="006D642D">
      <w:pPr>
        <w:rPr>
          <w:lang w:val="fr-FR"/>
        </w:rPr>
      </w:pPr>
      <w:r w:rsidRPr="00FC68C3">
        <w:rPr>
          <w:lang w:val="fr-FR"/>
        </w:rPr>
        <w:br w:type="page"/>
      </w:r>
    </w:p>
    <w:p w14:paraId="1CE2BC54" w14:textId="77777777" w:rsidR="006D642D" w:rsidRPr="00FC68C3" w:rsidRDefault="006D642D" w:rsidP="006D642D">
      <w:pPr>
        <w:keepNext/>
        <w:keepLines/>
        <w:tabs>
          <w:tab w:val="right" w:pos="851"/>
        </w:tabs>
        <w:spacing w:before="360" w:after="240" w:line="300" w:lineRule="exact"/>
        <w:ind w:left="1134" w:right="1134" w:hanging="1134"/>
        <w:outlineLvl w:val="1"/>
        <w:rPr>
          <w:rFonts w:eastAsia="Arial"/>
          <w:b/>
          <w:sz w:val="28"/>
          <w:lang w:val="fr-FR"/>
        </w:rPr>
      </w:pPr>
      <w:r w:rsidRPr="00FC68C3">
        <w:rPr>
          <w:b/>
          <w:sz w:val="28"/>
          <w:lang w:val="fr-FR"/>
        </w:rPr>
        <w:t>Annexe II</w:t>
      </w:r>
    </w:p>
    <w:p w14:paraId="415FA50D" w14:textId="77777777" w:rsidR="006D642D" w:rsidRPr="00FC68C3" w:rsidRDefault="006D642D" w:rsidP="006D642D">
      <w:pPr>
        <w:keepNext/>
        <w:keepLines/>
        <w:tabs>
          <w:tab w:val="right" w:pos="851"/>
        </w:tabs>
        <w:spacing w:before="360" w:after="240" w:line="300" w:lineRule="exact"/>
        <w:ind w:left="1134" w:right="1134" w:hanging="1134"/>
        <w:outlineLvl w:val="1"/>
        <w:rPr>
          <w:b/>
          <w:sz w:val="28"/>
          <w:lang w:val="fr-FR"/>
        </w:rPr>
      </w:pPr>
      <w:r w:rsidRPr="00FC68C3">
        <w:rPr>
          <w:b/>
          <w:sz w:val="28"/>
          <w:lang w:val="fr-FR"/>
        </w:rPr>
        <w:tab/>
      </w:r>
      <w:r w:rsidRPr="00FC68C3">
        <w:rPr>
          <w:b/>
          <w:sz w:val="28"/>
          <w:lang w:val="fr-FR"/>
        </w:rPr>
        <w:tab/>
        <w:t xml:space="preserve">Taux de remplissage du </w:t>
      </w:r>
      <w:proofErr w:type="spellStart"/>
      <w:r w:rsidRPr="00FC68C3">
        <w:rPr>
          <w:b/>
          <w:sz w:val="28"/>
          <w:lang w:val="fr-FR"/>
        </w:rPr>
        <w:t>disilane</w:t>
      </w:r>
      <w:proofErr w:type="spellEnd"/>
    </w:p>
    <w:p w14:paraId="0D4BC8F4" w14:textId="09D41168" w:rsidR="006D642D" w:rsidRDefault="006D642D" w:rsidP="006D642D">
      <w:pPr>
        <w:tabs>
          <w:tab w:val="left" w:pos="1701"/>
          <w:tab w:val="left" w:pos="2268"/>
          <w:tab w:val="left" w:pos="2835"/>
        </w:tabs>
        <w:spacing w:after="120"/>
        <w:ind w:left="1134" w:right="1134"/>
        <w:jc w:val="both"/>
        <w:rPr>
          <w:lang w:val="fr-FR"/>
        </w:rPr>
      </w:pPr>
      <w:r>
        <w:rPr>
          <w:lang w:val="fr-FR"/>
        </w:rPr>
        <w:t>1.</w:t>
      </w:r>
      <w:r>
        <w:rPr>
          <w:lang w:val="fr-FR"/>
        </w:rPr>
        <w:tab/>
      </w:r>
      <w:r w:rsidRPr="00FC68C3">
        <w:rPr>
          <w:lang w:val="fr-FR"/>
        </w:rPr>
        <w:t>Comme il n</w:t>
      </w:r>
      <w:r>
        <w:rPr>
          <w:lang w:val="fr-FR"/>
        </w:rPr>
        <w:t>’</w:t>
      </w:r>
      <w:r w:rsidRPr="00FC68C3">
        <w:rPr>
          <w:lang w:val="fr-FR"/>
        </w:rPr>
        <w:t xml:space="preserve">existe pas de données sur le taux de remplissage du </w:t>
      </w:r>
      <w:proofErr w:type="spellStart"/>
      <w:r w:rsidRPr="00FC68C3">
        <w:rPr>
          <w:lang w:val="fr-FR"/>
        </w:rPr>
        <w:t>disilane</w:t>
      </w:r>
      <w:proofErr w:type="spellEnd"/>
      <w:r w:rsidRPr="00FC68C3">
        <w:rPr>
          <w:lang w:val="fr-FR"/>
        </w:rPr>
        <w:t>, celui-ci a été calculé à l</w:t>
      </w:r>
      <w:r>
        <w:rPr>
          <w:lang w:val="fr-FR"/>
        </w:rPr>
        <w:t>’</w:t>
      </w:r>
      <w:r w:rsidRPr="00FC68C3">
        <w:rPr>
          <w:lang w:val="fr-FR"/>
        </w:rPr>
        <w:t>aide de la formule énoncée au 3) c) de l</w:t>
      </w:r>
      <w:r>
        <w:rPr>
          <w:lang w:val="fr-FR"/>
        </w:rPr>
        <w:t>’</w:t>
      </w:r>
      <w:r w:rsidRPr="00FC68C3">
        <w:rPr>
          <w:lang w:val="fr-FR"/>
        </w:rPr>
        <w:t>instruction d</w:t>
      </w:r>
      <w:r>
        <w:rPr>
          <w:lang w:val="fr-FR"/>
        </w:rPr>
        <w:t>’</w:t>
      </w:r>
      <w:r w:rsidRPr="00FC68C3">
        <w:rPr>
          <w:lang w:val="fr-FR"/>
        </w:rPr>
        <w:t>emballage P200</w:t>
      </w:r>
      <w:r>
        <w:rPr>
          <w:lang w:val="fr-FR"/>
        </w:rPr>
        <w:t>.</w:t>
      </w:r>
    </w:p>
    <w:p w14:paraId="2F68FB54" w14:textId="77777777" w:rsidR="006D642D" w:rsidRPr="00FC68C3" w:rsidRDefault="006D642D" w:rsidP="006D642D">
      <w:pPr>
        <w:tabs>
          <w:tab w:val="left" w:pos="1701"/>
          <w:tab w:val="left" w:pos="2268"/>
          <w:tab w:val="left" w:pos="2835"/>
        </w:tabs>
        <w:spacing w:after="120"/>
        <w:ind w:left="1134" w:right="1134"/>
        <w:jc w:val="both"/>
        <w:rPr>
          <w:lang w:val="fr-FR"/>
        </w:rPr>
      </w:pPr>
      <w:r>
        <w:rPr>
          <w:lang w:val="fr-FR"/>
        </w:rPr>
        <w:t>2.</w:t>
      </w:r>
      <w:r>
        <w:rPr>
          <w:lang w:val="fr-FR"/>
        </w:rPr>
        <w:tab/>
        <w:t>P</w:t>
      </w:r>
      <w:r w:rsidRPr="00FC68C3">
        <w:rPr>
          <w:lang w:val="fr-FR"/>
        </w:rPr>
        <w:t xml:space="preserve">our les gaz liquéfiés à basse pression et les mélanges de gaz pour lesquels les données de remplissage pertinentes ne sont pas disponibles, </w:t>
      </w:r>
      <w:r>
        <w:rPr>
          <w:lang w:val="fr-FR"/>
        </w:rPr>
        <w:t>le taux de remplissage maximal doit être déterminé comme suit </w:t>
      </w:r>
      <w:r w:rsidRPr="00FC68C3">
        <w:rPr>
          <w:lang w:val="fr-FR"/>
        </w:rPr>
        <w:t>:</w:t>
      </w:r>
    </w:p>
    <w:p w14:paraId="697E9251" w14:textId="184759FD" w:rsidR="006D642D" w:rsidRPr="00FC68C3" w:rsidRDefault="006D642D" w:rsidP="006D642D">
      <w:pPr>
        <w:tabs>
          <w:tab w:val="left" w:pos="1701"/>
          <w:tab w:val="left" w:pos="2268"/>
          <w:tab w:val="left" w:pos="2835"/>
        </w:tabs>
        <w:spacing w:after="120"/>
        <w:ind w:left="1134" w:right="1134"/>
        <w:jc w:val="center"/>
        <w:rPr>
          <w:vertAlign w:val="subscript"/>
          <w:lang w:val="fr-FR"/>
        </w:rPr>
      </w:pPr>
      <w:r w:rsidRPr="00FC68C3">
        <w:rPr>
          <w:lang w:val="fr-FR"/>
        </w:rPr>
        <w:t xml:space="preserve">FR = (0,0032 x BP </w:t>
      </w:r>
      <w:r w:rsidR="00ED64A0">
        <w:rPr>
          <w:lang w:val="fr-FR"/>
        </w:rPr>
        <w:t>−</w:t>
      </w:r>
      <w:r w:rsidRPr="00FC68C3">
        <w:rPr>
          <w:lang w:val="fr-FR"/>
        </w:rPr>
        <w:t xml:space="preserve"> 0,24) x d</w:t>
      </w:r>
      <w:r w:rsidRPr="00FC68C3">
        <w:rPr>
          <w:vertAlign w:val="subscript"/>
          <w:lang w:val="fr-FR"/>
        </w:rPr>
        <w:t>1</w:t>
      </w:r>
    </w:p>
    <w:p w14:paraId="37C00E3C" w14:textId="77777777" w:rsidR="006D642D" w:rsidRPr="00FC68C3" w:rsidRDefault="006D642D" w:rsidP="00ED64A0">
      <w:pPr>
        <w:tabs>
          <w:tab w:val="left" w:pos="1701"/>
          <w:tab w:val="left" w:pos="2268"/>
          <w:tab w:val="left" w:pos="2835"/>
        </w:tabs>
        <w:spacing w:after="120"/>
        <w:ind w:left="1134" w:right="1134"/>
        <w:jc w:val="both"/>
        <w:rPr>
          <w:lang w:val="fr-FR"/>
        </w:rPr>
      </w:pPr>
      <w:proofErr w:type="gramStart"/>
      <w:r w:rsidRPr="00FC68C3">
        <w:rPr>
          <w:lang w:val="fr-FR"/>
        </w:rPr>
        <w:t>où</w:t>
      </w:r>
      <w:proofErr w:type="gramEnd"/>
      <w:r w:rsidRPr="00FC68C3">
        <w:rPr>
          <w:lang w:val="fr-FR"/>
        </w:rPr>
        <w:t> :</w:t>
      </w:r>
      <w:r>
        <w:rPr>
          <w:lang w:val="fr-FR"/>
        </w:rPr>
        <w:tab/>
      </w:r>
      <w:r w:rsidRPr="00FC68C3">
        <w:rPr>
          <w:lang w:val="fr-FR"/>
        </w:rPr>
        <w:t>FR = taux de remplissage maximal ;</w:t>
      </w:r>
    </w:p>
    <w:p w14:paraId="5DEEE159" w14:textId="1F444803" w:rsidR="006D642D" w:rsidRPr="00FC68C3" w:rsidRDefault="006D642D" w:rsidP="00ED64A0">
      <w:pPr>
        <w:tabs>
          <w:tab w:val="left" w:pos="1701"/>
          <w:tab w:val="left" w:pos="2268"/>
          <w:tab w:val="left" w:pos="2835"/>
        </w:tabs>
        <w:spacing w:after="120"/>
        <w:ind w:left="1701" w:right="1134"/>
        <w:jc w:val="both"/>
        <w:rPr>
          <w:lang w:val="fr-FR"/>
        </w:rPr>
      </w:pPr>
      <w:r w:rsidRPr="00FC68C3">
        <w:rPr>
          <w:lang w:val="fr-FR"/>
        </w:rPr>
        <w:t>BP = point d</w:t>
      </w:r>
      <w:r>
        <w:rPr>
          <w:lang w:val="fr-FR"/>
        </w:rPr>
        <w:t>’</w:t>
      </w:r>
      <w:r w:rsidRPr="00FC68C3">
        <w:rPr>
          <w:lang w:val="fr-FR"/>
        </w:rPr>
        <w:t>ébullition (en K) ;</w:t>
      </w:r>
    </w:p>
    <w:p w14:paraId="3047ED19" w14:textId="12294D24" w:rsidR="006D642D" w:rsidRPr="00FC68C3" w:rsidRDefault="006D642D" w:rsidP="00ED64A0">
      <w:pPr>
        <w:tabs>
          <w:tab w:val="left" w:pos="1701"/>
          <w:tab w:val="left" w:pos="2268"/>
          <w:tab w:val="left" w:pos="2835"/>
        </w:tabs>
        <w:spacing w:after="120"/>
        <w:ind w:left="1701" w:right="1134"/>
        <w:jc w:val="both"/>
        <w:rPr>
          <w:lang w:val="fr-FR"/>
        </w:rPr>
      </w:pPr>
      <w:proofErr w:type="gramStart"/>
      <w:r w:rsidRPr="00FC68C3">
        <w:rPr>
          <w:lang w:val="fr-FR"/>
        </w:rPr>
        <w:t>d</w:t>
      </w:r>
      <w:proofErr w:type="gramEnd"/>
      <w:r w:rsidRPr="00FC68C3">
        <w:rPr>
          <w:vertAlign w:val="subscript"/>
          <w:lang w:val="fr-FR"/>
        </w:rPr>
        <w:t>1</w:t>
      </w:r>
      <w:r w:rsidRPr="00FC68C3">
        <w:rPr>
          <w:lang w:val="fr-FR"/>
        </w:rPr>
        <w:t> = masse volumique du liquide au point d</w:t>
      </w:r>
      <w:r>
        <w:rPr>
          <w:lang w:val="fr-FR"/>
        </w:rPr>
        <w:t>’</w:t>
      </w:r>
      <w:r w:rsidRPr="00FC68C3">
        <w:rPr>
          <w:lang w:val="fr-FR"/>
        </w:rPr>
        <w:t>ébullition (en kg/l).</w:t>
      </w:r>
    </w:p>
    <w:p w14:paraId="525FA2C9" w14:textId="77777777" w:rsidR="006D642D" w:rsidRPr="00FC68C3" w:rsidRDefault="006D642D" w:rsidP="006D642D">
      <w:pPr>
        <w:tabs>
          <w:tab w:val="left" w:pos="1701"/>
          <w:tab w:val="left" w:pos="2268"/>
          <w:tab w:val="left" w:pos="2835"/>
        </w:tabs>
        <w:spacing w:after="120"/>
        <w:ind w:left="1134" w:right="1134"/>
        <w:jc w:val="both"/>
        <w:rPr>
          <w:lang w:val="fr-FR"/>
        </w:rPr>
      </w:pPr>
      <w:r>
        <w:rPr>
          <w:lang w:val="fr-FR"/>
        </w:rPr>
        <w:t>3.</w:t>
      </w:r>
      <w:r>
        <w:rPr>
          <w:lang w:val="fr-FR"/>
        </w:rPr>
        <w:tab/>
      </w:r>
      <w:r w:rsidRPr="00FC68C3">
        <w:rPr>
          <w:lang w:val="fr-FR"/>
        </w:rPr>
        <w:t xml:space="preserve">Pour le </w:t>
      </w:r>
      <w:proofErr w:type="spellStart"/>
      <w:r w:rsidRPr="00FC68C3">
        <w:rPr>
          <w:lang w:val="fr-FR"/>
        </w:rPr>
        <w:t>disilane</w:t>
      </w:r>
      <w:proofErr w:type="spellEnd"/>
      <w:r w:rsidRPr="00FC68C3">
        <w:rPr>
          <w:lang w:val="fr-FR"/>
        </w:rPr>
        <w:t> :</w:t>
      </w:r>
    </w:p>
    <w:p w14:paraId="39F4D688" w14:textId="55AD6DAF" w:rsidR="006D642D" w:rsidRPr="00FC68C3" w:rsidRDefault="006D642D" w:rsidP="00ED64A0">
      <w:pPr>
        <w:tabs>
          <w:tab w:val="left" w:pos="1701"/>
          <w:tab w:val="left" w:pos="2268"/>
          <w:tab w:val="left" w:pos="2835"/>
        </w:tabs>
        <w:spacing w:after="120"/>
        <w:ind w:left="1134" w:right="1134"/>
        <w:jc w:val="both"/>
        <w:rPr>
          <w:lang w:val="fr-FR"/>
        </w:rPr>
      </w:pPr>
      <w:r w:rsidRPr="00FC68C3">
        <w:rPr>
          <w:lang w:val="fr-FR"/>
        </w:rPr>
        <w:t>Point d</w:t>
      </w:r>
      <w:r>
        <w:rPr>
          <w:lang w:val="fr-FR"/>
        </w:rPr>
        <w:t>’</w:t>
      </w:r>
      <w:r w:rsidRPr="00FC68C3">
        <w:rPr>
          <w:lang w:val="fr-FR"/>
        </w:rPr>
        <w:t>ébullition (en kelvins) = (273,15 + (-14,3)) = 258,85 K</w:t>
      </w:r>
    </w:p>
    <w:p w14:paraId="00D6ED43" w14:textId="77777777" w:rsidR="006D642D" w:rsidRPr="00FC68C3" w:rsidRDefault="006D642D" w:rsidP="006D642D">
      <w:pPr>
        <w:tabs>
          <w:tab w:val="left" w:pos="1701"/>
          <w:tab w:val="left" w:pos="2268"/>
          <w:tab w:val="left" w:pos="2835"/>
        </w:tabs>
        <w:spacing w:after="120"/>
        <w:ind w:left="1134" w:right="1134"/>
        <w:jc w:val="both"/>
        <w:rPr>
          <w:lang w:val="fr-FR"/>
        </w:rPr>
      </w:pPr>
      <w:r w:rsidRPr="00FC68C3">
        <w:rPr>
          <w:lang w:val="fr-FR"/>
        </w:rPr>
        <w:t>Masse volumique (d</w:t>
      </w:r>
      <w:r w:rsidRPr="00FC68C3">
        <w:rPr>
          <w:vertAlign w:val="subscript"/>
          <w:lang w:val="fr-FR"/>
        </w:rPr>
        <w:t>1</w:t>
      </w:r>
      <w:r w:rsidRPr="00FC68C3">
        <w:rPr>
          <w:lang w:val="fr-FR"/>
        </w:rPr>
        <w:t>) = 0,675</w:t>
      </w:r>
    </w:p>
    <w:p w14:paraId="5058CC40" w14:textId="0C4F8D20" w:rsidR="006D642D" w:rsidRPr="00FC68C3" w:rsidRDefault="006D642D" w:rsidP="006D642D">
      <w:pPr>
        <w:tabs>
          <w:tab w:val="left" w:pos="1701"/>
          <w:tab w:val="left" w:pos="2268"/>
          <w:tab w:val="left" w:pos="2835"/>
        </w:tabs>
        <w:spacing w:after="120"/>
        <w:ind w:left="1134" w:right="1134"/>
        <w:jc w:val="both"/>
        <w:rPr>
          <w:lang w:val="fr-FR"/>
        </w:rPr>
      </w:pPr>
      <w:r w:rsidRPr="00FC68C3">
        <w:rPr>
          <w:lang w:val="fr-FR"/>
        </w:rPr>
        <w:t>FR = ((0,0032 x 258,85</w:t>
      </w:r>
      <w:proofErr w:type="gramStart"/>
      <w:r w:rsidRPr="00FC68C3">
        <w:rPr>
          <w:lang w:val="fr-FR"/>
        </w:rPr>
        <w:t>)</w:t>
      </w:r>
      <w:r w:rsidR="00ED64A0">
        <w:rPr>
          <w:lang w:val="fr-FR"/>
        </w:rPr>
        <w:t xml:space="preserve">  −</w:t>
      </w:r>
      <w:proofErr w:type="gramEnd"/>
      <w:r w:rsidRPr="00FC68C3">
        <w:rPr>
          <w:lang w:val="fr-FR"/>
        </w:rPr>
        <w:t xml:space="preserve"> 0,24) x 0,675</w:t>
      </w:r>
    </w:p>
    <w:p w14:paraId="71CB0129" w14:textId="11E5B0EC" w:rsidR="006D642D" w:rsidRDefault="006D642D" w:rsidP="006D642D">
      <w:pPr>
        <w:pStyle w:val="SingleTxtG"/>
        <w:rPr>
          <w:lang w:val="fr-FR"/>
        </w:rPr>
      </w:pPr>
      <w:r w:rsidRPr="007762FD">
        <w:rPr>
          <w:lang w:val="fr-FR"/>
        </w:rPr>
        <w:t>4.</w:t>
      </w:r>
      <w:r w:rsidRPr="007762FD">
        <w:rPr>
          <w:lang w:val="fr-FR"/>
        </w:rPr>
        <w:tab/>
        <w:t xml:space="preserve">On obtient un taux de remplissage de 0,397, qui a été arrondi à </w:t>
      </w:r>
      <w:r>
        <w:rPr>
          <w:lang w:val="fr-FR"/>
        </w:rPr>
        <w:t xml:space="preserve">0,39. Ainsi, </w:t>
      </w:r>
      <w:r w:rsidRPr="007762FD">
        <w:rPr>
          <w:lang w:val="fr-FR"/>
        </w:rPr>
        <w:t>FR = 0,39.</w:t>
      </w:r>
    </w:p>
    <w:p w14:paraId="33C11B10" w14:textId="7955C297" w:rsidR="006D642D" w:rsidRPr="006D642D" w:rsidRDefault="006D642D" w:rsidP="006D642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D642D" w:rsidRPr="006D642D" w:rsidSect="006D642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C821" w14:textId="77777777" w:rsidR="001D24C6" w:rsidRDefault="001D24C6" w:rsidP="00F95C08">
      <w:pPr>
        <w:spacing w:line="240" w:lineRule="auto"/>
      </w:pPr>
    </w:p>
  </w:endnote>
  <w:endnote w:type="continuationSeparator" w:id="0">
    <w:p w14:paraId="440A7261" w14:textId="77777777" w:rsidR="001D24C6" w:rsidRPr="00AC3823" w:rsidRDefault="001D24C6" w:rsidP="00AC3823">
      <w:pPr>
        <w:pStyle w:val="Footer"/>
      </w:pPr>
    </w:p>
  </w:endnote>
  <w:endnote w:type="continuationNotice" w:id="1">
    <w:p w14:paraId="3614FE4D" w14:textId="77777777" w:rsidR="001D24C6" w:rsidRDefault="001D24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CE84" w14:textId="6779C5E3" w:rsidR="006D642D" w:rsidRPr="006D642D" w:rsidRDefault="006D642D" w:rsidP="006D642D">
    <w:pPr>
      <w:pStyle w:val="Footer"/>
      <w:tabs>
        <w:tab w:val="right" w:pos="9638"/>
      </w:tabs>
    </w:pPr>
    <w:r w:rsidRPr="006D642D">
      <w:rPr>
        <w:b/>
        <w:sz w:val="18"/>
      </w:rPr>
      <w:fldChar w:fldCharType="begin"/>
    </w:r>
    <w:r w:rsidRPr="006D642D">
      <w:rPr>
        <w:b/>
        <w:sz w:val="18"/>
      </w:rPr>
      <w:instrText xml:space="preserve"> PAGE  \* MERGEFORMAT </w:instrText>
    </w:r>
    <w:r w:rsidRPr="006D642D">
      <w:rPr>
        <w:b/>
        <w:sz w:val="18"/>
      </w:rPr>
      <w:fldChar w:fldCharType="separate"/>
    </w:r>
    <w:r w:rsidRPr="006D642D">
      <w:rPr>
        <w:b/>
        <w:noProof/>
        <w:sz w:val="18"/>
      </w:rPr>
      <w:t>2</w:t>
    </w:r>
    <w:r w:rsidRPr="006D642D">
      <w:rPr>
        <w:b/>
        <w:sz w:val="18"/>
      </w:rPr>
      <w:fldChar w:fldCharType="end"/>
    </w:r>
    <w:r>
      <w:rPr>
        <w:b/>
        <w:sz w:val="18"/>
      </w:rPr>
      <w:tab/>
    </w:r>
    <w:r>
      <w:t>GE.22-04903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955E" w14:textId="31E7E599" w:rsidR="006D642D" w:rsidRPr="006D642D" w:rsidRDefault="006D642D" w:rsidP="006D642D">
    <w:pPr>
      <w:pStyle w:val="Footer"/>
      <w:tabs>
        <w:tab w:val="right" w:pos="9638"/>
      </w:tabs>
      <w:rPr>
        <w:b/>
        <w:sz w:val="18"/>
      </w:rPr>
    </w:pPr>
    <w:r>
      <w:t>GE.22-04903</w:t>
    </w:r>
    <w:r>
      <w:tab/>
    </w:r>
    <w:r w:rsidRPr="006D642D">
      <w:rPr>
        <w:b/>
        <w:sz w:val="18"/>
      </w:rPr>
      <w:fldChar w:fldCharType="begin"/>
    </w:r>
    <w:r w:rsidRPr="006D642D">
      <w:rPr>
        <w:b/>
        <w:sz w:val="18"/>
      </w:rPr>
      <w:instrText xml:space="preserve"> PAGE  \* MERGEFORMAT </w:instrText>
    </w:r>
    <w:r w:rsidRPr="006D642D">
      <w:rPr>
        <w:b/>
        <w:sz w:val="18"/>
      </w:rPr>
      <w:fldChar w:fldCharType="separate"/>
    </w:r>
    <w:r w:rsidRPr="006D642D">
      <w:rPr>
        <w:b/>
        <w:noProof/>
        <w:sz w:val="18"/>
      </w:rPr>
      <w:t>3</w:t>
    </w:r>
    <w:r w:rsidRPr="006D64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0F3E" w14:textId="2EBCB508" w:rsidR="0068456F" w:rsidRPr="006D642D" w:rsidRDefault="006D642D" w:rsidP="006D642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EB8DD1A" wp14:editId="6CE3EF7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04903  (</w:t>
    </w:r>
    <w:proofErr w:type="gramEnd"/>
    <w:r>
      <w:rPr>
        <w:sz w:val="20"/>
      </w:rPr>
      <w:t>F)</w:t>
    </w:r>
    <w:r>
      <w:rPr>
        <w:noProof/>
        <w:sz w:val="20"/>
      </w:rPr>
      <w:drawing>
        <wp:anchor distT="0" distB="0" distL="114300" distR="114300" simplePos="0" relativeHeight="251660288" behindDoc="0" locked="0" layoutInCell="1" allowOverlap="1" wp14:anchorId="0DF4BEEB" wp14:editId="43BAD32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58D6" w14:textId="77777777" w:rsidR="001D24C6" w:rsidRPr="00AC3823" w:rsidRDefault="001D24C6" w:rsidP="00AC3823">
      <w:pPr>
        <w:pStyle w:val="Footer"/>
        <w:tabs>
          <w:tab w:val="right" w:pos="2155"/>
        </w:tabs>
        <w:spacing w:after="80" w:line="240" w:lineRule="atLeast"/>
        <w:ind w:left="680"/>
        <w:rPr>
          <w:u w:val="single"/>
        </w:rPr>
      </w:pPr>
      <w:r>
        <w:rPr>
          <w:u w:val="single"/>
        </w:rPr>
        <w:tab/>
      </w:r>
    </w:p>
  </w:footnote>
  <w:footnote w:type="continuationSeparator" w:id="0">
    <w:p w14:paraId="09F1B586" w14:textId="77777777" w:rsidR="001D24C6" w:rsidRPr="00AC3823" w:rsidRDefault="001D24C6" w:rsidP="00AC3823">
      <w:pPr>
        <w:pStyle w:val="Footer"/>
        <w:tabs>
          <w:tab w:val="right" w:pos="2155"/>
        </w:tabs>
        <w:spacing w:after="80" w:line="240" w:lineRule="atLeast"/>
        <w:ind w:left="680"/>
        <w:rPr>
          <w:u w:val="single"/>
        </w:rPr>
      </w:pPr>
      <w:r>
        <w:rPr>
          <w:u w:val="single"/>
        </w:rPr>
        <w:tab/>
      </w:r>
    </w:p>
  </w:footnote>
  <w:footnote w:type="continuationNotice" w:id="1">
    <w:p w14:paraId="1E3C2A6A" w14:textId="77777777" w:rsidR="001D24C6" w:rsidRPr="00AC3823" w:rsidRDefault="001D24C6">
      <w:pPr>
        <w:spacing w:line="240" w:lineRule="auto"/>
        <w:rPr>
          <w:sz w:val="2"/>
          <w:szCs w:val="2"/>
        </w:rPr>
      </w:pPr>
    </w:p>
  </w:footnote>
  <w:footnote w:id="2">
    <w:p w14:paraId="5D5530F6" w14:textId="5ACB0AA6" w:rsidR="00967C33" w:rsidRPr="00967C33" w:rsidRDefault="00967C33">
      <w:pPr>
        <w:pStyle w:val="FootnoteText"/>
      </w:pPr>
      <w:r>
        <w:rPr>
          <w:rStyle w:val="FootnoteReference"/>
        </w:rPr>
        <w:tab/>
      </w:r>
      <w:r w:rsidRPr="00967C33">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A8A7" w14:textId="3919426D" w:rsidR="006D642D" w:rsidRPr="006D642D" w:rsidRDefault="001D798D">
    <w:pPr>
      <w:pStyle w:val="Header"/>
    </w:pPr>
    <w:r>
      <w:fldChar w:fldCharType="begin"/>
    </w:r>
    <w:r>
      <w:instrText xml:space="preserve"> TITLE  \* MERGEFORMAT </w:instrText>
    </w:r>
    <w:r>
      <w:fldChar w:fldCharType="separate"/>
    </w:r>
    <w:r>
      <w:t>ST/SG/AC.10/C.3/2022/19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BCB2" w14:textId="7F8BBE86" w:rsidR="006D642D" w:rsidRPr="006D642D" w:rsidRDefault="001D798D" w:rsidP="006D642D">
    <w:pPr>
      <w:pStyle w:val="Header"/>
      <w:jc w:val="right"/>
    </w:pPr>
    <w:r>
      <w:fldChar w:fldCharType="begin"/>
    </w:r>
    <w:r>
      <w:instrText xml:space="preserve"> TITLE  \* MERGEFORMAT </w:instrText>
    </w:r>
    <w:r>
      <w:fldChar w:fldCharType="separate"/>
    </w:r>
    <w:r>
      <w:t>ST/SG/AC.10/C.3/2022/19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C6"/>
    <w:rsid w:val="00017F94"/>
    <w:rsid w:val="00023842"/>
    <w:rsid w:val="000305D3"/>
    <w:rsid w:val="000334F9"/>
    <w:rsid w:val="0007796D"/>
    <w:rsid w:val="000B7790"/>
    <w:rsid w:val="00111F2F"/>
    <w:rsid w:val="00132EA9"/>
    <w:rsid w:val="0014365E"/>
    <w:rsid w:val="00160BCB"/>
    <w:rsid w:val="00172E49"/>
    <w:rsid w:val="00176178"/>
    <w:rsid w:val="00183EBE"/>
    <w:rsid w:val="001A754C"/>
    <w:rsid w:val="001D24C6"/>
    <w:rsid w:val="001D798D"/>
    <w:rsid w:val="001F525A"/>
    <w:rsid w:val="0021533F"/>
    <w:rsid w:val="00223272"/>
    <w:rsid w:val="0024779E"/>
    <w:rsid w:val="00283190"/>
    <w:rsid w:val="002832AC"/>
    <w:rsid w:val="002D7C93"/>
    <w:rsid w:val="002F001E"/>
    <w:rsid w:val="003144F9"/>
    <w:rsid w:val="004013B1"/>
    <w:rsid w:val="00441C3B"/>
    <w:rsid w:val="00446FE5"/>
    <w:rsid w:val="00452396"/>
    <w:rsid w:val="004E468C"/>
    <w:rsid w:val="005505B7"/>
    <w:rsid w:val="00573BE5"/>
    <w:rsid w:val="00584DC4"/>
    <w:rsid w:val="00586ED3"/>
    <w:rsid w:val="00596AA9"/>
    <w:rsid w:val="005E6493"/>
    <w:rsid w:val="0068456F"/>
    <w:rsid w:val="006D642D"/>
    <w:rsid w:val="006F0390"/>
    <w:rsid w:val="0071601D"/>
    <w:rsid w:val="007A14FD"/>
    <w:rsid w:val="007A62E6"/>
    <w:rsid w:val="0080684C"/>
    <w:rsid w:val="008123E0"/>
    <w:rsid w:val="00871C75"/>
    <w:rsid w:val="008776DC"/>
    <w:rsid w:val="008B40CD"/>
    <w:rsid w:val="008B7F16"/>
    <w:rsid w:val="008C7738"/>
    <w:rsid w:val="0090176E"/>
    <w:rsid w:val="00967C33"/>
    <w:rsid w:val="009705C8"/>
    <w:rsid w:val="009C1CF4"/>
    <w:rsid w:val="00A30353"/>
    <w:rsid w:val="00A81281"/>
    <w:rsid w:val="00AC3823"/>
    <w:rsid w:val="00AE323C"/>
    <w:rsid w:val="00B00181"/>
    <w:rsid w:val="00B00B0D"/>
    <w:rsid w:val="00B765F7"/>
    <w:rsid w:val="00BA0CA9"/>
    <w:rsid w:val="00C02897"/>
    <w:rsid w:val="00C43ADD"/>
    <w:rsid w:val="00CB2C01"/>
    <w:rsid w:val="00D14FD7"/>
    <w:rsid w:val="00D32D27"/>
    <w:rsid w:val="00D3439C"/>
    <w:rsid w:val="00DB1831"/>
    <w:rsid w:val="00DD3BFD"/>
    <w:rsid w:val="00DF6678"/>
    <w:rsid w:val="00ED64A0"/>
    <w:rsid w:val="00EF2E22"/>
    <w:rsid w:val="00F01738"/>
    <w:rsid w:val="00F660DF"/>
    <w:rsid w:val="00F730C8"/>
    <w:rsid w:val="00F75DA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23A3A"/>
  <w15:docId w15:val="{A803BF3B-1F3E-4A99-A212-2E47A4F8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6D642D"/>
    <w:rPr>
      <w:rFonts w:ascii="Times New Roman" w:eastAsiaTheme="minorHAnsi" w:hAnsi="Times New Roman" w:cs="Times New Roman"/>
      <w:b/>
      <w:sz w:val="24"/>
      <w:szCs w:val="20"/>
      <w:lang w:eastAsia="en-US"/>
    </w:rPr>
  </w:style>
  <w:style w:type="character" w:customStyle="1" w:styleId="HChGChar">
    <w:name w:val="_ H _Ch_G Char"/>
    <w:link w:val="HChG"/>
    <w:locked/>
    <w:rsid w:val="006D642D"/>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6D642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1C302-4955-4956-930C-BB1B09DB7057}"/>
</file>

<file path=customXml/itemProps2.xml><?xml version="1.0" encoding="utf-8"?>
<ds:datastoreItem xmlns:ds="http://schemas.openxmlformats.org/officeDocument/2006/customXml" ds:itemID="{18D87D98-8AD5-4BDE-BFF7-2D3282F0CA21}"/>
</file>

<file path=customXml/itemProps3.xml><?xml version="1.0" encoding="utf-8"?>
<ds:datastoreItem xmlns:ds="http://schemas.openxmlformats.org/officeDocument/2006/customXml" ds:itemID="{CFACB202-4088-42D7-B40F-DEA92D2501AF}"/>
</file>

<file path=docProps/app.xml><?xml version="1.0" encoding="utf-8"?>
<Properties xmlns="http://schemas.openxmlformats.org/officeDocument/2006/extended-properties" xmlns:vt="http://schemas.openxmlformats.org/officeDocument/2006/docPropsVTypes">
  <Template>Normal.dotm</Template>
  <TotalTime>1</TotalTime>
  <Pages>7</Pages>
  <Words>1874</Words>
  <Characters>10683</Characters>
  <Application>Microsoft Office Word</Application>
  <DocSecurity>0</DocSecurity>
  <Lines>89</Lines>
  <Paragraphs>25</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ST/SG/AC.10/C.3/2022/19</vt:lpstr>
      <vt:lpstr>    Proposition d’ajout d’un numéro ONU pour le disilane</vt:lpstr>
      <vt:lpstr>        Communication de la Compressed Gas Association (CGA)  et de l’Association euro</vt:lpstr>
      <vt:lpstr>    Contexte</vt:lpstr>
      <vt:lpstr>        Proposition 1</vt:lpstr>
      <vt:lpstr>        Proposition 2</vt:lpstr>
      <vt:lpstr>        Incidences sur la sécurité</vt:lpstr>
      <vt:lpstr>    Annexe I</vt:lpstr>
      <vt:lpstr>    Formule de renseignements à communiquer à l’ONU  en vue du classement ou du re</vt:lpstr>
      <vt:lpstr>    Annexe II</vt:lpstr>
      <vt:lpstr>    Taux de remplissage du disilane</vt:lpstr>
    </vt:vector>
  </TitlesOfParts>
  <Company>DCM</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ST/SG/AC.10/C.3/2022/19</dc:title>
  <dc:subject/>
  <dc:creator>Corinne ROBERT</dc:creator>
  <cp:keywords/>
  <cp:lastModifiedBy>Laurence Berthet</cp:lastModifiedBy>
  <cp:revision>3</cp:revision>
  <cp:lastPrinted>2022-05-09T15:59:00Z</cp:lastPrinted>
  <dcterms:created xsi:type="dcterms:W3CDTF">2022-05-09T15:59:00Z</dcterms:created>
  <dcterms:modified xsi:type="dcterms:W3CDTF">2022-05-09T15:59:00Z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