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F2B1B64" w14:textId="77777777" w:rsidTr="00F01738">
        <w:trPr>
          <w:trHeight w:hRule="exact" w:val="851"/>
        </w:trPr>
        <w:tc>
          <w:tcPr>
            <w:tcW w:w="1276" w:type="dxa"/>
            <w:tcBorders>
              <w:bottom w:val="single" w:sz="4" w:space="0" w:color="auto"/>
            </w:tcBorders>
          </w:tcPr>
          <w:p w14:paraId="10F78194" w14:textId="77777777" w:rsidR="00132EA9" w:rsidRPr="00DB58B5" w:rsidRDefault="00132EA9" w:rsidP="000A6448"/>
        </w:tc>
        <w:tc>
          <w:tcPr>
            <w:tcW w:w="2268" w:type="dxa"/>
            <w:tcBorders>
              <w:bottom w:val="single" w:sz="4" w:space="0" w:color="auto"/>
            </w:tcBorders>
            <w:vAlign w:val="bottom"/>
          </w:tcPr>
          <w:p w14:paraId="0232CECE"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34659D" w14:textId="753A68D4" w:rsidR="00132EA9" w:rsidRPr="00DB58B5" w:rsidRDefault="000A6448" w:rsidP="000A6448">
            <w:pPr>
              <w:jc w:val="right"/>
            </w:pPr>
            <w:r w:rsidRPr="000A6448">
              <w:rPr>
                <w:sz w:val="40"/>
              </w:rPr>
              <w:t>ST</w:t>
            </w:r>
            <w:r>
              <w:t>/SG/AC.10/C.3/2022/15</w:t>
            </w:r>
          </w:p>
        </w:tc>
      </w:tr>
      <w:tr w:rsidR="00132EA9" w:rsidRPr="00DB58B5" w14:paraId="144A5CE4" w14:textId="77777777" w:rsidTr="00F01738">
        <w:trPr>
          <w:trHeight w:hRule="exact" w:val="2835"/>
        </w:trPr>
        <w:tc>
          <w:tcPr>
            <w:tcW w:w="1276" w:type="dxa"/>
            <w:tcBorders>
              <w:top w:val="single" w:sz="4" w:space="0" w:color="auto"/>
              <w:bottom w:val="single" w:sz="12" w:space="0" w:color="auto"/>
            </w:tcBorders>
          </w:tcPr>
          <w:p w14:paraId="13C6B6B4" w14:textId="77777777" w:rsidR="00132EA9" w:rsidRPr="00DB58B5" w:rsidRDefault="00132EA9" w:rsidP="00F01738">
            <w:pPr>
              <w:spacing w:before="120"/>
              <w:jc w:val="center"/>
            </w:pPr>
            <w:r>
              <w:rPr>
                <w:noProof/>
                <w:lang w:eastAsia="fr-CH"/>
              </w:rPr>
              <w:drawing>
                <wp:inline distT="0" distB="0" distL="0" distR="0" wp14:anchorId="694199EB" wp14:editId="14BABD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5BD60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9F25685" w14:textId="77777777" w:rsidR="00132EA9" w:rsidRDefault="000A6448" w:rsidP="00F01738">
            <w:pPr>
              <w:spacing w:before="240"/>
            </w:pPr>
            <w:r>
              <w:t>Distr. générale</w:t>
            </w:r>
          </w:p>
          <w:p w14:paraId="2FDD69DC" w14:textId="0C764B50" w:rsidR="000A6448" w:rsidRDefault="000A6448" w:rsidP="000A6448">
            <w:pPr>
              <w:spacing w:line="240" w:lineRule="exact"/>
            </w:pPr>
            <w:r>
              <w:t>1</w:t>
            </w:r>
            <w:r w:rsidRPr="000A6448">
              <w:rPr>
                <w:vertAlign w:val="superscript"/>
              </w:rPr>
              <w:t>er</w:t>
            </w:r>
            <w:r>
              <w:t> avril 2022</w:t>
            </w:r>
          </w:p>
          <w:p w14:paraId="4A95467E" w14:textId="77777777" w:rsidR="000A6448" w:rsidRDefault="000A6448" w:rsidP="000A6448">
            <w:pPr>
              <w:spacing w:line="240" w:lineRule="exact"/>
            </w:pPr>
            <w:r>
              <w:t>Français</w:t>
            </w:r>
          </w:p>
          <w:p w14:paraId="632EC50D" w14:textId="30E0CE26" w:rsidR="000A6448" w:rsidRPr="00DB58B5" w:rsidRDefault="000A6448" w:rsidP="000A6448">
            <w:pPr>
              <w:spacing w:line="240" w:lineRule="exact"/>
            </w:pPr>
            <w:r>
              <w:t>Original : anglais</w:t>
            </w:r>
          </w:p>
        </w:tc>
      </w:tr>
    </w:tbl>
    <w:p w14:paraId="1603A8B3" w14:textId="61EE5092" w:rsidR="000A6448" w:rsidRPr="00CA0680" w:rsidRDefault="000A644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256B9A6B" w14:textId="77777777" w:rsidR="000A6448" w:rsidRPr="00CA0680" w:rsidRDefault="000A6448" w:rsidP="000305D3">
      <w:pPr>
        <w:spacing w:before="120"/>
        <w:rPr>
          <w:b/>
        </w:rPr>
      </w:pPr>
      <w:r w:rsidRPr="00CA0680">
        <w:rPr>
          <w:b/>
        </w:rPr>
        <w:t>Sous</w:t>
      </w:r>
      <w:r>
        <w:rPr>
          <w:b/>
        </w:rPr>
        <w:t>-</w:t>
      </w:r>
      <w:r w:rsidRPr="00CA0680">
        <w:rPr>
          <w:b/>
        </w:rPr>
        <w:t>Comité d’experts du transport des marchandises dangereuses</w:t>
      </w:r>
    </w:p>
    <w:p w14:paraId="2C0FC7F9" w14:textId="5DEFBE98" w:rsidR="000A6448" w:rsidRDefault="000A6448" w:rsidP="000305D3">
      <w:pPr>
        <w:spacing w:before="120"/>
        <w:rPr>
          <w:b/>
        </w:rPr>
      </w:pPr>
      <w:r>
        <w:rPr>
          <w:b/>
        </w:rPr>
        <w:t xml:space="preserve">Soixantième </w:t>
      </w:r>
      <w:r w:rsidRPr="00CA0680">
        <w:rPr>
          <w:b/>
        </w:rPr>
        <w:t>session</w:t>
      </w:r>
    </w:p>
    <w:p w14:paraId="747771C6" w14:textId="27FBE3F2" w:rsidR="000A6448" w:rsidRDefault="000A6448" w:rsidP="000305D3">
      <w:r>
        <w:t>Genève, 27 juin-6 juillet 2022</w:t>
      </w:r>
    </w:p>
    <w:p w14:paraId="25549C5D" w14:textId="29237DDF" w:rsidR="000A6448" w:rsidRDefault="000A6448" w:rsidP="000305D3">
      <w:r>
        <w:t>Point 6 b) de l’ordre du jour provisoire</w:t>
      </w:r>
    </w:p>
    <w:p w14:paraId="50001A53" w14:textId="1CA871F4" w:rsidR="000A6448" w:rsidRPr="000A6448" w:rsidRDefault="000A6448" w:rsidP="000A6448">
      <w:pPr>
        <w:rPr>
          <w:rFonts w:eastAsia="SimSun"/>
          <w:b/>
          <w:bCs/>
          <w:lang w:val="fr-FR"/>
        </w:rPr>
      </w:pPr>
      <w:r w:rsidRPr="000A6448">
        <w:rPr>
          <w:b/>
          <w:bCs/>
          <w:lang w:val="fr-FR"/>
        </w:rPr>
        <w:t xml:space="preserve">Propositions diverses d’amendements au Règlement type </w:t>
      </w:r>
      <w:r>
        <w:rPr>
          <w:b/>
          <w:bCs/>
          <w:lang w:val="fr-FR"/>
        </w:rPr>
        <w:br/>
      </w:r>
      <w:r w:rsidRPr="000A6448">
        <w:rPr>
          <w:b/>
          <w:bCs/>
          <w:lang w:val="fr-FR"/>
        </w:rPr>
        <w:t xml:space="preserve">pour le transport des marchandises dangereuses : emballages, </w:t>
      </w:r>
      <w:r>
        <w:rPr>
          <w:b/>
          <w:bCs/>
          <w:lang w:val="fr-FR"/>
        </w:rPr>
        <w:br/>
      </w:r>
      <w:r w:rsidRPr="000A6448">
        <w:rPr>
          <w:b/>
          <w:bCs/>
          <w:lang w:val="fr-FR"/>
        </w:rPr>
        <w:t>y compris l’utilisation des matières plastiques recyclées</w:t>
      </w:r>
    </w:p>
    <w:p w14:paraId="2EFEB27A" w14:textId="78ED4459" w:rsidR="000A6448" w:rsidRDefault="000A6448" w:rsidP="000A6448">
      <w:pPr>
        <w:pStyle w:val="HChG"/>
        <w:keepNext w:val="0"/>
        <w:keepLines w:val="0"/>
        <w:rPr>
          <w:lang w:val="fr-FR"/>
        </w:rPr>
      </w:pPr>
      <w:r>
        <w:rPr>
          <w:lang w:val="fr-FR"/>
        </w:rPr>
        <w:tab/>
      </w:r>
      <w:r>
        <w:rPr>
          <w:lang w:val="fr-FR"/>
        </w:rPr>
        <w:tab/>
        <w:t>Questions concernant la mise en œuvre pratique de l’instruction d’emballage P650</w:t>
      </w:r>
    </w:p>
    <w:p w14:paraId="7C11C15E" w14:textId="0C39F529" w:rsidR="000A6448" w:rsidRPr="000A6448" w:rsidRDefault="000A6448" w:rsidP="000A6448">
      <w:pPr>
        <w:pStyle w:val="H1G"/>
        <w:keepNext w:val="0"/>
        <w:keepLines w:val="0"/>
        <w:rPr>
          <w:rFonts w:eastAsia="Arial Unicode MS"/>
          <w:b w:val="0"/>
          <w:bCs/>
          <w:lang w:val="fr-FR"/>
        </w:rPr>
      </w:pPr>
      <w:r>
        <w:rPr>
          <w:rFonts w:eastAsia="Arial Unicode MS" w:cs="Arial Unicode MS"/>
          <w:lang w:val="fr-FR"/>
        </w:rPr>
        <w:tab/>
      </w:r>
      <w:r>
        <w:rPr>
          <w:rFonts w:eastAsia="Arial Unicode MS" w:cs="Arial Unicode MS"/>
          <w:lang w:val="fr-FR"/>
        </w:rPr>
        <w:tab/>
      </w:r>
      <w:r>
        <w:rPr>
          <w:rFonts w:eastAsia="Arial Unicode MS"/>
          <w:lang w:val="fr-FR"/>
        </w:rPr>
        <w:t>Communication de l’expert de l’Espagne</w:t>
      </w:r>
      <w:r w:rsidRPr="000A6448">
        <w:rPr>
          <w:rStyle w:val="FootnoteReference"/>
          <w:rFonts w:eastAsia="Arial Unicode MS"/>
          <w:b w:val="0"/>
          <w:bCs/>
          <w:sz w:val="20"/>
          <w:vertAlign w:val="baseline"/>
        </w:rPr>
        <w:footnoteReference w:customMarkFollows="1" w:id="2"/>
        <w:t>*</w:t>
      </w:r>
    </w:p>
    <w:p w14:paraId="50342530" w14:textId="77777777" w:rsidR="000A6448" w:rsidRDefault="000A6448" w:rsidP="000A6448">
      <w:pPr>
        <w:pStyle w:val="HChG"/>
        <w:keepNext w:val="0"/>
        <w:keepLines w:val="0"/>
        <w:rPr>
          <w:rFonts w:eastAsia="SimSun"/>
          <w:lang w:val="fr-FR"/>
        </w:rPr>
      </w:pPr>
      <w:r>
        <w:rPr>
          <w:sz w:val="24"/>
          <w:szCs w:val="24"/>
          <w:lang w:val="fr-FR"/>
        </w:rPr>
        <w:tab/>
      </w:r>
      <w:r>
        <w:rPr>
          <w:sz w:val="24"/>
          <w:szCs w:val="24"/>
          <w:lang w:val="fr-FR"/>
        </w:rPr>
        <w:tab/>
      </w:r>
      <w:r>
        <w:rPr>
          <w:lang w:val="fr-FR"/>
        </w:rPr>
        <w:t>Introduction</w:t>
      </w:r>
    </w:p>
    <w:p w14:paraId="7B838DF5" w14:textId="77777777" w:rsidR="000A6448" w:rsidRPr="000A6448" w:rsidRDefault="000A6448" w:rsidP="000A6448">
      <w:pPr>
        <w:pStyle w:val="SingleTxtG"/>
      </w:pPr>
      <w:r w:rsidRPr="000A6448">
        <w:t>1.</w:t>
      </w:r>
      <w:r w:rsidRPr="000A6448">
        <w:tab/>
        <w:t>À la cinquante-neuvième session du Sous-Comité d’experts du transport des marchandises dangereuses, tenue en décembre 2021, l’Espagne a présenté en séance plénière le document ST/SG/AC.10/C.3/2021/49, qui a fait l’objet d’un débat approfondi lors d’une réunion d’un groupe de travail réuni à l’heure du déjeuner.</w:t>
      </w:r>
    </w:p>
    <w:p w14:paraId="00E9E2F3" w14:textId="6C498BCE" w:rsidR="000A6448" w:rsidRPr="000A6448" w:rsidRDefault="000A6448" w:rsidP="000A6448">
      <w:pPr>
        <w:pStyle w:val="SingleTxtG"/>
      </w:pPr>
      <w:r w:rsidRPr="000A6448">
        <w:t>2.</w:t>
      </w:r>
      <w:r w:rsidRPr="000A6448">
        <w:tab/>
        <w:t>Des observations et des pistes intéressantes ont été formulées au cours de la réunion du groupe de travail à l’heure du déjeuner, et l’Espagne a accepté d’établir des projets d’amendements sur la base de ces suggestions, qui ont fait l’objet de nouveaux débats entre les parties intéressées lors d’une session en ligne du groupe de travail le 22 février 2022, ainsi que d’un échange supplémentaire d’observations écrites.</w:t>
      </w:r>
    </w:p>
    <w:p w14:paraId="27B429F8" w14:textId="51A486CA" w:rsidR="000A6448" w:rsidRPr="000A6448" w:rsidRDefault="000A6448" w:rsidP="000A6448">
      <w:pPr>
        <w:pStyle w:val="SingleTxtG"/>
      </w:pPr>
      <w:r w:rsidRPr="000A6448">
        <w:t>3.</w:t>
      </w:r>
      <w:r w:rsidRPr="000A6448">
        <w:tab/>
        <w:t>L’Espagne est très reconnaissante aux différents experts pour leurs précieuses observations et suggestions, ainsi que pour les débats et connaissances de base utiles qu’ils ont fournis au cours de ce processus.</w:t>
      </w:r>
    </w:p>
    <w:p w14:paraId="45BAD095" w14:textId="41CAFDEF" w:rsidR="000A6448" w:rsidRDefault="000A6448" w:rsidP="000A6448">
      <w:pPr>
        <w:pStyle w:val="HChG"/>
        <w:rPr>
          <w:lang w:val="fr-FR"/>
        </w:rPr>
      </w:pPr>
      <w:r>
        <w:rPr>
          <w:lang w:val="fr-FR"/>
        </w:rPr>
        <w:tab/>
      </w:r>
      <w:r>
        <w:rPr>
          <w:lang w:val="fr-FR"/>
        </w:rPr>
        <w:tab/>
        <w:t>Analyse</w:t>
      </w:r>
    </w:p>
    <w:p w14:paraId="2AE0C008" w14:textId="72193B2D" w:rsidR="000A6448" w:rsidRDefault="000A6448" w:rsidP="000A6448">
      <w:pPr>
        <w:pStyle w:val="SingleTxtG"/>
        <w:rPr>
          <w:lang w:val="fr-FR"/>
        </w:rPr>
      </w:pPr>
      <w:r>
        <w:rPr>
          <w:lang w:val="fr-FR"/>
        </w:rPr>
        <w:t>4.</w:t>
      </w:r>
      <w:r>
        <w:rPr>
          <w:lang w:val="fr-FR"/>
        </w:rPr>
        <w:tab/>
        <w:t>Dans l’esprit de l’Espagne, l’objectif de la révision de l’instruction d’emballage P650 n’est pas d’en modifier les dispositions, en particulier celles relatives aux épreuves, mais de les préciser, ce qui fait l’objet du présent document. Néanmoins, certaines modifications des dispositions qui ont été suggérées par les membres du groupe de travail y sont envisagées plus avant (voir par. 17 ci-dessous).</w:t>
      </w:r>
    </w:p>
    <w:p w14:paraId="0B33B140" w14:textId="77777777" w:rsidR="000A6448" w:rsidRDefault="000A6448" w:rsidP="000A6448">
      <w:pPr>
        <w:pStyle w:val="H23G"/>
        <w:rPr>
          <w:lang w:val="fr-FR"/>
        </w:rPr>
      </w:pPr>
      <w:r>
        <w:rPr>
          <w:lang w:val="fr-FR"/>
        </w:rPr>
        <w:lastRenderedPageBreak/>
        <w:tab/>
      </w:r>
      <w:r>
        <w:rPr>
          <w:lang w:val="fr-FR"/>
        </w:rPr>
        <w:tab/>
      </w:r>
      <w:bookmarkStart w:id="0" w:name="_Hlk101903356"/>
      <w:r>
        <w:rPr>
          <w:lang w:val="fr-FR"/>
        </w:rPr>
        <w:t>Dispositions relatives à la capacité</w:t>
      </w:r>
      <w:bookmarkEnd w:id="0"/>
      <w:r>
        <w:rPr>
          <w:lang w:val="fr-FR"/>
        </w:rPr>
        <w:t xml:space="preserve"> à subir certaines épreuves</w:t>
      </w:r>
    </w:p>
    <w:p w14:paraId="59239C85" w14:textId="1B9843B2" w:rsidR="000A6448" w:rsidRDefault="000A6448" w:rsidP="000A6448">
      <w:pPr>
        <w:pStyle w:val="SingleTxtG"/>
        <w:rPr>
          <w:lang w:val="fr-FR"/>
        </w:rPr>
      </w:pPr>
      <w:r>
        <w:rPr>
          <w:lang w:val="fr-FR"/>
        </w:rPr>
        <w:t>5.</w:t>
      </w:r>
      <w:r>
        <w:rPr>
          <w:lang w:val="fr-FR"/>
        </w:rPr>
        <w:tab/>
        <w:t>Le groupe de travail a examiné les implications des dispositions énoncées aux paragraphes 6) et 7) e), relatives à la capacité à subir avec succès certaines épreuves, en particulier la question de savoir si ces dispositions entraînaient l’obligation d’effectuer régulièrement les épreuves pour démontrer la capacité en question.</w:t>
      </w:r>
    </w:p>
    <w:p w14:paraId="463883F7" w14:textId="77777777" w:rsidR="000A6448" w:rsidRDefault="000A6448" w:rsidP="000A6448">
      <w:pPr>
        <w:pStyle w:val="SingleTxtG"/>
        <w:rPr>
          <w:lang w:val="fr-FR"/>
        </w:rPr>
      </w:pPr>
      <w:r>
        <w:rPr>
          <w:lang w:val="fr-FR"/>
        </w:rPr>
        <w:t>6.</w:t>
      </w:r>
      <w:r>
        <w:rPr>
          <w:lang w:val="fr-FR"/>
        </w:rPr>
        <w:tab/>
        <w:t>Le groupe est parvenu à un accord sur le fait que la capacité à subir avec succès les épreuves concernées pourrait le plus facilement être démontrée par des épreuves appliquées à l’emballage lui-même ou, à défaut, par des moyens tels que l’analyse technique, des épreuves appliquées à un objet de masse et de taille similaires, ou d’autres moyens équivalents.</w:t>
      </w:r>
    </w:p>
    <w:p w14:paraId="012B78EB" w14:textId="6355BE38" w:rsidR="000A6448" w:rsidRDefault="000A6448" w:rsidP="000A6448">
      <w:pPr>
        <w:pStyle w:val="SingleTxtG"/>
        <w:rPr>
          <w:lang w:val="fr-FR"/>
        </w:rPr>
      </w:pPr>
      <w:r>
        <w:rPr>
          <w:lang w:val="fr-FR"/>
        </w:rPr>
        <w:t>7.</w:t>
      </w:r>
      <w:r>
        <w:rPr>
          <w:lang w:val="fr-FR"/>
        </w:rPr>
        <w:tab/>
        <w:t>Il est possible de préciser cet aspect en ajoutant un nota aux paragraphes dans lesquels sont énoncées les dispositions relatives aux capacités concernées (voir proposition 1).</w:t>
      </w:r>
    </w:p>
    <w:p w14:paraId="7BCA8F35" w14:textId="77777777" w:rsidR="000A6448" w:rsidRDefault="000A6448" w:rsidP="000A6448">
      <w:pPr>
        <w:pStyle w:val="H23G"/>
        <w:rPr>
          <w:lang w:val="fr-FR"/>
        </w:rPr>
      </w:pPr>
      <w:r>
        <w:rPr>
          <w:lang w:val="fr-FR"/>
        </w:rPr>
        <w:tab/>
      </w:r>
      <w:r>
        <w:rPr>
          <w:lang w:val="fr-FR"/>
        </w:rPr>
        <w:tab/>
      </w:r>
      <w:r w:rsidRPr="000A6448">
        <w:t>Emballage</w:t>
      </w:r>
      <w:r>
        <w:rPr>
          <w:lang w:val="fr-FR"/>
        </w:rPr>
        <w:t xml:space="preserve"> complet</w:t>
      </w:r>
    </w:p>
    <w:p w14:paraId="24E4DB2B" w14:textId="2B013DEC" w:rsidR="000A6448" w:rsidRDefault="000A6448" w:rsidP="000A6448">
      <w:pPr>
        <w:pStyle w:val="SingleTxtG"/>
        <w:rPr>
          <w:lang w:val="fr-FR"/>
        </w:rPr>
      </w:pPr>
      <w:r>
        <w:rPr>
          <w:lang w:val="fr-FR"/>
        </w:rPr>
        <w:t>8.</w:t>
      </w:r>
      <w:r>
        <w:rPr>
          <w:lang w:val="fr-FR"/>
        </w:rPr>
        <w:tab/>
        <w:t>L’instruction d’emballage P650 est applicable à l’emballage complet, compte tenu du fait que les trois composantes de l’emballage sont disponibles non seulement pour l’emballage et le marquage, mais aussi pour l’évaluation de la capacité à subir les épreuves.</w:t>
      </w:r>
    </w:p>
    <w:p w14:paraId="7AB8C9D3" w14:textId="22120006" w:rsidR="000A6448" w:rsidRDefault="000A6448" w:rsidP="000A6448">
      <w:pPr>
        <w:pStyle w:val="SingleTxtG"/>
        <w:rPr>
          <w:lang w:val="fr-FR"/>
        </w:rPr>
      </w:pPr>
      <w:r>
        <w:rPr>
          <w:lang w:val="fr-FR"/>
        </w:rPr>
        <w:t>9.</w:t>
      </w:r>
      <w:r>
        <w:rPr>
          <w:lang w:val="fr-FR"/>
        </w:rPr>
        <w:tab/>
        <w:t>Cet aspect particulier est pertinent pour les paragraphes 6) et 7) e) de l’instruction d’emballage P650.</w:t>
      </w:r>
    </w:p>
    <w:p w14:paraId="1E238F40" w14:textId="77777777" w:rsidR="000A6448" w:rsidRDefault="000A6448" w:rsidP="000A6448">
      <w:pPr>
        <w:pStyle w:val="SingleTxtG"/>
        <w:rPr>
          <w:lang w:val="fr-FR"/>
        </w:rPr>
      </w:pPr>
      <w:r>
        <w:rPr>
          <w:lang w:val="fr-FR"/>
        </w:rPr>
        <w:t>10.</w:t>
      </w:r>
      <w:r>
        <w:rPr>
          <w:lang w:val="fr-FR"/>
        </w:rPr>
        <w:tab/>
        <w:t>En ce qui concerne le paragraphe 6), il est essentiel que les trois composantes de l’emballage soient présentes pour effectuer l’épreuve, ou pour démontrer par d’autres moyens que l’ensemble complet a la capacité de réussir l’épreuve.</w:t>
      </w:r>
    </w:p>
    <w:p w14:paraId="553B5DCB" w14:textId="77777777" w:rsidR="000A6448" w:rsidRDefault="000A6448" w:rsidP="000A6448">
      <w:pPr>
        <w:pStyle w:val="SingleTxtG"/>
        <w:rPr>
          <w:lang w:val="fr-FR"/>
        </w:rPr>
      </w:pPr>
      <w:r>
        <w:rPr>
          <w:lang w:val="fr-FR"/>
        </w:rPr>
        <w:t>11.</w:t>
      </w:r>
      <w:r>
        <w:rPr>
          <w:lang w:val="fr-FR"/>
        </w:rPr>
        <w:tab/>
        <w:t>En ce qui concerne le paragraphe 7) e), la présence des trois composantes n’est pas nécessaire pour les essais, mais il est essentiel que soit transmise l’information concernant celle des composantes qui satisfait à la disposition concernée.</w:t>
      </w:r>
    </w:p>
    <w:p w14:paraId="618A22E4" w14:textId="77777777" w:rsidR="000A6448" w:rsidRDefault="000A6448" w:rsidP="000A6448">
      <w:pPr>
        <w:pStyle w:val="SingleTxtG"/>
        <w:rPr>
          <w:lang w:val="fr-FR"/>
        </w:rPr>
      </w:pPr>
      <w:r>
        <w:rPr>
          <w:lang w:val="fr-FR"/>
        </w:rPr>
        <w:t>12.</w:t>
      </w:r>
      <w:r>
        <w:rPr>
          <w:lang w:val="fr-FR"/>
        </w:rPr>
        <w:tab/>
        <w:t>Même si les clauses de capacité énoncées aux paragraphes 6) et 7) e) sont rédigées de manière à s’appliquer à l’ensemble de l’emballage, la pratique habituelle semble être d’utiliser des composantes provenant de différents fabricants, en recherchant pour chacune à la fois la meilleure qualité et le meilleur prix.</w:t>
      </w:r>
    </w:p>
    <w:p w14:paraId="0B695F1F" w14:textId="77777777" w:rsidR="000A6448" w:rsidRDefault="000A6448" w:rsidP="000A6448">
      <w:pPr>
        <w:pStyle w:val="SingleTxtG"/>
        <w:rPr>
          <w:lang w:val="fr-FR"/>
        </w:rPr>
      </w:pPr>
      <w:r>
        <w:rPr>
          <w:lang w:val="fr-FR"/>
        </w:rPr>
        <w:t>13.</w:t>
      </w:r>
      <w:r>
        <w:rPr>
          <w:lang w:val="fr-FR"/>
        </w:rPr>
        <w:tab/>
        <w:t>La capacité à subir avec succès les épreuves mentionnées doit être garantie par le fabricant de l’emballage. Néanmoins, si l’expéditeur choisit de mélanger des composantes non éprouvées ensemble, il doit assumer la responsabilité de la combinaison des composantes utilisées et être en mesure de démontrer que ces composantes ont les capacités requises.</w:t>
      </w:r>
    </w:p>
    <w:p w14:paraId="6472D704" w14:textId="1C609F28" w:rsidR="000A6448" w:rsidRDefault="000A6448" w:rsidP="000A6448">
      <w:pPr>
        <w:pStyle w:val="SingleTxtG"/>
        <w:rPr>
          <w:lang w:val="fr-FR"/>
        </w:rPr>
      </w:pPr>
      <w:r>
        <w:rPr>
          <w:lang w:val="fr-FR"/>
        </w:rPr>
        <w:t>14.</w:t>
      </w:r>
      <w:r>
        <w:rPr>
          <w:lang w:val="fr-FR"/>
        </w:rPr>
        <w:tab/>
        <w:t>La formation d’un emballage complet satisfaisant à toutes les dispositions de l’instruction</w:t>
      </w:r>
      <w:r w:rsidR="00142A4F">
        <w:rPr>
          <w:lang w:val="fr-FR"/>
        </w:rPr>
        <w:t> </w:t>
      </w:r>
      <w:r>
        <w:rPr>
          <w:lang w:val="fr-FR"/>
        </w:rPr>
        <w:t>P650 ne doit pas être une tâche compliquée</w:t>
      </w:r>
      <w:r w:rsidR="00142A4F">
        <w:rPr>
          <w:lang w:val="fr-FR"/>
        </w:rPr>
        <w:t> </w:t>
      </w:r>
      <w:r>
        <w:rPr>
          <w:lang w:val="fr-FR"/>
        </w:rPr>
        <w:t>; plus il y aura de combinaisons sûres possibles, plus il sera facile d’y parvenir dans toutes les situations et dans tous les pays. Néanmoins, en cas d’utilisation de composantes qui n’ont pas été évaluées ensemble pour la réalisation de l’épreuve de chute et de l’épreuve de pression, le cas échéant, une évaluation technique sera nécessaire afin de garantir que la combinaison de composantes utilisée est réellement capable de subir avec succès les épreuves mentionnées.</w:t>
      </w:r>
    </w:p>
    <w:p w14:paraId="24AF9B7B" w14:textId="77777777" w:rsidR="000A6448" w:rsidRDefault="000A6448" w:rsidP="000A6448">
      <w:pPr>
        <w:pStyle w:val="SingleTxtG"/>
        <w:rPr>
          <w:lang w:val="fr-FR"/>
        </w:rPr>
      </w:pPr>
      <w:r>
        <w:rPr>
          <w:lang w:val="fr-FR"/>
        </w:rPr>
        <w:t>15.</w:t>
      </w:r>
      <w:r>
        <w:rPr>
          <w:lang w:val="fr-FR"/>
        </w:rPr>
        <w:tab/>
        <w:t>La variante la plus courante des éléments de l’emballage est l’utilisation d’un récipient primaire différent de celui utilisé à l’origine dans la démonstration de capacité. Dans ce cas, la référence au 4.1.8.5 aidera l’expéditeur à évaluer l’équivalence du récipient primaire utilisé.</w:t>
      </w:r>
    </w:p>
    <w:p w14:paraId="7FEC8E27" w14:textId="79E78CD4" w:rsidR="000A6448" w:rsidRDefault="000A6448" w:rsidP="000A6448">
      <w:pPr>
        <w:tabs>
          <w:tab w:val="left" w:pos="1701"/>
        </w:tabs>
        <w:spacing w:after="120"/>
        <w:ind w:left="1134" w:right="1134"/>
        <w:jc w:val="both"/>
        <w:rPr>
          <w:lang w:val="fr-FR"/>
        </w:rPr>
      </w:pPr>
      <w:r>
        <w:rPr>
          <w:lang w:val="fr-FR"/>
        </w:rPr>
        <w:t>16.</w:t>
      </w:r>
      <w:r>
        <w:rPr>
          <w:lang w:val="fr-FR"/>
        </w:rPr>
        <w:tab/>
        <w:t>Le texte de la P650 devrait être adapté pour prendre en compte ces aspects (voir proposition</w:t>
      </w:r>
      <w:r w:rsidR="00142A4F">
        <w:rPr>
          <w:lang w:val="fr-FR"/>
        </w:rPr>
        <w:t> </w:t>
      </w:r>
      <w:r>
        <w:rPr>
          <w:lang w:val="fr-FR"/>
        </w:rPr>
        <w:t>2).</w:t>
      </w:r>
    </w:p>
    <w:p w14:paraId="31167185" w14:textId="77777777" w:rsidR="000A6448" w:rsidRDefault="000A6448" w:rsidP="000A6448">
      <w:pPr>
        <w:pStyle w:val="H23G"/>
        <w:rPr>
          <w:lang w:val="fr-FR"/>
        </w:rPr>
      </w:pPr>
      <w:r>
        <w:rPr>
          <w:lang w:val="fr-FR"/>
        </w:rPr>
        <w:tab/>
      </w:r>
      <w:r>
        <w:rPr>
          <w:lang w:val="fr-FR"/>
        </w:rPr>
        <w:tab/>
        <w:t>Conditionnement avant l’épreuve</w:t>
      </w:r>
    </w:p>
    <w:p w14:paraId="450DBED4" w14:textId="3CAB93EC" w:rsidR="000A6448" w:rsidRDefault="000A6448" w:rsidP="000A6448">
      <w:pPr>
        <w:pStyle w:val="SingleTxtG"/>
        <w:rPr>
          <w:lang w:val="fr-FR"/>
        </w:rPr>
      </w:pPr>
      <w:r>
        <w:rPr>
          <w:lang w:val="fr-FR"/>
        </w:rPr>
        <w:t>17.</w:t>
      </w:r>
      <w:r>
        <w:rPr>
          <w:lang w:val="fr-FR"/>
        </w:rPr>
        <w:tab/>
        <w:t>Selon plusieurs membres du groupe de travail, il n’a jamais été question d’ajouter des dispositions relatives au conditionnement pour les épreuves qui pourraient être effectuées pour démontrer la capacité à subir avec succès l’épreuve de chute. La suppression de ces dispositions relatives au conditionnement pourrait se faire en modifiant les paragraphes auxquels il est fait référence dans le paragraphe 6) (voir proposition</w:t>
      </w:r>
      <w:r w:rsidR="00142A4F">
        <w:rPr>
          <w:lang w:val="fr-FR"/>
        </w:rPr>
        <w:t> </w:t>
      </w:r>
      <w:r>
        <w:rPr>
          <w:lang w:val="fr-FR"/>
        </w:rPr>
        <w:t>3).</w:t>
      </w:r>
    </w:p>
    <w:p w14:paraId="3B5E97BE" w14:textId="77777777" w:rsidR="000A6448" w:rsidRDefault="000A6448" w:rsidP="000A6448">
      <w:pPr>
        <w:pStyle w:val="HChG"/>
        <w:rPr>
          <w:lang w:val="fr-FR"/>
        </w:rPr>
      </w:pPr>
      <w:r>
        <w:rPr>
          <w:lang w:val="fr-FR"/>
        </w:rPr>
        <w:tab/>
      </w:r>
      <w:r>
        <w:rPr>
          <w:lang w:val="fr-FR"/>
        </w:rPr>
        <w:tab/>
        <w:t>Propositions</w:t>
      </w:r>
    </w:p>
    <w:p w14:paraId="36F02DDD" w14:textId="1D8FF047" w:rsidR="000A6448" w:rsidRDefault="000A6448" w:rsidP="000A6448">
      <w:pPr>
        <w:pStyle w:val="SingleTxtG"/>
        <w:rPr>
          <w:lang w:val="fr-FR"/>
        </w:rPr>
      </w:pPr>
      <w:r>
        <w:rPr>
          <w:lang w:val="fr-FR"/>
        </w:rPr>
        <w:t>18.</w:t>
      </w:r>
      <w:r>
        <w:rPr>
          <w:lang w:val="fr-FR"/>
        </w:rPr>
        <w:tab/>
        <w:t>Dans les propositions suivantes de modification de l’instruction d’emballage</w:t>
      </w:r>
      <w:r w:rsidR="00142A4F">
        <w:rPr>
          <w:lang w:val="fr-FR"/>
        </w:rPr>
        <w:t> </w:t>
      </w:r>
      <w:r>
        <w:rPr>
          <w:lang w:val="fr-FR"/>
        </w:rPr>
        <w:t xml:space="preserve">P650, les ajouts sont </w:t>
      </w:r>
      <w:r>
        <w:rPr>
          <w:u w:val="single"/>
          <w:lang w:val="fr-FR"/>
        </w:rPr>
        <w:t xml:space="preserve">soulignés </w:t>
      </w:r>
      <w:r>
        <w:rPr>
          <w:lang w:val="fr-FR"/>
        </w:rPr>
        <w:t xml:space="preserve">et les suppressions sont </w:t>
      </w:r>
      <w:r>
        <w:rPr>
          <w:strike/>
          <w:lang w:val="fr-FR"/>
        </w:rPr>
        <w:t>biffées</w:t>
      </w:r>
      <w:r>
        <w:rPr>
          <w:lang w:val="fr-FR"/>
        </w:rPr>
        <w:t>.</w:t>
      </w:r>
    </w:p>
    <w:p w14:paraId="371C48F5" w14:textId="2EE28979" w:rsidR="000A6448" w:rsidRDefault="000A6448" w:rsidP="000A6448">
      <w:pPr>
        <w:tabs>
          <w:tab w:val="left" w:pos="1701"/>
        </w:tabs>
        <w:spacing w:after="120"/>
        <w:ind w:left="1134" w:right="1134"/>
        <w:jc w:val="both"/>
        <w:rPr>
          <w:lang w:val="fr-FR"/>
        </w:rPr>
      </w:pPr>
      <w:r>
        <w:rPr>
          <w:lang w:val="fr-FR"/>
        </w:rPr>
        <w:t>19.</w:t>
      </w:r>
      <w:r>
        <w:rPr>
          <w:lang w:val="fr-FR"/>
        </w:rPr>
        <w:tab/>
      </w:r>
      <w:r>
        <w:rPr>
          <w:b/>
          <w:bCs/>
          <w:lang w:val="fr-FR"/>
        </w:rPr>
        <w:t>Proposition 1</w:t>
      </w:r>
      <w:r w:rsidR="00142A4F">
        <w:rPr>
          <w:b/>
          <w:bCs/>
          <w:lang w:val="fr-FR"/>
        </w:rPr>
        <w:t> </w:t>
      </w:r>
      <w:r>
        <w:rPr>
          <w:lang w:val="fr-FR"/>
        </w:rPr>
        <w:t>: sous les paragraphes</w:t>
      </w:r>
      <w:r w:rsidR="00142A4F">
        <w:rPr>
          <w:lang w:val="fr-FR"/>
        </w:rPr>
        <w:t> </w:t>
      </w:r>
      <w:r>
        <w:rPr>
          <w:lang w:val="fr-FR"/>
        </w:rPr>
        <w:t>6) et 7) e), ajouter la note suivante</w:t>
      </w:r>
      <w:r w:rsidR="00142A4F">
        <w:rPr>
          <w:lang w:val="fr-FR"/>
        </w:rPr>
        <w:t> </w:t>
      </w:r>
      <w:r>
        <w:rPr>
          <w:lang w:val="fr-FR"/>
        </w:rPr>
        <w:t>:</w:t>
      </w:r>
    </w:p>
    <w:p w14:paraId="5327B864" w14:textId="43C0C43E" w:rsidR="000A6448" w:rsidRDefault="000A6448" w:rsidP="000A6448">
      <w:pPr>
        <w:pStyle w:val="SingleTxtG"/>
        <w:ind w:left="1701"/>
        <w:rPr>
          <w:b/>
          <w:bCs/>
          <w:i/>
          <w:iCs/>
          <w:u w:val="single"/>
          <w:lang w:val="fr-FR"/>
        </w:rPr>
      </w:pPr>
      <w:r>
        <w:rPr>
          <w:lang w:val="fr-FR"/>
        </w:rPr>
        <w:t>« </w:t>
      </w:r>
      <w:r>
        <w:rPr>
          <w:b/>
          <w:bCs/>
          <w:i/>
          <w:iCs/>
          <w:u w:val="single"/>
          <w:lang w:val="fr-FR"/>
        </w:rPr>
        <w:t>Nota</w:t>
      </w:r>
      <w:r w:rsidR="00142A4F">
        <w:rPr>
          <w:b/>
          <w:bCs/>
          <w:i/>
          <w:iCs/>
          <w:u w:val="single"/>
          <w:lang w:val="fr-FR"/>
        </w:rPr>
        <w:t> </w:t>
      </w:r>
      <w:r w:rsidRPr="00142A4F">
        <w:rPr>
          <w:i/>
          <w:iCs/>
          <w:u w:val="single"/>
          <w:lang w:val="fr-FR"/>
        </w:rPr>
        <w:t xml:space="preserve">: </w:t>
      </w:r>
      <w:r>
        <w:rPr>
          <w:rFonts w:asciiTheme="majorBidi" w:hAnsiTheme="majorBidi" w:cstheme="majorBidi"/>
          <w:i/>
          <w:u w:val="single"/>
          <w:lang w:val="fr-FR"/>
        </w:rPr>
        <w:t xml:space="preserve">Cette </w:t>
      </w:r>
      <w:r>
        <w:rPr>
          <w:i/>
          <w:iCs/>
          <w:u w:val="single"/>
          <w:lang w:val="fr-FR"/>
        </w:rPr>
        <w:t>capacité peut être démontrée par des essais directs ou, à défaut, par des moyens tels que l’analyse technique, les essais avec un objet de masse et de taille similaires, ou d’autres moyens équivalents.</w:t>
      </w:r>
      <w:r>
        <w:rPr>
          <w:lang w:val="fr-FR"/>
        </w:rPr>
        <w:t> »</w:t>
      </w:r>
    </w:p>
    <w:p w14:paraId="35D9C8EB" w14:textId="4EAA7C5E" w:rsidR="000A6448" w:rsidRDefault="000A6448" w:rsidP="000A6448">
      <w:pPr>
        <w:pStyle w:val="SingleTxtG"/>
        <w:rPr>
          <w:lang w:val="fr-FR"/>
        </w:rPr>
      </w:pPr>
      <w:r>
        <w:rPr>
          <w:lang w:val="fr-FR"/>
        </w:rPr>
        <w:t>20.</w:t>
      </w:r>
      <w:r>
        <w:rPr>
          <w:lang w:val="fr-FR"/>
        </w:rPr>
        <w:tab/>
      </w:r>
      <w:r>
        <w:rPr>
          <w:b/>
          <w:bCs/>
          <w:lang w:val="fr-FR"/>
        </w:rPr>
        <w:t>Proposition 2</w:t>
      </w:r>
      <w:r w:rsidR="00142A4F">
        <w:rPr>
          <w:b/>
          <w:bCs/>
          <w:lang w:val="fr-FR"/>
        </w:rPr>
        <w:t> </w:t>
      </w:r>
      <w:r>
        <w:rPr>
          <w:lang w:val="fr-FR"/>
        </w:rPr>
        <w:t>: Ajouter une deuxième phrase à la fin du paragraphe 12) et ajouter un nouveau paragraphe 13,) comme suit</w:t>
      </w:r>
      <w:r w:rsidR="00142A4F">
        <w:rPr>
          <w:lang w:val="fr-FR"/>
        </w:rPr>
        <w:t> </w:t>
      </w:r>
      <w:r>
        <w:rPr>
          <w:lang w:val="fr-FR"/>
        </w:rPr>
        <w:t>:</w:t>
      </w:r>
    </w:p>
    <w:p w14:paraId="7EFDAB1F" w14:textId="1A8EF70E" w:rsidR="000A6448" w:rsidRDefault="000A6448" w:rsidP="000A6448">
      <w:pPr>
        <w:pStyle w:val="TableParagraph"/>
        <w:tabs>
          <w:tab w:val="left" w:pos="690"/>
          <w:tab w:val="left" w:pos="2268"/>
        </w:tabs>
        <w:spacing w:before="161" w:line="232" w:lineRule="auto"/>
        <w:ind w:left="2268" w:right="1134" w:hanging="567"/>
        <w:jc w:val="both"/>
        <w:rPr>
          <w:sz w:val="20"/>
          <w:lang w:val="fr-FR"/>
        </w:rPr>
      </w:pPr>
      <w:r>
        <w:rPr>
          <w:color w:val="231F20"/>
          <w:sz w:val="20"/>
          <w:lang w:val="fr-FR"/>
        </w:rPr>
        <w:t>« 12)</w:t>
      </w:r>
      <w:r>
        <w:rPr>
          <w:color w:val="231F20"/>
          <w:sz w:val="20"/>
          <w:lang w:val="fr-FR"/>
        </w:rPr>
        <w:tab/>
        <w:t xml:space="preserve">Des instructions claires sur le remplissage et la fermeture de ces emballages doivent être fournies par les fabricants d’emballages et les distributeurs ultérieurs à l’expéditeur ou à la personne qui prépare l’emballage (par exemple, le patient) afin que l’emballage soit correctement préparé pour le transport. </w:t>
      </w:r>
      <w:r>
        <w:rPr>
          <w:sz w:val="20"/>
          <w:u w:val="single"/>
          <w:lang w:val="fr-FR"/>
        </w:rPr>
        <w:t>Ces</w:t>
      </w:r>
      <w:r w:rsidR="00142A4F">
        <w:rPr>
          <w:sz w:val="20"/>
          <w:u w:val="single"/>
          <w:lang w:val="fr-FR"/>
        </w:rPr>
        <w:t> </w:t>
      </w:r>
      <w:r>
        <w:rPr>
          <w:sz w:val="20"/>
          <w:u w:val="single"/>
          <w:lang w:val="fr-FR"/>
        </w:rPr>
        <w:t xml:space="preserve">instructions doivent comprendre des </w:t>
      </w:r>
      <w:r>
        <w:rPr>
          <w:sz w:val="20"/>
          <w:szCs w:val="20"/>
          <w:u w:val="single"/>
          <w:lang w:val="fr-FR"/>
        </w:rPr>
        <w:t>informations sur la capacité du colis à passer avec succès l’épreuve de chute spécifiée au point 6), et des informations sur la capacité du récipient primaire ou de l’emballage secondaire, selon le cas, à passer avec succès l’épreuve de pression spécifiée au point 7) e), lorsque cela est nécessaire, afin de permettre une sélection correcte des composantes de l’emballage.</w:t>
      </w:r>
    </w:p>
    <w:p w14:paraId="649AB69A" w14:textId="55D1FE07" w:rsidR="000A6448" w:rsidRDefault="000A6448" w:rsidP="000A6448">
      <w:pPr>
        <w:pStyle w:val="TableParagraph"/>
        <w:tabs>
          <w:tab w:val="left" w:pos="690"/>
          <w:tab w:val="left" w:pos="2268"/>
        </w:tabs>
        <w:spacing w:before="106"/>
        <w:ind w:left="2268" w:right="1134" w:hanging="567"/>
        <w:jc w:val="both"/>
        <w:rPr>
          <w:sz w:val="20"/>
          <w:u w:val="single"/>
          <w:lang w:val="fr-FR"/>
        </w:rPr>
      </w:pPr>
      <w:r>
        <w:rPr>
          <w:sz w:val="20"/>
          <w:lang w:val="fr-FR"/>
        </w:rPr>
        <w:t>13)</w:t>
      </w:r>
      <w:r>
        <w:rPr>
          <w:sz w:val="20"/>
          <w:lang w:val="fr-FR"/>
        </w:rPr>
        <w:tab/>
      </w:r>
      <w:r>
        <w:rPr>
          <w:sz w:val="20"/>
          <w:u w:val="single"/>
          <w:lang w:val="fr-FR"/>
        </w:rPr>
        <w:t>Si l’expéditeur choisit des composantes dont la capacité n’a pas été évaluée ensemble pour former l’ensemble complet, il doit apporter la preuve, à la demande de l’autorité compétente, que</w:t>
      </w:r>
      <w:r w:rsidR="00142A4F">
        <w:rPr>
          <w:sz w:val="20"/>
          <w:u w:val="single"/>
          <w:lang w:val="fr-FR"/>
        </w:rPr>
        <w:t> </w:t>
      </w:r>
      <w:r>
        <w:rPr>
          <w:sz w:val="20"/>
          <w:u w:val="single"/>
          <w:lang w:val="fr-FR"/>
        </w:rPr>
        <w:t>:</w:t>
      </w:r>
    </w:p>
    <w:p w14:paraId="1E5C12FB" w14:textId="73BCB5D0" w:rsidR="000A6448" w:rsidRDefault="000A6448" w:rsidP="000A6448">
      <w:pPr>
        <w:pStyle w:val="TableParagraph"/>
        <w:spacing w:before="106"/>
        <w:ind w:left="2835" w:right="1134" w:hanging="567"/>
        <w:jc w:val="both"/>
        <w:rPr>
          <w:sz w:val="20"/>
          <w:u w:val="single"/>
          <w:lang w:val="fr-FR"/>
        </w:rPr>
      </w:pPr>
      <w:r>
        <w:rPr>
          <w:sz w:val="20"/>
          <w:u w:val="single"/>
          <w:lang w:val="fr-FR"/>
        </w:rPr>
        <w:t>a)</w:t>
      </w:r>
      <w:r>
        <w:rPr>
          <w:sz w:val="20"/>
          <w:u w:val="single"/>
          <w:lang w:val="fr-FR"/>
        </w:rPr>
        <w:tab/>
        <w:t>Les différentes composantes utilisées sont capables de passer avec succès l’épreuve de chute spécifiée au paragraphe</w:t>
      </w:r>
      <w:r w:rsidR="00142A4F">
        <w:rPr>
          <w:sz w:val="20"/>
          <w:u w:val="single"/>
          <w:lang w:val="fr-FR"/>
        </w:rPr>
        <w:t> </w:t>
      </w:r>
      <w:r>
        <w:rPr>
          <w:sz w:val="20"/>
          <w:u w:val="single"/>
          <w:lang w:val="fr-FR"/>
        </w:rPr>
        <w:t>6) lorsqu’ils sont assemblés pour former l’emballage complet</w:t>
      </w:r>
      <w:r w:rsidR="00142A4F">
        <w:rPr>
          <w:sz w:val="20"/>
          <w:u w:val="single"/>
          <w:lang w:val="fr-FR"/>
        </w:rPr>
        <w:t> </w:t>
      </w:r>
      <w:r>
        <w:rPr>
          <w:sz w:val="20"/>
          <w:u w:val="single"/>
          <w:lang w:val="fr-FR"/>
        </w:rPr>
        <w:t>; et</w:t>
      </w:r>
    </w:p>
    <w:p w14:paraId="4D50E347" w14:textId="320F2C72" w:rsidR="000A6448" w:rsidRDefault="000A6448" w:rsidP="000A6448">
      <w:pPr>
        <w:pStyle w:val="TableParagraph"/>
        <w:spacing w:before="106"/>
        <w:ind w:left="2835" w:right="1134" w:hanging="567"/>
        <w:jc w:val="both"/>
        <w:rPr>
          <w:sz w:val="20"/>
          <w:u w:val="single"/>
          <w:lang w:val="fr-FR"/>
        </w:rPr>
      </w:pPr>
      <w:r>
        <w:rPr>
          <w:sz w:val="20"/>
          <w:u w:val="single"/>
          <w:lang w:val="fr-FR"/>
        </w:rPr>
        <w:t>b)</w:t>
      </w:r>
      <w:r>
        <w:rPr>
          <w:sz w:val="20"/>
          <w:u w:val="single"/>
          <w:lang w:val="fr-FR"/>
        </w:rPr>
        <w:tab/>
        <w:t>Si nécessaire, le récipient primaire ou l’emballage secondaire est capable de passer avec succès l’épreuve de pression spécifiée au paragraphe</w:t>
      </w:r>
      <w:r w:rsidR="00142A4F">
        <w:rPr>
          <w:sz w:val="20"/>
          <w:u w:val="single"/>
          <w:lang w:val="fr-FR"/>
        </w:rPr>
        <w:t> </w:t>
      </w:r>
      <w:r>
        <w:rPr>
          <w:sz w:val="20"/>
          <w:u w:val="single"/>
          <w:lang w:val="fr-FR"/>
        </w:rPr>
        <w:t>7)</w:t>
      </w:r>
      <w:r w:rsidR="00142A4F">
        <w:rPr>
          <w:sz w:val="20"/>
          <w:u w:val="single"/>
          <w:lang w:val="fr-FR"/>
        </w:rPr>
        <w:t> </w:t>
      </w:r>
      <w:r>
        <w:rPr>
          <w:sz w:val="20"/>
          <w:u w:val="single"/>
          <w:lang w:val="fr-FR"/>
        </w:rPr>
        <w:t>e).</w:t>
      </w:r>
    </w:p>
    <w:p w14:paraId="332BE832" w14:textId="3BC78EEF" w:rsidR="000A6448" w:rsidRDefault="000A6448" w:rsidP="000A6448">
      <w:pPr>
        <w:pStyle w:val="TableParagraph"/>
        <w:spacing w:before="106"/>
        <w:ind w:left="2268" w:right="1134"/>
        <w:jc w:val="both"/>
        <w:rPr>
          <w:sz w:val="20"/>
          <w:u w:val="single"/>
          <w:lang w:val="fr-FR"/>
        </w:rPr>
      </w:pPr>
      <w:r>
        <w:rPr>
          <w:sz w:val="20"/>
          <w:u w:val="single"/>
          <w:lang w:val="fr-FR"/>
        </w:rPr>
        <w:t>Les variantes des récipients primaires conformes au 4.1.8.5, satisfaisant à l’alinéa</w:t>
      </w:r>
      <w:r w:rsidR="00142A4F">
        <w:rPr>
          <w:sz w:val="20"/>
          <w:u w:val="single"/>
          <w:lang w:val="fr-FR"/>
        </w:rPr>
        <w:t> </w:t>
      </w:r>
      <w:r>
        <w:rPr>
          <w:sz w:val="20"/>
          <w:u w:val="single"/>
          <w:lang w:val="fr-FR"/>
        </w:rPr>
        <w:t>b), le cas échéant, sont considérées comme équivalentes au récipient primaire d’origine.</w:t>
      </w:r>
      <w:r>
        <w:rPr>
          <w:sz w:val="20"/>
          <w:lang w:val="fr-FR"/>
        </w:rPr>
        <w:t> ».</w:t>
      </w:r>
    </w:p>
    <w:p w14:paraId="367791FE" w14:textId="0D9A7AB7" w:rsidR="000A6448" w:rsidRDefault="00142A4F" w:rsidP="000A6448">
      <w:pPr>
        <w:pStyle w:val="SingleTxtG"/>
        <w:spacing w:before="240"/>
        <w:rPr>
          <w:lang w:val="fr-FR"/>
        </w:rPr>
      </w:pPr>
      <w:r>
        <w:rPr>
          <w:lang w:val="fr-FR"/>
        </w:rPr>
        <w:t>21.</w:t>
      </w:r>
      <w:r w:rsidR="000A6448">
        <w:rPr>
          <w:lang w:val="fr-FR"/>
        </w:rPr>
        <w:tab/>
        <w:t>Le paragraphe</w:t>
      </w:r>
      <w:r>
        <w:rPr>
          <w:lang w:val="fr-FR"/>
        </w:rPr>
        <w:t> </w:t>
      </w:r>
      <w:r w:rsidR="000A6448">
        <w:rPr>
          <w:lang w:val="fr-FR"/>
        </w:rPr>
        <w:t>13) actuel devient le paragraphe 14).</w:t>
      </w:r>
    </w:p>
    <w:p w14:paraId="24289039" w14:textId="3148CEE0" w:rsidR="000A6448" w:rsidRDefault="000A6448" w:rsidP="000A6448">
      <w:pPr>
        <w:pStyle w:val="SingleTxtG"/>
        <w:rPr>
          <w:lang w:val="fr-FR"/>
        </w:rPr>
      </w:pPr>
      <w:r>
        <w:rPr>
          <w:lang w:val="fr-FR"/>
        </w:rPr>
        <w:t>22.</w:t>
      </w:r>
      <w:r>
        <w:rPr>
          <w:lang w:val="fr-FR"/>
        </w:rPr>
        <w:tab/>
      </w:r>
      <w:r>
        <w:rPr>
          <w:b/>
          <w:bCs/>
          <w:lang w:val="fr-FR"/>
        </w:rPr>
        <w:t>Proposition</w:t>
      </w:r>
      <w:r w:rsidR="00142A4F">
        <w:rPr>
          <w:b/>
          <w:bCs/>
          <w:lang w:val="fr-FR"/>
        </w:rPr>
        <w:t> </w:t>
      </w:r>
      <w:r>
        <w:rPr>
          <w:b/>
          <w:bCs/>
          <w:lang w:val="fr-FR"/>
        </w:rPr>
        <w:t>3</w:t>
      </w:r>
      <w:r w:rsidR="00142A4F">
        <w:rPr>
          <w:b/>
          <w:bCs/>
          <w:lang w:val="fr-FR"/>
        </w:rPr>
        <w:t> </w:t>
      </w:r>
      <w:r>
        <w:rPr>
          <w:lang w:val="fr-FR"/>
        </w:rPr>
        <w:t>: Modifier la première phrase du paragraphe</w:t>
      </w:r>
      <w:r w:rsidR="00142A4F">
        <w:rPr>
          <w:lang w:val="fr-FR"/>
        </w:rPr>
        <w:t> </w:t>
      </w:r>
      <w:r>
        <w:rPr>
          <w:lang w:val="fr-FR"/>
        </w:rPr>
        <w:t>6) et supprimer la deuxième phrase de ce paragraphe, comme suit</w:t>
      </w:r>
      <w:r w:rsidR="00142A4F">
        <w:rPr>
          <w:lang w:val="fr-FR"/>
        </w:rPr>
        <w:t> </w:t>
      </w:r>
      <w:r>
        <w:rPr>
          <w:lang w:val="fr-FR"/>
        </w:rPr>
        <w:t>:</w:t>
      </w:r>
    </w:p>
    <w:p w14:paraId="4331911B" w14:textId="3BAEA4EF" w:rsidR="000A6448" w:rsidRDefault="000A6448" w:rsidP="000A6448">
      <w:pPr>
        <w:pStyle w:val="TableParagraph"/>
        <w:tabs>
          <w:tab w:val="left" w:pos="625"/>
          <w:tab w:val="left" w:pos="2268"/>
        </w:tabs>
        <w:spacing w:before="51"/>
        <w:ind w:left="2268" w:right="992" w:hanging="567"/>
        <w:jc w:val="both"/>
        <w:rPr>
          <w:sz w:val="20"/>
          <w:lang w:val="fr-FR"/>
        </w:rPr>
      </w:pPr>
      <w:r>
        <w:rPr>
          <w:color w:val="231F20"/>
          <w:sz w:val="20"/>
          <w:lang w:val="fr-FR"/>
        </w:rPr>
        <w:t>« 6)</w:t>
      </w:r>
      <w:r>
        <w:rPr>
          <w:color w:val="231F20"/>
          <w:sz w:val="20"/>
          <w:lang w:val="fr-FR"/>
        </w:rPr>
        <w:tab/>
      </w:r>
      <w:r>
        <w:rPr>
          <w:rFonts w:asciiTheme="majorBidi" w:hAnsiTheme="majorBidi" w:cstheme="majorBidi"/>
          <w:sz w:val="20"/>
          <w:lang w:val="fr-FR"/>
        </w:rPr>
        <w:t xml:space="preserve">Le colis complet doit pouvoir subir avec succès l’épreuve de chute du </w:t>
      </w:r>
      <w:r w:rsidRPr="001172D1">
        <w:rPr>
          <w:rFonts w:asciiTheme="majorBidi" w:hAnsiTheme="majorBidi" w:cstheme="majorBidi"/>
          <w:sz w:val="20"/>
          <w:lang w:val="fr-FR"/>
        </w:rPr>
        <w:t>6.3.5.3</w:t>
      </w:r>
      <w:r w:rsidR="001172D1" w:rsidRPr="001172D1">
        <w:rPr>
          <w:rFonts w:asciiTheme="majorBidi" w:hAnsiTheme="majorBidi" w:cstheme="majorBidi"/>
          <w:sz w:val="20"/>
          <w:lang w:val="fr-FR"/>
        </w:rPr>
        <w:t>.</w:t>
      </w:r>
      <w:r w:rsidR="001172D1" w:rsidRPr="001172D1">
        <w:rPr>
          <w:rFonts w:asciiTheme="majorBidi" w:hAnsiTheme="majorBidi" w:cstheme="majorBidi"/>
          <w:sz w:val="20"/>
          <w:u w:val="single"/>
          <w:lang w:val="fr-FR"/>
        </w:rPr>
        <w:t>1</w:t>
      </w:r>
      <w:r w:rsidR="001172D1" w:rsidRPr="001172D1">
        <w:rPr>
          <w:rFonts w:asciiTheme="majorBidi" w:hAnsiTheme="majorBidi" w:cstheme="majorBidi"/>
          <w:sz w:val="20"/>
          <w:u w:val="single"/>
          <w:lang w:val="fr-FR"/>
        </w:rPr>
        <w:noBreakHyphen/>
        <w:t>4</w:t>
      </w:r>
      <w:r w:rsidRPr="001172D1">
        <w:rPr>
          <w:rFonts w:asciiTheme="majorBidi" w:hAnsiTheme="majorBidi" w:cstheme="majorBidi"/>
          <w:sz w:val="20"/>
          <w:lang w:val="fr-FR"/>
        </w:rPr>
        <w:t xml:space="preserve">, </w:t>
      </w:r>
      <w:r w:rsidRPr="001172D1">
        <w:rPr>
          <w:rFonts w:asciiTheme="majorBidi" w:hAnsiTheme="majorBidi" w:cstheme="majorBidi"/>
          <w:strike/>
          <w:sz w:val="20"/>
          <w:lang w:val="fr-FR"/>
        </w:rPr>
        <w:t>comme</w:t>
      </w:r>
      <w:r>
        <w:rPr>
          <w:rFonts w:asciiTheme="majorBidi" w:hAnsiTheme="majorBidi" w:cstheme="majorBidi"/>
          <w:strike/>
          <w:sz w:val="20"/>
          <w:lang w:val="fr-FR"/>
        </w:rPr>
        <w:t xml:space="preserve"> spécifié au 6.3.5.2 du Règlement type,</w:t>
      </w:r>
      <w:r>
        <w:rPr>
          <w:rFonts w:asciiTheme="majorBidi" w:hAnsiTheme="majorBidi" w:cstheme="majorBidi"/>
          <w:sz w:val="20"/>
          <w:lang w:val="fr-FR"/>
        </w:rPr>
        <w:t xml:space="preserve"> d’une</w:t>
      </w:r>
      <w:r w:rsidR="00142A4F">
        <w:rPr>
          <w:rFonts w:asciiTheme="majorBidi" w:hAnsiTheme="majorBidi" w:cstheme="majorBidi"/>
          <w:sz w:val="20"/>
          <w:lang w:val="fr-FR"/>
        </w:rPr>
        <w:t xml:space="preserve"> </w:t>
      </w:r>
      <w:r>
        <w:rPr>
          <w:rFonts w:asciiTheme="majorBidi" w:hAnsiTheme="majorBidi" w:cstheme="majorBidi"/>
          <w:sz w:val="20"/>
          <w:lang w:val="fr-FR"/>
        </w:rPr>
        <w:t xml:space="preserve">hauteur de chute de 1,2 m. </w:t>
      </w:r>
      <w:r>
        <w:rPr>
          <w:rFonts w:asciiTheme="majorBidi" w:hAnsiTheme="majorBidi" w:cstheme="majorBidi"/>
          <w:strike/>
          <w:sz w:val="20"/>
          <w:lang w:val="fr-FR"/>
        </w:rPr>
        <w:t>Après la série de chutes indiquée, il ne doit pas être observé de fuites à partir du ou des récipients primaires, qui doivent demeurer protégés par le matériau absorbant, lorsqu’il est prescrit, dans l’emballage secondaire.</w:t>
      </w:r>
      <w:r>
        <w:rPr>
          <w:sz w:val="20"/>
          <w:lang w:val="fr-FR"/>
        </w:rPr>
        <w:t> ».</w:t>
      </w:r>
    </w:p>
    <w:p w14:paraId="5F988DB3" w14:textId="1343D3CF" w:rsidR="000A6448" w:rsidRDefault="000A6448" w:rsidP="000A6448">
      <w:pPr>
        <w:tabs>
          <w:tab w:val="left" w:pos="1701"/>
        </w:tabs>
        <w:spacing w:before="240" w:after="120"/>
        <w:ind w:left="1134" w:right="1134"/>
        <w:jc w:val="both"/>
        <w:rPr>
          <w:lang w:val="fr-FR"/>
        </w:rPr>
      </w:pPr>
      <w:r>
        <w:rPr>
          <w:lang w:val="fr-FR"/>
        </w:rPr>
        <w:t>23.</w:t>
      </w:r>
      <w:r>
        <w:rPr>
          <w:lang w:val="fr-FR"/>
        </w:rPr>
        <w:tab/>
      </w:r>
      <w:r>
        <w:rPr>
          <w:b/>
          <w:bCs/>
          <w:lang w:val="fr-FR"/>
        </w:rPr>
        <w:t>Proposition 4</w:t>
      </w:r>
      <w:r w:rsidR="00142A4F">
        <w:rPr>
          <w:b/>
          <w:bCs/>
          <w:lang w:val="fr-FR"/>
        </w:rPr>
        <w:t> </w:t>
      </w:r>
      <w:r>
        <w:rPr>
          <w:lang w:val="fr-FR"/>
        </w:rPr>
        <w:t>: Suivant les indications du secrétariat, une modification rédactionnelle mineure a été apportée aux paragraphes</w:t>
      </w:r>
      <w:r w:rsidR="00142A4F">
        <w:rPr>
          <w:lang w:val="fr-FR"/>
        </w:rPr>
        <w:t> </w:t>
      </w:r>
      <w:r>
        <w:rPr>
          <w:lang w:val="fr-FR"/>
        </w:rPr>
        <w:t>7), 8) et 9), qui comportent des listes de critères, en ajoutant un « et » à la fin de l’avant-dernier paragraphe.</w:t>
      </w:r>
    </w:p>
    <w:p w14:paraId="7A810482" w14:textId="582CFB82" w:rsidR="000A6448" w:rsidRDefault="000A6448" w:rsidP="000A6448">
      <w:pPr>
        <w:tabs>
          <w:tab w:val="left" w:pos="1701"/>
        </w:tabs>
        <w:spacing w:after="120"/>
        <w:ind w:left="1134" w:right="1134"/>
        <w:jc w:val="both"/>
        <w:rPr>
          <w:lang w:val="fr-FR"/>
        </w:rPr>
      </w:pPr>
      <w:r>
        <w:rPr>
          <w:lang w:val="fr-FR"/>
        </w:rPr>
        <w:t>24.</w:t>
      </w:r>
      <w:r>
        <w:rPr>
          <w:lang w:val="fr-FR"/>
        </w:rPr>
        <w:tab/>
        <w:t>L’instruction d’emballage complète comprenant toutes les propositions mentionnées précédemment se lirait comme suit (en décembre 2021, à la cinquante-neuvième session du Sous-Comité, il avait déjà été décidé, conformément à une proposition figurant dans le document informel INF.4 de cette session, de supprimer le nota en fin du paragraphe 4) de l’instruction d’emballage</w:t>
      </w:r>
      <w:r w:rsidR="00142A4F">
        <w:rPr>
          <w:lang w:val="fr-FR"/>
        </w:rPr>
        <w:t> </w:t>
      </w:r>
      <w:r>
        <w:rPr>
          <w:lang w:val="fr-FR"/>
        </w:rPr>
        <w:t>P650)</w:t>
      </w:r>
      <w:r w:rsidR="00142A4F">
        <w:rPr>
          <w:lang w:val="fr-FR"/>
        </w:rPr>
        <w:t> </w:t>
      </w:r>
      <w:r>
        <w:rPr>
          <w:lang w:val="fr-FR"/>
        </w:rPr>
        <w:t>:</w:t>
      </w:r>
    </w:p>
    <w:p w14:paraId="4296F26D" w14:textId="77777777" w:rsidR="000A6448" w:rsidRDefault="000A6448" w:rsidP="000A6448">
      <w:pPr>
        <w:suppressAutoHyphens w:val="0"/>
        <w:kinsoku/>
        <w:overflowPunct/>
        <w:autoSpaceDE/>
        <w:adjustRightInd/>
        <w:snapToGrid/>
        <w:spacing w:after="200" w:line="276" w:lineRule="auto"/>
        <w:rPr>
          <w:lang w:val="fr-FR"/>
        </w:rPr>
      </w:pPr>
      <w:r>
        <w:rPr>
          <w:lang w:val="fr-FR"/>
        </w:rPr>
        <w:br w:type="page"/>
      </w:r>
    </w:p>
    <w:tbl>
      <w:tblPr>
        <w:tblW w:w="9585" w:type="dxa"/>
        <w:tblInd w:w="49" w:type="dxa"/>
        <w:tblLayout w:type="fixed"/>
        <w:tblCellMar>
          <w:left w:w="56" w:type="dxa"/>
          <w:right w:w="56" w:type="dxa"/>
        </w:tblCellMar>
        <w:tblLook w:val="04A0" w:firstRow="1" w:lastRow="0" w:firstColumn="1" w:lastColumn="0" w:noHBand="0" w:noVBand="1"/>
      </w:tblPr>
      <w:tblGrid>
        <w:gridCol w:w="858"/>
        <w:gridCol w:w="7945"/>
        <w:gridCol w:w="782"/>
      </w:tblGrid>
      <w:tr w:rsidR="000A6448" w:rsidRPr="00142A4F" w14:paraId="39110077" w14:textId="77777777" w:rsidTr="000A6448">
        <w:tc>
          <w:tcPr>
            <w:tcW w:w="857" w:type="dxa"/>
            <w:tcBorders>
              <w:top w:val="single" w:sz="8" w:space="0" w:color="auto"/>
              <w:left w:val="single" w:sz="8" w:space="0" w:color="000000"/>
              <w:bottom w:val="single" w:sz="8" w:space="0" w:color="000000"/>
              <w:right w:val="nil"/>
            </w:tcBorders>
            <w:hideMark/>
          </w:tcPr>
          <w:p w14:paraId="33DF1B89" w14:textId="77777777" w:rsidR="000A6448" w:rsidRPr="00142A4F" w:rsidRDefault="000A6448">
            <w:pPr>
              <w:pageBreakBefore/>
              <w:spacing w:before="24" w:after="24"/>
              <w:rPr>
                <w:rFonts w:asciiTheme="majorBidi" w:hAnsiTheme="majorBidi" w:cstheme="majorBidi"/>
                <w:b/>
                <w:lang w:val="fr-FR"/>
              </w:rPr>
            </w:pPr>
            <w:r w:rsidRPr="00142A4F">
              <w:rPr>
                <w:rFonts w:asciiTheme="majorBidi" w:hAnsiTheme="majorBidi" w:cstheme="majorBidi"/>
                <w:b/>
                <w:lang w:val="fr-FR"/>
              </w:rPr>
              <w:t>P650</w:t>
            </w:r>
          </w:p>
        </w:tc>
        <w:tc>
          <w:tcPr>
            <w:tcW w:w="7941" w:type="dxa"/>
            <w:tcBorders>
              <w:top w:val="single" w:sz="8" w:space="0" w:color="auto"/>
              <w:left w:val="nil"/>
              <w:bottom w:val="single" w:sz="8" w:space="0" w:color="000000"/>
              <w:right w:val="nil"/>
            </w:tcBorders>
            <w:hideMark/>
          </w:tcPr>
          <w:p w14:paraId="11302BBE" w14:textId="77777777" w:rsidR="000A6448" w:rsidRPr="00142A4F" w:rsidRDefault="000A6448">
            <w:pPr>
              <w:spacing w:before="24" w:after="24"/>
              <w:jc w:val="center"/>
              <w:rPr>
                <w:rFonts w:asciiTheme="majorBidi" w:hAnsiTheme="majorBidi" w:cstheme="majorBidi"/>
                <w:b/>
                <w:lang w:val="fr-FR"/>
              </w:rPr>
            </w:pPr>
            <w:r w:rsidRPr="00142A4F">
              <w:rPr>
                <w:rFonts w:asciiTheme="majorBidi" w:hAnsiTheme="majorBidi" w:cstheme="majorBidi"/>
                <w:b/>
                <w:lang w:val="fr-FR"/>
              </w:rPr>
              <w:t>INSTRUCTION D’EMBALLAGE</w:t>
            </w:r>
          </w:p>
        </w:tc>
        <w:tc>
          <w:tcPr>
            <w:tcW w:w="782" w:type="dxa"/>
            <w:tcBorders>
              <w:top w:val="single" w:sz="8" w:space="0" w:color="auto"/>
              <w:left w:val="nil"/>
              <w:bottom w:val="single" w:sz="8" w:space="0" w:color="000000"/>
              <w:right w:val="single" w:sz="8" w:space="0" w:color="000000"/>
            </w:tcBorders>
            <w:hideMark/>
          </w:tcPr>
          <w:p w14:paraId="000ACAC1" w14:textId="77777777" w:rsidR="000A6448" w:rsidRPr="00142A4F" w:rsidRDefault="000A6448">
            <w:pPr>
              <w:pStyle w:val="Heading9"/>
              <w:spacing w:before="24" w:after="24" w:line="276" w:lineRule="auto"/>
              <w:rPr>
                <w:rFonts w:asciiTheme="majorBidi" w:hAnsiTheme="majorBidi" w:cstheme="majorBidi"/>
                <w:b/>
                <w:lang w:val="fr-FR"/>
              </w:rPr>
            </w:pPr>
            <w:r w:rsidRPr="00142A4F">
              <w:rPr>
                <w:rFonts w:asciiTheme="majorBidi" w:hAnsiTheme="majorBidi" w:cstheme="majorBidi"/>
                <w:b/>
                <w:lang w:val="fr-FR"/>
              </w:rPr>
              <w:t>P650</w:t>
            </w:r>
          </w:p>
        </w:tc>
      </w:tr>
      <w:tr w:rsidR="000A6448" w:rsidRPr="000A6448" w14:paraId="5EE420B5" w14:textId="77777777" w:rsidTr="000A6448">
        <w:tc>
          <w:tcPr>
            <w:tcW w:w="9580" w:type="dxa"/>
            <w:gridSpan w:val="3"/>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C4BB178" w14:textId="45645C44" w:rsidR="000A6448" w:rsidRDefault="000A6448">
            <w:pPr>
              <w:spacing w:before="24" w:after="24"/>
              <w:rPr>
                <w:rFonts w:asciiTheme="majorBidi" w:hAnsiTheme="majorBidi" w:cstheme="majorBidi"/>
                <w:lang w:val="fr-FR"/>
              </w:rPr>
            </w:pPr>
            <w:r>
              <w:rPr>
                <w:rFonts w:asciiTheme="majorBidi" w:hAnsiTheme="majorBidi" w:cstheme="majorBidi"/>
                <w:lang w:val="fr-FR"/>
              </w:rPr>
              <w:t>Cette instruction s’applique au N</w:t>
            </w:r>
            <w:r w:rsidRPr="00142A4F">
              <w:rPr>
                <w:rFonts w:asciiTheme="majorBidi" w:hAnsiTheme="majorBidi" w:cstheme="majorBidi"/>
                <w:vertAlign w:val="superscript"/>
                <w:lang w:val="fr-FR"/>
              </w:rPr>
              <w:t>o</w:t>
            </w:r>
            <w:r>
              <w:rPr>
                <w:rFonts w:asciiTheme="majorBidi" w:hAnsiTheme="majorBidi" w:cstheme="majorBidi"/>
                <w:lang w:val="fr-FR"/>
              </w:rPr>
              <w:t> ONU</w:t>
            </w:r>
            <w:r w:rsidR="00142A4F">
              <w:rPr>
                <w:rFonts w:asciiTheme="majorBidi" w:hAnsiTheme="majorBidi" w:cstheme="majorBidi"/>
                <w:lang w:val="fr-FR"/>
              </w:rPr>
              <w:t> </w:t>
            </w:r>
            <w:r>
              <w:rPr>
                <w:rFonts w:asciiTheme="majorBidi" w:hAnsiTheme="majorBidi" w:cstheme="majorBidi"/>
                <w:lang w:val="fr-FR"/>
              </w:rPr>
              <w:t>3373.</w:t>
            </w:r>
          </w:p>
        </w:tc>
      </w:tr>
      <w:tr w:rsidR="000A6448" w:rsidRPr="000A6448" w14:paraId="37DD058B" w14:textId="77777777" w:rsidTr="000A6448">
        <w:tc>
          <w:tcPr>
            <w:tcW w:w="9580" w:type="dxa"/>
            <w:gridSpan w:val="3"/>
            <w:tcBorders>
              <w:top w:val="single" w:sz="8" w:space="0" w:color="000000"/>
              <w:left w:val="single" w:sz="8" w:space="0" w:color="000000"/>
              <w:bottom w:val="nil"/>
              <w:right w:val="single" w:sz="8" w:space="0" w:color="000000"/>
            </w:tcBorders>
            <w:tcMar>
              <w:top w:w="0" w:type="dxa"/>
              <w:left w:w="70" w:type="dxa"/>
              <w:bottom w:w="0" w:type="dxa"/>
              <w:right w:w="70" w:type="dxa"/>
            </w:tcMar>
            <w:hideMark/>
          </w:tcPr>
          <w:p w14:paraId="70C7B0F8" w14:textId="168C1A79"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lang w:val="fr-FR"/>
              </w:rPr>
              <w:t>1)</w:t>
            </w:r>
            <w:r>
              <w:rPr>
                <w:rFonts w:asciiTheme="majorBidi" w:hAnsiTheme="majorBidi" w:cstheme="majorBidi"/>
                <w:lang w:val="fr-FR"/>
              </w:rPr>
              <w:tab/>
              <w:t>Les emballages doivent être de bonne qualité et suffisamment solides pour résister aux chocs et aux charges auxquels ils peuvent normalement être soumis en cours de transport, y compris le transbordement entre engins de transport ou entre engins de transport et entrepôts, ainsi que tout enlèvement d’une palette ou d’un suremballage en vue d’une manipulation manuelle ou mécanique. Les</w:t>
            </w:r>
            <w:r w:rsidR="00142A4F">
              <w:rPr>
                <w:rFonts w:asciiTheme="majorBidi" w:hAnsiTheme="majorBidi" w:cstheme="majorBidi"/>
                <w:lang w:val="fr-FR"/>
              </w:rPr>
              <w:t xml:space="preserve"> </w:t>
            </w:r>
            <w:r>
              <w:rPr>
                <w:rFonts w:asciiTheme="majorBidi" w:hAnsiTheme="majorBidi" w:cstheme="majorBidi"/>
                <w:lang w:val="fr-FR"/>
              </w:rPr>
              <w:t xml:space="preserve">emballages doivent être construits et fermés de manière à éviter toute fuite du contenu dans des conditions normales de transport, sous l’effet de vibrations ou de variations de température, d’hygrométrie ou de pression. </w:t>
            </w:r>
          </w:p>
        </w:tc>
      </w:tr>
      <w:tr w:rsidR="000A6448" w:rsidRPr="000A6448" w14:paraId="37617A93"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352A6B41" w14:textId="17E044D0"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lang w:val="fr-FR"/>
              </w:rPr>
              <w:t>2)</w:t>
            </w:r>
            <w:r>
              <w:rPr>
                <w:rFonts w:asciiTheme="majorBidi" w:hAnsiTheme="majorBidi" w:cstheme="majorBidi"/>
                <w:lang w:val="fr-FR"/>
              </w:rPr>
              <w:tab/>
              <w:t>L’emballage doit comprendre au moins les trois composantes ci-après</w:t>
            </w:r>
            <w:r w:rsidR="00142A4F">
              <w:rPr>
                <w:rFonts w:asciiTheme="majorBidi" w:hAnsiTheme="majorBidi" w:cstheme="majorBidi"/>
                <w:lang w:val="fr-FR"/>
              </w:rPr>
              <w:t> </w:t>
            </w:r>
            <w:r>
              <w:rPr>
                <w:rFonts w:asciiTheme="majorBidi" w:hAnsiTheme="majorBidi" w:cstheme="majorBidi"/>
                <w:lang w:val="fr-FR"/>
              </w:rPr>
              <w:t>:</w:t>
            </w:r>
          </w:p>
        </w:tc>
      </w:tr>
      <w:tr w:rsidR="000A6448" w14:paraId="1B7AF1F1"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31A82AB3" w14:textId="11BCA387" w:rsidR="000A6448" w:rsidRDefault="000A6448">
            <w:pPr>
              <w:tabs>
                <w:tab w:val="left" w:pos="1066"/>
              </w:tabs>
              <w:spacing w:before="24" w:after="24"/>
              <w:ind w:left="1066" w:hanging="567"/>
              <w:rPr>
                <w:rFonts w:asciiTheme="majorBidi" w:hAnsiTheme="majorBidi" w:cstheme="majorBidi"/>
                <w:lang w:val="fr-FR"/>
              </w:rPr>
            </w:pPr>
            <w:r>
              <w:rPr>
                <w:rFonts w:asciiTheme="majorBidi" w:hAnsiTheme="majorBidi" w:cstheme="majorBidi"/>
                <w:lang w:val="fr-FR"/>
              </w:rPr>
              <w:t>a)</w:t>
            </w:r>
            <w:r>
              <w:rPr>
                <w:rFonts w:asciiTheme="majorBidi" w:hAnsiTheme="majorBidi" w:cstheme="majorBidi"/>
                <w:lang w:val="fr-FR"/>
              </w:rPr>
              <w:tab/>
              <w:t>un récipient primaire</w:t>
            </w:r>
            <w:r w:rsidR="00142A4F">
              <w:rPr>
                <w:rFonts w:asciiTheme="majorBidi" w:hAnsiTheme="majorBidi" w:cstheme="majorBidi"/>
                <w:lang w:val="fr-FR"/>
              </w:rPr>
              <w:t> </w:t>
            </w:r>
            <w:r>
              <w:rPr>
                <w:rFonts w:asciiTheme="majorBidi" w:hAnsiTheme="majorBidi" w:cstheme="majorBidi"/>
                <w:lang w:val="fr-FR"/>
              </w:rPr>
              <w:t>;</w:t>
            </w:r>
          </w:p>
        </w:tc>
      </w:tr>
      <w:tr w:rsidR="000A6448" w:rsidRPr="000A6448" w14:paraId="629CF4B2"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56A06704" w14:textId="0CDA1BDB" w:rsidR="000A6448" w:rsidRDefault="000A6448">
            <w:pPr>
              <w:tabs>
                <w:tab w:val="left" w:pos="1066"/>
              </w:tabs>
              <w:spacing w:before="24" w:after="24"/>
              <w:ind w:left="1066" w:hanging="567"/>
              <w:rPr>
                <w:rFonts w:asciiTheme="majorBidi" w:hAnsiTheme="majorBidi" w:cstheme="majorBidi"/>
                <w:lang w:val="fr-FR"/>
              </w:rPr>
            </w:pPr>
            <w:r>
              <w:rPr>
                <w:rFonts w:asciiTheme="majorBidi" w:hAnsiTheme="majorBidi" w:cstheme="majorBidi"/>
                <w:lang w:val="fr-FR"/>
              </w:rPr>
              <w:t>b)</w:t>
            </w:r>
            <w:r>
              <w:rPr>
                <w:rFonts w:asciiTheme="majorBidi" w:hAnsiTheme="majorBidi" w:cstheme="majorBidi"/>
                <w:lang w:val="fr-FR"/>
              </w:rPr>
              <w:tab/>
              <w:t>un emballage secondaire</w:t>
            </w:r>
            <w:r w:rsidR="00142A4F">
              <w:rPr>
                <w:rFonts w:asciiTheme="majorBidi" w:hAnsiTheme="majorBidi" w:cstheme="majorBidi"/>
                <w:lang w:val="fr-FR"/>
              </w:rPr>
              <w:t> </w:t>
            </w:r>
            <w:r>
              <w:rPr>
                <w:rFonts w:asciiTheme="majorBidi" w:hAnsiTheme="majorBidi" w:cstheme="majorBidi"/>
                <w:lang w:val="fr-FR"/>
              </w:rPr>
              <w:t>; et</w:t>
            </w:r>
          </w:p>
        </w:tc>
      </w:tr>
      <w:tr w:rsidR="000A6448" w14:paraId="304F2212"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3A642E40" w14:textId="77777777" w:rsidR="000A6448" w:rsidRDefault="000A6448">
            <w:pPr>
              <w:tabs>
                <w:tab w:val="left" w:pos="1066"/>
              </w:tabs>
              <w:spacing w:before="24" w:after="24"/>
              <w:ind w:left="1066" w:hanging="567"/>
              <w:rPr>
                <w:rFonts w:asciiTheme="majorBidi" w:hAnsiTheme="majorBidi" w:cstheme="majorBidi"/>
                <w:lang w:val="fr-FR"/>
              </w:rPr>
            </w:pPr>
            <w:r>
              <w:rPr>
                <w:rFonts w:asciiTheme="majorBidi" w:hAnsiTheme="majorBidi" w:cstheme="majorBidi"/>
                <w:lang w:val="fr-FR"/>
              </w:rPr>
              <w:t>c)</w:t>
            </w:r>
            <w:r>
              <w:rPr>
                <w:rFonts w:asciiTheme="majorBidi" w:hAnsiTheme="majorBidi" w:cstheme="majorBidi"/>
                <w:lang w:val="fr-FR"/>
              </w:rPr>
              <w:tab/>
              <w:t xml:space="preserve">un emballage extérieur </w:t>
            </w:r>
          </w:p>
        </w:tc>
      </w:tr>
      <w:tr w:rsidR="000A6448" w:rsidRPr="000A6448" w14:paraId="74918241"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66DAD7B1" w14:textId="77777777" w:rsidR="000A6448" w:rsidRDefault="000A6448">
            <w:pPr>
              <w:tabs>
                <w:tab w:val="left" w:pos="1066"/>
              </w:tabs>
              <w:spacing w:before="24" w:after="24"/>
              <w:ind w:left="1066" w:hanging="567"/>
              <w:rPr>
                <w:rFonts w:asciiTheme="majorBidi" w:hAnsiTheme="majorBidi" w:cstheme="majorBidi"/>
                <w:lang w:val="fr-FR"/>
              </w:rPr>
            </w:pPr>
            <w:r>
              <w:rPr>
                <w:rFonts w:asciiTheme="majorBidi" w:hAnsiTheme="majorBidi" w:cstheme="majorBidi"/>
                <w:lang w:val="fr-FR"/>
              </w:rPr>
              <w:t>parmi lesquels, soit l’emballage secondaire, soit l’emballage extérieur doit être rigide.</w:t>
            </w:r>
          </w:p>
        </w:tc>
      </w:tr>
      <w:tr w:rsidR="000A6448" w:rsidRPr="000A6448" w14:paraId="43F51BD4"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0D3EF978" w14:textId="77777777"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lang w:val="fr-FR"/>
              </w:rPr>
              <w:t>3)</w:t>
            </w:r>
            <w:r>
              <w:rPr>
                <w:rFonts w:asciiTheme="majorBidi" w:hAnsiTheme="majorBidi" w:cstheme="majorBidi"/>
                <w:lang w:val="fr-FR"/>
              </w:rPr>
              <w:tab/>
              <w:t>Les récipients primaires doivent être emballés dans les emballages secondaires de façon à éviter, dans des conditions normales de transport, qu’ils ne se brisent, soient perforés ou laissent échapper leur contenu dans les emballages secondaires. Les emballages secondaires doivent être placés dans des emballages extérieurs avec interposition de matières de rembourrage appropriées. Une fuite du contenu ne doit entraîner aucune altération appréciable des propriétés protectrices des matières de rembourrage ou de l’emballage extérieur.</w:t>
            </w:r>
          </w:p>
        </w:tc>
      </w:tr>
      <w:tr w:rsidR="000A6448" w:rsidRPr="000A6448" w14:paraId="0E1BA909" w14:textId="77777777" w:rsidTr="000A6448">
        <w:trPr>
          <w:trHeight w:val="855"/>
        </w:trPr>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2D396670" w14:textId="46915723"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lang w:val="fr-FR"/>
              </w:rPr>
              <w:t>4)</w:t>
            </w:r>
            <w:r>
              <w:rPr>
                <w:rFonts w:asciiTheme="majorBidi" w:hAnsiTheme="majorBidi" w:cstheme="majorBidi"/>
                <w:lang w:val="fr-FR"/>
              </w:rPr>
              <w:tab/>
              <w:t>Pour le transport, la marque représentée ci</w:t>
            </w:r>
            <w:r>
              <w:rPr>
                <w:rFonts w:asciiTheme="majorBidi" w:hAnsiTheme="majorBidi" w:cstheme="majorBidi"/>
                <w:lang w:val="fr-FR"/>
              </w:rPr>
              <w:noBreakHyphen/>
              <w:t>après doit être apposée sur la surface extérieure de l’emballage extérieur sur un fond d’une couleur contrastant avec elle et doit être facile à voir et à lire. La marque doit avoir la forme d’un</w:t>
            </w:r>
            <w:r w:rsidR="00142A4F">
              <w:rPr>
                <w:rFonts w:asciiTheme="majorBidi" w:hAnsiTheme="majorBidi" w:cstheme="majorBidi"/>
                <w:lang w:val="fr-FR"/>
              </w:rPr>
              <w:t xml:space="preserve"> </w:t>
            </w:r>
            <w:r>
              <w:rPr>
                <w:rFonts w:asciiTheme="majorBidi" w:hAnsiTheme="majorBidi" w:cstheme="majorBidi"/>
                <w:lang w:val="fr-FR"/>
              </w:rPr>
              <w:t xml:space="preserve">carré mis sur la pointe (en losange) dont chaque côté a une longueur d’au moins 50 mm, la largeur de la ligne doit être d’au moins 2 mm et la hauteur des lettres et des chiffres doit être d’au moins 6 mm. La désignation officielle de transport </w:t>
            </w:r>
            <w:r w:rsidR="00142A4F">
              <w:rPr>
                <w:rFonts w:asciiTheme="majorBidi" w:hAnsiTheme="majorBidi" w:cstheme="majorBidi"/>
                <w:lang w:val="fr-FR"/>
              </w:rPr>
              <w:t>« </w:t>
            </w:r>
            <w:r>
              <w:rPr>
                <w:rFonts w:asciiTheme="majorBidi" w:hAnsiTheme="majorBidi" w:cstheme="majorBidi"/>
                <w:lang w:val="fr-FR"/>
              </w:rPr>
              <w:t>MATIÈRE BIOLOGIQUE, CATÉGORIE B</w:t>
            </w:r>
            <w:r w:rsidR="00142A4F">
              <w:rPr>
                <w:rFonts w:asciiTheme="majorBidi" w:hAnsiTheme="majorBidi" w:cstheme="majorBidi"/>
                <w:lang w:val="fr-FR"/>
              </w:rPr>
              <w:t> »</w:t>
            </w:r>
            <w:r>
              <w:rPr>
                <w:rFonts w:asciiTheme="majorBidi" w:hAnsiTheme="majorBidi" w:cstheme="majorBidi"/>
                <w:lang w:val="fr-FR"/>
              </w:rPr>
              <w:t>, en lettres d’au moins 6 mm de hauteur, doit être marquée sur l’emballage extérieur près de la marque en forme de losange.</w:t>
            </w:r>
          </w:p>
        </w:tc>
      </w:tr>
      <w:tr w:rsidR="000A6448" w14:paraId="1F1D74CE" w14:textId="77777777" w:rsidTr="000A6448">
        <w:trPr>
          <w:trHeight w:val="2621"/>
        </w:trPr>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563089A5" w14:textId="11116BD3" w:rsidR="000A6448" w:rsidRDefault="000A6448">
            <w:pPr>
              <w:spacing w:before="24" w:after="24"/>
              <w:jc w:val="center"/>
              <w:rPr>
                <w:rFonts w:asciiTheme="majorBidi" w:hAnsiTheme="majorBidi" w:cstheme="majorBidi"/>
                <w:i/>
                <w:lang w:val="fr-FR"/>
              </w:rPr>
            </w:pPr>
            <w:r>
              <w:rPr>
                <w:rFonts w:asciiTheme="majorBidi" w:hAnsiTheme="majorBidi" w:cstheme="majorBidi"/>
                <w:noProof/>
                <w:lang w:val="fr-FR"/>
              </w:rPr>
              <w:drawing>
                <wp:inline distT="0" distB="0" distL="0" distR="0" wp14:anchorId="1380D1DF" wp14:editId="3A23F8ED">
                  <wp:extent cx="1685925" cy="1685925"/>
                  <wp:effectExtent l="0" t="0" r="9525" b="9525"/>
                  <wp:docPr id="4" name="Image 4" descr="un3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33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tc>
      </w:tr>
      <w:tr w:rsidR="000A6448" w:rsidRPr="000A6448" w14:paraId="2E819D04"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4816D1F6" w14:textId="77777777"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lang w:val="fr-FR"/>
              </w:rPr>
              <w:t>5)</w:t>
            </w:r>
            <w:r>
              <w:rPr>
                <w:rFonts w:asciiTheme="majorBidi" w:hAnsiTheme="majorBidi" w:cstheme="majorBidi"/>
                <w:lang w:val="fr-FR"/>
              </w:rPr>
              <w:tab/>
              <w:t>Au moins une surface de l’emballage extérieur doit avoir des dimensions minimales de 100 mm × 100 mm.</w:t>
            </w:r>
          </w:p>
        </w:tc>
      </w:tr>
      <w:tr w:rsidR="000A6448" w:rsidRPr="000A6448" w14:paraId="1E0FC52C" w14:textId="77777777" w:rsidTr="000A6448">
        <w:trPr>
          <w:trHeight w:val="645"/>
        </w:trPr>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3D716357" w14:textId="02571C94"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lang w:val="fr-FR"/>
              </w:rPr>
              <w:t>6)</w:t>
            </w:r>
            <w:r>
              <w:rPr>
                <w:rFonts w:asciiTheme="majorBidi" w:hAnsiTheme="majorBidi" w:cstheme="majorBidi"/>
                <w:lang w:val="fr-FR"/>
              </w:rPr>
              <w:tab/>
              <w:t xml:space="preserve">Le colis complet doit pouvoir subir avec succès l’épreuve de chute </w:t>
            </w:r>
            <w:r w:rsidRPr="001172D1">
              <w:rPr>
                <w:rFonts w:asciiTheme="majorBidi" w:hAnsiTheme="majorBidi" w:cstheme="majorBidi"/>
                <w:lang w:val="fr-FR"/>
              </w:rPr>
              <w:t xml:space="preserve">du </w:t>
            </w:r>
            <w:r w:rsidR="001172D1" w:rsidRPr="001172D1">
              <w:rPr>
                <w:rFonts w:asciiTheme="majorBidi" w:hAnsiTheme="majorBidi" w:cstheme="majorBidi"/>
                <w:lang w:val="fr-FR"/>
              </w:rPr>
              <w:t>6.3.5.3.</w:t>
            </w:r>
            <w:r w:rsidR="001172D1" w:rsidRPr="001172D1">
              <w:rPr>
                <w:rFonts w:asciiTheme="majorBidi" w:hAnsiTheme="majorBidi" w:cstheme="majorBidi"/>
                <w:u w:val="single"/>
                <w:lang w:val="fr-FR"/>
              </w:rPr>
              <w:t>1</w:t>
            </w:r>
            <w:r w:rsidR="001172D1" w:rsidRPr="001172D1">
              <w:rPr>
                <w:rFonts w:asciiTheme="majorBidi" w:hAnsiTheme="majorBidi" w:cstheme="majorBidi"/>
                <w:u w:val="single"/>
                <w:lang w:val="fr-FR"/>
              </w:rPr>
              <w:noBreakHyphen/>
              <w:t>4</w:t>
            </w:r>
            <w:r w:rsidRPr="001172D1">
              <w:rPr>
                <w:rFonts w:asciiTheme="majorBidi" w:hAnsiTheme="majorBidi" w:cstheme="majorBidi"/>
                <w:strike/>
                <w:lang w:val="fr-FR"/>
              </w:rPr>
              <w:t>, comme</w:t>
            </w:r>
            <w:r>
              <w:rPr>
                <w:rFonts w:asciiTheme="majorBidi" w:hAnsiTheme="majorBidi" w:cstheme="majorBidi"/>
                <w:strike/>
                <w:lang w:val="fr-FR"/>
              </w:rPr>
              <w:t xml:space="preserve"> spécifié au 6.3.5.2 du Règlement type,</w:t>
            </w:r>
            <w:r>
              <w:rPr>
                <w:rFonts w:asciiTheme="majorBidi" w:hAnsiTheme="majorBidi" w:cstheme="majorBidi"/>
                <w:lang w:val="fr-FR"/>
              </w:rPr>
              <w:t xml:space="preserve"> d’une</w:t>
            </w:r>
            <w:r w:rsidR="00142A4F">
              <w:rPr>
                <w:rFonts w:asciiTheme="majorBidi" w:hAnsiTheme="majorBidi" w:cstheme="majorBidi"/>
                <w:lang w:val="fr-FR"/>
              </w:rPr>
              <w:t xml:space="preserve"> </w:t>
            </w:r>
            <w:r>
              <w:rPr>
                <w:rFonts w:asciiTheme="majorBidi" w:hAnsiTheme="majorBidi" w:cstheme="majorBidi"/>
                <w:lang w:val="fr-FR"/>
              </w:rPr>
              <w:t xml:space="preserve">hauteur de chute de 1,2 m. </w:t>
            </w:r>
            <w:r>
              <w:rPr>
                <w:rFonts w:asciiTheme="majorBidi" w:hAnsiTheme="majorBidi" w:cstheme="majorBidi"/>
                <w:strike/>
                <w:lang w:val="fr-FR"/>
              </w:rPr>
              <w:t>Après la série de chutes indiquée, il ne doit pas être observé de fuites à partir du ou des récipients primaires, qui doivent demeurer protégés par le matériau absorbant, lorsqu’il est prescrit, dans l’emballage secondaire.</w:t>
            </w:r>
          </w:p>
          <w:p w14:paraId="41FCE5FC" w14:textId="035D37E7"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u w:val="single"/>
                <w:lang w:val="fr-FR"/>
              </w:rPr>
              <w:tab/>
            </w:r>
            <w:r>
              <w:rPr>
                <w:rFonts w:asciiTheme="majorBidi" w:hAnsiTheme="majorBidi" w:cstheme="majorBidi"/>
                <w:b/>
                <w:i/>
                <w:u w:val="single"/>
                <w:lang w:val="fr-FR"/>
              </w:rPr>
              <w:t>NOTA</w:t>
            </w:r>
            <w:r w:rsidR="00142A4F" w:rsidRPr="00142A4F">
              <w:rPr>
                <w:rFonts w:asciiTheme="majorBidi" w:hAnsiTheme="majorBidi" w:cstheme="majorBidi"/>
                <w:bCs/>
                <w:i/>
                <w:u w:val="single"/>
                <w:lang w:val="fr-FR"/>
              </w:rPr>
              <w:t> </w:t>
            </w:r>
            <w:r w:rsidRPr="00142A4F">
              <w:rPr>
                <w:rFonts w:asciiTheme="majorBidi" w:hAnsiTheme="majorBidi" w:cstheme="majorBidi"/>
                <w:bCs/>
                <w:i/>
                <w:u w:val="single"/>
                <w:lang w:val="fr-FR"/>
              </w:rPr>
              <w:t>:</w:t>
            </w:r>
            <w:r>
              <w:rPr>
                <w:rFonts w:asciiTheme="majorBidi" w:hAnsiTheme="majorBidi" w:cstheme="majorBidi"/>
                <w:i/>
                <w:u w:val="single"/>
                <w:lang w:val="fr-FR"/>
              </w:rPr>
              <w:t xml:space="preserve"> Cette capacité peut être démontrée directement par des épreuves, ou à défaut par des moyens tels que l’analyse technique, les essais avec un objet de masse et de taille similaires, ou d’autres moyens équivalents</w:t>
            </w:r>
            <w:r>
              <w:rPr>
                <w:rFonts w:asciiTheme="majorBidi" w:hAnsiTheme="majorBidi" w:cstheme="majorBidi"/>
                <w:i/>
                <w:lang w:val="fr-FR"/>
              </w:rPr>
              <w:t>.</w:t>
            </w:r>
          </w:p>
        </w:tc>
      </w:tr>
      <w:tr w:rsidR="000A6448" w14:paraId="0AA4CF0E"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5E0BED8B" w14:textId="2A3650AB"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lang w:val="fr-FR"/>
              </w:rPr>
              <w:t>7)</w:t>
            </w:r>
            <w:r>
              <w:rPr>
                <w:rFonts w:asciiTheme="majorBidi" w:hAnsiTheme="majorBidi" w:cstheme="majorBidi"/>
                <w:lang w:val="fr-FR"/>
              </w:rPr>
              <w:tab/>
              <w:t>Pour les matières liquides</w:t>
            </w:r>
            <w:r w:rsidR="00142A4F">
              <w:rPr>
                <w:rFonts w:asciiTheme="majorBidi" w:hAnsiTheme="majorBidi" w:cstheme="majorBidi"/>
                <w:lang w:val="fr-FR"/>
              </w:rPr>
              <w:t> </w:t>
            </w:r>
            <w:r>
              <w:rPr>
                <w:rFonts w:asciiTheme="majorBidi" w:hAnsiTheme="majorBidi" w:cstheme="majorBidi"/>
                <w:lang w:val="fr-FR"/>
              </w:rPr>
              <w:t>:</w:t>
            </w:r>
          </w:p>
        </w:tc>
      </w:tr>
      <w:tr w:rsidR="000A6448" w:rsidRPr="000A6448" w14:paraId="1DDE2823"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6FA81297" w14:textId="00C168FF" w:rsidR="000A6448" w:rsidRDefault="000A6448">
            <w:pPr>
              <w:tabs>
                <w:tab w:val="left" w:pos="925"/>
              </w:tabs>
              <w:spacing w:before="24" w:after="24"/>
              <w:ind w:left="956" w:right="73" w:hanging="457"/>
              <w:rPr>
                <w:rFonts w:asciiTheme="majorBidi" w:hAnsiTheme="majorBidi" w:cstheme="majorBidi"/>
                <w:lang w:val="fr-FR"/>
              </w:rPr>
            </w:pPr>
            <w:r>
              <w:rPr>
                <w:rFonts w:asciiTheme="majorBidi" w:hAnsiTheme="majorBidi" w:cstheme="majorBidi"/>
                <w:lang w:val="fr-FR"/>
              </w:rPr>
              <w:t>a)</w:t>
            </w:r>
            <w:r>
              <w:rPr>
                <w:rFonts w:asciiTheme="majorBidi" w:hAnsiTheme="majorBidi" w:cstheme="majorBidi"/>
                <w:lang w:val="fr-FR"/>
              </w:rPr>
              <w:tab/>
              <w:t>Le ou les récipients primaires doivent être étanches</w:t>
            </w:r>
            <w:r w:rsidR="00142A4F">
              <w:rPr>
                <w:rFonts w:asciiTheme="majorBidi" w:hAnsiTheme="majorBidi" w:cstheme="majorBidi"/>
                <w:lang w:val="fr-FR"/>
              </w:rPr>
              <w:t> </w:t>
            </w:r>
            <w:r>
              <w:rPr>
                <w:rFonts w:asciiTheme="majorBidi" w:hAnsiTheme="majorBidi" w:cstheme="majorBidi"/>
                <w:lang w:val="fr-FR"/>
              </w:rPr>
              <w:t>;</w:t>
            </w:r>
          </w:p>
        </w:tc>
      </w:tr>
      <w:tr w:rsidR="000A6448" w:rsidRPr="000A6448" w14:paraId="6D854CEA"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6EB6952A" w14:textId="16E5ACF2" w:rsidR="000A6448" w:rsidRDefault="000A6448">
            <w:pPr>
              <w:tabs>
                <w:tab w:val="left" w:pos="925"/>
              </w:tabs>
              <w:spacing w:before="24" w:after="24"/>
              <w:ind w:left="956" w:right="73" w:hanging="457"/>
              <w:rPr>
                <w:rFonts w:asciiTheme="majorBidi" w:hAnsiTheme="majorBidi" w:cstheme="majorBidi"/>
                <w:lang w:val="fr-FR"/>
              </w:rPr>
            </w:pPr>
            <w:r>
              <w:rPr>
                <w:rFonts w:asciiTheme="majorBidi" w:hAnsiTheme="majorBidi" w:cstheme="majorBidi"/>
                <w:lang w:val="fr-FR"/>
              </w:rPr>
              <w:t>b)</w:t>
            </w:r>
            <w:r>
              <w:rPr>
                <w:rFonts w:asciiTheme="majorBidi" w:hAnsiTheme="majorBidi" w:cstheme="majorBidi"/>
                <w:lang w:val="fr-FR"/>
              </w:rPr>
              <w:tab/>
              <w:t>L’emballage secondaire doit être étanche</w:t>
            </w:r>
            <w:r w:rsidR="00142A4F">
              <w:rPr>
                <w:rFonts w:asciiTheme="majorBidi" w:hAnsiTheme="majorBidi" w:cstheme="majorBidi"/>
                <w:lang w:val="fr-FR"/>
              </w:rPr>
              <w:t> </w:t>
            </w:r>
            <w:r>
              <w:rPr>
                <w:rFonts w:asciiTheme="majorBidi" w:hAnsiTheme="majorBidi" w:cstheme="majorBidi"/>
                <w:lang w:val="fr-FR"/>
              </w:rPr>
              <w:t>;</w:t>
            </w:r>
          </w:p>
        </w:tc>
      </w:tr>
      <w:tr w:rsidR="000A6448" w:rsidRPr="000A6448" w14:paraId="34ED6F5F"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2DE49323" w14:textId="04287D23" w:rsidR="000A6448" w:rsidRDefault="000A6448">
            <w:pPr>
              <w:tabs>
                <w:tab w:val="left" w:pos="925"/>
              </w:tabs>
              <w:spacing w:before="24" w:after="24"/>
              <w:ind w:left="956" w:right="73" w:hanging="457"/>
              <w:rPr>
                <w:rFonts w:asciiTheme="majorBidi" w:hAnsiTheme="majorBidi" w:cstheme="majorBidi"/>
                <w:lang w:val="fr-FR"/>
              </w:rPr>
            </w:pPr>
            <w:r>
              <w:rPr>
                <w:rFonts w:asciiTheme="majorBidi" w:hAnsiTheme="majorBidi" w:cstheme="majorBidi"/>
                <w:lang w:val="fr-FR"/>
              </w:rPr>
              <w:t>c)</w:t>
            </w:r>
            <w:r>
              <w:rPr>
                <w:rFonts w:asciiTheme="majorBidi" w:hAnsiTheme="majorBidi" w:cstheme="majorBidi"/>
                <w:lang w:val="fr-FR"/>
              </w:rPr>
              <w:tab/>
              <w:t>Si plusieurs récipients primaires fragiles sont placés dans un emballage secondaire simple, il faut les envelopper individuellement ou les séparer pour empêcher tout contact entre eux</w:t>
            </w:r>
            <w:r w:rsidR="00142A4F">
              <w:rPr>
                <w:rFonts w:asciiTheme="majorBidi" w:hAnsiTheme="majorBidi" w:cstheme="majorBidi"/>
                <w:lang w:val="fr-FR"/>
              </w:rPr>
              <w:t> </w:t>
            </w:r>
            <w:r>
              <w:rPr>
                <w:rFonts w:asciiTheme="majorBidi" w:hAnsiTheme="majorBidi" w:cstheme="majorBidi"/>
                <w:lang w:val="fr-FR"/>
              </w:rPr>
              <w:t>;</w:t>
            </w:r>
          </w:p>
        </w:tc>
      </w:tr>
      <w:tr w:rsidR="000A6448" w:rsidRPr="000A6448" w14:paraId="210230FC"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13D65832" w14:textId="20554FB1" w:rsidR="000A6448" w:rsidRDefault="000A6448">
            <w:pPr>
              <w:tabs>
                <w:tab w:val="left" w:pos="925"/>
              </w:tabs>
              <w:spacing w:before="24" w:after="24"/>
              <w:ind w:left="956" w:right="73" w:hanging="457"/>
              <w:rPr>
                <w:rFonts w:asciiTheme="majorBidi" w:hAnsiTheme="majorBidi" w:cstheme="majorBidi"/>
                <w:u w:val="single"/>
                <w:lang w:val="fr-FR"/>
              </w:rPr>
            </w:pPr>
            <w:r>
              <w:rPr>
                <w:rFonts w:asciiTheme="majorBidi" w:hAnsiTheme="majorBidi" w:cstheme="majorBidi"/>
                <w:lang w:val="fr-FR"/>
              </w:rPr>
              <w:t>d)</w:t>
            </w:r>
            <w:r>
              <w:rPr>
                <w:rFonts w:asciiTheme="majorBidi" w:hAnsiTheme="majorBidi" w:cstheme="majorBidi"/>
                <w:lang w:val="fr-FR"/>
              </w:rPr>
              <w:tab/>
              <w:t>Un matériau absorbant doit être placé entre le ou les récipients primaires et l’emballage secondaire. La quantité de matériau absorbant doit être suffisante pour absorber la totalité du contenu du ou des récipients primaires de manière qu’une libération de la matière liquide ne porte pas atteinte à l’intégrité du matériau de rembourrage ou de l’emballage extérieur</w:t>
            </w:r>
            <w:r w:rsidR="00142A4F">
              <w:rPr>
                <w:rFonts w:asciiTheme="majorBidi" w:hAnsiTheme="majorBidi" w:cstheme="majorBidi"/>
                <w:lang w:val="fr-FR"/>
              </w:rPr>
              <w:t> </w:t>
            </w:r>
            <w:r>
              <w:rPr>
                <w:rFonts w:asciiTheme="majorBidi" w:hAnsiTheme="majorBidi" w:cstheme="majorBidi"/>
                <w:lang w:val="fr-FR"/>
              </w:rPr>
              <w:t>;</w:t>
            </w:r>
            <w:r>
              <w:rPr>
                <w:rFonts w:asciiTheme="majorBidi" w:hAnsiTheme="majorBidi" w:cstheme="majorBidi"/>
                <w:u w:val="single"/>
                <w:lang w:val="fr-FR"/>
              </w:rPr>
              <w:t xml:space="preserve"> et</w:t>
            </w:r>
          </w:p>
        </w:tc>
      </w:tr>
      <w:tr w:rsidR="000A6448" w14:paraId="5595DBEC" w14:textId="77777777" w:rsidTr="000A6448">
        <w:tc>
          <w:tcPr>
            <w:tcW w:w="9580" w:type="dxa"/>
            <w:gridSpan w:val="3"/>
            <w:tcBorders>
              <w:top w:val="single" w:sz="8" w:space="0" w:color="000000"/>
              <w:left w:val="nil"/>
              <w:bottom w:val="nil"/>
              <w:right w:val="nil"/>
            </w:tcBorders>
            <w:hideMark/>
          </w:tcPr>
          <w:p w14:paraId="6C1DFD93" w14:textId="77777777" w:rsidR="000A6448" w:rsidRDefault="000A6448">
            <w:pPr>
              <w:tabs>
                <w:tab w:val="left" w:pos="-1302"/>
                <w:tab w:val="left" w:pos="-720"/>
                <w:tab w:val="left" w:pos="0"/>
                <w:tab w:val="left" w:pos="397"/>
                <w:tab w:val="left" w:pos="849"/>
                <w:tab w:val="left" w:pos="1303"/>
              </w:tabs>
              <w:spacing w:before="24" w:after="24"/>
              <w:ind w:left="851" w:hanging="454"/>
              <w:jc w:val="right"/>
              <w:rPr>
                <w:rFonts w:asciiTheme="majorBidi" w:hAnsiTheme="majorBidi" w:cstheme="majorBidi"/>
                <w:b/>
                <w:bCs/>
                <w:i/>
                <w:iCs/>
                <w:lang w:val="fr-FR"/>
              </w:rPr>
            </w:pPr>
            <w:r>
              <w:rPr>
                <w:rFonts w:asciiTheme="majorBidi" w:hAnsiTheme="majorBidi" w:cstheme="majorBidi"/>
                <w:b/>
                <w:i/>
                <w:iCs/>
                <w:lang w:val="fr-FR"/>
              </w:rPr>
              <w:t>(suite page suivante)</w:t>
            </w:r>
          </w:p>
        </w:tc>
      </w:tr>
      <w:tr w:rsidR="000A6448" w:rsidRPr="00142A4F" w14:paraId="1A55F858" w14:textId="77777777" w:rsidTr="000A6448">
        <w:tc>
          <w:tcPr>
            <w:tcW w:w="857" w:type="dxa"/>
            <w:tcBorders>
              <w:top w:val="single" w:sz="8" w:space="0" w:color="000000"/>
              <w:left w:val="single" w:sz="8" w:space="0" w:color="000000"/>
              <w:bottom w:val="single" w:sz="8" w:space="0" w:color="000000"/>
              <w:right w:val="nil"/>
            </w:tcBorders>
            <w:hideMark/>
          </w:tcPr>
          <w:p w14:paraId="7122DFBF" w14:textId="77777777" w:rsidR="000A6448" w:rsidRPr="00142A4F" w:rsidRDefault="000A6448">
            <w:pPr>
              <w:pageBreakBefore/>
              <w:spacing w:before="24" w:after="24"/>
              <w:rPr>
                <w:rFonts w:asciiTheme="majorBidi" w:hAnsiTheme="majorBidi" w:cstheme="majorBidi"/>
                <w:b/>
                <w:lang w:val="fr-FR"/>
              </w:rPr>
            </w:pPr>
            <w:r w:rsidRPr="00142A4F">
              <w:rPr>
                <w:rFonts w:asciiTheme="majorBidi" w:hAnsiTheme="majorBidi" w:cstheme="majorBidi"/>
                <w:b/>
                <w:lang w:val="fr-FR"/>
              </w:rPr>
              <w:t>P650</w:t>
            </w:r>
          </w:p>
        </w:tc>
        <w:tc>
          <w:tcPr>
            <w:tcW w:w="7941" w:type="dxa"/>
            <w:tcBorders>
              <w:top w:val="single" w:sz="8" w:space="0" w:color="000000"/>
              <w:left w:val="nil"/>
              <w:bottom w:val="single" w:sz="8" w:space="0" w:color="000000"/>
              <w:right w:val="nil"/>
            </w:tcBorders>
            <w:hideMark/>
          </w:tcPr>
          <w:p w14:paraId="61EE9B9E" w14:textId="77777777" w:rsidR="000A6448" w:rsidRPr="00142A4F" w:rsidRDefault="000A6448">
            <w:pPr>
              <w:spacing w:before="24" w:after="24"/>
              <w:jc w:val="center"/>
              <w:rPr>
                <w:rFonts w:asciiTheme="majorBidi" w:hAnsiTheme="majorBidi" w:cstheme="majorBidi"/>
                <w:b/>
                <w:lang w:val="fr-FR"/>
              </w:rPr>
            </w:pPr>
            <w:r w:rsidRPr="00142A4F">
              <w:rPr>
                <w:rFonts w:asciiTheme="majorBidi" w:hAnsiTheme="majorBidi" w:cstheme="majorBidi"/>
                <w:b/>
                <w:lang w:val="fr-FR"/>
              </w:rPr>
              <w:t xml:space="preserve">INSTRUCTION D’EMBALLAGE </w:t>
            </w:r>
            <w:r w:rsidRPr="00142A4F">
              <w:rPr>
                <w:rFonts w:asciiTheme="majorBidi" w:hAnsiTheme="majorBidi" w:cstheme="majorBidi"/>
                <w:bCs/>
                <w:i/>
                <w:iCs/>
                <w:lang w:val="fr-FR"/>
              </w:rPr>
              <w:t>(suite)</w:t>
            </w:r>
          </w:p>
        </w:tc>
        <w:tc>
          <w:tcPr>
            <w:tcW w:w="782" w:type="dxa"/>
            <w:tcBorders>
              <w:top w:val="single" w:sz="8" w:space="0" w:color="000000"/>
              <w:left w:val="nil"/>
              <w:bottom w:val="single" w:sz="8" w:space="0" w:color="000000"/>
              <w:right w:val="single" w:sz="8" w:space="0" w:color="000000"/>
            </w:tcBorders>
            <w:hideMark/>
          </w:tcPr>
          <w:p w14:paraId="19D4F8B5" w14:textId="77777777" w:rsidR="000A6448" w:rsidRPr="00142A4F" w:rsidRDefault="000A6448">
            <w:pPr>
              <w:pStyle w:val="Heading9"/>
              <w:spacing w:before="24" w:after="24" w:line="276" w:lineRule="auto"/>
              <w:rPr>
                <w:rFonts w:asciiTheme="majorBidi" w:hAnsiTheme="majorBidi" w:cstheme="majorBidi"/>
                <w:b/>
                <w:lang w:val="fr-FR"/>
              </w:rPr>
            </w:pPr>
            <w:r w:rsidRPr="00142A4F">
              <w:rPr>
                <w:rFonts w:asciiTheme="majorBidi" w:hAnsiTheme="majorBidi" w:cstheme="majorBidi"/>
                <w:b/>
                <w:lang w:val="fr-FR"/>
              </w:rPr>
              <w:t>P650</w:t>
            </w:r>
          </w:p>
        </w:tc>
      </w:tr>
      <w:tr w:rsidR="000A6448" w:rsidRPr="000A6448" w14:paraId="606CBF3C"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6F251179" w14:textId="3C5E340E" w:rsidR="000A6448" w:rsidRDefault="000A6448">
            <w:pPr>
              <w:tabs>
                <w:tab w:val="left" w:pos="925"/>
              </w:tabs>
              <w:spacing w:before="24" w:after="24"/>
              <w:ind w:left="956" w:right="73" w:hanging="457"/>
              <w:rPr>
                <w:rFonts w:asciiTheme="majorBidi" w:hAnsiTheme="majorBidi" w:cstheme="majorBidi"/>
                <w:lang w:val="fr-FR"/>
              </w:rPr>
            </w:pPr>
            <w:r>
              <w:rPr>
                <w:rFonts w:asciiTheme="majorBidi" w:hAnsiTheme="majorBidi" w:cstheme="majorBidi"/>
                <w:lang w:val="fr-FR"/>
              </w:rPr>
              <w:t>e)</w:t>
            </w:r>
            <w:r>
              <w:rPr>
                <w:rFonts w:asciiTheme="majorBidi" w:hAnsiTheme="majorBidi" w:cstheme="majorBidi"/>
                <w:lang w:val="fr-FR"/>
              </w:rPr>
              <w:tab/>
              <w:t>Le récipient primaire ou l’emballage secondaire doit être capable de résister sans fuite à une pression intérieure de 95 kPa (0,95</w:t>
            </w:r>
            <w:r w:rsidR="00142A4F">
              <w:rPr>
                <w:rFonts w:asciiTheme="majorBidi" w:hAnsiTheme="majorBidi" w:cstheme="majorBidi"/>
                <w:lang w:val="fr-FR"/>
              </w:rPr>
              <w:t> </w:t>
            </w:r>
            <w:r>
              <w:rPr>
                <w:rFonts w:asciiTheme="majorBidi" w:hAnsiTheme="majorBidi" w:cstheme="majorBidi"/>
                <w:lang w:val="fr-FR"/>
              </w:rPr>
              <w:t>bar).</w:t>
            </w:r>
          </w:p>
          <w:p w14:paraId="7C1C3010" w14:textId="04FFCF36"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u w:val="single"/>
                <w:lang w:val="fr-FR"/>
              </w:rPr>
              <w:tab/>
            </w:r>
            <w:r>
              <w:rPr>
                <w:rFonts w:asciiTheme="majorBidi" w:hAnsiTheme="majorBidi" w:cstheme="majorBidi"/>
                <w:b/>
                <w:i/>
                <w:u w:val="single"/>
                <w:lang w:val="fr-FR"/>
              </w:rPr>
              <w:t>NOTA</w:t>
            </w:r>
            <w:r w:rsidR="00142A4F">
              <w:rPr>
                <w:rFonts w:asciiTheme="majorBidi" w:hAnsiTheme="majorBidi" w:cstheme="majorBidi"/>
                <w:b/>
                <w:i/>
                <w:u w:val="single"/>
                <w:lang w:val="fr-FR"/>
              </w:rPr>
              <w:t> </w:t>
            </w:r>
            <w:r w:rsidRPr="00142A4F">
              <w:rPr>
                <w:rFonts w:asciiTheme="majorBidi" w:hAnsiTheme="majorBidi" w:cstheme="majorBidi"/>
                <w:bCs/>
                <w:i/>
                <w:u w:val="single"/>
                <w:lang w:val="fr-FR"/>
              </w:rPr>
              <w:t>:</w:t>
            </w:r>
            <w:r>
              <w:rPr>
                <w:rFonts w:asciiTheme="majorBidi" w:hAnsiTheme="majorBidi" w:cstheme="majorBidi"/>
                <w:i/>
                <w:u w:val="single"/>
                <w:lang w:val="fr-FR"/>
              </w:rPr>
              <w:t xml:space="preserve"> Cette capacité peut être démontrée directement par des épreuves, ou à défaut par des moyens tels que l’analyse technique, les essais avec un objet de masse et de taille similaires, ou d’autres moyens équivalents</w:t>
            </w:r>
            <w:r>
              <w:rPr>
                <w:rFonts w:asciiTheme="majorBidi" w:hAnsiTheme="majorBidi" w:cstheme="majorBidi"/>
                <w:i/>
                <w:lang w:val="fr-FR"/>
              </w:rPr>
              <w:t>.</w:t>
            </w:r>
          </w:p>
        </w:tc>
      </w:tr>
      <w:tr w:rsidR="000A6448" w14:paraId="32AAAB20"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46F15084" w14:textId="619F34A5"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lang w:val="fr-FR"/>
              </w:rPr>
              <w:t>8)</w:t>
            </w:r>
            <w:r>
              <w:rPr>
                <w:rFonts w:asciiTheme="majorBidi" w:hAnsiTheme="majorBidi" w:cstheme="majorBidi"/>
                <w:lang w:val="fr-FR"/>
              </w:rPr>
              <w:tab/>
              <w:t>Pour les matières solides</w:t>
            </w:r>
            <w:r w:rsidR="000137B5">
              <w:rPr>
                <w:rFonts w:asciiTheme="majorBidi" w:hAnsiTheme="majorBidi" w:cstheme="majorBidi"/>
                <w:lang w:val="fr-FR"/>
              </w:rPr>
              <w:t> </w:t>
            </w:r>
            <w:r>
              <w:rPr>
                <w:rFonts w:asciiTheme="majorBidi" w:hAnsiTheme="majorBidi" w:cstheme="majorBidi"/>
                <w:lang w:val="fr-FR"/>
              </w:rPr>
              <w:t>:</w:t>
            </w:r>
          </w:p>
        </w:tc>
      </w:tr>
      <w:tr w:rsidR="000A6448" w:rsidRPr="000A6448" w14:paraId="6A1733FD"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5873B5ED" w14:textId="33B384BE" w:rsidR="000A6448" w:rsidRDefault="000A6448">
            <w:pPr>
              <w:tabs>
                <w:tab w:val="left" w:pos="925"/>
              </w:tabs>
              <w:spacing w:before="24" w:after="24"/>
              <w:ind w:left="956" w:right="73" w:hanging="457"/>
              <w:rPr>
                <w:rFonts w:asciiTheme="majorBidi" w:hAnsiTheme="majorBidi" w:cstheme="majorBidi"/>
                <w:lang w:val="fr-FR"/>
              </w:rPr>
            </w:pPr>
            <w:r>
              <w:rPr>
                <w:rFonts w:asciiTheme="majorBidi" w:hAnsiTheme="majorBidi" w:cstheme="majorBidi"/>
                <w:lang w:val="fr-FR"/>
              </w:rPr>
              <w:t>a)</w:t>
            </w:r>
            <w:r>
              <w:rPr>
                <w:rFonts w:asciiTheme="majorBidi" w:hAnsiTheme="majorBidi" w:cstheme="majorBidi"/>
                <w:lang w:val="fr-FR"/>
              </w:rPr>
              <w:tab/>
              <w:t>Le ou les récipients primaires doivent être étanches aux pulvérulents</w:t>
            </w:r>
            <w:r w:rsidR="000137B5">
              <w:rPr>
                <w:rFonts w:asciiTheme="majorBidi" w:hAnsiTheme="majorBidi" w:cstheme="majorBidi"/>
                <w:lang w:val="fr-FR"/>
              </w:rPr>
              <w:t> </w:t>
            </w:r>
            <w:r>
              <w:rPr>
                <w:rFonts w:asciiTheme="majorBidi" w:hAnsiTheme="majorBidi" w:cstheme="majorBidi"/>
                <w:lang w:val="fr-FR"/>
              </w:rPr>
              <w:t>;</w:t>
            </w:r>
          </w:p>
        </w:tc>
      </w:tr>
      <w:tr w:rsidR="000A6448" w:rsidRPr="000A6448" w14:paraId="042D4297"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17326A86" w14:textId="08F84EF5" w:rsidR="000A6448" w:rsidRDefault="000A6448">
            <w:pPr>
              <w:tabs>
                <w:tab w:val="left" w:pos="925"/>
              </w:tabs>
              <w:spacing w:before="24" w:after="24"/>
              <w:ind w:left="956" w:right="73" w:hanging="457"/>
              <w:rPr>
                <w:rFonts w:asciiTheme="majorBidi" w:hAnsiTheme="majorBidi" w:cstheme="majorBidi"/>
                <w:lang w:val="fr-FR"/>
              </w:rPr>
            </w:pPr>
            <w:r>
              <w:rPr>
                <w:rFonts w:asciiTheme="majorBidi" w:hAnsiTheme="majorBidi" w:cstheme="majorBidi"/>
                <w:lang w:val="fr-FR"/>
              </w:rPr>
              <w:t>b)</w:t>
            </w:r>
            <w:r>
              <w:rPr>
                <w:rFonts w:asciiTheme="majorBidi" w:hAnsiTheme="majorBidi" w:cstheme="majorBidi"/>
                <w:lang w:val="fr-FR"/>
              </w:rPr>
              <w:tab/>
              <w:t>L’emballage secondaire doit être étanche aux pulvérulents</w:t>
            </w:r>
            <w:r w:rsidR="000137B5">
              <w:rPr>
                <w:rFonts w:asciiTheme="majorBidi" w:hAnsiTheme="majorBidi" w:cstheme="majorBidi"/>
                <w:lang w:val="fr-FR"/>
              </w:rPr>
              <w:t> </w:t>
            </w:r>
            <w:r>
              <w:rPr>
                <w:rFonts w:asciiTheme="majorBidi" w:hAnsiTheme="majorBidi" w:cstheme="majorBidi"/>
                <w:lang w:val="fr-FR"/>
              </w:rPr>
              <w:t>;</w:t>
            </w:r>
          </w:p>
        </w:tc>
      </w:tr>
      <w:tr w:rsidR="000A6448" w:rsidRPr="000A6448" w14:paraId="27338753"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57605F44" w14:textId="38F9CFFE" w:rsidR="000A6448" w:rsidRDefault="000A6448">
            <w:pPr>
              <w:tabs>
                <w:tab w:val="left" w:pos="925"/>
              </w:tabs>
              <w:spacing w:before="24" w:after="24"/>
              <w:ind w:left="956" w:right="73" w:hanging="457"/>
              <w:rPr>
                <w:rFonts w:asciiTheme="majorBidi" w:hAnsiTheme="majorBidi" w:cstheme="majorBidi"/>
                <w:lang w:val="fr-FR"/>
              </w:rPr>
            </w:pPr>
            <w:r>
              <w:rPr>
                <w:rFonts w:asciiTheme="majorBidi" w:hAnsiTheme="majorBidi" w:cstheme="majorBidi"/>
                <w:lang w:val="fr-FR"/>
              </w:rPr>
              <w:t>c)</w:t>
            </w:r>
            <w:r>
              <w:rPr>
                <w:rFonts w:asciiTheme="majorBidi" w:hAnsiTheme="majorBidi" w:cstheme="majorBidi"/>
                <w:lang w:val="fr-FR"/>
              </w:rPr>
              <w:tab/>
              <w:t>Si plusieurs récipients primaires fragiles sont placés dans un emballage secondaire simple, il faut les envelopper individuellement ou les séparer pour empêcher tout contact entre eux</w:t>
            </w:r>
            <w:r w:rsidR="000137B5">
              <w:rPr>
                <w:rFonts w:asciiTheme="majorBidi" w:hAnsiTheme="majorBidi" w:cstheme="majorBidi"/>
                <w:lang w:val="fr-FR"/>
              </w:rPr>
              <w:t> </w:t>
            </w:r>
            <w:r>
              <w:rPr>
                <w:rFonts w:asciiTheme="majorBidi" w:hAnsiTheme="majorBidi" w:cstheme="majorBidi"/>
                <w:lang w:val="fr-FR"/>
              </w:rPr>
              <w:t>;</w:t>
            </w:r>
            <w:r>
              <w:rPr>
                <w:rFonts w:asciiTheme="majorBidi" w:hAnsiTheme="majorBidi" w:cstheme="majorBidi"/>
                <w:u w:val="single"/>
                <w:lang w:val="fr-FR"/>
              </w:rPr>
              <w:t xml:space="preserve"> et</w:t>
            </w:r>
          </w:p>
        </w:tc>
      </w:tr>
      <w:tr w:rsidR="000A6448" w:rsidRPr="000A6448" w14:paraId="3DAEF916"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7EDB49E6" w14:textId="22BC1BD1" w:rsidR="000A6448" w:rsidRDefault="000A6448">
            <w:pPr>
              <w:tabs>
                <w:tab w:val="left" w:pos="925"/>
              </w:tabs>
              <w:spacing w:before="24" w:after="24"/>
              <w:ind w:left="956" w:right="73" w:hanging="457"/>
              <w:rPr>
                <w:rFonts w:asciiTheme="majorBidi" w:hAnsiTheme="majorBidi" w:cstheme="majorBidi"/>
                <w:lang w:val="fr-FR"/>
              </w:rPr>
            </w:pPr>
            <w:r w:rsidRPr="000137B5">
              <w:rPr>
                <w:rFonts w:asciiTheme="majorBidi" w:hAnsiTheme="majorBidi" w:cstheme="majorBidi"/>
                <w:lang w:val="fr-FR"/>
              </w:rPr>
              <w:t>d)</w:t>
            </w:r>
            <w:r w:rsidRPr="000137B5">
              <w:rPr>
                <w:rFonts w:asciiTheme="majorBidi" w:hAnsiTheme="majorBidi" w:cstheme="majorBidi"/>
                <w:lang w:val="fr-FR"/>
              </w:rPr>
              <w:tab/>
              <w:t>Si l’on ne peut exclure la présence de liquide résiduel dans le récipient primaire au cours du transport, un emballage adapté aux</w:t>
            </w:r>
            <w:r w:rsidR="000137B5">
              <w:rPr>
                <w:rFonts w:asciiTheme="majorBidi" w:hAnsiTheme="majorBidi" w:cstheme="majorBidi"/>
                <w:lang w:val="fr-FR"/>
              </w:rPr>
              <w:t xml:space="preserve"> </w:t>
            </w:r>
            <w:r w:rsidRPr="000137B5">
              <w:rPr>
                <w:rFonts w:asciiTheme="majorBidi" w:hAnsiTheme="majorBidi" w:cstheme="majorBidi"/>
                <w:lang w:val="fr-FR"/>
              </w:rPr>
              <w:t>liquides, comprenant un matériau absorbant, doit être utilisé.</w:t>
            </w:r>
          </w:p>
        </w:tc>
      </w:tr>
      <w:tr w:rsidR="000A6448" w:rsidRPr="000A6448" w14:paraId="381DB64B"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7C9696A2" w14:textId="2583EFFA"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lang w:val="fr-FR"/>
              </w:rPr>
              <w:t>9)</w:t>
            </w:r>
            <w:r>
              <w:rPr>
                <w:rFonts w:asciiTheme="majorBidi" w:hAnsiTheme="majorBidi" w:cstheme="majorBidi"/>
                <w:lang w:val="fr-FR"/>
              </w:rPr>
              <w:tab/>
              <w:t>Échantillons réfrigérés ou congelés</w:t>
            </w:r>
            <w:r w:rsidR="000137B5">
              <w:rPr>
                <w:rFonts w:asciiTheme="majorBidi" w:hAnsiTheme="majorBidi" w:cstheme="majorBidi"/>
                <w:lang w:val="fr-FR"/>
              </w:rPr>
              <w:t> </w:t>
            </w:r>
            <w:r>
              <w:rPr>
                <w:rFonts w:asciiTheme="majorBidi" w:hAnsiTheme="majorBidi" w:cstheme="majorBidi"/>
                <w:lang w:val="fr-FR"/>
              </w:rPr>
              <w:t>: glace, neige carbonique et azote liquide</w:t>
            </w:r>
          </w:p>
        </w:tc>
      </w:tr>
      <w:tr w:rsidR="000A6448" w:rsidRPr="000A6448" w14:paraId="4EF7DE25"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66E73562" w14:textId="1F379483" w:rsidR="000A6448" w:rsidRDefault="000A6448">
            <w:pPr>
              <w:tabs>
                <w:tab w:val="left" w:pos="925"/>
              </w:tabs>
              <w:spacing w:before="24" w:after="24"/>
              <w:ind w:left="956" w:right="73" w:hanging="457"/>
              <w:rPr>
                <w:rFonts w:asciiTheme="majorBidi" w:hAnsiTheme="majorBidi" w:cstheme="majorBidi"/>
                <w:lang w:val="fr-FR"/>
              </w:rPr>
            </w:pPr>
            <w:r>
              <w:rPr>
                <w:rFonts w:asciiTheme="majorBidi" w:hAnsiTheme="majorBidi" w:cstheme="majorBidi"/>
                <w:lang w:val="fr-FR"/>
              </w:rPr>
              <w:t>a)</w:t>
            </w:r>
            <w:r>
              <w:rPr>
                <w:rFonts w:asciiTheme="majorBidi" w:hAnsiTheme="majorBidi" w:cstheme="majorBidi"/>
                <w:lang w:val="fr-FR"/>
              </w:rPr>
              <w:tab/>
              <w:t>Lorsque de la neige carbonique ou de l’azote liquide sont utilisés comme réfrigérants, les prescriptions du 5.5.3 doivent être satisfaites. Lorsque de la glace est utilisée, elle doit être placée à l’extérieur des emballages secondaires ou dans l’emballage extérieur ou dans un suremballage. Des cales intérieures doivent être prévues pour maintenir les emballages secondaires dans leur position originelle. Si on utilise de la glace, l’emballage extérieur ou le suremballage doit être étanche</w:t>
            </w:r>
            <w:r w:rsidR="000137B5">
              <w:rPr>
                <w:rFonts w:asciiTheme="majorBidi" w:hAnsiTheme="majorBidi" w:cstheme="majorBidi"/>
                <w:lang w:val="fr-FR"/>
              </w:rPr>
              <w:t> </w:t>
            </w:r>
            <w:r>
              <w:rPr>
                <w:rFonts w:asciiTheme="majorBidi" w:hAnsiTheme="majorBidi" w:cstheme="majorBidi"/>
                <w:lang w:val="fr-FR"/>
              </w:rPr>
              <w:t>;</w:t>
            </w:r>
            <w:r>
              <w:rPr>
                <w:rFonts w:asciiTheme="majorBidi" w:hAnsiTheme="majorBidi" w:cstheme="majorBidi"/>
                <w:u w:val="single"/>
                <w:lang w:val="fr-FR"/>
              </w:rPr>
              <w:t xml:space="preserve"> et</w:t>
            </w:r>
          </w:p>
        </w:tc>
      </w:tr>
      <w:tr w:rsidR="000A6448" w:rsidRPr="000A6448" w14:paraId="507DB5D7"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161220B6" w14:textId="77777777" w:rsidR="000A6448" w:rsidRDefault="000A6448">
            <w:pPr>
              <w:tabs>
                <w:tab w:val="left" w:pos="925"/>
              </w:tabs>
              <w:spacing w:before="24" w:after="24"/>
              <w:ind w:left="958" w:right="74" w:hanging="459"/>
              <w:rPr>
                <w:rFonts w:asciiTheme="majorBidi" w:hAnsiTheme="majorBidi" w:cstheme="majorBidi"/>
                <w:lang w:val="fr-FR"/>
              </w:rPr>
            </w:pPr>
            <w:r>
              <w:rPr>
                <w:rFonts w:asciiTheme="majorBidi" w:hAnsiTheme="majorBidi" w:cstheme="majorBidi"/>
                <w:lang w:val="fr-FR"/>
              </w:rPr>
              <w:t>b)</w:t>
            </w:r>
            <w:r>
              <w:rPr>
                <w:rFonts w:asciiTheme="majorBidi" w:hAnsiTheme="majorBidi" w:cstheme="majorBidi"/>
                <w:lang w:val="fr-FR"/>
              </w:rPr>
              <w:tab/>
              <w:t>Le récipient primaire et l’emballage secondaire doivent conserver leur intégrité à la température du réfrigérant utilisé ainsi qu’aux températures et pressions qui pourraient être atteintes en cas de disparition de l’agent de refroidissement.</w:t>
            </w:r>
          </w:p>
        </w:tc>
      </w:tr>
      <w:tr w:rsidR="000A6448" w:rsidRPr="000A6448" w14:paraId="38F14E00"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01B5DD24" w14:textId="77777777"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lang w:val="fr-FR"/>
              </w:rPr>
              <w:t>10)</w:t>
            </w:r>
            <w:r>
              <w:rPr>
                <w:rFonts w:asciiTheme="majorBidi" w:hAnsiTheme="majorBidi" w:cstheme="majorBidi"/>
                <w:lang w:val="fr-FR"/>
              </w:rPr>
              <w:tab/>
              <w:t>Lorsque les colis sont placés dans un suremballage, les marques des colis prescrites par la présente instruction d’emballage doivent être soit directement visibles, soit reproduites à l’extérieur du suremballage.</w:t>
            </w:r>
          </w:p>
        </w:tc>
      </w:tr>
      <w:tr w:rsidR="000A6448" w:rsidRPr="000A6448" w14:paraId="61881CE7"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1C4A1804" w14:textId="159D45D5"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lang w:val="fr-FR"/>
              </w:rPr>
              <w:t>11)</w:t>
            </w:r>
            <w:r>
              <w:rPr>
                <w:rFonts w:asciiTheme="majorBidi" w:hAnsiTheme="majorBidi" w:cstheme="majorBidi"/>
                <w:lang w:val="fr-FR"/>
              </w:rPr>
              <w:tab/>
              <w:t xml:space="preserve">Les matières infectieuses </w:t>
            </w:r>
            <w:r w:rsidRPr="001172D1">
              <w:rPr>
                <w:rFonts w:asciiTheme="majorBidi" w:hAnsiTheme="majorBidi" w:cstheme="majorBidi"/>
                <w:lang w:val="fr-FR"/>
              </w:rPr>
              <w:t xml:space="preserve">affectées au </w:t>
            </w:r>
            <w:r w:rsidR="001172D1" w:rsidRPr="001172D1">
              <w:rPr>
                <w:rFonts w:asciiTheme="majorBidi" w:hAnsiTheme="majorBidi" w:cstheme="majorBidi"/>
                <w:lang w:val="fr-FR"/>
              </w:rPr>
              <w:t>n</w:t>
            </w:r>
            <w:r w:rsidR="001172D1" w:rsidRPr="001172D1">
              <w:rPr>
                <w:rFonts w:asciiTheme="majorBidi" w:hAnsiTheme="majorBidi" w:cstheme="majorBidi"/>
                <w:vertAlign w:val="superscript"/>
                <w:lang w:val="fr-FR"/>
              </w:rPr>
              <w:t>o</w:t>
            </w:r>
            <w:r w:rsidR="001172D1" w:rsidRPr="001172D1">
              <w:rPr>
                <w:rFonts w:asciiTheme="majorBidi" w:hAnsiTheme="majorBidi" w:cstheme="majorBidi"/>
                <w:lang w:val="fr-FR"/>
              </w:rPr>
              <w:t> </w:t>
            </w:r>
            <w:r w:rsidRPr="001172D1">
              <w:rPr>
                <w:rFonts w:asciiTheme="majorBidi" w:hAnsiTheme="majorBidi" w:cstheme="majorBidi"/>
                <w:lang w:val="fr-FR"/>
              </w:rPr>
              <w:t>ONU</w:t>
            </w:r>
            <w:r w:rsidR="000137B5" w:rsidRPr="001172D1">
              <w:rPr>
                <w:rFonts w:asciiTheme="majorBidi" w:hAnsiTheme="majorBidi" w:cstheme="majorBidi"/>
                <w:lang w:val="fr-FR"/>
              </w:rPr>
              <w:t> </w:t>
            </w:r>
            <w:r w:rsidRPr="001172D1">
              <w:rPr>
                <w:rFonts w:asciiTheme="majorBidi" w:hAnsiTheme="majorBidi" w:cstheme="majorBidi"/>
                <w:lang w:val="fr-FR"/>
              </w:rPr>
              <w:t>3373 qui sont</w:t>
            </w:r>
            <w:r>
              <w:rPr>
                <w:rFonts w:asciiTheme="majorBidi" w:hAnsiTheme="majorBidi" w:cstheme="majorBidi"/>
                <w:lang w:val="fr-FR"/>
              </w:rPr>
              <w:t xml:space="preserve"> emballées et marquées conformément à la présente instruction d’emballage ne sont soumises à aucune autre prescription du présent Règlement.</w:t>
            </w:r>
          </w:p>
        </w:tc>
      </w:tr>
      <w:tr w:rsidR="000A6448" w:rsidRPr="000A6448" w14:paraId="00DA7EC2"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3DC9C6C0" w14:textId="2FAE57BD" w:rsidR="000A6448" w:rsidRDefault="000A6448">
            <w:pPr>
              <w:tabs>
                <w:tab w:val="left" w:pos="499"/>
              </w:tabs>
              <w:spacing w:before="24" w:after="24"/>
              <w:ind w:left="499" w:hanging="499"/>
              <w:rPr>
                <w:rFonts w:asciiTheme="majorBidi" w:hAnsiTheme="majorBidi" w:cstheme="majorBidi"/>
                <w:lang w:val="fr-FR"/>
              </w:rPr>
            </w:pPr>
            <w:r>
              <w:rPr>
                <w:rFonts w:asciiTheme="majorBidi" w:hAnsiTheme="majorBidi" w:cstheme="majorBidi"/>
                <w:lang w:val="fr-FR"/>
              </w:rPr>
              <w:t>12)</w:t>
            </w:r>
            <w:r>
              <w:rPr>
                <w:rFonts w:asciiTheme="majorBidi" w:hAnsiTheme="majorBidi" w:cstheme="majorBidi"/>
                <w:lang w:val="fr-FR"/>
              </w:rPr>
              <w:tab/>
              <w:t xml:space="preserve">Ceux qui fabriquent ces emballages et ceux qui les distribuent par la suite doivent donner des instructions claires sur leur remplissage et leur fermeture à l’expéditeur ou à la personne qui prépare les emballages (patient par exemple) afin que ces derniers puissent être correctement préparés pour le transport. </w:t>
            </w:r>
            <w:r>
              <w:rPr>
                <w:rFonts w:asciiTheme="majorBidi" w:hAnsiTheme="majorBidi" w:cstheme="majorBidi"/>
                <w:u w:val="single"/>
                <w:lang w:val="fr-FR"/>
              </w:rPr>
              <w:t>Cela doit comprendre des informations sur la capacité du colis à passer avec succès l’épreuve de chute spécifiée à l’alinéa</w:t>
            </w:r>
            <w:r w:rsidR="000137B5">
              <w:rPr>
                <w:rFonts w:asciiTheme="majorBidi" w:hAnsiTheme="majorBidi" w:cstheme="majorBidi"/>
                <w:u w:val="single"/>
                <w:lang w:val="fr-FR"/>
              </w:rPr>
              <w:t> </w:t>
            </w:r>
            <w:r>
              <w:rPr>
                <w:rFonts w:asciiTheme="majorBidi" w:hAnsiTheme="majorBidi" w:cstheme="majorBidi"/>
                <w:u w:val="single"/>
                <w:lang w:val="fr-FR"/>
              </w:rPr>
              <w:t>6), et des informations sur la capacité du récipient primaire ou de l’emballage secondaire, selon le cas, à passer avec succès l’épreuve de pression spécifiée à l’alinéa</w:t>
            </w:r>
            <w:r w:rsidR="000137B5">
              <w:rPr>
                <w:rFonts w:asciiTheme="majorBidi" w:hAnsiTheme="majorBidi" w:cstheme="majorBidi"/>
                <w:u w:val="single"/>
                <w:lang w:val="fr-FR"/>
              </w:rPr>
              <w:t> </w:t>
            </w:r>
            <w:r>
              <w:rPr>
                <w:rFonts w:asciiTheme="majorBidi" w:hAnsiTheme="majorBidi" w:cstheme="majorBidi"/>
                <w:u w:val="single"/>
                <w:lang w:val="fr-FR"/>
              </w:rPr>
              <w:t>7)</w:t>
            </w:r>
            <w:r w:rsidR="000137B5">
              <w:rPr>
                <w:rFonts w:asciiTheme="majorBidi" w:hAnsiTheme="majorBidi" w:cstheme="majorBidi"/>
                <w:u w:val="single"/>
                <w:lang w:val="fr-FR"/>
              </w:rPr>
              <w:t> </w:t>
            </w:r>
            <w:r>
              <w:rPr>
                <w:rFonts w:asciiTheme="majorBidi" w:hAnsiTheme="majorBidi" w:cstheme="majorBidi"/>
                <w:u w:val="single"/>
                <w:lang w:val="fr-FR"/>
              </w:rPr>
              <w:t>e), lorsque cela est nécessaire, afin de permettre un choix adéquat des composantes de l’emballage.</w:t>
            </w:r>
          </w:p>
        </w:tc>
      </w:tr>
      <w:tr w:rsidR="000A6448" w:rsidRPr="000A6448" w14:paraId="244B7799" w14:textId="77777777" w:rsidTr="000A6448">
        <w:tc>
          <w:tcPr>
            <w:tcW w:w="9580" w:type="dxa"/>
            <w:gridSpan w:val="3"/>
            <w:tcBorders>
              <w:top w:val="nil"/>
              <w:left w:val="single" w:sz="8" w:space="0" w:color="000000"/>
              <w:bottom w:val="nil"/>
              <w:right w:val="single" w:sz="8" w:space="0" w:color="000000"/>
            </w:tcBorders>
            <w:tcMar>
              <w:top w:w="0" w:type="dxa"/>
              <w:left w:w="70" w:type="dxa"/>
              <w:bottom w:w="0" w:type="dxa"/>
              <w:right w:w="70" w:type="dxa"/>
            </w:tcMar>
            <w:hideMark/>
          </w:tcPr>
          <w:p w14:paraId="593D8522" w14:textId="77777777" w:rsidR="000A6448" w:rsidRDefault="000A6448">
            <w:pPr>
              <w:tabs>
                <w:tab w:val="left" w:pos="499"/>
              </w:tabs>
              <w:spacing w:before="24" w:after="24"/>
              <w:ind w:left="499" w:hanging="499"/>
              <w:rPr>
                <w:rFonts w:asciiTheme="majorBidi" w:hAnsiTheme="majorBidi" w:cstheme="majorBidi"/>
                <w:u w:val="single"/>
                <w:lang w:val="fr-FR"/>
              </w:rPr>
            </w:pPr>
            <w:r>
              <w:rPr>
                <w:rFonts w:asciiTheme="majorBidi" w:hAnsiTheme="majorBidi" w:cstheme="majorBidi"/>
                <w:lang w:val="fr-FR"/>
              </w:rPr>
              <w:t>13)</w:t>
            </w:r>
            <w:r>
              <w:rPr>
                <w:rFonts w:asciiTheme="majorBidi" w:hAnsiTheme="majorBidi" w:cstheme="majorBidi"/>
                <w:lang w:val="fr-FR"/>
              </w:rPr>
              <w:tab/>
            </w:r>
            <w:bookmarkStart w:id="1" w:name="_Hlk101938870"/>
            <w:r>
              <w:rPr>
                <w:rFonts w:asciiTheme="majorBidi" w:hAnsiTheme="majorBidi" w:cstheme="majorBidi"/>
                <w:u w:val="single"/>
                <w:lang w:val="fr-FR"/>
              </w:rPr>
              <w:t>Si l’expéditeur choisit des composantes dont la capacité n’a pas été évaluée ensemble pour former l’ensemble complet, il doit apporter la preuve, à la demande de l’autorité compétente, que :</w:t>
            </w:r>
          </w:p>
          <w:p w14:paraId="28294D16" w14:textId="68662FDD" w:rsidR="000A6448" w:rsidRDefault="000A6448">
            <w:pPr>
              <w:tabs>
                <w:tab w:val="left" w:pos="499"/>
              </w:tabs>
              <w:spacing w:before="24" w:after="24"/>
              <w:ind w:left="958" w:right="74" w:hanging="459"/>
              <w:rPr>
                <w:rFonts w:asciiTheme="majorBidi" w:hAnsiTheme="majorBidi" w:cstheme="majorBidi"/>
                <w:u w:val="single"/>
                <w:lang w:val="fr-FR"/>
              </w:rPr>
            </w:pPr>
            <w:r>
              <w:rPr>
                <w:rFonts w:asciiTheme="majorBidi" w:hAnsiTheme="majorBidi" w:cstheme="majorBidi"/>
                <w:u w:val="single"/>
                <w:lang w:val="fr-FR"/>
              </w:rPr>
              <w:t>a)</w:t>
            </w:r>
            <w:r>
              <w:rPr>
                <w:rFonts w:asciiTheme="majorBidi" w:hAnsiTheme="majorBidi" w:cstheme="majorBidi"/>
                <w:u w:val="single"/>
                <w:lang w:val="fr-FR"/>
              </w:rPr>
              <w:tab/>
              <w:t>Les différentes composantes utilisées sont capables de passer avec succès l’épreuve de chute spécifiée au paragraphe</w:t>
            </w:r>
            <w:r w:rsidR="000137B5">
              <w:rPr>
                <w:rFonts w:asciiTheme="majorBidi" w:hAnsiTheme="majorBidi" w:cstheme="majorBidi"/>
                <w:u w:val="single"/>
                <w:lang w:val="fr-FR"/>
              </w:rPr>
              <w:t> </w:t>
            </w:r>
            <w:r>
              <w:rPr>
                <w:rFonts w:asciiTheme="majorBidi" w:hAnsiTheme="majorBidi" w:cstheme="majorBidi"/>
                <w:u w:val="single"/>
                <w:lang w:val="fr-FR"/>
              </w:rPr>
              <w:t>6) lorsqu’ils sont assemblés pour former l’emballage complet</w:t>
            </w:r>
            <w:r w:rsidR="000137B5">
              <w:rPr>
                <w:rFonts w:asciiTheme="majorBidi" w:hAnsiTheme="majorBidi" w:cstheme="majorBidi"/>
                <w:u w:val="single"/>
                <w:lang w:val="fr-FR"/>
              </w:rPr>
              <w:t> </w:t>
            </w:r>
            <w:r>
              <w:rPr>
                <w:rFonts w:asciiTheme="majorBidi" w:hAnsiTheme="majorBidi" w:cstheme="majorBidi"/>
                <w:u w:val="single"/>
                <w:lang w:val="fr-FR"/>
              </w:rPr>
              <w:t>; et</w:t>
            </w:r>
          </w:p>
          <w:p w14:paraId="537EFADD" w14:textId="6607D88D" w:rsidR="000A6448" w:rsidRDefault="000A6448">
            <w:pPr>
              <w:tabs>
                <w:tab w:val="left" w:pos="499"/>
              </w:tabs>
              <w:spacing w:before="24" w:after="24"/>
              <w:ind w:left="958" w:right="74" w:hanging="459"/>
              <w:rPr>
                <w:rFonts w:asciiTheme="majorBidi" w:hAnsiTheme="majorBidi" w:cstheme="majorBidi"/>
                <w:u w:val="single"/>
                <w:lang w:val="fr-FR"/>
              </w:rPr>
            </w:pPr>
            <w:r>
              <w:rPr>
                <w:rFonts w:asciiTheme="majorBidi" w:hAnsiTheme="majorBidi" w:cstheme="majorBidi"/>
                <w:u w:val="single"/>
                <w:lang w:val="fr-FR"/>
              </w:rPr>
              <w:t>b)</w:t>
            </w:r>
            <w:r>
              <w:rPr>
                <w:rFonts w:asciiTheme="majorBidi" w:hAnsiTheme="majorBidi" w:cstheme="majorBidi"/>
                <w:u w:val="single"/>
                <w:lang w:val="fr-FR"/>
              </w:rPr>
              <w:tab/>
              <w:t>Si nécessaire, le récipient primaire ou l’emballage secondaire est capable de passer avec succès l’épreuve de pression spécifiée au paragraphe</w:t>
            </w:r>
            <w:r w:rsidR="000137B5">
              <w:rPr>
                <w:rFonts w:asciiTheme="majorBidi" w:hAnsiTheme="majorBidi" w:cstheme="majorBidi"/>
                <w:u w:val="single"/>
                <w:lang w:val="fr-FR"/>
              </w:rPr>
              <w:t> </w:t>
            </w:r>
            <w:r>
              <w:rPr>
                <w:rFonts w:asciiTheme="majorBidi" w:hAnsiTheme="majorBidi" w:cstheme="majorBidi"/>
                <w:u w:val="single"/>
                <w:lang w:val="fr-FR"/>
              </w:rPr>
              <w:t>7)</w:t>
            </w:r>
            <w:r w:rsidR="000137B5">
              <w:rPr>
                <w:rFonts w:asciiTheme="majorBidi" w:hAnsiTheme="majorBidi" w:cstheme="majorBidi"/>
                <w:u w:val="single"/>
                <w:lang w:val="fr-FR"/>
              </w:rPr>
              <w:t> </w:t>
            </w:r>
            <w:r>
              <w:rPr>
                <w:rFonts w:asciiTheme="majorBidi" w:hAnsiTheme="majorBidi" w:cstheme="majorBidi"/>
                <w:u w:val="single"/>
                <w:lang w:val="fr-FR"/>
              </w:rPr>
              <w:t>e).</w:t>
            </w:r>
          </w:p>
          <w:p w14:paraId="496AE120" w14:textId="131B7E07" w:rsidR="000A6448" w:rsidRDefault="000A6448">
            <w:pPr>
              <w:tabs>
                <w:tab w:val="left" w:pos="499"/>
              </w:tabs>
              <w:spacing w:before="24" w:after="24"/>
              <w:ind w:left="500" w:right="74" w:hanging="1"/>
              <w:rPr>
                <w:rFonts w:asciiTheme="majorBidi" w:hAnsiTheme="majorBidi" w:cstheme="majorBidi"/>
                <w:u w:val="single"/>
                <w:lang w:val="fr-FR"/>
              </w:rPr>
            </w:pPr>
            <w:r>
              <w:rPr>
                <w:rFonts w:asciiTheme="majorBidi" w:hAnsiTheme="majorBidi" w:cstheme="majorBidi"/>
                <w:u w:val="single"/>
                <w:lang w:val="fr-FR"/>
              </w:rPr>
              <w:t>Les variantes des récipients primaires conformes au 4.1.8.5, satisfaisant à l’alinéa</w:t>
            </w:r>
            <w:r w:rsidR="000137B5">
              <w:rPr>
                <w:rFonts w:asciiTheme="majorBidi" w:hAnsiTheme="majorBidi" w:cstheme="majorBidi"/>
                <w:u w:val="single"/>
                <w:lang w:val="fr-FR"/>
              </w:rPr>
              <w:t> </w:t>
            </w:r>
            <w:r>
              <w:rPr>
                <w:rFonts w:asciiTheme="majorBidi" w:hAnsiTheme="majorBidi" w:cstheme="majorBidi"/>
                <w:u w:val="single"/>
                <w:lang w:val="fr-FR"/>
              </w:rPr>
              <w:t>b), le cas échéant, sont considérées comme équivalentes au récipient primaire d’origine.</w:t>
            </w:r>
            <w:bookmarkEnd w:id="1"/>
          </w:p>
        </w:tc>
      </w:tr>
      <w:tr w:rsidR="000A6448" w:rsidRPr="000A6448" w14:paraId="40105C7A" w14:textId="77777777" w:rsidTr="000A6448">
        <w:tc>
          <w:tcPr>
            <w:tcW w:w="9580"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E37DC6E" w14:textId="64ABD860" w:rsidR="000A6448" w:rsidRDefault="000A6448">
            <w:pPr>
              <w:spacing w:before="24" w:after="24"/>
              <w:ind w:left="579" w:hanging="579"/>
              <w:rPr>
                <w:rFonts w:asciiTheme="majorBidi" w:hAnsiTheme="majorBidi" w:cstheme="majorBidi"/>
                <w:lang w:val="fr-FR"/>
              </w:rPr>
            </w:pPr>
            <w:r>
              <w:rPr>
                <w:rFonts w:asciiTheme="majorBidi" w:hAnsiTheme="majorBidi" w:cstheme="majorBidi"/>
                <w:u w:val="single"/>
                <w:lang w:val="fr-FR"/>
              </w:rPr>
              <w:t>14)</w:t>
            </w:r>
            <w:r>
              <w:rPr>
                <w:rFonts w:asciiTheme="majorBidi" w:hAnsiTheme="majorBidi" w:cstheme="majorBidi"/>
                <w:u w:val="single"/>
                <w:lang w:val="fr-FR"/>
              </w:rPr>
              <w:tab/>
            </w:r>
            <w:r>
              <w:rPr>
                <w:rFonts w:asciiTheme="majorBidi" w:hAnsiTheme="majorBidi" w:cstheme="majorBidi"/>
                <w:lang w:val="fr-FR"/>
              </w:rPr>
              <w:t>Il ne doit pas y avoir d’autres marchandises dangereuses emballées dans le même emballage que des matières infectieuses de la division 6.2, sauf si elles sont nécessaires pour maintenir la viabilité des matières infectieuses, pour les stabiliser ou pour empêcher leur dégradation, ou pour neutraliser les dangers qu’elles présentent. Une quantité de 30 ml ou moins de marchandises dangereuses des classes 3, 8 ou 9 peut être emballée dans chaque récipient primaire contenant des matières infectieuses. Quand ces petites quantités de marchandises dangereuses sont emballées avec des matières infectieuses en conformité</w:t>
            </w:r>
            <w:r w:rsidR="000137B5">
              <w:rPr>
                <w:rFonts w:asciiTheme="majorBidi" w:hAnsiTheme="majorBidi" w:cstheme="majorBidi"/>
                <w:lang w:val="fr-FR"/>
              </w:rPr>
              <w:t xml:space="preserve"> </w:t>
            </w:r>
            <w:r>
              <w:rPr>
                <w:rFonts w:asciiTheme="majorBidi" w:hAnsiTheme="majorBidi" w:cstheme="majorBidi"/>
                <w:lang w:val="fr-FR"/>
              </w:rPr>
              <w:t>avec la présente instruction d’emballage, aucune autre prescription du présent Règlement ne s’applique.</w:t>
            </w:r>
          </w:p>
        </w:tc>
      </w:tr>
    </w:tbl>
    <w:p w14:paraId="3EFB0B40" w14:textId="241937D5" w:rsidR="00446FE5" w:rsidRPr="000A6448" w:rsidRDefault="000A6448" w:rsidP="000A6448">
      <w:pPr>
        <w:pStyle w:val="SingleTxtG"/>
        <w:spacing w:before="240" w:after="0"/>
        <w:jc w:val="center"/>
        <w:rPr>
          <w:u w:val="single"/>
        </w:rPr>
      </w:pPr>
      <w:r>
        <w:rPr>
          <w:u w:val="single"/>
        </w:rPr>
        <w:tab/>
      </w:r>
      <w:r>
        <w:rPr>
          <w:u w:val="single"/>
        </w:rPr>
        <w:tab/>
      </w:r>
      <w:r>
        <w:rPr>
          <w:u w:val="single"/>
        </w:rPr>
        <w:tab/>
      </w:r>
    </w:p>
    <w:sectPr w:rsidR="00446FE5" w:rsidRPr="000A6448" w:rsidSect="000A644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BB31" w14:textId="77777777" w:rsidR="00E91F3F" w:rsidRDefault="00E91F3F" w:rsidP="00F95C08">
      <w:pPr>
        <w:spacing w:line="240" w:lineRule="auto"/>
      </w:pPr>
    </w:p>
  </w:endnote>
  <w:endnote w:type="continuationSeparator" w:id="0">
    <w:p w14:paraId="76A5A6D1" w14:textId="77777777" w:rsidR="00E91F3F" w:rsidRPr="00AC3823" w:rsidRDefault="00E91F3F" w:rsidP="00AC3823">
      <w:pPr>
        <w:pStyle w:val="Footer"/>
      </w:pPr>
    </w:p>
  </w:endnote>
  <w:endnote w:type="continuationNotice" w:id="1">
    <w:p w14:paraId="58D007F2" w14:textId="77777777" w:rsidR="00E91F3F" w:rsidRDefault="00E91F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FDE6" w14:textId="3747BC0D" w:rsidR="000A6448" w:rsidRPr="000A6448" w:rsidRDefault="000A6448" w:rsidP="000A6448">
    <w:pPr>
      <w:pStyle w:val="Footer"/>
      <w:tabs>
        <w:tab w:val="right" w:pos="9638"/>
      </w:tabs>
    </w:pPr>
    <w:r w:rsidRPr="000A6448">
      <w:rPr>
        <w:b/>
        <w:sz w:val="18"/>
      </w:rPr>
      <w:fldChar w:fldCharType="begin"/>
    </w:r>
    <w:r w:rsidRPr="000A6448">
      <w:rPr>
        <w:b/>
        <w:sz w:val="18"/>
      </w:rPr>
      <w:instrText xml:space="preserve"> PAGE  \* MERGEFORMAT </w:instrText>
    </w:r>
    <w:r w:rsidRPr="000A6448">
      <w:rPr>
        <w:b/>
        <w:sz w:val="18"/>
      </w:rPr>
      <w:fldChar w:fldCharType="separate"/>
    </w:r>
    <w:r w:rsidRPr="000A6448">
      <w:rPr>
        <w:b/>
        <w:noProof/>
        <w:sz w:val="18"/>
      </w:rPr>
      <w:t>2</w:t>
    </w:r>
    <w:r w:rsidRPr="000A6448">
      <w:rPr>
        <w:b/>
        <w:sz w:val="18"/>
      </w:rPr>
      <w:fldChar w:fldCharType="end"/>
    </w:r>
    <w:r>
      <w:rPr>
        <w:b/>
        <w:sz w:val="18"/>
      </w:rPr>
      <w:tab/>
    </w:r>
    <w:r>
      <w:t>GE.22-04851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5177" w14:textId="6A9E5A67" w:rsidR="000A6448" w:rsidRPr="000A6448" w:rsidRDefault="000A6448" w:rsidP="000A6448">
    <w:pPr>
      <w:pStyle w:val="Footer"/>
      <w:tabs>
        <w:tab w:val="right" w:pos="9638"/>
      </w:tabs>
      <w:rPr>
        <w:b/>
        <w:sz w:val="18"/>
      </w:rPr>
    </w:pPr>
    <w:r>
      <w:t>GE.22-04851</w:t>
    </w:r>
    <w:r>
      <w:tab/>
    </w:r>
    <w:r w:rsidRPr="000A6448">
      <w:rPr>
        <w:b/>
        <w:sz w:val="18"/>
      </w:rPr>
      <w:fldChar w:fldCharType="begin"/>
    </w:r>
    <w:r w:rsidRPr="000A6448">
      <w:rPr>
        <w:b/>
        <w:sz w:val="18"/>
      </w:rPr>
      <w:instrText xml:space="preserve"> PAGE  \* MERGEFORMAT </w:instrText>
    </w:r>
    <w:r w:rsidRPr="000A6448">
      <w:rPr>
        <w:b/>
        <w:sz w:val="18"/>
      </w:rPr>
      <w:fldChar w:fldCharType="separate"/>
    </w:r>
    <w:r w:rsidRPr="000A6448">
      <w:rPr>
        <w:b/>
        <w:noProof/>
        <w:sz w:val="18"/>
      </w:rPr>
      <w:t>3</w:t>
    </w:r>
    <w:r w:rsidRPr="000A64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4BA0" w14:textId="73D96134" w:rsidR="0068456F" w:rsidRPr="000A6448" w:rsidRDefault="000A6448" w:rsidP="000A644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26F7B9F" wp14:editId="1389E96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22-04851  (F)</w:t>
    </w:r>
    <w:r>
      <w:rPr>
        <w:noProof/>
        <w:sz w:val="20"/>
      </w:rPr>
      <w:drawing>
        <wp:anchor distT="0" distB="0" distL="114300" distR="114300" simplePos="0" relativeHeight="251660288" behindDoc="0" locked="0" layoutInCell="1" allowOverlap="1" wp14:anchorId="5A86A261" wp14:editId="4FC2E12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040522    050522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7077" w14:textId="77777777" w:rsidR="00E91F3F" w:rsidRPr="00AC3823" w:rsidRDefault="00E91F3F" w:rsidP="00AC3823">
      <w:pPr>
        <w:pStyle w:val="Footer"/>
        <w:tabs>
          <w:tab w:val="right" w:pos="2155"/>
        </w:tabs>
        <w:spacing w:after="80" w:line="240" w:lineRule="atLeast"/>
        <w:ind w:left="680"/>
        <w:rPr>
          <w:u w:val="single"/>
        </w:rPr>
      </w:pPr>
      <w:r>
        <w:rPr>
          <w:u w:val="single"/>
        </w:rPr>
        <w:tab/>
      </w:r>
    </w:p>
  </w:footnote>
  <w:footnote w:type="continuationSeparator" w:id="0">
    <w:p w14:paraId="723F8C0D" w14:textId="77777777" w:rsidR="00E91F3F" w:rsidRPr="00AC3823" w:rsidRDefault="00E91F3F" w:rsidP="00AC3823">
      <w:pPr>
        <w:pStyle w:val="Footer"/>
        <w:tabs>
          <w:tab w:val="right" w:pos="2155"/>
        </w:tabs>
        <w:spacing w:after="80" w:line="240" w:lineRule="atLeast"/>
        <w:ind w:left="680"/>
        <w:rPr>
          <w:u w:val="single"/>
        </w:rPr>
      </w:pPr>
      <w:r>
        <w:rPr>
          <w:u w:val="single"/>
        </w:rPr>
        <w:tab/>
      </w:r>
    </w:p>
  </w:footnote>
  <w:footnote w:type="continuationNotice" w:id="1">
    <w:p w14:paraId="39A00DB6" w14:textId="77777777" w:rsidR="00E91F3F" w:rsidRPr="00AC3823" w:rsidRDefault="00E91F3F">
      <w:pPr>
        <w:spacing w:line="240" w:lineRule="auto"/>
        <w:rPr>
          <w:sz w:val="2"/>
          <w:szCs w:val="2"/>
        </w:rPr>
      </w:pPr>
    </w:p>
  </w:footnote>
  <w:footnote w:id="2">
    <w:p w14:paraId="267EDFD1" w14:textId="5882625E" w:rsidR="000A6448" w:rsidRPr="000A6448" w:rsidRDefault="000A6448">
      <w:pPr>
        <w:pStyle w:val="FootnoteText"/>
      </w:pPr>
      <w:r>
        <w:rPr>
          <w:rStyle w:val="FootnoteReference"/>
        </w:rPr>
        <w:tab/>
      </w:r>
      <w:r w:rsidRPr="000A6448">
        <w:rPr>
          <w:rStyle w:val="FootnoteReference"/>
          <w:sz w:val="20"/>
          <w:vertAlign w:val="baseline"/>
        </w:rPr>
        <w:t>*</w:t>
      </w:r>
      <w:r>
        <w:rPr>
          <w:rStyle w:val="FootnoteReference"/>
          <w:sz w:val="20"/>
          <w:vertAlign w:val="baseline"/>
        </w:rPr>
        <w:tab/>
      </w:r>
      <w:r>
        <w:rPr>
          <w:lang w:val="en-US"/>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6CA9" w14:textId="52B8F99F" w:rsidR="000A6448" w:rsidRPr="000A6448" w:rsidRDefault="00E91F3F">
    <w:pPr>
      <w:pStyle w:val="Header"/>
    </w:pPr>
    <w:r>
      <w:fldChar w:fldCharType="begin"/>
    </w:r>
    <w:r>
      <w:instrText xml:space="preserve"> TITLE  \* MERGEFORMAT </w:instrText>
    </w:r>
    <w:r>
      <w:fldChar w:fldCharType="separate"/>
    </w:r>
    <w:r w:rsidR="00487839">
      <w:t>ST/SG/AC.10/C.3/2022/15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8F72" w14:textId="32B6C54F" w:rsidR="000A6448" w:rsidRPr="000A6448" w:rsidRDefault="00E91F3F" w:rsidP="000A6448">
    <w:pPr>
      <w:pStyle w:val="Header"/>
      <w:jc w:val="right"/>
    </w:pPr>
    <w:r>
      <w:fldChar w:fldCharType="begin"/>
    </w:r>
    <w:r>
      <w:instrText xml:space="preserve"> TITLE  \* MERGEFORMAT </w:instrText>
    </w:r>
    <w:r>
      <w:fldChar w:fldCharType="separate"/>
    </w:r>
    <w:r w:rsidR="00487839">
      <w:t>ST/SG/AC.10/C.3/2022/15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AC"/>
    <w:rsid w:val="000137B5"/>
    <w:rsid w:val="00017F94"/>
    <w:rsid w:val="00023842"/>
    <w:rsid w:val="000305D3"/>
    <w:rsid w:val="000334F9"/>
    <w:rsid w:val="0007796D"/>
    <w:rsid w:val="000A6448"/>
    <w:rsid w:val="000B7790"/>
    <w:rsid w:val="00111F2F"/>
    <w:rsid w:val="001172D1"/>
    <w:rsid w:val="00132EA9"/>
    <w:rsid w:val="00142A4F"/>
    <w:rsid w:val="0014365E"/>
    <w:rsid w:val="00172E49"/>
    <w:rsid w:val="00176178"/>
    <w:rsid w:val="001F525A"/>
    <w:rsid w:val="00223272"/>
    <w:rsid w:val="0024779E"/>
    <w:rsid w:val="00283190"/>
    <w:rsid w:val="002832AC"/>
    <w:rsid w:val="002D7C93"/>
    <w:rsid w:val="00332EE7"/>
    <w:rsid w:val="00441C3B"/>
    <w:rsid w:val="00446FE5"/>
    <w:rsid w:val="00452396"/>
    <w:rsid w:val="00487839"/>
    <w:rsid w:val="004E468C"/>
    <w:rsid w:val="005505B7"/>
    <w:rsid w:val="00573BE5"/>
    <w:rsid w:val="00584DC4"/>
    <w:rsid w:val="00586ED3"/>
    <w:rsid w:val="00591267"/>
    <w:rsid w:val="00596AA9"/>
    <w:rsid w:val="0068456F"/>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D3439C"/>
    <w:rsid w:val="00DB1831"/>
    <w:rsid w:val="00DD3BFD"/>
    <w:rsid w:val="00DF6678"/>
    <w:rsid w:val="00E020AC"/>
    <w:rsid w:val="00E24CE2"/>
    <w:rsid w:val="00E91F3F"/>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765E1"/>
  <w15:docId w15:val="{EDF6C7C0-8651-464E-8A89-45E20C05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qFormat/>
    <w:locked/>
    <w:rsid w:val="000A6448"/>
    <w:rPr>
      <w:rFonts w:ascii="Times New Roman" w:eastAsiaTheme="minorHAnsi" w:hAnsi="Times New Roman" w:cs="Times New Roman"/>
      <w:b/>
      <w:sz w:val="28"/>
      <w:szCs w:val="20"/>
      <w:lang w:eastAsia="en-US"/>
    </w:rPr>
  </w:style>
  <w:style w:type="character" w:customStyle="1" w:styleId="H1GChar">
    <w:name w:val="_ H_1_G Char"/>
    <w:link w:val="H1G"/>
    <w:locked/>
    <w:rsid w:val="000A6448"/>
    <w:rPr>
      <w:rFonts w:ascii="Times New Roman" w:eastAsiaTheme="minorHAnsi" w:hAnsi="Times New Roman" w:cs="Times New Roman"/>
      <w:b/>
      <w:sz w:val="24"/>
      <w:szCs w:val="20"/>
      <w:lang w:eastAsia="en-US"/>
    </w:rPr>
  </w:style>
  <w:style w:type="paragraph" w:customStyle="1" w:styleId="TableParagraph">
    <w:name w:val="Table Paragraph"/>
    <w:basedOn w:val="Normal"/>
    <w:uiPriority w:val="1"/>
    <w:qFormat/>
    <w:rsid w:val="000A6448"/>
    <w:pPr>
      <w:widowControl w:val="0"/>
      <w:suppressAutoHyphens w:val="0"/>
      <w:kinsoku/>
      <w:overflowPunct/>
      <w:adjustRightInd/>
      <w:snapToGrid/>
      <w:spacing w:line="240" w:lineRule="auto"/>
    </w:pPr>
    <w:rPr>
      <w:rFonts w:eastAsia="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B2EBD-B7A6-4486-A4D9-EEB392B47E08}"/>
</file>

<file path=customXml/itemProps2.xml><?xml version="1.0" encoding="utf-8"?>
<ds:datastoreItem xmlns:ds="http://schemas.openxmlformats.org/officeDocument/2006/customXml" ds:itemID="{896B840C-3272-4EFA-B0B4-37E45C124F61}"/>
</file>

<file path=customXml/itemProps3.xml><?xml version="1.0" encoding="utf-8"?>
<ds:datastoreItem xmlns:ds="http://schemas.openxmlformats.org/officeDocument/2006/customXml" ds:itemID="{02056121-3FED-40C3-B809-D497F3C831BE}"/>
</file>

<file path=docProps/app.xml><?xml version="1.0" encoding="utf-8"?>
<Properties xmlns="http://schemas.openxmlformats.org/officeDocument/2006/extended-properties" xmlns:vt="http://schemas.openxmlformats.org/officeDocument/2006/docPropsVTypes">
  <Template>Normal.dotm</Template>
  <TotalTime>2</TotalTime>
  <Pages>5</Pages>
  <Words>2578</Words>
  <Characters>14698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ST/SG/AC.10/C.3/2022/15</vt:lpstr>
    </vt:vector>
  </TitlesOfParts>
  <Company>DCM</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ST/SG/AC.10/C.3/2022/15</dc:title>
  <dc:subject/>
  <dc:creator>Marie DESCHAMPS</dc:creator>
  <cp:keywords/>
  <cp:lastModifiedBy>Laurence Berthet</cp:lastModifiedBy>
  <cp:revision>3</cp:revision>
  <cp:lastPrinted>2022-05-07T09:31:00Z</cp:lastPrinted>
  <dcterms:created xsi:type="dcterms:W3CDTF">2022-05-07T09:31:00Z</dcterms:created>
  <dcterms:modified xsi:type="dcterms:W3CDTF">2022-05-07T09:31:00Z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