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C1201D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679484" w14:textId="77777777" w:rsidR="00132EA9" w:rsidRPr="00DB58B5" w:rsidRDefault="00132EA9" w:rsidP="0087652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B97E99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3A63C2" w14:textId="5B333AF4" w:rsidR="00132EA9" w:rsidRPr="00DB58B5" w:rsidRDefault="0087652B" w:rsidP="0087652B">
            <w:pPr>
              <w:jc w:val="right"/>
            </w:pPr>
            <w:r w:rsidRPr="0087652B">
              <w:rPr>
                <w:sz w:val="40"/>
              </w:rPr>
              <w:t>ST</w:t>
            </w:r>
            <w:r>
              <w:t>/SG/AC.10/C.3/2022/14</w:t>
            </w:r>
          </w:p>
        </w:tc>
      </w:tr>
      <w:tr w:rsidR="00132EA9" w:rsidRPr="00DB58B5" w14:paraId="61BAE20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DC577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5C49C3" wp14:editId="3086918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142DFA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579F38" w14:textId="77777777" w:rsidR="00132EA9" w:rsidRDefault="0087652B" w:rsidP="00F01738">
            <w:pPr>
              <w:spacing w:before="240"/>
            </w:pPr>
            <w:r>
              <w:t>Distr. générale</w:t>
            </w:r>
          </w:p>
          <w:p w14:paraId="513E82B3" w14:textId="48B917A0" w:rsidR="0087652B" w:rsidRDefault="0087652B" w:rsidP="0087652B">
            <w:pPr>
              <w:spacing w:line="240" w:lineRule="exact"/>
            </w:pPr>
            <w:r>
              <w:t>1</w:t>
            </w:r>
            <w:r w:rsidRPr="0087652B">
              <w:rPr>
                <w:vertAlign w:val="superscript"/>
              </w:rPr>
              <w:t>er</w:t>
            </w:r>
            <w:r>
              <w:t> avril 2022</w:t>
            </w:r>
          </w:p>
          <w:p w14:paraId="538942C0" w14:textId="77777777" w:rsidR="0087652B" w:rsidRDefault="0087652B" w:rsidP="0087652B">
            <w:pPr>
              <w:spacing w:line="240" w:lineRule="exact"/>
            </w:pPr>
            <w:r>
              <w:t>Français</w:t>
            </w:r>
          </w:p>
          <w:p w14:paraId="723476B5" w14:textId="26EABEF9" w:rsidR="0087652B" w:rsidRPr="00DB58B5" w:rsidRDefault="0087652B" w:rsidP="0087652B">
            <w:pPr>
              <w:spacing w:line="240" w:lineRule="exact"/>
            </w:pPr>
            <w:r>
              <w:t>Original</w:t>
            </w:r>
            <w:r w:rsidR="00D41065">
              <w:t> :</w:t>
            </w:r>
            <w:r>
              <w:t xml:space="preserve"> anglais</w:t>
            </w:r>
          </w:p>
        </w:tc>
      </w:tr>
    </w:tbl>
    <w:p w14:paraId="6D4530B2" w14:textId="031BB797" w:rsidR="00D41065" w:rsidRPr="007D5164" w:rsidRDefault="00D41065" w:rsidP="00D41065">
      <w:pPr>
        <w:spacing w:before="120"/>
        <w:rPr>
          <w:b/>
          <w:sz w:val="24"/>
          <w:szCs w:val="24"/>
        </w:rPr>
      </w:pPr>
      <w:r w:rsidRPr="007D5164">
        <w:rPr>
          <w:b/>
          <w:bCs/>
          <w:sz w:val="24"/>
          <w:szCs w:val="24"/>
        </w:rPr>
        <w:t xml:space="preserve">Comité d’experts du transport des marchandises dangereuses </w:t>
      </w:r>
      <w:r w:rsidR="007D5164">
        <w:rPr>
          <w:b/>
          <w:bCs/>
          <w:sz w:val="24"/>
          <w:szCs w:val="24"/>
        </w:rPr>
        <w:br/>
      </w:r>
      <w:r w:rsidRPr="007D5164">
        <w:rPr>
          <w:b/>
          <w:bCs/>
          <w:sz w:val="24"/>
          <w:szCs w:val="24"/>
        </w:rPr>
        <w:t xml:space="preserve">et du Système général harmonisé de classification </w:t>
      </w:r>
      <w:r w:rsidR="007D5164">
        <w:rPr>
          <w:b/>
          <w:bCs/>
          <w:sz w:val="24"/>
          <w:szCs w:val="24"/>
        </w:rPr>
        <w:br/>
      </w:r>
      <w:r w:rsidRPr="007D5164">
        <w:rPr>
          <w:b/>
          <w:bCs/>
          <w:sz w:val="24"/>
          <w:szCs w:val="24"/>
        </w:rPr>
        <w:t>et d’étiquetage des produits chimiques</w:t>
      </w:r>
    </w:p>
    <w:p w14:paraId="126A0F02" w14:textId="77777777" w:rsidR="00D41065" w:rsidRPr="003772BB" w:rsidRDefault="00D41065" w:rsidP="00D41065">
      <w:pPr>
        <w:spacing w:before="120"/>
        <w:rPr>
          <w:rFonts w:ascii="Helv" w:hAnsi="Helv" w:cs="Helv"/>
          <w:b/>
          <w:color w:val="000000"/>
        </w:rPr>
      </w:pPr>
      <w:r w:rsidRPr="003772BB">
        <w:rPr>
          <w:b/>
          <w:bCs/>
        </w:rPr>
        <w:t>Sous-Comité d’experts du transport des marchandises dangereuses</w:t>
      </w:r>
    </w:p>
    <w:p w14:paraId="09CE7A66" w14:textId="77777777" w:rsidR="00D41065" w:rsidRPr="003772BB" w:rsidRDefault="00D41065" w:rsidP="00D41065">
      <w:pPr>
        <w:spacing w:before="120"/>
        <w:rPr>
          <w:b/>
        </w:rPr>
      </w:pPr>
      <w:r w:rsidRPr="003772BB">
        <w:rPr>
          <w:b/>
          <w:bCs/>
        </w:rPr>
        <w:t>Soixantième session</w:t>
      </w:r>
    </w:p>
    <w:p w14:paraId="513A5725" w14:textId="77777777" w:rsidR="00D41065" w:rsidRPr="003772BB" w:rsidRDefault="00D41065" w:rsidP="00D41065">
      <w:r w:rsidRPr="003772BB">
        <w:t>Genève, 27 juin-6 juillet 2022</w:t>
      </w:r>
    </w:p>
    <w:p w14:paraId="462E1A35" w14:textId="77777777" w:rsidR="00D41065" w:rsidRPr="003772BB" w:rsidRDefault="00D41065" w:rsidP="00D41065">
      <w:r w:rsidRPr="003772BB">
        <w:t>Point 5 c) de l’ordre du jour provisoire</w:t>
      </w:r>
    </w:p>
    <w:p w14:paraId="71B02F14" w14:textId="0900D4E0" w:rsidR="00D41065" w:rsidRPr="003772BB" w:rsidRDefault="00D41065" w:rsidP="00D41065">
      <w:pPr>
        <w:rPr>
          <w:b/>
          <w:bCs/>
        </w:rPr>
      </w:pPr>
      <w:r w:rsidRPr="003772BB">
        <w:rPr>
          <w:b/>
          <w:bCs/>
        </w:rPr>
        <w:t>Transport de gaz</w:t>
      </w:r>
      <w:r>
        <w:rPr>
          <w:b/>
          <w:bCs/>
        </w:rPr>
        <w:t> :</w:t>
      </w:r>
      <w:r w:rsidRPr="003772BB">
        <w:rPr>
          <w:b/>
          <w:bCs/>
        </w:rPr>
        <w:t xml:space="preserve"> autres questions</w:t>
      </w:r>
    </w:p>
    <w:p w14:paraId="0F0B0B94" w14:textId="77777777" w:rsidR="00D41065" w:rsidRPr="003772BB" w:rsidRDefault="00D41065" w:rsidP="007D5164">
      <w:pPr>
        <w:pStyle w:val="HChG"/>
      </w:pPr>
      <w:r w:rsidRPr="003772BB">
        <w:tab/>
      </w:r>
      <w:r w:rsidRPr="003772BB">
        <w:tab/>
        <w:t>Normes ISO mises à jour dans la classe 2</w:t>
      </w:r>
    </w:p>
    <w:p w14:paraId="35C7E33D" w14:textId="74C5E891" w:rsidR="00D41065" w:rsidRPr="003772BB" w:rsidRDefault="00D41065" w:rsidP="007D5164">
      <w:pPr>
        <w:pStyle w:val="H1G"/>
        <w:ind w:right="3259"/>
      </w:pPr>
      <w:r w:rsidRPr="003772BB">
        <w:tab/>
      </w:r>
      <w:r w:rsidRPr="003772BB">
        <w:tab/>
        <w:t>Communication de l’Organisation internationale de normalisation (ISO)</w:t>
      </w:r>
      <w:r w:rsidR="007D5164" w:rsidRPr="007D516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0657706" w14:textId="77777777" w:rsidR="00D41065" w:rsidRPr="003772BB" w:rsidRDefault="00D41065" w:rsidP="00D41065">
      <w:pPr>
        <w:pStyle w:val="HChG"/>
      </w:pPr>
      <w:r w:rsidRPr="003772BB">
        <w:tab/>
      </w:r>
      <w:r w:rsidRPr="003772BB">
        <w:tab/>
      </w:r>
      <w:r w:rsidRPr="003772BB">
        <w:rPr>
          <w:bCs/>
        </w:rPr>
        <w:t>Introduction</w:t>
      </w:r>
    </w:p>
    <w:p w14:paraId="5F93EF2E" w14:textId="77777777" w:rsidR="00D41065" w:rsidRPr="003772BB" w:rsidRDefault="00D41065" w:rsidP="00D41065">
      <w:pPr>
        <w:pStyle w:val="SingleTxtG"/>
        <w:tabs>
          <w:tab w:val="clear" w:pos="1701"/>
          <w:tab w:val="clear" w:pos="2268"/>
          <w:tab w:val="clear" w:pos="2835"/>
        </w:tabs>
      </w:pPr>
      <w:r w:rsidRPr="003772BB">
        <w:t>1.</w:t>
      </w:r>
      <w:r w:rsidRPr="003772BB">
        <w:tab/>
        <w:t>Le présent document comprend des propositions qui concernent deux normes révisées, une norme ayant fait l’objet d’un amendement et une nouvelle norme. On y trouvera également une proposition d’ordre rédactionnel visant à harmoniser la présentation des amendements aux normes.</w:t>
      </w:r>
    </w:p>
    <w:p w14:paraId="494B94EC" w14:textId="363B4278" w:rsidR="00D41065" w:rsidRPr="003772BB" w:rsidRDefault="00D41065" w:rsidP="007D5164">
      <w:pPr>
        <w:pStyle w:val="SingleTxtG"/>
        <w:keepNext/>
        <w:ind w:firstLine="567"/>
      </w:pPr>
      <w:r w:rsidRPr="003772BB">
        <w:t>Les titres des normes en question sont</w:t>
      </w:r>
      <w:r>
        <w:t> :</w:t>
      </w:r>
    </w:p>
    <w:p w14:paraId="739CFA12" w14:textId="52A8017B" w:rsidR="00D41065" w:rsidRPr="003772BB" w:rsidRDefault="00D41065" w:rsidP="00D41065">
      <w:pPr>
        <w:pStyle w:val="SingleTxtG"/>
        <w:ind w:left="1701"/>
      </w:pPr>
      <w:r w:rsidRPr="003772BB">
        <w:t>ISO 11114-2</w:t>
      </w:r>
      <w:r>
        <w:t>:20</w:t>
      </w:r>
      <w:r w:rsidRPr="003772BB">
        <w:t xml:space="preserve">21, Bouteilles à gaz </w:t>
      </w:r>
      <w:r w:rsidR="007D5164">
        <w:t>−</w:t>
      </w:r>
      <w:r w:rsidRPr="003772BB">
        <w:t xml:space="preserve"> Compatibilité des matériaux des bouteilles et des robinets avec les contenus gazeux </w:t>
      </w:r>
      <w:r w:rsidR="007D5164">
        <w:t>−</w:t>
      </w:r>
      <w:r w:rsidRPr="003772BB">
        <w:t xml:space="preserve"> Partie 2</w:t>
      </w:r>
      <w:r>
        <w:t> :</w:t>
      </w:r>
      <w:r w:rsidRPr="003772BB">
        <w:t xml:space="preserve"> Matériaux non métalliques</w:t>
      </w:r>
    </w:p>
    <w:p w14:paraId="68328AA9" w14:textId="08494E3C" w:rsidR="00D41065" w:rsidRPr="003772BB" w:rsidRDefault="00D41065" w:rsidP="00D41065">
      <w:pPr>
        <w:pStyle w:val="SingleTxtG"/>
        <w:ind w:left="1701"/>
      </w:pPr>
      <w:r w:rsidRPr="003772BB">
        <w:t>ISO 9809-4</w:t>
      </w:r>
      <w:r>
        <w:t>:20</w:t>
      </w:r>
      <w:r w:rsidRPr="003772BB">
        <w:t xml:space="preserve">21, Bouteilles à gaz </w:t>
      </w:r>
      <w:r w:rsidR="007D5164">
        <w:t>−</w:t>
      </w:r>
      <w:r w:rsidRPr="003772BB">
        <w:t xml:space="preserve"> Conception, construction et essais des bouteilles à gaz et des tubes rechargeables en acier sans soudure </w:t>
      </w:r>
      <w:r>
        <w:t>−</w:t>
      </w:r>
      <w:r w:rsidRPr="003772BB">
        <w:t xml:space="preserve"> Partie 4</w:t>
      </w:r>
      <w:r>
        <w:t> :</w:t>
      </w:r>
      <w:r w:rsidRPr="003772BB">
        <w:t xml:space="preserve"> Bouteilles en acier inoxydable avec une valeur Rm inférieure à 1</w:t>
      </w:r>
      <w:r>
        <w:t> </w:t>
      </w:r>
      <w:r w:rsidRPr="003772BB">
        <w:t>100</w:t>
      </w:r>
      <w:r>
        <w:t xml:space="preserve"> </w:t>
      </w:r>
      <w:r w:rsidRPr="003772BB">
        <w:t>MPa</w:t>
      </w:r>
    </w:p>
    <w:p w14:paraId="75FE54A0" w14:textId="66F45066" w:rsidR="00D41065" w:rsidRPr="003772BB" w:rsidRDefault="00D41065" w:rsidP="00D41065">
      <w:pPr>
        <w:pStyle w:val="SingleTxtG"/>
        <w:ind w:left="1701"/>
      </w:pPr>
      <w:r w:rsidRPr="003772BB">
        <w:t>ISO 18119</w:t>
      </w:r>
      <w:r>
        <w:t>:20</w:t>
      </w:r>
      <w:r w:rsidRPr="003772BB">
        <w:t>18 +</w:t>
      </w:r>
      <w:r w:rsidR="0050697C">
        <w:t xml:space="preserve"> </w:t>
      </w:r>
      <w:r w:rsidRPr="003772BB">
        <w:t xml:space="preserve">Amd </w:t>
      </w:r>
      <w:r>
        <w:t>1:</w:t>
      </w:r>
      <w:r w:rsidRPr="003772BB">
        <w:t xml:space="preserve">2021, Bouteilles à gaz </w:t>
      </w:r>
      <w:r>
        <w:t>−</w:t>
      </w:r>
      <w:r w:rsidRPr="003772BB">
        <w:t xml:space="preserve"> Bouteilles et tubes à gaz en acier et en alliages d’aluminium, sans soudure </w:t>
      </w:r>
      <w:r>
        <w:t>−</w:t>
      </w:r>
      <w:r w:rsidRPr="003772BB">
        <w:t xml:space="preserve"> Contrôles et essais périodiques</w:t>
      </w:r>
    </w:p>
    <w:p w14:paraId="39017928" w14:textId="3BA7B64B" w:rsidR="00D41065" w:rsidRPr="003772BB" w:rsidRDefault="00D41065" w:rsidP="00D41065">
      <w:pPr>
        <w:pStyle w:val="SingleTxtG"/>
        <w:ind w:left="1701"/>
      </w:pPr>
      <w:r w:rsidRPr="003772BB">
        <w:t>ISO 23826</w:t>
      </w:r>
      <w:r>
        <w:t>:20</w:t>
      </w:r>
      <w:r w:rsidRPr="003772BB">
        <w:t xml:space="preserve">21, Bouteilles à gaz </w:t>
      </w:r>
      <w:r>
        <w:t>−</w:t>
      </w:r>
      <w:r w:rsidRPr="003772BB">
        <w:t xml:space="preserve"> Robinets à boisseau sphérique </w:t>
      </w:r>
      <w:r>
        <w:t>−</w:t>
      </w:r>
      <w:r w:rsidRPr="003772BB">
        <w:t xml:space="preserve"> Spécifications et essais</w:t>
      </w:r>
    </w:p>
    <w:p w14:paraId="0891D744" w14:textId="77777777" w:rsidR="00D41065" w:rsidRPr="003772BB" w:rsidRDefault="00D41065" w:rsidP="00D41065">
      <w:pPr>
        <w:pStyle w:val="HChG"/>
      </w:pPr>
      <w:r w:rsidRPr="003772BB">
        <w:tab/>
      </w:r>
      <w:r w:rsidRPr="003772BB">
        <w:tab/>
        <w:t>Proposition 1</w:t>
      </w:r>
    </w:p>
    <w:p w14:paraId="5DFBF61C" w14:textId="629153A7" w:rsidR="00D41065" w:rsidRPr="003772BB" w:rsidRDefault="00D41065" w:rsidP="00D41065">
      <w:pPr>
        <w:pStyle w:val="SingleTxtG"/>
      </w:pPr>
      <w:r w:rsidRPr="003772BB">
        <w:t>2.</w:t>
      </w:r>
      <w:r w:rsidRPr="003772BB">
        <w:tab/>
        <w:t xml:space="preserve">Aux 4.1.6.1.2, 6.2.2.2 et 6.7.5.2.4 a), remplacer </w:t>
      </w:r>
      <w:r>
        <w:t>« </w:t>
      </w:r>
      <w:r w:rsidRPr="003772BB">
        <w:t>ISO 11114-2</w:t>
      </w:r>
      <w:r>
        <w:t>:20</w:t>
      </w:r>
      <w:r w:rsidRPr="003772BB">
        <w:t>13</w:t>
      </w:r>
      <w:r>
        <w:t> »</w:t>
      </w:r>
      <w:r w:rsidRPr="003772BB">
        <w:t xml:space="preserve"> par </w:t>
      </w:r>
      <w:r>
        <w:t>« </w:t>
      </w:r>
      <w:r w:rsidRPr="003772BB">
        <w:t>ISO 11114-2</w:t>
      </w:r>
      <w:r>
        <w:t>:20</w:t>
      </w:r>
      <w:r w:rsidRPr="003772BB">
        <w:t>21</w:t>
      </w:r>
      <w:r>
        <w:t> »</w:t>
      </w:r>
      <w:r w:rsidRPr="003772BB">
        <w:t>.</w:t>
      </w:r>
    </w:p>
    <w:p w14:paraId="561ED138" w14:textId="77777777" w:rsidR="00D41065" w:rsidRPr="003772BB" w:rsidRDefault="00D41065" w:rsidP="00D41065">
      <w:pPr>
        <w:pStyle w:val="H1G"/>
      </w:pPr>
      <w:r w:rsidRPr="003772BB">
        <w:lastRenderedPageBreak/>
        <w:tab/>
      </w:r>
      <w:r w:rsidRPr="003772BB">
        <w:tab/>
        <w:t>Justification</w:t>
      </w:r>
    </w:p>
    <w:p w14:paraId="774D3EF6" w14:textId="511370DB" w:rsidR="00D41065" w:rsidRPr="003772BB" w:rsidRDefault="00D41065" w:rsidP="00D41065">
      <w:pPr>
        <w:pStyle w:val="SingleTxtG"/>
      </w:pPr>
      <w:r w:rsidRPr="003772BB">
        <w:t>3.</w:t>
      </w:r>
      <w:r w:rsidRPr="003772BB">
        <w:tab/>
        <w:t>Par rapport à l’édition précédente, les principaux changements sont les suivants</w:t>
      </w:r>
      <w:r>
        <w:t> :</w:t>
      </w:r>
    </w:p>
    <w:p w14:paraId="6975599A" w14:textId="1A7B2F09" w:rsidR="00D41065" w:rsidRPr="003772BB" w:rsidRDefault="00D41065" w:rsidP="00D41065">
      <w:pPr>
        <w:pStyle w:val="SingleTxtG"/>
        <w:ind w:left="2268" w:hanging="567"/>
      </w:pPr>
      <w:r w:rsidRPr="003772BB">
        <w:t>a)</w:t>
      </w:r>
      <w:r w:rsidRPr="003772BB">
        <w:tab/>
        <w:t>De nouveaux matériaux non métalliques ont été ajoutés dans le tableau 1</w:t>
      </w:r>
      <w:r>
        <w:t> ;</w:t>
      </w:r>
    </w:p>
    <w:p w14:paraId="55FB5B0F" w14:textId="77777777" w:rsidR="00D41065" w:rsidRPr="003772BB" w:rsidRDefault="00D41065" w:rsidP="00D41065">
      <w:pPr>
        <w:pStyle w:val="SingleTxtG"/>
        <w:ind w:left="2268" w:hanging="567"/>
      </w:pPr>
      <w:r w:rsidRPr="003772BB">
        <w:t>b)</w:t>
      </w:r>
      <w:r w:rsidRPr="003772BB">
        <w:tab/>
        <w:t>Un nouveau tableau (tableau 2), consacré aux matériaux de revêtement non métalliques pour les bouteilles à gaz, a été ajouté.</w:t>
      </w:r>
    </w:p>
    <w:p w14:paraId="26E140CB" w14:textId="77777777" w:rsidR="00D41065" w:rsidRPr="003772BB" w:rsidRDefault="00D41065" w:rsidP="00D41065">
      <w:pPr>
        <w:pStyle w:val="HChG"/>
      </w:pPr>
      <w:r w:rsidRPr="003772BB">
        <w:tab/>
      </w:r>
      <w:r w:rsidRPr="003772BB">
        <w:tab/>
        <w:t>Proposition 2</w:t>
      </w:r>
    </w:p>
    <w:p w14:paraId="2A7F6644" w14:textId="4057230F" w:rsidR="00D41065" w:rsidRPr="003772BB" w:rsidRDefault="00D41065" w:rsidP="00D41065">
      <w:pPr>
        <w:pStyle w:val="SingleTxtG"/>
      </w:pPr>
      <w:r w:rsidRPr="003772BB">
        <w:t>4.</w:t>
      </w:r>
      <w:r w:rsidRPr="003772BB">
        <w:tab/>
        <w:t>Dans le tableau du 6.2.2.1.1, à la ligne commençant par ISO 9809-4</w:t>
      </w:r>
      <w:r>
        <w:t>:20</w:t>
      </w:r>
      <w:r w:rsidRPr="003772BB">
        <w:t xml:space="preserve">14, remplacer </w:t>
      </w:r>
      <w:r>
        <w:t>« </w:t>
      </w:r>
      <w:r w:rsidRPr="003772BB">
        <w:t>Jusqu’à nouvel ordre</w:t>
      </w:r>
      <w:r>
        <w:t> »</w:t>
      </w:r>
      <w:r w:rsidRPr="003772BB">
        <w:t xml:space="preserve"> par </w:t>
      </w:r>
      <w:r>
        <w:t>« </w:t>
      </w:r>
      <w:r w:rsidRPr="003772BB">
        <w:t>Jusqu’au 31</w:t>
      </w:r>
      <w:r w:rsidR="00DA017E">
        <w:t> </w:t>
      </w:r>
      <w:r w:rsidRPr="003772BB">
        <w:t>décembre 2028</w:t>
      </w:r>
      <w:r>
        <w:t> »</w:t>
      </w:r>
      <w:r w:rsidRPr="003772BB">
        <w:t>. Dans ce même tableau, insérer la ligne suivante sous la ligne commençant par ISO 9809-4</w:t>
      </w:r>
      <w:r>
        <w:t>:20</w:t>
      </w:r>
      <w:r w:rsidRPr="003772BB">
        <w:t>14</w:t>
      </w:r>
      <w:r>
        <w:t>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536"/>
        <w:gridCol w:w="1279"/>
      </w:tblGrid>
      <w:tr w:rsidR="00D41065" w:rsidRPr="003772BB" w14:paraId="5C52EFCA" w14:textId="77777777" w:rsidTr="00D41065">
        <w:tc>
          <w:tcPr>
            <w:tcW w:w="1555" w:type="dxa"/>
            <w:shd w:val="clear" w:color="auto" w:fill="auto"/>
          </w:tcPr>
          <w:p w14:paraId="74831338" w14:textId="3918D9B0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t>ISO 9809-4</w:t>
            </w:r>
            <w:r>
              <w:t>:20</w:t>
            </w:r>
            <w:r w:rsidRPr="003772BB">
              <w:t xml:space="preserve">21 </w:t>
            </w:r>
          </w:p>
        </w:tc>
        <w:tc>
          <w:tcPr>
            <w:tcW w:w="4536" w:type="dxa"/>
            <w:shd w:val="clear" w:color="auto" w:fill="auto"/>
          </w:tcPr>
          <w:p w14:paraId="63854759" w14:textId="7F2DA2B9" w:rsidR="00D41065" w:rsidRPr="003772BB" w:rsidRDefault="00D41065" w:rsidP="00D41065">
            <w:pPr>
              <w:spacing w:before="60" w:after="60"/>
              <w:ind w:left="57" w:right="57"/>
              <w:jc w:val="both"/>
            </w:pPr>
            <w:r w:rsidRPr="003772BB">
              <w:t xml:space="preserve">Bouteilles à gaz </w:t>
            </w:r>
            <w:r>
              <w:t>−</w:t>
            </w:r>
            <w:r w:rsidRPr="003772BB">
              <w:t xml:space="preserve"> Conception, construction et essais des bouteilles à gaz et des tubes rechargeables en acier sans soudure </w:t>
            </w:r>
            <w:r>
              <w:t>−</w:t>
            </w:r>
            <w:r w:rsidRPr="003772BB">
              <w:t xml:space="preserve"> Partie 4</w:t>
            </w:r>
            <w:r>
              <w:t> :</w:t>
            </w:r>
            <w:r w:rsidRPr="003772BB">
              <w:t xml:space="preserve"> Bouteilles en acier inoxydable avec une valeur Rm inférieure à 1</w:t>
            </w:r>
            <w:r>
              <w:t> </w:t>
            </w:r>
            <w:r w:rsidRPr="003772BB">
              <w:t>100 MPa</w:t>
            </w:r>
          </w:p>
        </w:tc>
        <w:tc>
          <w:tcPr>
            <w:tcW w:w="1279" w:type="dxa"/>
            <w:shd w:val="clear" w:color="auto" w:fill="auto"/>
          </w:tcPr>
          <w:p w14:paraId="0B0F12DA" w14:textId="77777777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t>Jusqu’à nouvel ordre</w:t>
            </w:r>
          </w:p>
        </w:tc>
      </w:tr>
    </w:tbl>
    <w:p w14:paraId="74C5F3DE" w14:textId="77777777" w:rsidR="00D41065" w:rsidRPr="003772BB" w:rsidRDefault="00D41065" w:rsidP="00D41065">
      <w:pPr>
        <w:pStyle w:val="H1G"/>
      </w:pPr>
      <w:r w:rsidRPr="003772BB">
        <w:tab/>
      </w:r>
      <w:r w:rsidRPr="003772BB">
        <w:tab/>
        <w:t>Justification</w:t>
      </w:r>
    </w:p>
    <w:p w14:paraId="69298388" w14:textId="53D82B0A" w:rsidR="00D41065" w:rsidRPr="00D41065" w:rsidRDefault="00D41065" w:rsidP="00D41065">
      <w:pPr>
        <w:pStyle w:val="SingleTxtG"/>
      </w:pPr>
      <w:r w:rsidRPr="00D41065">
        <w:t>5.</w:t>
      </w:r>
      <w:r w:rsidRPr="00D41065">
        <w:tab/>
        <w:t>Par rapport à l’édition précédente, les principaux changements sont les suivants :</w:t>
      </w:r>
    </w:p>
    <w:p w14:paraId="78A7EA38" w14:textId="54F7B738" w:rsidR="00D41065" w:rsidRPr="00D41065" w:rsidRDefault="00D41065" w:rsidP="00D41065">
      <w:pPr>
        <w:pStyle w:val="SingleTxtG"/>
        <w:ind w:left="2268" w:hanging="567"/>
      </w:pPr>
      <w:r w:rsidRPr="00D41065">
        <w:t>a)</w:t>
      </w:r>
      <w:r w:rsidRPr="00D41065">
        <w:tab/>
        <w:t>L’article 5, « Contrôles et essais », a été mis à jour ;</w:t>
      </w:r>
    </w:p>
    <w:p w14:paraId="5CD1632C" w14:textId="3ACA068D" w:rsidR="00D41065" w:rsidRPr="00D41065" w:rsidRDefault="00D41065" w:rsidP="00D41065">
      <w:pPr>
        <w:pStyle w:val="SingleTxtG"/>
        <w:ind w:left="2268" w:hanging="567"/>
      </w:pPr>
      <w:r w:rsidRPr="00D41065">
        <w:t>b)</w:t>
      </w:r>
      <w:r w:rsidRPr="00D41065">
        <w:tab/>
        <w:t>Des précisions ont été apportées dans la figure 3, « Écart de la partie cylindrique de l’enveloppe par rapport à une ligne droite et à la verticale » ;</w:t>
      </w:r>
    </w:p>
    <w:p w14:paraId="67D68080" w14:textId="4A48E166" w:rsidR="00D41065" w:rsidRPr="00D41065" w:rsidRDefault="00D41065" w:rsidP="00D41065">
      <w:pPr>
        <w:pStyle w:val="SingleTxtG"/>
        <w:ind w:left="2268" w:hanging="567"/>
      </w:pPr>
      <w:r w:rsidRPr="00D41065">
        <w:t>c)</w:t>
      </w:r>
      <w:r w:rsidRPr="00D41065">
        <w:tab/>
        <w:t>Des précisions ont été apportées au paragraphe 8.9, « Filetage du goulot » ;</w:t>
      </w:r>
    </w:p>
    <w:p w14:paraId="2B0C8F75" w14:textId="7F39C981" w:rsidR="00D41065" w:rsidRPr="00D41065" w:rsidRDefault="00D41065" w:rsidP="00D41065">
      <w:pPr>
        <w:pStyle w:val="SingleTxtG"/>
        <w:ind w:left="2268" w:hanging="567"/>
      </w:pPr>
      <w:r w:rsidRPr="00D41065">
        <w:t>d)</w:t>
      </w:r>
      <w:r w:rsidRPr="00D41065">
        <w:tab/>
        <w:t>Des modifications ont été apportées au paragraphe 9.1, « Exigences générales », au paragraphe 9.2, « Essai de prototype », au paragraphe 9.2.4, « Essai de couple pour filetage conique uniquement » et à l’annexe A, « Évaluation des défauts de fabrication »</w:t>
      </w:r>
      <w:r w:rsidR="0050697C">
        <w:t> ;</w:t>
      </w:r>
    </w:p>
    <w:p w14:paraId="1BE856FE" w14:textId="2230A136" w:rsidR="00D41065" w:rsidRPr="00D41065" w:rsidRDefault="00D41065" w:rsidP="00D41065">
      <w:pPr>
        <w:pStyle w:val="SingleTxtG"/>
        <w:ind w:left="2268" w:hanging="567"/>
      </w:pPr>
      <w:r w:rsidRPr="00D41065">
        <w:t>e)</w:t>
      </w:r>
      <w:r w:rsidRPr="00D41065">
        <w:tab/>
        <w:t>Un nouveau paragraphe (9.2.5), intitulé « Calcul de la contrainte de cisaillement pour les filetages coniques », a été ajouté ;</w:t>
      </w:r>
    </w:p>
    <w:p w14:paraId="3B5E1FCC" w14:textId="77777777" w:rsidR="00D41065" w:rsidRPr="00D41065" w:rsidRDefault="00D41065" w:rsidP="00D41065">
      <w:pPr>
        <w:pStyle w:val="SingleTxtG"/>
        <w:ind w:left="2268" w:hanging="567"/>
      </w:pPr>
      <w:r w:rsidRPr="00D41065">
        <w:t>f)</w:t>
      </w:r>
      <w:r w:rsidRPr="00D41065">
        <w:tab/>
        <w:t>Un nouveau paragraphe (9.4), consacré aux bouteilles commandées en petites quantités, a été ajouté.</w:t>
      </w:r>
    </w:p>
    <w:p w14:paraId="24F6A090" w14:textId="77777777" w:rsidR="00D41065" w:rsidRPr="003772BB" w:rsidRDefault="00D41065" w:rsidP="00D41065">
      <w:pPr>
        <w:pStyle w:val="HChG"/>
      </w:pPr>
      <w:r w:rsidRPr="003772BB">
        <w:tab/>
      </w:r>
      <w:r w:rsidRPr="003772BB">
        <w:tab/>
        <w:t>Proposition 3</w:t>
      </w:r>
    </w:p>
    <w:p w14:paraId="247A8AC8" w14:textId="15F7DE1C" w:rsidR="00D41065" w:rsidRPr="003772BB" w:rsidRDefault="00D41065" w:rsidP="00D41065">
      <w:pPr>
        <w:pStyle w:val="SingleTxtG"/>
      </w:pPr>
      <w:r w:rsidRPr="003772BB">
        <w:t>6.</w:t>
      </w:r>
      <w:r w:rsidRPr="003772BB">
        <w:tab/>
        <w:t>Modifier le nota 3 du 6.2.1.6.1 d) comme suit (les ajouts sont soulignés)</w:t>
      </w:r>
      <w:r>
        <w:t> :</w:t>
      </w:r>
    </w:p>
    <w:p w14:paraId="0C2AE5AA" w14:textId="0CC0ABA3" w:rsidR="00D41065" w:rsidRPr="003772BB" w:rsidRDefault="00D41065" w:rsidP="00D41065">
      <w:pPr>
        <w:pStyle w:val="SingleTxtG"/>
        <w:ind w:left="1701"/>
      </w:pPr>
      <w:r>
        <w:t>« </w:t>
      </w:r>
      <w:r w:rsidRPr="003772BB">
        <w:rPr>
          <w:b/>
          <w:bCs/>
          <w:i/>
          <w:iCs/>
        </w:rPr>
        <w:t>NOTA 3</w:t>
      </w:r>
      <w:r>
        <w:rPr>
          <w:b/>
          <w:bCs/>
          <w:i/>
          <w:iCs/>
        </w:rPr>
        <w:t> :</w:t>
      </w:r>
      <w:r w:rsidRPr="003772BB">
        <w:rPr>
          <w:i/>
          <w:iCs/>
        </w:rPr>
        <w:t xml:space="preserve"> Le contrôle de l’état intérieur du 6.2.1.6.1</w:t>
      </w:r>
      <w:r>
        <w:rPr>
          <w:i/>
          <w:iCs/>
        </w:rPr>
        <w:t> </w:t>
      </w:r>
      <w:r w:rsidRPr="003772BB">
        <w:rPr>
          <w:i/>
          <w:iCs/>
        </w:rPr>
        <w:t xml:space="preserve">b) et l’épreuve de pression hydraulique du 6.2.1.6.1 d) peuvent être remplacés par un contrôle par ultrasons, effectué conformément à la norme </w:t>
      </w:r>
      <w:r w:rsidRPr="003772BB">
        <w:rPr>
          <w:i/>
          <w:iCs/>
          <w:strike/>
        </w:rPr>
        <w:t>ISO 18119</w:t>
      </w:r>
      <w:r>
        <w:rPr>
          <w:i/>
          <w:iCs/>
          <w:strike/>
        </w:rPr>
        <w:t>:20</w:t>
      </w:r>
      <w:r w:rsidRPr="003772BB">
        <w:rPr>
          <w:i/>
          <w:iCs/>
          <w:strike/>
        </w:rPr>
        <w:t>18</w:t>
      </w:r>
      <w:r w:rsidRPr="003772BB">
        <w:rPr>
          <w:i/>
          <w:iCs/>
        </w:rPr>
        <w:t xml:space="preserve"> </w:t>
      </w:r>
      <w:r w:rsidRPr="003772BB">
        <w:rPr>
          <w:i/>
          <w:iCs/>
          <w:u w:val="single"/>
        </w:rPr>
        <w:t>ISO 18119</w:t>
      </w:r>
      <w:r>
        <w:rPr>
          <w:i/>
          <w:iCs/>
          <w:u w:val="single"/>
        </w:rPr>
        <w:t>:20</w:t>
      </w:r>
      <w:r w:rsidRPr="003772BB">
        <w:rPr>
          <w:i/>
          <w:iCs/>
          <w:u w:val="single"/>
        </w:rPr>
        <w:t xml:space="preserve">18 + Amd </w:t>
      </w:r>
      <w:r>
        <w:rPr>
          <w:i/>
          <w:iCs/>
          <w:u w:val="single"/>
        </w:rPr>
        <w:t>1:</w:t>
      </w:r>
      <w:r w:rsidRPr="003772BB">
        <w:rPr>
          <w:i/>
          <w:iCs/>
          <w:u w:val="single"/>
        </w:rPr>
        <w:t>2021</w:t>
      </w:r>
      <w:r w:rsidRPr="003772BB">
        <w:rPr>
          <w:i/>
          <w:iCs/>
        </w:rPr>
        <w:t xml:space="preserve"> pour les enveloppes de bouteilles sans soudure en acier et en alliages d’aluminium.</w:t>
      </w:r>
      <w:r w:rsidRPr="003772BB">
        <w:t xml:space="preserve"> </w:t>
      </w:r>
      <w:r w:rsidRPr="003772BB">
        <w:rPr>
          <w:i/>
          <w:iCs/>
          <w:u w:val="single"/>
        </w:rPr>
        <w:t>Pendant une période transitoire allant jusqu’au 31</w:t>
      </w:r>
      <w:r>
        <w:rPr>
          <w:i/>
          <w:iCs/>
          <w:u w:val="single"/>
        </w:rPr>
        <w:t> </w:t>
      </w:r>
      <w:r w:rsidRPr="003772BB">
        <w:rPr>
          <w:i/>
          <w:iCs/>
          <w:u w:val="single"/>
        </w:rPr>
        <w:t>décembre 2026, la norme ISO 18119</w:t>
      </w:r>
      <w:r>
        <w:rPr>
          <w:i/>
          <w:iCs/>
          <w:u w:val="single"/>
        </w:rPr>
        <w:t>:20</w:t>
      </w:r>
      <w:r w:rsidRPr="003772BB">
        <w:rPr>
          <w:i/>
          <w:iCs/>
          <w:u w:val="single"/>
        </w:rPr>
        <w:t>18 peut être utilisée à cette même fin.</w:t>
      </w:r>
      <w:r w:rsidRPr="003772BB">
        <w:t xml:space="preserve"> </w:t>
      </w:r>
      <w:r w:rsidRPr="003772BB">
        <w:rPr>
          <w:i/>
          <w:iCs/>
        </w:rPr>
        <w:t>Pendant une période transitoire allant jusqu’au 31</w:t>
      </w:r>
      <w:r>
        <w:rPr>
          <w:i/>
          <w:iCs/>
        </w:rPr>
        <w:t> </w:t>
      </w:r>
      <w:r w:rsidRPr="003772BB">
        <w:rPr>
          <w:i/>
          <w:iCs/>
        </w:rPr>
        <w:t>décembre 2024, la norme ISO 1046</w:t>
      </w:r>
      <w:r>
        <w:rPr>
          <w:i/>
          <w:iCs/>
        </w:rPr>
        <w:t>1:</w:t>
      </w:r>
      <w:r w:rsidRPr="003772BB">
        <w:rPr>
          <w:i/>
          <w:iCs/>
        </w:rPr>
        <w:t>2005 + A</w:t>
      </w:r>
      <w:r>
        <w:rPr>
          <w:i/>
          <w:iCs/>
        </w:rPr>
        <w:t>1:</w:t>
      </w:r>
      <w:r w:rsidRPr="003772BB">
        <w:rPr>
          <w:i/>
          <w:iCs/>
        </w:rPr>
        <w:t>2006 peut être utilisée pour les enveloppes de bouteilles en alliage d’aluminium sans soudure et la norme ISO 6406</w:t>
      </w:r>
      <w:r>
        <w:rPr>
          <w:i/>
          <w:iCs/>
        </w:rPr>
        <w:t>:20</w:t>
      </w:r>
      <w:r w:rsidRPr="003772BB">
        <w:rPr>
          <w:i/>
          <w:iCs/>
        </w:rPr>
        <w:t>05 peut être utilisée pour les enveloppes de bouteilles en acier sans soudure, à cette même fin.</w:t>
      </w:r>
      <w:r>
        <w:t> »</w:t>
      </w:r>
      <w:r w:rsidRPr="003772BB">
        <w:t>.</w:t>
      </w:r>
    </w:p>
    <w:p w14:paraId="64B9576A" w14:textId="0A1C216A" w:rsidR="00D41065" w:rsidRPr="003772BB" w:rsidRDefault="00D41065" w:rsidP="00D41065">
      <w:pPr>
        <w:pStyle w:val="SingleTxtG"/>
      </w:pPr>
      <w:r w:rsidRPr="003772BB">
        <w:t>7.</w:t>
      </w:r>
      <w:r w:rsidRPr="003772BB">
        <w:tab/>
        <w:t>Dans le tableau du 6.2.2.4, à la ligne commençant par ISO 18119</w:t>
      </w:r>
      <w:r>
        <w:t>:20</w:t>
      </w:r>
      <w:r w:rsidRPr="003772BB">
        <w:t xml:space="preserve">18, remplacer </w:t>
      </w:r>
      <w:r>
        <w:t>« </w:t>
      </w:r>
      <w:r w:rsidRPr="003772BB">
        <w:t>Jusqu’à nouvel ordre</w:t>
      </w:r>
      <w:r>
        <w:t> »</w:t>
      </w:r>
      <w:r w:rsidRPr="003772BB">
        <w:t xml:space="preserve"> par </w:t>
      </w:r>
      <w:r>
        <w:t>« </w:t>
      </w:r>
      <w:r w:rsidRPr="003772BB">
        <w:t>Jusqu’au 31</w:t>
      </w:r>
      <w:r w:rsidR="0050697C">
        <w:t> </w:t>
      </w:r>
      <w:r w:rsidRPr="003772BB">
        <w:t>décembre 2026</w:t>
      </w:r>
      <w:r>
        <w:t> »</w:t>
      </w:r>
      <w:r w:rsidRPr="003772BB">
        <w:t>. Dans ce même tableau, insérer la ligne suivante sous la ligne commençant par ISO 18119</w:t>
      </w:r>
      <w:r>
        <w:t>:20</w:t>
      </w:r>
      <w:r w:rsidRPr="003772BB">
        <w:t>18</w:t>
      </w:r>
      <w:r>
        <w:t>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4649"/>
        <w:gridCol w:w="1231"/>
      </w:tblGrid>
      <w:tr w:rsidR="00D41065" w:rsidRPr="003772BB" w14:paraId="1AE7D31B" w14:textId="77777777" w:rsidTr="00D41065">
        <w:tc>
          <w:tcPr>
            <w:tcW w:w="1544" w:type="dxa"/>
            <w:shd w:val="clear" w:color="auto" w:fill="auto"/>
          </w:tcPr>
          <w:p w14:paraId="355B613D" w14:textId="38781E1B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lastRenderedPageBreak/>
              <w:t>ISO 18119</w:t>
            </w:r>
            <w:r>
              <w:t>:20</w:t>
            </w:r>
            <w:r w:rsidRPr="003772BB">
              <w:t xml:space="preserve">18 +Amd </w:t>
            </w:r>
            <w:r>
              <w:t>1:</w:t>
            </w:r>
            <w:r w:rsidRPr="003772BB">
              <w:t>2021</w:t>
            </w:r>
          </w:p>
        </w:tc>
        <w:tc>
          <w:tcPr>
            <w:tcW w:w="4820" w:type="dxa"/>
            <w:shd w:val="clear" w:color="auto" w:fill="auto"/>
          </w:tcPr>
          <w:p w14:paraId="0DAE31F0" w14:textId="21C20F93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t xml:space="preserve">Bouteilles à gaz </w:t>
            </w:r>
            <w:r w:rsidR="0050697C">
              <w:t>−</w:t>
            </w:r>
            <w:r w:rsidRPr="003772BB">
              <w:t xml:space="preserve"> Bouteilles et tubes à gaz en acier et en alliages d’aluminium, sans soudure </w:t>
            </w:r>
            <w:r w:rsidR="0050697C">
              <w:t>−</w:t>
            </w:r>
            <w:r w:rsidRPr="003772BB">
              <w:t xml:space="preserve"> Contrôles et essais périodiques</w:t>
            </w:r>
          </w:p>
        </w:tc>
        <w:tc>
          <w:tcPr>
            <w:tcW w:w="1275" w:type="dxa"/>
            <w:shd w:val="clear" w:color="auto" w:fill="auto"/>
          </w:tcPr>
          <w:p w14:paraId="6EBE7051" w14:textId="77777777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t>Jusqu’à nouvel ordre</w:t>
            </w:r>
          </w:p>
        </w:tc>
      </w:tr>
    </w:tbl>
    <w:p w14:paraId="4A9A7A11" w14:textId="77777777" w:rsidR="00D41065" w:rsidRPr="003772BB" w:rsidRDefault="00D41065" w:rsidP="00D41065">
      <w:pPr>
        <w:pStyle w:val="H1G"/>
        <w:spacing w:before="240" w:after="120"/>
      </w:pPr>
      <w:r w:rsidRPr="003772BB">
        <w:tab/>
      </w:r>
      <w:r w:rsidRPr="003772BB">
        <w:tab/>
      </w:r>
      <w:r w:rsidRPr="003772BB">
        <w:rPr>
          <w:bCs/>
        </w:rPr>
        <w:t>Justification</w:t>
      </w:r>
    </w:p>
    <w:p w14:paraId="2349AE0D" w14:textId="77777777" w:rsidR="00D41065" w:rsidRPr="003772BB" w:rsidRDefault="00D41065" w:rsidP="00D41065">
      <w:pPr>
        <w:pStyle w:val="SingleTxtG"/>
      </w:pPr>
      <w:r w:rsidRPr="003772BB">
        <w:t>8.</w:t>
      </w:r>
      <w:r w:rsidRPr="003772BB">
        <w:tab/>
        <w:t>On trouve dans cet amendement des informations complémentaires sur la longueur des défauts acceptables dans le cadre de l’annexe B ainsi qu’une précision selon laquelle seuls les gaz corrosifs pour les bouteilles en acier sont répertoriés à l’annexe C.</w:t>
      </w:r>
    </w:p>
    <w:p w14:paraId="5CA6F453" w14:textId="77777777" w:rsidR="00D41065" w:rsidRPr="003772BB" w:rsidRDefault="00D41065" w:rsidP="00D41065">
      <w:pPr>
        <w:pStyle w:val="HChG"/>
      </w:pPr>
      <w:r w:rsidRPr="003772BB">
        <w:tab/>
      </w:r>
      <w:r w:rsidRPr="003772BB">
        <w:tab/>
      </w:r>
      <w:r w:rsidRPr="003772BB">
        <w:rPr>
          <w:bCs/>
        </w:rPr>
        <w:t>Proposition 4</w:t>
      </w:r>
    </w:p>
    <w:p w14:paraId="0BF7F88F" w14:textId="14F1A30C" w:rsidR="00D41065" w:rsidRPr="003772BB" w:rsidRDefault="00D41065" w:rsidP="00D41065">
      <w:pPr>
        <w:pStyle w:val="SingleTxtG"/>
      </w:pPr>
      <w:r w:rsidRPr="003772BB">
        <w:t>9.</w:t>
      </w:r>
      <w:r w:rsidRPr="003772BB">
        <w:tab/>
        <w:t>Au 6.2.2.3, ajouter la nouvelle ligne suivante à la fin du premier tableau</w:t>
      </w:r>
      <w:r>
        <w:t>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4601"/>
        <w:gridCol w:w="1279"/>
      </w:tblGrid>
      <w:tr w:rsidR="00D41065" w:rsidRPr="003772BB" w14:paraId="5BD56C18" w14:textId="77777777" w:rsidTr="00D41065">
        <w:tc>
          <w:tcPr>
            <w:tcW w:w="1490" w:type="dxa"/>
            <w:shd w:val="clear" w:color="auto" w:fill="auto"/>
          </w:tcPr>
          <w:p w14:paraId="430748B6" w14:textId="56668BE0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t>ISO 23826</w:t>
            </w:r>
            <w:r>
              <w:t>:20</w:t>
            </w:r>
            <w:r w:rsidRPr="003772BB">
              <w:t>21</w:t>
            </w:r>
          </w:p>
        </w:tc>
        <w:tc>
          <w:tcPr>
            <w:tcW w:w="4601" w:type="dxa"/>
            <w:shd w:val="clear" w:color="auto" w:fill="auto"/>
          </w:tcPr>
          <w:p w14:paraId="097D41E4" w14:textId="1C3389C4" w:rsidR="00D41065" w:rsidRPr="003772BB" w:rsidRDefault="00D41065" w:rsidP="00D41065">
            <w:pPr>
              <w:spacing w:before="60" w:after="60"/>
              <w:ind w:left="57" w:right="57"/>
              <w:jc w:val="both"/>
            </w:pPr>
            <w:r w:rsidRPr="003772BB">
              <w:t xml:space="preserve">Bouteilles à gaz </w:t>
            </w:r>
            <w:r>
              <w:t>−</w:t>
            </w:r>
            <w:r w:rsidRPr="003772BB">
              <w:t xml:space="preserve"> Robinets à boisseau sphérique </w:t>
            </w:r>
            <w:r>
              <w:t>−</w:t>
            </w:r>
            <w:r w:rsidRPr="003772BB">
              <w:t xml:space="preserve"> Spécifications et essais </w:t>
            </w:r>
          </w:p>
        </w:tc>
        <w:tc>
          <w:tcPr>
            <w:tcW w:w="1279" w:type="dxa"/>
            <w:shd w:val="clear" w:color="auto" w:fill="auto"/>
          </w:tcPr>
          <w:p w14:paraId="25557E27" w14:textId="77777777" w:rsidR="00D41065" w:rsidRPr="003772BB" w:rsidRDefault="00D41065" w:rsidP="00D41065">
            <w:pPr>
              <w:spacing w:before="60" w:after="60"/>
              <w:ind w:left="57" w:right="57"/>
            </w:pPr>
            <w:r w:rsidRPr="003772BB">
              <w:t>Jusqu’à nouvel ordre</w:t>
            </w:r>
          </w:p>
        </w:tc>
      </w:tr>
    </w:tbl>
    <w:p w14:paraId="25A0AAF7" w14:textId="77777777" w:rsidR="00D41065" w:rsidRPr="003772BB" w:rsidRDefault="00D41065" w:rsidP="00D41065">
      <w:pPr>
        <w:pStyle w:val="H1G"/>
      </w:pPr>
      <w:r w:rsidRPr="003772BB">
        <w:tab/>
      </w:r>
      <w:r w:rsidRPr="003772BB">
        <w:tab/>
        <w:t>Justification</w:t>
      </w:r>
    </w:p>
    <w:p w14:paraId="1FCB7BD5" w14:textId="20E47B69" w:rsidR="00D41065" w:rsidRPr="003772BB" w:rsidRDefault="00D41065" w:rsidP="00D41065">
      <w:pPr>
        <w:pStyle w:val="SingleTxtG"/>
      </w:pPr>
      <w:r w:rsidRPr="003772BB">
        <w:t>10.</w:t>
      </w:r>
      <w:r w:rsidRPr="003772BB">
        <w:tab/>
        <w:t>L’ISO 23286</w:t>
      </w:r>
      <w:r>
        <w:t>:20</w:t>
      </w:r>
      <w:r w:rsidRPr="003772BB">
        <w:t>21 est une nouvelle norme spécifiant les exigences relatives à la conception, aux essais de type, au marquage et aux essais et contrôles du fabricant pour les robinets à boisseau sphérique utilisés comme fermetures de bouteilles à gaz, tubes et fûts à pression transportables rechargeables, comme robinets principaux de cadres de bouteilles et comme robinets d’engins de transport de la classe 2 (par exemple des véhicules-batteries et conteneurs à gaz à éléments multiples (CGEM) qui contiennent des gaz comprimés, des gaz liquéfiés et des gaz dissous.</w:t>
      </w:r>
    </w:p>
    <w:p w14:paraId="5C5A5366" w14:textId="77777777" w:rsidR="00D41065" w:rsidRPr="003772BB" w:rsidRDefault="00D41065" w:rsidP="00D41065">
      <w:pPr>
        <w:pStyle w:val="SingleTxtG"/>
      </w:pPr>
      <w:r w:rsidRPr="003772BB">
        <w:t>11.</w:t>
      </w:r>
      <w:r w:rsidRPr="003772BB">
        <w:tab/>
        <w:t>Les robinets à boisseau sphérique sont expressément exclus d’autres normes relatives aux fermetures, telles que l’ISO 10297. Il y a donc tout intérêt à adopter une norme distincte portant sur les robinets à boisseau sphérique utilisés sur les récipients à pression et les engins de transport.</w:t>
      </w:r>
    </w:p>
    <w:p w14:paraId="103E52AA" w14:textId="77777777" w:rsidR="00D41065" w:rsidRPr="003772BB" w:rsidRDefault="00D41065" w:rsidP="00D41065">
      <w:pPr>
        <w:pStyle w:val="HChG"/>
      </w:pPr>
      <w:r w:rsidRPr="003772BB">
        <w:tab/>
      </w:r>
      <w:r w:rsidRPr="003772BB">
        <w:tab/>
        <w:t>Proposition d’amendements d’ordre rédactionnel</w:t>
      </w:r>
    </w:p>
    <w:p w14:paraId="41F5F8BB" w14:textId="7ACB863A" w:rsidR="00D41065" w:rsidRPr="003772BB" w:rsidRDefault="00D41065" w:rsidP="00D41065">
      <w:pPr>
        <w:pStyle w:val="SingleTxtG"/>
      </w:pPr>
      <w:r w:rsidRPr="003772BB">
        <w:t>12.</w:t>
      </w:r>
      <w:r w:rsidRPr="003772BB">
        <w:tab/>
        <w:t xml:space="preserve">Les références à des amendements qui ont récemment été insérées dans le Règlement type suivaient le format adopté dans le catalogue de l’ISO, constitué de l’abréviation </w:t>
      </w:r>
      <w:r>
        <w:t>« </w:t>
      </w:r>
      <w:r w:rsidRPr="003772BB">
        <w:t>Amd</w:t>
      </w:r>
      <w:r w:rsidR="0050697C">
        <w:t> 1</w:t>
      </w:r>
      <w:r>
        <w:t> »</w:t>
      </w:r>
      <w:r w:rsidRPr="003772BB">
        <w:t xml:space="preserve">. L’abréviation </w:t>
      </w:r>
      <w:r>
        <w:t>« </w:t>
      </w:r>
      <w:r w:rsidRPr="003772BB">
        <w:t>A1</w:t>
      </w:r>
      <w:r>
        <w:t> »</w:t>
      </w:r>
      <w:r w:rsidRPr="003772BB">
        <w:t xml:space="preserve"> figure dans des références plus anciennes. La présente proposition a pour objet d’harmoniser la présentation de toutes les normes avec le format adopté dans le catalogue de l’ISO. Il est donc proposé d’apporter les modifications suivantes</w:t>
      </w:r>
      <w:r>
        <w:t> :</w:t>
      </w:r>
    </w:p>
    <w:p w14:paraId="145407E3" w14:textId="7CE9A7CB" w:rsidR="00D41065" w:rsidRPr="003772BB" w:rsidRDefault="00D41065" w:rsidP="00D41065">
      <w:pPr>
        <w:pStyle w:val="SingleTxtG"/>
        <w:ind w:left="1701"/>
      </w:pPr>
      <w:r w:rsidRPr="003772BB">
        <w:t>Au 3.3.1, alinéa d)</w:t>
      </w:r>
      <w:r>
        <w:t> </w:t>
      </w:r>
      <w:r w:rsidRPr="003772BB">
        <w:t xml:space="preserve">i) de la disposition spéciale 379, remplacer </w:t>
      </w:r>
      <w:r>
        <w:t>« </w:t>
      </w:r>
      <w:r w:rsidRPr="003772BB">
        <w:t>ISO 11114-</w:t>
      </w:r>
      <w:r>
        <w:t>1:</w:t>
      </w:r>
      <w:r w:rsidRPr="003772BB">
        <w:t>2012 + A</w:t>
      </w:r>
      <w:r>
        <w:t>1:</w:t>
      </w:r>
      <w:r w:rsidRPr="003772BB">
        <w:t>2017</w:t>
      </w:r>
      <w:r>
        <w:t> »</w:t>
      </w:r>
      <w:r w:rsidRPr="003772BB">
        <w:t xml:space="preserve"> par </w:t>
      </w:r>
      <w:r>
        <w:t>« </w:t>
      </w:r>
      <w:r w:rsidRPr="003772BB">
        <w:t>ISO 11114-</w:t>
      </w:r>
      <w:r>
        <w:t>1:</w:t>
      </w:r>
      <w:r w:rsidRPr="003772BB">
        <w:t xml:space="preserve">2012 + Amd </w:t>
      </w:r>
      <w:r>
        <w:t>1:</w:t>
      </w:r>
      <w:r w:rsidRPr="003772BB">
        <w:t>2017</w:t>
      </w:r>
      <w:r>
        <w:t> » ;</w:t>
      </w:r>
    </w:p>
    <w:p w14:paraId="76BF3CCB" w14:textId="67D6949A" w:rsidR="00D41065" w:rsidRPr="003772BB" w:rsidRDefault="00D41065" w:rsidP="00D41065">
      <w:pPr>
        <w:pStyle w:val="SingleTxtG"/>
        <w:ind w:left="1701"/>
      </w:pPr>
      <w:r w:rsidRPr="003772BB">
        <w:t xml:space="preserve">Au 6.2.2.2, remplacer </w:t>
      </w:r>
      <w:r>
        <w:t>« </w:t>
      </w:r>
      <w:r w:rsidRPr="003772BB">
        <w:t>ISO 11114-</w:t>
      </w:r>
      <w:r>
        <w:t>1:</w:t>
      </w:r>
      <w:r w:rsidRPr="003772BB">
        <w:t>2012 + A</w:t>
      </w:r>
      <w:r>
        <w:t>1:</w:t>
      </w:r>
      <w:r w:rsidRPr="003772BB">
        <w:t>2017</w:t>
      </w:r>
      <w:r>
        <w:t> »</w:t>
      </w:r>
      <w:r w:rsidRPr="003772BB">
        <w:t xml:space="preserve"> par </w:t>
      </w:r>
      <w:r>
        <w:t>« </w:t>
      </w:r>
      <w:r w:rsidRPr="003772BB">
        <w:t>ISO 11114-</w:t>
      </w:r>
      <w:r>
        <w:t>1:</w:t>
      </w:r>
      <w:r w:rsidRPr="003772BB">
        <w:t xml:space="preserve">2012 + Amd </w:t>
      </w:r>
      <w:r>
        <w:t>1:</w:t>
      </w:r>
      <w:r w:rsidRPr="003772BB">
        <w:t>2017</w:t>
      </w:r>
      <w:r>
        <w:t> » ;</w:t>
      </w:r>
    </w:p>
    <w:p w14:paraId="218C33D4" w14:textId="111C21E9" w:rsidR="00D41065" w:rsidRPr="003772BB" w:rsidRDefault="00D41065" w:rsidP="00D41065">
      <w:pPr>
        <w:pStyle w:val="SingleTxtG"/>
        <w:ind w:left="1701"/>
      </w:pPr>
      <w:r w:rsidRPr="003772BB">
        <w:t xml:space="preserve">Au 6.2.2.3, remplacer </w:t>
      </w:r>
      <w:r>
        <w:t>« </w:t>
      </w:r>
      <w:r w:rsidRPr="003772BB">
        <w:t>ISO 10297</w:t>
      </w:r>
      <w:r>
        <w:t>:20</w:t>
      </w:r>
      <w:r w:rsidRPr="003772BB">
        <w:t>14 + A</w:t>
      </w:r>
      <w:r>
        <w:t>1:</w:t>
      </w:r>
      <w:r w:rsidRPr="003772BB">
        <w:t>2017</w:t>
      </w:r>
      <w:r>
        <w:t> »</w:t>
      </w:r>
      <w:r w:rsidRPr="003772BB">
        <w:t xml:space="preserve"> par </w:t>
      </w:r>
      <w:r>
        <w:t>« </w:t>
      </w:r>
      <w:r w:rsidRPr="003772BB">
        <w:t>ISO 10297</w:t>
      </w:r>
      <w:r>
        <w:t>:</w:t>
      </w:r>
      <w:r w:rsidRPr="003772BB">
        <w:t>2014 + Amd</w:t>
      </w:r>
      <w:r>
        <w:t> 1:</w:t>
      </w:r>
      <w:r w:rsidRPr="003772BB">
        <w:t>2017</w:t>
      </w:r>
      <w:r>
        <w:t> » ;</w:t>
      </w:r>
    </w:p>
    <w:p w14:paraId="1AAD1E11" w14:textId="5DE8F595" w:rsidR="00D41065" w:rsidRPr="003772BB" w:rsidRDefault="00D41065" w:rsidP="00D41065">
      <w:pPr>
        <w:pStyle w:val="SingleTxtG"/>
        <w:ind w:left="1701"/>
      </w:pPr>
      <w:r w:rsidRPr="003772BB">
        <w:t xml:space="preserve">Au 6.2.2.3, remplacer </w:t>
      </w:r>
      <w:r>
        <w:t>« </w:t>
      </w:r>
      <w:r w:rsidRPr="003772BB">
        <w:t>ISO 14246</w:t>
      </w:r>
      <w:r>
        <w:t>:20</w:t>
      </w:r>
      <w:r w:rsidRPr="003772BB">
        <w:t>14 + A</w:t>
      </w:r>
      <w:r>
        <w:t>1:</w:t>
      </w:r>
      <w:r w:rsidRPr="003772BB">
        <w:t>2017</w:t>
      </w:r>
      <w:r>
        <w:t> »</w:t>
      </w:r>
      <w:r w:rsidRPr="003772BB">
        <w:t xml:space="preserve"> par </w:t>
      </w:r>
      <w:r>
        <w:t>« </w:t>
      </w:r>
      <w:r w:rsidRPr="003772BB">
        <w:t>ISO 14246</w:t>
      </w:r>
      <w:r>
        <w:t>:20</w:t>
      </w:r>
      <w:r w:rsidRPr="003772BB">
        <w:t>14 + Amd</w:t>
      </w:r>
      <w:r>
        <w:t> 1:</w:t>
      </w:r>
      <w:r w:rsidRPr="003772BB">
        <w:t>2017</w:t>
      </w:r>
      <w:r>
        <w:t> » ;</w:t>
      </w:r>
    </w:p>
    <w:p w14:paraId="7E6721AD" w14:textId="335F728B" w:rsidR="00D41065" w:rsidRPr="003772BB" w:rsidRDefault="00D41065" w:rsidP="00D41065">
      <w:pPr>
        <w:pStyle w:val="SingleTxtG"/>
        <w:ind w:left="1701"/>
      </w:pPr>
      <w:r w:rsidRPr="003772BB">
        <w:t xml:space="preserve">Au 6.2.2.4, remplacer </w:t>
      </w:r>
      <w:r>
        <w:t>« </w:t>
      </w:r>
      <w:r w:rsidRPr="003772BB">
        <w:t>ISO 1046</w:t>
      </w:r>
      <w:r>
        <w:t>1:</w:t>
      </w:r>
      <w:r w:rsidRPr="003772BB">
        <w:t>2005/A</w:t>
      </w:r>
      <w:r>
        <w:t>1:</w:t>
      </w:r>
      <w:r w:rsidRPr="003772BB">
        <w:t>2006</w:t>
      </w:r>
      <w:r>
        <w:t> »</w:t>
      </w:r>
      <w:r w:rsidRPr="003772BB">
        <w:t xml:space="preserve"> par </w:t>
      </w:r>
      <w:r>
        <w:t>« </w:t>
      </w:r>
      <w:r w:rsidRPr="003772BB">
        <w:t>ISO 1046</w:t>
      </w:r>
      <w:r>
        <w:t>1:</w:t>
      </w:r>
      <w:r w:rsidRPr="003772BB">
        <w:t>2005 + Amd</w:t>
      </w:r>
      <w:r>
        <w:t> 1:</w:t>
      </w:r>
      <w:r w:rsidRPr="003772BB">
        <w:t>2006</w:t>
      </w:r>
      <w:r>
        <w:t> » ;</w:t>
      </w:r>
    </w:p>
    <w:p w14:paraId="5583F031" w14:textId="0565364B" w:rsidR="00D41065" w:rsidRPr="003772BB" w:rsidRDefault="00D41065" w:rsidP="00D41065">
      <w:pPr>
        <w:pStyle w:val="SingleTxtG"/>
        <w:ind w:left="1701"/>
      </w:pPr>
      <w:r w:rsidRPr="003772BB">
        <w:t xml:space="preserve">Au 6.7.5.2.4 a), remplacer </w:t>
      </w:r>
      <w:r>
        <w:t>« </w:t>
      </w:r>
      <w:r w:rsidRPr="003772BB">
        <w:t>ISO 11114-</w:t>
      </w:r>
      <w:r>
        <w:t>1:</w:t>
      </w:r>
      <w:r w:rsidRPr="003772BB">
        <w:t>2012 + A</w:t>
      </w:r>
      <w:r>
        <w:t>1:</w:t>
      </w:r>
      <w:r w:rsidRPr="003772BB">
        <w:t>2017</w:t>
      </w:r>
      <w:r>
        <w:t> »</w:t>
      </w:r>
      <w:r w:rsidRPr="003772BB">
        <w:t xml:space="preserve"> par </w:t>
      </w:r>
      <w:r>
        <w:t>« </w:t>
      </w:r>
      <w:r w:rsidRPr="003772BB">
        <w:t>ISO 11114-</w:t>
      </w:r>
      <w:r>
        <w:t>1:</w:t>
      </w:r>
      <w:r w:rsidRPr="003772BB">
        <w:t xml:space="preserve">2012 + Amd </w:t>
      </w:r>
      <w:r>
        <w:t>1:</w:t>
      </w:r>
      <w:r w:rsidRPr="003772BB">
        <w:t>2017</w:t>
      </w:r>
      <w:r>
        <w:t> »</w:t>
      </w:r>
      <w:r w:rsidRPr="003772BB">
        <w:t>.</w:t>
      </w:r>
    </w:p>
    <w:p w14:paraId="597D4210" w14:textId="66C8193D" w:rsidR="0087652B" w:rsidRPr="00D41065" w:rsidRDefault="00D41065" w:rsidP="00D410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652B" w:rsidRPr="00D41065" w:rsidSect="008765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ECFD" w14:textId="77777777" w:rsidR="002F321E" w:rsidRDefault="002F321E" w:rsidP="00F95C08">
      <w:pPr>
        <w:spacing w:line="240" w:lineRule="auto"/>
      </w:pPr>
    </w:p>
  </w:endnote>
  <w:endnote w:type="continuationSeparator" w:id="0">
    <w:p w14:paraId="527835A7" w14:textId="77777777" w:rsidR="002F321E" w:rsidRPr="00AC3823" w:rsidRDefault="002F321E" w:rsidP="00AC3823">
      <w:pPr>
        <w:pStyle w:val="Footer"/>
      </w:pPr>
    </w:p>
  </w:endnote>
  <w:endnote w:type="continuationNotice" w:id="1">
    <w:p w14:paraId="22B9547D" w14:textId="77777777" w:rsidR="002F321E" w:rsidRDefault="002F32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4B37" w14:textId="740266C3" w:rsidR="0087652B" w:rsidRPr="0087652B" w:rsidRDefault="0087652B" w:rsidP="0087652B">
    <w:pPr>
      <w:pStyle w:val="Footer"/>
      <w:tabs>
        <w:tab w:val="right" w:pos="9638"/>
      </w:tabs>
    </w:pPr>
    <w:r w:rsidRPr="0087652B">
      <w:rPr>
        <w:b/>
        <w:sz w:val="18"/>
      </w:rPr>
      <w:fldChar w:fldCharType="begin"/>
    </w:r>
    <w:r w:rsidRPr="0087652B">
      <w:rPr>
        <w:b/>
        <w:sz w:val="18"/>
      </w:rPr>
      <w:instrText xml:space="preserve"> PAGE  \* MERGEFORMAT </w:instrText>
    </w:r>
    <w:r w:rsidRPr="0087652B">
      <w:rPr>
        <w:b/>
        <w:sz w:val="18"/>
      </w:rPr>
      <w:fldChar w:fldCharType="separate"/>
    </w:r>
    <w:r w:rsidRPr="0087652B">
      <w:rPr>
        <w:b/>
        <w:noProof/>
        <w:sz w:val="18"/>
      </w:rPr>
      <w:t>2</w:t>
    </w:r>
    <w:r w:rsidRPr="0087652B">
      <w:rPr>
        <w:b/>
        <w:sz w:val="18"/>
      </w:rPr>
      <w:fldChar w:fldCharType="end"/>
    </w:r>
    <w:r>
      <w:rPr>
        <w:b/>
        <w:sz w:val="18"/>
      </w:rPr>
      <w:tab/>
    </w:r>
    <w:r>
      <w:t>GE.22-04847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097F" w14:textId="235D2DF7" w:rsidR="0087652B" w:rsidRPr="0087652B" w:rsidRDefault="0087652B" w:rsidP="0087652B">
    <w:pPr>
      <w:pStyle w:val="Footer"/>
      <w:tabs>
        <w:tab w:val="right" w:pos="9638"/>
      </w:tabs>
      <w:rPr>
        <w:b/>
        <w:sz w:val="18"/>
      </w:rPr>
    </w:pPr>
    <w:r>
      <w:t>GE.22-04847</w:t>
    </w:r>
    <w:r>
      <w:tab/>
    </w:r>
    <w:r w:rsidRPr="0087652B">
      <w:rPr>
        <w:b/>
        <w:sz w:val="18"/>
      </w:rPr>
      <w:fldChar w:fldCharType="begin"/>
    </w:r>
    <w:r w:rsidRPr="0087652B">
      <w:rPr>
        <w:b/>
        <w:sz w:val="18"/>
      </w:rPr>
      <w:instrText xml:space="preserve"> PAGE  \* MERGEFORMAT </w:instrText>
    </w:r>
    <w:r w:rsidRPr="0087652B">
      <w:rPr>
        <w:b/>
        <w:sz w:val="18"/>
      </w:rPr>
      <w:fldChar w:fldCharType="separate"/>
    </w:r>
    <w:r w:rsidRPr="0087652B">
      <w:rPr>
        <w:b/>
        <w:noProof/>
        <w:sz w:val="18"/>
      </w:rPr>
      <w:t>3</w:t>
    </w:r>
    <w:r w:rsidRPr="008765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8309" w14:textId="05523D45" w:rsidR="0068456F" w:rsidRPr="0087652B" w:rsidRDefault="0087652B" w:rsidP="0087652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B1B390C" wp14:editId="289811D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22-04847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290FDD" wp14:editId="3D147A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0A7D" w14:textId="77777777" w:rsidR="002F321E" w:rsidRPr="00AC3823" w:rsidRDefault="002F32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467160" w14:textId="77777777" w:rsidR="002F321E" w:rsidRPr="00AC3823" w:rsidRDefault="002F32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DCBAC3" w14:textId="77777777" w:rsidR="002F321E" w:rsidRPr="00AC3823" w:rsidRDefault="002F321E">
      <w:pPr>
        <w:spacing w:line="240" w:lineRule="auto"/>
        <w:rPr>
          <w:sz w:val="2"/>
          <w:szCs w:val="2"/>
        </w:rPr>
      </w:pPr>
    </w:p>
  </w:footnote>
  <w:footnote w:id="2">
    <w:p w14:paraId="475E13A8" w14:textId="4F1BB39A" w:rsidR="007D5164" w:rsidRPr="007D5164" w:rsidRDefault="007D5164">
      <w:pPr>
        <w:pStyle w:val="FootnoteText"/>
      </w:pPr>
      <w:r>
        <w:rPr>
          <w:rStyle w:val="FootnoteReference"/>
        </w:rPr>
        <w:tab/>
      </w:r>
      <w:r w:rsidRPr="007D516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E22F" w14:textId="28FCF6D9" w:rsidR="0087652B" w:rsidRPr="0087652B" w:rsidRDefault="009426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6CAB" w14:textId="30D0E428" w:rsidR="0087652B" w:rsidRPr="0087652B" w:rsidRDefault="0094265B" w:rsidP="0087652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1E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B0B6B"/>
    <w:rsid w:val="002D7C93"/>
    <w:rsid w:val="002F321E"/>
    <w:rsid w:val="00441C3B"/>
    <w:rsid w:val="00446FE5"/>
    <w:rsid w:val="00452396"/>
    <w:rsid w:val="004E468C"/>
    <w:rsid w:val="0050697C"/>
    <w:rsid w:val="005505B7"/>
    <w:rsid w:val="00573BE5"/>
    <w:rsid w:val="00584DC4"/>
    <w:rsid w:val="00586ED3"/>
    <w:rsid w:val="00596AA9"/>
    <w:rsid w:val="0068456F"/>
    <w:rsid w:val="0071601D"/>
    <w:rsid w:val="007A62E6"/>
    <w:rsid w:val="007D5164"/>
    <w:rsid w:val="0080684C"/>
    <w:rsid w:val="008123E0"/>
    <w:rsid w:val="00871C75"/>
    <w:rsid w:val="0087652B"/>
    <w:rsid w:val="008776DC"/>
    <w:rsid w:val="008B40CD"/>
    <w:rsid w:val="0094265B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41065"/>
    <w:rsid w:val="00DA017E"/>
    <w:rsid w:val="00DB1831"/>
    <w:rsid w:val="00DD3BFD"/>
    <w:rsid w:val="00DF6678"/>
    <w:rsid w:val="00E0749D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122B9"/>
  <w15:docId w15:val="{5729BCB9-AF34-4288-BE1A-BE2AB8D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D4106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locked/>
    <w:rsid w:val="00D4106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D4106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9B71F-1A98-409B-8FD5-7D87494351F3}"/>
</file>

<file path=customXml/itemProps2.xml><?xml version="1.0" encoding="utf-8"?>
<ds:datastoreItem xmlns:ds="http://schemas.openxmlformats.org/officeDocument/2006/customXml" ds:itemID="{97BAF3E6-F6E5-4574-A83E-D49074F35B6F}"/>
</file>

<file path=customXml/itemProps3.xml><?xml version="1.0" encoding="utf-8"?>
<ds:datastoreItem xmlns:ds="http://schemas.openxmlformats.org/officeDocument/2006/customXml" ds:itemID="{DABF7643-8629-46E4-87DB-B673EBAC7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ST/SG/AC.10/C.3/2022/14</vt:lpstr>
    </vt:vector>
  </TitlesOfParts>
  <Company>DCM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ST/SG/AC.10/C.3/2022/14</dc:title>
  <dc:subject/>
  <dc:creator>Nicolas MORIN</dc:creator>
  <cp:keywords/>
  <cp:lastModifiedBy>Laurence Berthet</cp:lastModifiedBy>
  <cp:revision>3</cp:revision>
  <cp:lastPrinted>2022-05-09T15:58:00Z</cp:lastPrinted>
  <dcterms:created xsi:type="dcterms:W3CDTF">2022-05-09T15:57:00Z</dcterms:created>
  <dcterms:modified xsi:type="dcterms:W3CDTF">2022-05-09T15:58:00Z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