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49BB845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2BBFBE" w14:textId="77777777" w:rsidR="00132EA9" w:rsidRPr="00DB58B5" w:rsidRDefault="00132EA9" w:rsidP="00B90A1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67B07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E9BA46" w14:textId="4B1637B3" w:rsidR="00132EA9" w:rsidRPr="00DB58B5" w:rsidRDefault="00B90A1D" w:rsidP="00B90A1D">
            <w:pPr>
              <w:jc w:val="right"/>
            </w:pPr>
            <w:r w:rsidRPr="00B90A1D">
              <w:rPr>
                <w:sz w:val="40"/>
              </w:rPr>
              <w:t>ST</w:t>
            </w:r>
            <w:r>
              <w:t>/SG/AC.10/C.3/2022/12</w:t>
            </w:r>
          </w:p>
        </w:tc>
      </w:tr>
      <w:tr w:rsidR="00132EA9" w:rsidRPr="00DB58B5" w14:paraId="02B24FB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F8E25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6AFAF9" wp14:editId="152AEE5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F208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747CA1" w14:textId="77777777" w:rsidR="00132EA9" w:rsidRDefault="00B90A1D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7611BE1" w14:textId="77777777" w:rsidR="00B90A1D" w:rsidRDefault="00B90A1D" w:rsidP="00B90A1D">
            <w:pPr>
              <w:spacing w:line="240" w:lineRule="exact"/>
            </w:pPr>
            <w:r>
              <w:t>1</w:t>
            </w:r>
            <w:r w:rsidRPr="00B90A1D">
              <w:rPr>
                <w:vertAlign w:val="superscript"/>
              </w:rPr>
              <w:t>er</w:t>
            </w:r>
            <w:r>
              <w:t xml:space="preserve"> avril 2022</w:t>
            </w:r>
          </w:p>
          <w:p w14:paraId="2CF8675A" w14:textId="77777777" w:rsidR="00B90A1D" w:rsidRDefault="00B90A1D" w:rsidP="00B90A1D">
            <w:pPr>
              <w:spacing w:line="240" w:lineRule="exact"/>
            </w:pPr>
            <w:r>
              <w:t>Français</w:t>
            </w:r>
          </w:p>
          <w:p w14:paraId="1E60CD57" w14:textId="677C4299" w:rsidR="00B90A1D" w:rsidRPr="00DB58B5" w:rsidRDefault="00B90A1D" w:rsidP="00B90A1D">
            <w:pPr>
              <w:spacing w:line="240" w:lineRule="exact"/>
            </w:pPr>
            <w:r>
              <w:t>Original : anglais</w:t>
            </w:r>
          </w:p>
        </w:tc>
      </w:tr>
    </w:tbl>
    <w:p w14:paraId="122D3719" w14:textId="530C0009" w:rsidR="00B90A1D" w:rsidRPr="00CA0680" w:rsidRDefault="00B90A1D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DE2B3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DE2B3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6BA77559" w14:textId="19DE9A5E" w:rsidR="00B90A1D" w:rsidRPr="00CA0680" w:rsidRDefault="00B90A1D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DE2B38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41ADD998" w14:textId="77777777" w:rsidR="00B90A1D" w:rsidRPr="00B36A10" w:rsidRDefault="00B90A1D" w:rsidP="00B90A1D">
      <w:pPr>
        <w:spacing w:before="120"/>
        <w:rPr>
          <w:b/>
          <w:lang w:val="fr-FR"/>
        </w:rPr>
      </w:pPr>
      <w:r w:rsidRPr="00B36A10">
        <w:rPr>
          <w:b/>
          <w:bCs/>
          <w:lang w:val="fr-FR"/>
        </w:rPr>
        <w:t>Soixantième session</w:t>
      </w:r>
    </w:p>
    <w:p w14:paraId="458161D4" w14:textId="77777777" w:rsidR="00B90A1D" w:rsidRPr="00B36A10" w:rsidRDefault="00B90A1D" w:rsidP="00B90A1D">
      <w:pPr>
        <w:rPr>
          <w:lang w:val="fr-FR"/>
        </w:rPr>
      </w:pPr>
      <w:r w:rsidRPr="00B36A10">
        <w:rPr>
          <w:lang w:val="fr-FR"/>
        </w:rPr>
        <w:t>Genève, 27 juin-6 juillet 2022</w:t>
      </w:r>
    </w:p>
    <w:p w14:paraId="0F92D20B" w14:textId="7A7C82D0" w:rsidR="00B90A1D" w:rsidRPr="00B36A10" w:rsidRDefault="00B90A1D" w:rsidP="00B90A1D">
      <w:pPr>
        <w:rPr>
          <w:lang w:val="fr-FR"/>
        </w:rPr>
      </w:pPr>
      <w:r w:rsidRPr="00B36A10">
        <w:rPr>
          <w:lang w:val="fr-FR"/>
        </w:rPr>
        <w:t>Point 6 b) de l</w:t>
      </w:r>
      <w:r w:rsidR="00DE2B38">
        <w:rPr>
          <w:lang w:val="fr-FR"/>
        </w:rPr>
        <w:t>’</w:t>
      </w:r>
      <w:r w:rsidRPr="00B36A10">
        <w:rPr>
          <w:lang w:val="fr-FR"/>
        </w:rPr>
        <w:t>ordre du jour provisoire</w:t>
      </w:r>
    </w:p>
    <w:p w14:paraId="0E90A32D" w14:textId="17595DD3" w:rsidR="00B90A1D" w:rsidRPr="00B36A10" w:rsidRDefault="00B90A1D" w:rsidP="00B90A1D">
      <w:pPr>
        <w:rPr>
          <w:b/>
          <w:bCs/>
          <w:lang w:val="fr-FR"/>
        </w:rPr>
      </w:pPr>
      <w:r w:rsidRPr="00B36A10">
        <w:rPr>
          <w:b/>
          <w:bCs/>
          <w:lang w:val="fr-FR"/>
        </w:rPr>
        <w:t>Propositions diverses d</w:t>
      </w:r>
      <w:r w:rsidR="00DE2B38">
        <w:rPr>
          <w:b/>
          <w:bCs/>
          <w:lang w:val="fr-FR"/>
        </w:rPr>
        <w:t>’</w:t>
      </w:r>
      <w:r w:rsidRPr="00B36A10">
        <w:rPr>
          <w:b/>
          <w:bCs/>
          <w:lang w:val="fr-FR"/>
        </w:rPr>
        <w:t xml:space="preserve">amendements au Règlement type </w:t>
      </w:r>
      <w:r>
        <w:rPr>
          <w:b/>
          <w:bCs/>
          <w:lang w:val="fr-FR"/>
        </w:rPr>
        <w:br/>
      </w:r>
      <w:r w:rsidRPr="00B36A10">
        <w:rPr>
          <w:b/>
          <w:bCs/>
          <w:lang w:val="fr-FR"/>
        </w:rPr>
        <w:t xml:space="preserve">pour le transport des marchandises dangereuses : emballages, </w:t>
      </w:r>
      <w:r>
        <w:rPr>
          <w:b/>
          <w:bCs/>
          <w:lang w:val="fr-FR"/>
        </w:rPr>
        <w:br/>
      </w:r>
      <w:r w:rsidRPr="00B36A10">
        <w:rPr>
          <w:b/>
          <w:bCs/>
          <w:lang w:val="fr-FR"/>
        </w:rPr>
        <w:t>y compris l</w:t>
      </w:r>
      <w:r w:rsidR="00DE2B38">
        <w:rPr>
          <w:b/>
          <w:bCs/>
          <w:lang w:val="fr-FR"/>
        </w:rPr>
        <w:t>’</w:t>
      </w:r>
      <w:r w:rsidRPr="00B36A10">
        <w:rPr>
          <w:b/>
          <w:bCs/>
          <w:lang w:val="fr-FR"/>
        </w:rPr>
        <w:t>utilisation des matières plastiques recyclées</w:t>
      </w:r>
    </w:p>
    <w:p w14:paraId="5DD0AB25" w14:textId="411EE7AB" w:rsidR="00B90A1D" w:rsidRPr="00B36A10" w:rsidRDefault="00B90A1D" w:rsidP="00B90A1D">
      <w:pPr>
        <w:pStyle w:val="HChG"/>
        <w:rPr>
          <w:color w:val="000000" w:themeColor="text1"/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  <w:t>Révision des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figurant aux 5.5.3.3.1 et 5.5.3.3.2</w:t>
      </w:r>
    </w:p>
    <w:p w14:paraId="29429451" w14:textId="6ED02444" w:rsidR="00B90A1D" w:rsidRPr="00B36A10" w:rsidRDefault="00B90A1D" w:rsidP="00B90A1D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</w:r>
      <w:r w:rsidRPr="00B90A1D">
        <w:t>Communication</w:t>
      </w:r>
      <w:r w:rsidRPr="00B36A10">
        <w:rPr>
          <w:lang w:val="fr-FR"/>
        </w:rPr>
        <w:t xml:space="preserve"> de l</w:t>
      </w:r>
      <w:r w:rsidR="00DE2B38">
        <w:rPr>
          <w:lang w:val="fr-FR"/>
        </w:rPr>
        <w:t>’</w:t>
      </w:r>
      <w:r w:rsidRPr="00B36A10">
        <w:rPr>
          <w:lang w:val="fr-FR"/>
        </w:rPr>
        <w:t>expert de l</w:t>
      </w:r>
      <w:r w:rsidR="00DE2B38">
        <w:rPr>
          <w:lang w:val="fr-FR"/>
        </w:rPr>
        <w:t>’</w:t>
      </w:r>
      <w:r w:rsidRPr="00B36A10">
        <w:rPr>
          <w:lang w:val="fr-FR"/>
        </w:rPr>
        <w:t>Espagne</w:t>
      </w:r>
      <w:r w:rsidR="00DE2B38" w:rsidRPr="00DE2B3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23AA8BD0" w14:textId="29EBFF62" w:rsidR="00446FE5" w:rsidRDefault="00B90A1D" w:rsidP="00B90A1D">
      <w:pPr>
        <w:pStyle w:val="HChG"/>
        <w:rPr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  <w:t>Introduction</w:t>
      </w:r>
    </w:p>
    <w:p w14:paraId="372D84E3" w14:textId="439A1033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1.</w:t>
      </w:r>
      <w:r w:rsidRPr="00B36A10">
        <w:rPr>
          <w:lang w:val="fr-FR"/>
        </w:rPr>
        <w:tab/>
      </w:r>
      <w:r>
        <w:rPr>
          <w:lang w:val="fr-FR"/>
        </w:rPr>
        <w:t xml:space="preserve">À </w:t>
      </w:r>
      <w:r w:rsidRPr="00B36A10">
        <w:rPr>
          <w:lang w:val="fr-FR"/>
        </w:rPr>
        <w:t xml:space="preserve">la </w:t>
      </w:r>
      <w:r w:rsidRPr="003A5F1A">
        <w:rPr>
          <w:lang w:val="fr-FR"/>
        </w:rPr>
        <w:t xml:space="preserve">dernière </w:t>
      </w:r>
      <w:r w:rsidRPr="00B36A10">
        <w:rPr>
          <w:lang w:val="fr-FR"/>
        </w:rPr>
        <w:t>session du Sous-Comité, l</w:t>
      </w:r>
      <w:r w:rsidR="00DE2B38">
        <w:rPr>
          <w:lang w:val="fr-FR"/>
        </w:rPr>
        <w:t>’</w:t>
      </w:r>
      <w:r w:rsidRPr="00B36A10">
        <w:rPr>
          <w:lang w:val="fr-FR"/>
        </w:rPr>
        <w:t>Espagne a présenté le document ST/SG/AC.10/C.3/2021/43 a</w:t>
      </w:r>
      <w:r>
        <w:rPr>
          <w:lang w:val="fr-FR"/>
        </w:rPr>
        <w:t>yant</w:t>
      </w:r>
      <w:r w:rsidRPr="00B36A10">
        <w:rPr>
          <w:lang w:val="fr-FR"/>
        </w:rPr>
        <w:t xml:space="preserve"> pour objet de revoir les références</w:t>
      </w:r>
      <w:r>
        <w:rPr>
          <w:lang w:val="fr-FR"/>
        </w:rPr>
        <w:t xml:space="preserve"> faites a</w:t>
      </w:r>
      <w:r w:rsidRPr="00B36A10">
        <w:rPr>
          <w:lang w:val="fr-FR"/>
        </w:rPr>
        <w:t>u 5.5.3 dans les différentes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</w:t>
      </w:r>
      <w:r>
        <w:rPr>
          <w:lang w:val="fr-FR"/>
        </w:rPr>
        <w:t xml:space="preserve">portant sur les </w:t>
      </w:r>
      <w:r w:rsidRPr="00B36A10">
        <w:rPr>
          <w:lang w:val="fr-FR"/>
        </w:rPr>
        <w:t>matières réfrigérantes. Cette proposition a été adoptée avec quelques modifications.</w:t>
      </w:r>
    </w:p>
    <w:p w14:paraId="684FD73F" w14:textId="7FE5C9FC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2.</w:t>
      </w:r>
      <w:r w:rsidRPr="00B36A10">
        <w:rPr>
          <w:lang w:val="fr-FR"/>
        </w:rPr>
        <w:tab/>
      </w:r>
      <w:r>
        <w:rPr>
          <w:lang w:val="fr-FR"/>
        </w:rPr>
        <w:t>Cependant</w:t>
      </w:r>
      <w:r w:rsidRPr="00B36A10">
        <w:rPr>
          <w:lang w:val="fr-FR"/>
        </w:rPr>
        <w:t xml:space="preserve">, avant </w:t>
      </w:r>
      <w:r>
        <w:rPr>
          <w:lang w:val="fr-FR"/>
        </w:rPr>
        <w:t xml:space="preserve">la </w:t>
      </w:r>
      <w:r w:rsidRPr="00B36A10">
        <w:rPr>
          <w:lang w:val="fr-FR"/>
        </w:rPr>
        <w:t>dernière session du Sous-Comité, des observations avaient été formulées en vue de demander un examen supplémentaire des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énumérées au 5.5.3.3.1. Il a été convenu que cette révision ferait l</w:t>
      </w:r>
      <w:r w:rsidR="00DE2B38">
        <w:rPr>
          <w:lang w:val="fr-FR"/>
        </w:rPr>
        <w:t>’</w:t>
      </w:r>
      <w:r w:rsidRPr="00B36A10">
        <w:rPr>
          <w:lang w:val="fr-FR"/>
        </w:rPr>
        <w:t>objet d</w:t>
      </w:r>
      <w:r w:rsidR="00DE2B38">
        <w:rPr>
          <w:lang w:val="fr-FR"/>
        </w:rPr>
        <w:t>’</w:t>
      </w:r>
      <w:r w:rsidRPr="00B36A10">
        <w:rPr>
          <w:lang w:val="fr-FR"/>
        </w:rPr>
        <w:t>un document</w:t>
      </w:r>
      <w:r>
        <w:rPr>
          <w:lang w:val="fr-FR"/>
        </w:rPr>
        <w:t xml:space="preserve"> distinct</w:t>
      </w:r>
      <w:r w:rsidRPr="00B36A10">
        <w:rPr>
          <w:lang w:val="fr-FR"/>
        </w:rPr>
        <w:t xml:space="preserve">, car ces </w:t>
      </w:r>
      <w:r>
        <w:rPr>
          <w:lang w:val="fr-FR"/>
        </w:rPr>
        <w:t>questions étaient</w:t>
      </w:r>
      <w:r w:rsidRPr="00B36A10">
        <w:rPr>
          <w:lang w:val="fr-FR"/>
        </w:rPr>
        <w:t xml:space="preserve"> lié</w:t>
      </w:r>
      <w:r>
        <w:rPr>
          <w:lang w:val="fr-FR"/>
        </w:rPr>
        <w:t>e</w:t>
      </w:r>
      <w:r w:rsidRPr="00B36A10">
        <w:rPr>
          <w:lang w:val="fr-FR"/>
        </w:rPr>
        <w:t>s mais indépendant</w:t>
      </w:r>
      <w:r>
        <w:rPr>
          <w:lang w:val="fr-FR"/>
        </w:rPr>
        <w:t>e</w:t>
      </w:r>
      <w:r w:rsidRPr="00B36A10">
        <w:rPr>
          <w:lang w:val="fr-FR"/>
        </w:rPr>
        <w:t>s.</w:t>
      </w:r>
    </w:p>
    <w:p w14:paraId="5A018379" w14:textId="77777777" w:rsidR="00B90A1D" w:rsidRPr="00B36A10" w:rsidRDefault="00B90A1D" w:rsidP="00B90A1D">
      <w:pPr>
        <w:pStyle w:val="HChG"/>
        <w:rPr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</w:r>
      <w:r w:rsidRPr="00B36A10">
        <w:rPr>
          <w:bCs/>
          <w:lang w:val="fr-FR"/>
        </w:rPr>
        <w:t>Contexte</w:t>
      </w:r>
    </w:p>
    <w:p w14:paraId="071D8EE7" w14:textId="03EC1A9C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3.</w:t>
      </w:r>
      <w:r w:rsidRPr="00B36A10">
        <w:rPr>
          <w:lang w:val="fr-FR"/>
        </w:rPr>
        <w:tab/>
      </w:r>
      <w:r>
        <w:rPr>
          <w:lang w:val="fr-FR"/>
        </w:rPr>
        <w:t>Le</w:t>
      </w:r>
      <w:r w:rsidRPr="00B36A10">
        <w:rPr>
          <w:lang w:val="fr-FR"/>
        </w:rPr>
        <w:t xml:space="preserve"> chapitre 5.5.3 a été ajouté au Règlement type lors de la publication de sa dix</w:t>
      </w:r>
      <w:r>
        <w:rPr>
          <w:lang w:val="fr-FR"/>
        </w:rPr>
        <w:noBreakHyphen/>
      </w:r>
      <w:r w:rsidRPr="00B36A10">
        <w:rPr>
          <w:lang w:val="fr-FR"/>
        </w:rPr>
        <w:t xml:space="preserve">septième édition, en 2012. </w:t>
      </w:r>
      <w:r>
        <w:rPr>
          <w:lang w:val="fr-FR"/>
        </w:rPr>
        <w:t xml:space="preserve">Il </w:t>
      </w:r>
      <w:r w:rsidRPr="00B36A10">
        <w:rPr>
          <w:lang w:val="fr-FR"/>
        </w:rPr>
        <w:t>porte sur les «</w:t>
      </w:r>
      <w:r w:rsidR="000F0810">
        <w:rPr>
          <w:lang w:val="fr-FR"/>
        </w:rPr>
        <w:t> </w:t>
      </w:r>
      <w:r>
        <w:rPr>
          <w:lang w:val="fr-FR"/>
        </w:rPr>
        <w:t>d</w:t>
      </w:r>
      <w:r w:rsidRPr="00B36A10">
        <w:rPr>
          <w:lang w:val="fr-FR"/>
        </w:rPr>
        <w:t>ispositions spéciales applicables aux colis et aux engins de transport contenant des matières présentant un risque d</w:t>
      </w:r>
      <w:r w:rsidR="00DE2B38">
        <w:rPr>
          <w:lang w:val="fr-FR"/>
        </w:rPr>
        <w:t>’</w:t>
      </w:r>
      <w:r w:rsidRPr="00B36A10">
        <w:rPr>
          <w:lang w:val="fr-FR"/>
        </w:rPr>
        <w:t>asphyxie lorsqu</w:t>
      </w:r>
      <w:r w:rsidR="00DE2B38">
        <w:rPr>
          <w:lang w:val="fr-FR"/>
        </w:rPr>
        <w:t>’</w:t>
      </w:r>
      <w:r w:rsidRPr="00B36A10">
        <w:rPr>
          <w:lang w:val="fr-FR"/>
        </w:rPr>
        <w:t>elles sont utilisées à des fins de réfrigération ou de conditionnement (telles que la neige carbonique (No</w:t>
      </w:r>
      <w:r>
        <w:rPr>
          <w:lang w:val="fr-FR"/>
        </w:rPr>
        <w:t> </w:t>
      </w:r>
      <w:r w:rsidRPr="00B36A10">
        <w:rPr>
          <w:lang w:val="fr-FR"/>
        </w:rPr>
        <w:t>ONU 1845) ou l</w:t>
      </w:r>
      <w:r w:rsidR="00DE2B38">
        <w:rPr>
          <w:lang w:val="fr-FR"/>
        </w:rPr>
        <w:t>’</w:t>
      </w:r>
      <w:r w:rsidRPr="00B36A10">
        <w:rPr>
          <w:lang w:val="fr-FR"/>
        </w:rPr>
        <w:t>azote liquide réfrigérée (No ONU 1977) ou l</w:t>
      </w:r>
      <w:r w:rsidR="00DE2B38">
        <w:rPr>
          <w:lang w:val="fr-FR"/>
        </w:rPr>
        <w:t>’</w:t>
      </w:r>
      <w:r w:rsidRPr="00B36A10">
        <w:rPr>
          <w:lang w:val="fr-FR"/>
        </w:rPr>
        <w:t>argon liquide réfrigéré (No ONU 1951) ou l</w:t>
      </w:r>
      <w:r w:rsidR="00DE2B38">
        <w:rPr>
          <w:lang w:val="fr-FR"/>
        </w:rPr>
        <w:t>’</w:t>
      </w:r>
      <w:r w:rsidRPr="00B36A10">
        <w:rPr>
          <w:lang w:val="fr-FR"/>
        </w:rPr>
        <w:t>azote)</w:t>
      </w:r>
      <w:r w:rsidR="000F0810">
        <w:rPr>
          <w:lang w:val="fr-FR"/>
        </w:rPr>
        <w:t> </w:t>
      </w:r>
      <w:r w:rsidRPr="00B36A10">
        <w:rPr>
          <w:lang w:val="fr-FR"/>
        </w:rPr>
        <w:t>».</w:t>
      </w:r>
    </w:p>
    <w:p w14:paraId="13FFF482" w14:textId="4698C2AA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4.</w:t>
      </w:r>
      <w:r w:rsidRPr="00B36A10">
        <w:rPr>
          <w:lang w:val="fr-FR"/>
        </w:rPr>
        <w:tab/>
      </w:r>
      <w:r>
        <w:rPr>
          <w:lang w:val="fr-FR"/>
        </w:rPr>
        <w:t>Depuis</w:t>
      </w:r>
      <w:r w:rsidRPr="00B36A10">
        <w:rPr>
          <w:lang w:val="fr-FR"/>
        </w:rPr>
        <w:t xml:space="preserve"> l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ajout du chapitre 5.5.3, </w:t>
      </w:r>
      <w:r>
        <w:rPr>
          <w:lang w:val="fr-FR"/>
        </w:rPr>
        <w:t xml:space="preserve">le texte des </w:t>
      </w:r>
      <w:r w:rsidRPr="00B36A10">
        <w:rPr>
          <w:lang w:val="fr-FR"/>
        </w:rPr>
        <w:t xml:space="preserve">paragraphes 5.5.3.3.1 et 5.5.3.3.2 </w:t>
      </w:r>
      <w:r>
        <w:rPr>
          <w:lang w:val="fr-FR"/>
        </w:rPr>
        <w:t>n</w:t>
      </w:r>
      <w:r w:rsidR="00DE2B38">
        <w:rPr>
          <w:lang w:val="fr-FR"/>
        </w:rPr>
        <w:t>’</w:t>
      </w:r>
      <w:r>
        <w:rPr>
          <w:lang w:val="fr-FR"/>
        </w:rPr>
        <w:t xml:space="preserve">a </w:t>
      </w:r>
      <w:r w:rsidRPr="00B36A10">
        <w:rPr>
          <w:lang w:val="fr-FR"/>
        </w:rPr>
        <w:t>pas été modifié :</w:t>
      </w:r>
    </w:p>
    <w:p w14:paraId="5D53E8BB" w14:textId="59D1CFEA" w:rsidR="00B90A1D" w:rsidRPr="00B36A10" w:rsidRDefault="00B90A1D" w:rsidP="00B90A1D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B36A10">
        <w:rPr>
          <w:lang w:val="fr-FR"/>
        </w:rPr>
        <w:t>5.5.3.3.1</w:t>
      </w:r>
      <w:r w:rsidR="00EA21F9">
        <w:rPr>
          <w:lang w:val="fr-FR"/>
        </w:rPr>
        <w:tab/>
      </w:r>
      <w:r w:rsidRPr="00B36A10">
        <w:rPr>
          <w:lang w:val="fr-FR"/>
        </w:rPr>
        <w:t>Les marchandises dangereuses emballées nécessitant d</w:t>
      </w:r>
      <w:r w:rsidR="00DE2B38">
        <w:rPr>
          <w:lang w:val="fr-FR"/>
        </w:rPr>
        <w:t>’</w:t>
      </w:r>
      <w:r w:rsidRPr="00B36A10">
        <w:rPr>
          <w:lang w:val="fr-FR"/>
        </w:rPr>
        <w:t>être réfrigérées ou conditionnées auxquelles sont affectées 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P203, P620, </w:t>
      </w:r>
      <w:r w:rsidRPr="00B36A10">
        <w:rPr>
          <w:lang w:val="fr-FR"/>
        </w:rPr>
        <w:lastRenderedPageBreak/>
        <w:t>P650, P800, P901 ou P904 du 4.1.4.1 doivent satisfaire aux prescriptions appropriées des dites instructions.</w:t>
      </w:r>
    </w:p>
    <w:p w14:paraId="77142F0A" w14:textId="75361B9F" w:rsidR="00B90A1D" w:rsidRPr="00B36A10" w:rsidRDefault="00B90A1D" w:rsidP="00B90A1D">
      <w:pPr>
        <w:pStyle w:val="SingleTxtG"/>
        <w:ind w:left="1701"/>
        <w:rPr>
          <w:lang w:val="fr-FR"/>
        </w:rPr>
      </w:pPr>
      <w:r w:rsidRPr="00B36A10">
        <w:rPr>
          <w:lang w:val="fr-FR"/>
        </w:rPr>
        <w:t>5.5.3.3.2</w:t>
      </w:r>
      <w:r w:rsidR="00EA21F9">
        <w:rPr>
          <w:lang w:val="fr-FR"/>
        </w:rPr>
        <w:tab/>
      </w:r>
      <w:r w:rsidRPr="00B36A10">
        <w:rPr>
          <w:lang w:val="fr-FR"/>
        </w:rPr>
        <w:t>Pour les marchandises dangereuses emballées nécessitant d</w:t>
      </w:r>
      <w:r w:rsidR="00DE2B38">
        <w:rPr>
          <w:lang w:val="fr-FR"/>
        </w:rPr>
        <w:t>’</w:t>
      </w:r>
      <w:r w:rsidRPr="00B36A10">
        <w:rPr>
          <w:lang w:val="fr-FR"/>
        </w:rPr>
        <w:t>être réfrigérées ou conditionnées, auxquelles sont affectées d</w:t>
      </w:r>
      <w:r w:rsidR="00DE2B38">
        <w:rPr>
          <w:lang w:val="fr-FR"/>
        </w:rPr>
        <w:t>’</w:t>
      </w:r>
      <w:r w:rsidRPr="00B36A10">
        <w:rPr>
          <w:lang w:val="fr-FR"/>
        </w:rPr>
        <w:t>autres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emballage, les colis doivent pouvoir résister aux très basses températures et ne doivent être ni altérés ni affaiblis de manière</w:t>
      </w:r>
      <w:r>
        <w:rPr>
          <w:lang w:val="fr-FR"/>
        </w:rPr>
        <w:t xml:space="preserve"> </w:t>
      </w:r>
      <w:r w:rsidRPr="00B36A10">
        <w:rPr>
          <w:lang w:val="fr-FR"/>
        </w:rPr>
        <w:t>significative par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conditionnement. Les colis doivent être conçus et fabriqués de manière à permettre au gaz de s</w:t>
      </w:r>
      <w:r w:rsidR="00DE2B38">
        <w:rPr>
          <w:lang w:val="fr-FR"/>
        </w:rPr>
        <w:t>’</w:t>
      </w:r>
      <w:r w:rsidRPr="00B36A10">
        <w:rPr>
          <w:lang w:val="fr-FR"/>
        </w:rPr>
        <w:t>échapper afin d</w:t>
      </w:r>
      <w:r w:rsidR="00DE2B38">
        <w:rPr>
          <w:lang w:val="fr-FR"/>
        </w:rPr>
        <w:t>’</w:t>
      </w:r>
      <w:r w:rsidRPr="00B36A10">
        <w:rPr>
          <w:lang w:val="fr-FR"/>
        </w:rPr>
        <w:t>empêcher une élévation de la pression qui pourrait entraîner une rupture de l</w:t>
      </w:r>
      <w:r w:rsidR="00DE2B38">
        <w:rPr>
          <w:lang w:val="fr-FR"/>
        </w:rPr>
        <w:t>’</w:t>
      </w:r>
      <w:r w:rsidRPr="00B36A10">
        <w:rPr>
          <w:lang w:val="fr-FR"/>
        </w:rPr>
        <w:t>emballage. Les marchandises dangereuses doivent être emballées de manière à empêcher tout déplacement après la dissipation de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conditionnement.</w:t>
      </w:r>
      <w:r>
        <w:rPr>
          <w:lang w:val="fr-FR"/>
        </w:rPr>
        <w:t> »</w:t>
      </w:r>
      <w:r w:rsidR="000F0810">
        <w:rPr>
          <w:lang w:val="fr-FR"/>
        </w:rPr>
        <w:t>.</w:t>
      </w:r>
    </w:p>
    <w:p w14:paraId="5C5D7C0E" w14:textId="3ACF7DFA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5.</w:t>
      </w:r>
      <w:r w:rsidRPr="00B36A10">
        <w:rPr>
          <w:lang w:val="fr-FR"/>
        </w:rPr>
        <w:tab/>
        <w:t xml:space="preserve">La raison pour laquelle ces paragraphes ont été </w:t>
      </w:r>
      <w:r>
        <w:rPr>
          <w:lang w:val="fr-FR"/>
        </w:rPr>
        <w:t>ajoutés</w:t>
      </w:r>
      <w:r w:rsidRPr="00B36A10">
        <w:rPr>
          <w:lang w:val="fr-FR"/>
        </w:rPr>
        <w:t xml:space="preserve"> est expliquée dans le document ST/SG/AC.10/C.3/2010/12</w:t>
      </w:r>
      <w:r>
        <w:rPr>
          <w:lang w:val="fr-FR"/>
        </w:rPr>
        <w:t>,</w:t>
      </w:r>
      <w:r w:rsidRPr="00B36A10">
        <w:rPr>
          <w:lang w:val="fr-FR"/>
        </w:rPr>
        <w:t xml:space="preserve"> soumis par l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Allemagne, les Pays-Bas et le Royaume-Uni, notamment au paragraphe 6 (la numérotation des paragraphes du Règlement type est différente </w:t>
      </w:r>
      <w:r>
        <w:rPr>
          <w:lang w:val="fr-FR"/>
        </w:rPr>
        <w:t xml:space="preserve">dans ce document </w:t>
      </w:r>
      <w:r w:rsidRPr="00B36A10">
        <w:rPr>
          <w:lang w:val="fr-FR"/>
        </w:rPr>
        <w:t>car des amendements ont été apportés ensuite dans d</w:t>
      </w:r>
      <w:r w:rsidR="00DE2B38">
        <w:rPr>
          <w:lang w:val="fr-FR"/>
        </w:rPr>
        <w:t>’</w:t>
      </w:r>
      <w:r w:rsidRPr="00B36A10">
        <w:rPr>
          <w:lang w:val="fr-FR"/>
        </w:rPr>
        <w:t>autres parties du nouveau 5.5.3) :</w:t>
      </w:r>
    </w:p>
    <w:p w14:paraId="096D14CF" w14:textId="3D6D8DB6" w:rsidR="00B90A1D" w:rsidRPr="00B36A10" w:rsidRDefault="00B90A1D" w:rsidP="00B90A1D">
      <w:pPr>
        <w:pStyle w:val="SingleTxtG"/>
        <w:ind w:left="1701"/>
        <w:rPr>
          <w:lang w:val="fr-FR"/>
        </w:rPr>
      </w:pPr>
      <w:r w:rsidRPr="00B36A10">
        <w:rPr>
          <w:lang w:val="fr-FR"/>
        </w:rPr>
        <w:t>« 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P620, P650, P800, P904 et P901 contiennent des prescriptions pour les colis contenant les Nos ONU 1845 ou 1977 utilisés aux fins de réfrigération. Toutefois, des marchandises dangereuses relevant d</w:t>
      </w:r>
      <w:r w:rsidR="00DE2B38">
        <w:rPr>
          <w:lang w:val="fr-FR"/>
        </w:rPr>
        <w:t>’</w:t>
      </w:r>
      <w:r w:rsidRPr="00B36A10">
        <w:rPr>
          <w:lang w:val="fr-FR"/>
        </w:rPr>
        <w:t>autres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peuvent aussi être réfrigérées ou conditionnées par addition de telles matières. Des prescriptions équivalentes doivent alors être imposées à ces autres colis</w:t>
      </w:r>
      <w:r>
        <w:rPr>
          <w:lang w:val="fr-FR"/>
        </w:rPr>
        <w:t> </w:t>
      </w:r>
      <w:r w:rsidRPr="00B36A10">
        <w:rPr>
          <w:lang w:val="fr-FR"/>
        </w:rPr>
        <w:t>; il faut notamment faire en sorte que le colis puisse supporter les températures basses et ne soit pas affaibli par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conditionnement, et que des mesures soient prises pour éviter une élévation de la pression. En outre, les marchandises dangereuses devraient être emballées de manière à empêcher tout déplacement après l</w:t>
      </w:r>
      <w:r w:rsidR="00DE2B38">
        <w:rPr>
          <w:lang w:val="fr-FR"/>
        </w:rPr>
        <w:t>’</w:t>
      </w:r>
      <w:r w:rsidRPr="00B36A10">
        <w:rPr>
          <w:lang w:val="fr-FR"/>
        </w:rPr>
        <w:t>évaporation de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conditionnement. Le texte approprié se trouve dans la nouvelle sous-section 5.5.3.2.2 [actuelle 5.5.3.3.2] proposée. »</w:t>
      </w:r>
      <w:r>
        <w:rPr>
          <w:lang w:val="fr-FR"/>
        </w:rPr>
        <w:t>.</w:t>
      </w:r>
    </w:p>
    <w:p w14:paraId="38C3F602" w14:textId="1A0CD373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6.</w:t>
      </w:r>
      <w:r w:rsidRPr="00B36A10">
        <w:rPr>
          <w:lang w:val="fr-FR"/>
        </w:rPr>
        <w:tab/>
        <w:t>Bien qu</w:t>
      </w:r>
      <w:r w:rsidR="00DE2B38">
        <w:rPr>
          <w:lang w:val="fr-FR"/>
        </w:rPr>
        <w:t>’</w:t>
      </w:r>
      <w:r w:rsidRPr="00B36A10">
        <w:rPr>
          <w:lang w:val="fr-FR"/>
        </w:rPr>
        <w:t>elle ne soit pas mentionnée dans le paragraphe ci-dessus, l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instruction P203 </w:t>
      </w:r>
      <w:r>
        <w:rPr>
          <w:lang w:val="fr-FR"/>
        </w:rPr>
        <w:t xml:space="preserve">était </w:t>
      </w:r>
      <w:r w:rsidRPr="00B36A10">
        <w:rPr>
          <w:lang w:val="fr-FR"/>
        </w:rPr>
        <w:t>déjà inclu</w:t>
      </w:r>
      <w:r>
        <w:rPr>
          <w:lang w:val="fr-FR"/>
        </w:rPr>
        <w:t>s</w:t>
      </w:r>
      <w:r w:rsidRPr="00B36A10">
        <w:rPr>
          <w:lang w:val="fr-FR"/>
        </w:rPr>
        <w:t>e dans le 5.5.3.3.2.</w:t>
      </w:r>
    </w:p>
    <w:p w14:paraId="50C17607" w14:textId="77777777" w:rsidR="00B90A1D" w:rsidRPr="00B36A10" w:rsidRDefault="00B90A1D" w:rsidP="00B90A1D">
      <w:pPr>
        <w:pStyle w:val="HChG"/>
        <w:rPr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</w:r>
      <w:r w:rsidRPr="00B36A10">
        <w:rPr>
          <w:bCs/>
          <w:lang w:val="fr-FR"/>
        </w:rPr>
        <w:t>Analyse</w:t>
      </w:r>
    </w:p>
    <w:p w14:paraId="28D9D970" w14:textId="53369346" w:rsidR="00B90A1D" w:rsidRPr="00DE2B38" w:rsidRDefault="00B90A1D" w:rsidP="00B90A1D">
      <w:pPr>
        <w:pStyle w:val="SingleTxtG"/>
        <w:rPr>
          <w:spacing w:val="-2"/>
          <w:lang w:val="fr-FR"/>
        </w:rPr>
      </w:pPr>
      <w:r w:rsidRPr="00DE2B38">
        <w:rPr>
          <w:spacing w:val="-2"/>
          <w:lang w:val="fr-FR"/>
        </w:rPr>
        <w:t>7.</w:t>
      </w:r>
      <w:r w:rsidRPr="00DE2B38">
        <w:rPr>
          <w:spacing w:val="-2"/>
          <w:lang w:val="fr-FR"/>
        </w:rPr>
        <w:tab/>
        <w:t>Avant l</w:t>
      </w:r>
      <w:r w:rsidR="00DE2B38" w:rsidRPr="00DE2B38">
        <w:rPr>
          <w:spacing w:val="-2"/>
          <w:lang w:val="fr-FR"/>
        </w:rPr>
        <w:t>’</w:t>
      </w:r>
      <w:r w:rsidRPr="00DE2B38">
        <w:rPr>
          <w:spacing w:val="-2"/>
          <w:lang w:val="fr-FR"/>
        </w:rPr>
        <w:t>ajout du 5.5.3, les instructions d</w:t>
      </w:r>
      <w:r w:rsidR="00DE2B38" w:rsidRPr="00DE2B38">
        <w:rPr>
          <w:spacing w:val="-2"/>
          <w:lang w:val="fr-FR"/>
        </w:rPr>
        <w:t>’</w:t>
      </w:r>
      <w:r w:rsidRPr="00DE2B38">
        <w:rPr>
          <w:spacing w:val="-2"/>
          <w:lang w:val="fr-FR"/>
        </w:rPr>
        <w:t>emballage P203, P620, P650, P800, P904 et P901 contenaient déjà des prescriptions relatives aux colis contenant des matières réfrigérantes.</w:t>
      </w:r>
    </w:p>
    <w:p w14:paraId="487770EF" w14:textId="7EF1E995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8.</w:t>
      </w:r>
      <w:r w:rsidRPr="00B36A10">
        <w:rPr>
          <w:lang w:val="fr-FR"/>
        </w:rPr>
        <w:tab/>
        <w:t>Le 5.5.3.3.2 a été conçu afin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ajouter des </w:t>
      </w:r>
      <w:r w:rsidRPr="0006552E">
        <w:rPr>
          <w:u w:val="single"/>
          <w:lang w:val="fr-FR"/>
        </w:rPr>
        <w:t>prescriptions équivalentes</w:t>
      </w:r>
      <w:r w:rsidRPr="00B36A10">
        <w:rPr>
          <w:lang w:val="fr-FR"/>
        </w:rPr>
        <w:t xml:space="preserve"> relatives aux autres </w:t>
      </w:r>
      <w:r>
        <w:rPr>
          <w:lang w:val="fr-FR"/>
        </w:rPr>
        <w:t xml:space="preserve">types de </w:t>
      </w:r>
      <w:r w:rsidRPr="00B36A10">
        <w:rPr>
          <w:lang w:val="fr-FR"/>
        </w:rPr>
        <w:t>colis. Cela signifie que 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mentionnées au 5.5.3.3.1 contiennent déjà des prescriptions équivalentes à celles mentionnées au 5.5.3.3.2, notamment </w:t>
      </w:r>
      <w:r>
        <w:rPr>
          <w:lang w:val="fr-FR"/>
        </w:rPr>
        <w:t>concernant</w:t>
      </w:r>
      <w:r w:rsidRPr="00B36A10">
        <w:rPr>
          <w:lang w:val="fr-FR"/>
        </w:rPr>
        <w:t xml:space="preserve"> les critères suivants :</w:t>
      </w:r>
    </w:p>
    <w:p w14:paraId="29345319" w14:textId="77777777" w:rsidR="00B90A1D" w:rsidRPr="00B36A10" w:rsidRDefault="00B90A1D" w:rsidP="00B90A1D">
      <w:pPr>
        <w:pStyle w:val="Bullet1G"/>
        <w:numPr>
          <w:ilvl w:val="0"/>
          <w:numId w:val="0"/>
        </w:numPr>
        <w:tabs>
          <w:tab w:val="left" w:pos="2268"/>
        </w:tabs>
        <w:ind w:left="2268" w:hanging="567"/>
        <w:rPr>
          <w:lang w:val="fr-FR"/>
        </w:rPr>
      </w:pPr>
      <w:r w:rsidRPr="00B36A10">
        <w:rPr>
          <w:lang w:val="fr-FR"/>
        </w:rPr>
        <w:t>a)</w:t>
      </w:r>
      <w:r w:rsidRPr="00B36A10">
        <w:rPr>
          <w:lang w:val="fr-FR"/>
        </w:rPr>
        <w:tab/>
        <w:t>Les colis doivent pouvoir résister aux très basses températures ;</w:t>
      </w:r>
    </w:p>
    <w:p w14:paraId="5764AA7E" w14:textId="4E98E370" w:rsidR="00B90A1D" w:rsidRPr="00B36A10" w:rsidRDefault="00B90A1D" w:rsidP="00B90A1D">
      <w:pPr>
        <w:pStyle w:val="Bullet1G"/>
        <w:numPr>
          <w:ilvl w:val="0"/>
          <w:numId w:val="0"/>
        </w:numPr>
        <w:tabs>
          <w:tab w:val="left" w:pos="2268"/>
        </w:tabs>
        <w:ind w:left="2268" w:hanging="567"/>
        <w:rPr>
          <w:lang w:val="fr-FR"/>
        </w:rPr>
      </w:pPr>
      <w:r w:rsidRPr="00B36A10">
        <w:rPr>
          <w:lang w:val="fr-FR"/>
        </w:rPr>
        <w:t>b)</w:t>
      </w:r>
      <w:r w:rsidRPr="00B36A10">
        <w:rPr>
          <w:lang w:val="fr-FR"/>
        </w:rPr>
        <w:tab/>
        <w:t>Les colis ne doivent être ni altérés ni affaiblis de manière significative par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 ;</w:t>
      </w:r>
    </w:p>
    <w:p w14:paraId="4BED7765" w14:textId="101C7174" w:rsidR="00B90A1D" w:rsidRPr="00B36A10" w:rsidRDefault="00B90A1D" w:rsidP="00B90A1D">
      <w:pPr>
        <w:pStyle w:val="Bullet1G"/>
        <w:numPr>
          <w:ilvl w:val="0"/>
          <w:numId w:val="0"/>
        </w:numPr>
        <w:tabs>
          <w:tab w:val="left" w:pos="2268"/>
        </w:tabs>
        <w:ind w:left="2268" w:hanging="567"/>
        <w:rPr>
          <w:lang w:val="fr-FR"/>
        </w:rPr>
      </w:pPr>
      <w:r w:rsidRPr="00B36A10">
        <w:rPr>
          <w:lang w:val="fr-FR"/>
        </w:rPr>
        <w:t>c)</w:t>
      </w:r>
      <w:r w:rsidRPr="00B36A10">
        <w:rPr>
          <w:lang w:val="fr-FR"/>
        </w:rPr>
        <w:tab/>
        <w:t>Les colis doivent être conçus et fabriqués de manière à permettre au gaz de s</w:t>
      </w:r>
      <w:r w:rsidR="00DE2B38">
        <w:rPr>
          <w:lang w:val="fr-FR"/>
        </w:rPr>
        <w:t>’</w:t>
      </w:r>
      <w:r w:rsidRPr="00B36A10">
        <w:rPr>
          <w:lang w:val="fr-FR"/>
        </w:rPr>
        <w:t>échapper afin d</w:t>
      </w:r>
      <w:r w:rsidR="00DE2B38">
        <w:rPr>
          <w:lang w:val="fr-FR"/>
        </w:rPr>
        <w:t>’</w:t>
      </w:r>
      <w:r w:rsidRPr="00B36A10">
        <w:rPr>
          <w:lang w:val="fr-FR"/>
        </w:rPr>
        <w:t>empêcher une élévation de la pression qui pourrait entraîner une rupture de l</w:t>
      </w:r>
      <w:r w:rsidR="00DE2B38">
        <w:rPr>
          <w:lang w:val="fr-FR"/>
        </w:rPr>
        <w:t>’</w:t>
      </w:r>
      <w:r w:rsidRPr="00B36A10">
        <w:rPr>
          <w:lang w:val="fr-FR"/>
        </w:rPr>
        <w:t>emballage. Ou bien, ils doivent être résistants à une élévation de la pression ;</w:t>
      </w:r>
    </w:p>
    <w:p w14:paraId="700A2C70" w14:textId="6161F406" w:rsidR="00B90A1D" w:rsidRPr="00B36A10" w:rsidRDefault="00B90A1D" w:rsidP="00B90A1D">
      <w:pPr>
        <w:pStyle w:val="Bullet1G"/>
        <w:numPr>
          <w:ilvl w:val="0"/>
          <w:numId w:val="0"/>
        </w:numPr>
        <w:tabs>
          <w:tab w:val="left" w:pos="2268"/>
        </w:tabs>
        <w:ind w:left="2268" w:hanging="567"/>
        <w:rPr>
          <w:lang w:val="fr-FR"/>
        </w:rPr>
      </w:pPr>
      <w:r w:rsidRPr="00B36A10">
        <w:rPr>
          <w:lang w:val="fr-FR"/>
        </w:rPr>
        <w:t>d)</w:t>
      </w:r>
      <w:r w:rsidRPr="00B36A10">
        <w:rPr>
          <w:lang w:val="fr-FR"/>
        </w:rPr>
        <w:tab/>
        <w:t>Les marchandises dangereuses doivent être emballées de manière à empêcher tout déplacement après la dissipation de l</w:t>
      </w:r>
      <w:r w:rsidR="00DE2B38">
        <w:rPr>
          <w:lang w:val="fr-FR"/>
        </w:rPr>
        <w:t>’</w:t>
      </w:r>
      <w:r w:rsidRPr="00B36A10">
        <w:rPr>
          <w:lang w:val="fr-FR"/>
        </w:rPr>
        <w:t>agent de réfrigération ou de conditionnement.</w:t>
      </w:r>
    </w:p>
    <w:p w14:paraId="5157C138" w14:textId="52F06F34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9.</w:t>
      </w:r>
      <w:r w:rsidRPr="00B36A10">
        <w:rPr>
          <w:lang w:val="fr-FR"/>
        </w:rPr>
        <w:tab/>
        <w:t>Pour les colis qui ne sont pas préparés conformément aux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</w:t>
      </w:r>
      <w:r>
        <w:rPr>
          <w:lang w:val="fr-FR"/>
        </w:rPr>
        <w:t>mentionnées</w:t>
      </w:r>
      <w:r w:rsidRPr="00B36A10">
        <w:rPr>
          <w:lang w:val="fr-FR"/>
        </w:rPr>
        <w:t xml:space="preserve"> dans le 5.5.3.3.1, il fau</w:t>
      </w:r>
      <w:r>
        <w:rPr>
          <w:lang w:val="fr-FR"/>
        </w:rPr>
        <w:t xml:space="preserve">t </w:t>
      </w:r>
      <w:r w:rsidRPr="00B36A10">
        <w:rPr>
          <w:lang w:val="fr-FR"/>
        </w:rPr>
        <w:t>vérifier ces critères</w:t>
      </w:r>
      <w:r w:rsidR="00845D13">
        <w:rPr>
          <w:lang w:val="fr-FR"/>
        </w:rPr>
        <w:t xml:space="preserve"> </w:t>
      </w:r>
      <w:r w:rsidRPr="00B36A10">
        <w:rPr>
          <w:lang w:val="fr-FR"/>
        </w:rPr>
        <w:t xml:space="preserve">un par un ; pour les colis préparés conformément </w:t>
      </w:r>
      <w:r>
        <w:rPr>
          <w:lang w:val="fr-FR"/>
        </w:rPr>
        <w:t>à ces</w:t>
      </w:r>
      <w:r w:rsidRPr="00B36A10">
        <w:rPr>
          <w:lang w:val="fr-FR"/>
        </w:rPr>
        <w:t xml:space="preserve">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emballage, cela n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est pas nécessaire car </w:t>
      </w:r>
      <w:r>
        <w:rPr>
          <w:lang w:val="fr-FR"/>
        </w:rPr>
        <w:t xml:space="preserve">elles </w:t>
      </w:r>
      <w:r w:rsidRPr="00B36A10">
        <w:rPr>
          <w:lang w:val="fr-FR"/>
        </w:rPr>
        <w:t>sont censées satisfaire aux critères du 5.5.3.3.2, et il n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est pas </w:t>
      </w:r>
      <w:r>
        <w:rPr>
          <w:lang w:val="fr-FR"/>
        </w:rPr>
        <w:t>utile</w:t>
      </w:r>
      <w:r w:rsidRPr="00B36A10">
        <w:rPr>
          <w:lang w:val="fr-FR"/>
        </w:rPr>
        <w:t xml:space="preserve"> de le vérifier à chaque fois.</w:t>
      </w:r>
    </w:p>
    <w:p w14:paraId="2E9C56FD" w14:textId="51D381D6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10.</w:t>
      </w:r>
      <w:r w:rsidRPr="00B36A10">
        <w:rPr>
          <w:lang w:val="fr-FR"/>
        </w:rPr>
        <w:tab/>
        <w:t>Cependant, lorsqu</w:t>
      </w:r>
      <w:r w:rsidR="00DE2B38">
        <w:rPr>
          <w:lang w:val="fr-FR"/>
        </w:rPr>
        <w:t>’</w:t>
      </w:r>
      <w:r w:rsidRPr="00B36A10">
        <w:rPr>
          <w:lang w:val="fr-FR"/>
        </w:rPr>
        <w:t>on examine 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</w:t>
      </w:r>
      <w:r>
        <w:rPr>
          <w:lang w:val="fr-FR"/>
        </w:rPr>
        <w:t>mentionnées</w:t>
      </w:r>
      <w:r w:rsidRPr="00B36A10">
        <w:rPr>
          <w:lang w:val="fr-FR"/>
        </w:rPr>
        <w:t xml:space="preserve"> dans le 5.5.3.3.1 en les comparant aux critères </w:t>
      </w:r>
      <w:r>
        <w:rPr>
          <w:lang w:val="fr-FR"/>
        </w:rPr>
        <w:t xml:space="preserve">énoncés au </w:t>
      </w:r>
      <w:r w:rsidRPr="00B36A10">
        <w:rPr>
          <w:lang w:val="fr-FR"/>
        </w:rPr>
        <w:t>5.5.3.3.2, on observe ce qui suit 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15"/>
        <w:gridCol w:w="1386"/>
        <w:gridCol w:w="1708"/>
        <w:gridCol w:w="1595"/>
        <w:gridCol w:w="1562"/>
      </w:tblGrid>
      <w:tr w:rsidR="00B90A1D" w:rsidRPr="00577D7A" w14:paraId="2A0F1730" w14:textId="77777777" w:rsidTr="00B90A1D">
        <w:tc>
          <w:tcPr>
            <w:tcW w:w="1115" w:type="dxa"/>
          </w:tcPr>
          <w:p w14:paraId="3EC1F2FD" w14:textId="49E02B16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Instruction d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>emballage</w:t>
            </w:r>
          </w:p>
        </w:tc>
        <w:tc>
          <w:tcPr>
            <w:tcW w:w="1386" w:type="dxa"/>
          </w:tcPr>
          <w:p w14:paraId="3193ADE6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Basses températures (A)</w:t>
            </w:r>
          </w:p>
        </w:tc>
        <w:tc>
          <w:tcPr>
            <w:tcW w:w="1708" w:type="dxa"/>
          </w:tcPr>
          <w:p w14:paraId="0983302B" w14:textId="43148FFB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 xml:space="preserve">Le colis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n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 xml:space="preserve">est pas altéré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par l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 xml:space="preserve">agent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de réfrigération (B)</w:t>
            </w:r>
          </w:p>
        </w:tc>
        <w:tc>
          <w:tcPr>
            <w:tcW w:w="1595" w:type="dxa"/>
          </w:tcPr>
          <w:p w14:paraId="08DB8C69" w14:textId="04F7CC05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 xml:space="preserve">Permet au gaz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de s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>échapper/ résiste à la pression (C)</w:t>
            </w:r>
          </w:p>
        </w:tc>
        <w:tc>
          <w:tcPr>
            <w:tcW w:w="1562" w:type="dxa"/>
          </w:tcPr>
          <w:p w14:paraId="69A640C1" w14:textId="21091E8E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Empêche tout déplacement après la dissipation</w:t>
            </w:r>
            <w:r>
              <w:rPr>
                <w:lang w:val="fr-FR"/>
              </w:rPr>
              <w:t xml:space="preserve"> </w:t>
            </w:r>
            <w:r w:rsidRPr="00B36A10">
              <w:rPr>
                <w:lang w:val="fr-FR"/>
              </w:rPr>
              <w:t>(D)</w:t>
            </w:r>
          </w:p>
        </w:tc>
      </w:tr>
      <w:tr w:rsidR="00B90A1D" w:rsidRPr="00B36A10" w14:paraId="1889809A" w14:textId="77777777" w:rsidTr="00B90A1D">
        <w:tc>
          <w:tcPr>
            <w:tcW w:w="1115" w:type="dxa"/>
          </w:tcPr>
          <w:p w14:paraId="1FF95592" w14:textId="6CE6F362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P203</w:t>
            </w:r>
          </w:p>
        </w:tc>
        <w:tc>
          <w:tcPr>
            <w:tcW w:w="1386" w:type="dxa"/>
          </w:tcPr>
          <w:p w14:paraId="3B54804E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708" w:type="dxa"/>
          </w:tcPr>
          <w:p w14:paraId="33CB0801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95" w:type="dxa"/>
          </w:tcPr>
          <w:p w14:paraId="0EFED5C6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615BC460" w14:textId="7313DA1B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Sans objet</w:t>
            </w:r>
          </w:p>
        </w:tc>
      </w:tr>
      <w:tr w:rsidR="00B90A1D" w:rsidRPr="00B36A10" w14:paraId="10622B11" w14:textId="77777777" w:rsidTr="00B90A1D">
        <w:tc>
          <w:tcPr>
            <w:tcW w:w="1115" w:type="dxa"/>
          </w:tcPr>
          <w:p w14:paraId="6E1752BC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P620</w:t>
            </w:r>
          </w:p>
        </w:tc>
        <w:tc>
          <w:tcPr>
            <w:tcW w:w="1386" w:type="dxa"/>
          </w:tcPr>
          <w:p w14:paraId="0FCDD862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708" w:type="dxa"/>
          </w:tcPr>
          <w:p w14:paraId="66F2D23C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95" w:type="dxa"/>
          </w:tcPr>
          <w:p w14:paraId="0C782F34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79B7847A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  <w:tr w:rsidR="00B90A1D" w:rsidRPr="00B36A10" w14:paraId="5B1F7328" w14:textId="77777777" w:rsidTr="00B90A1D">
        <w:tc>
          <w:tcPr>
            <w:tcW w:w="1115" w:type="dxa"/>
          </w:tcPr>
          <w:p w14:paraId="211AF0A3" w14:textId="37CE99F9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P650</w:t>
            </w:r>
          </w:p>
        </w:tc>
        <w:tc>
          <w:tcPr>
            <w:tcW w:w="1386" w:type="dxa"/>
          </w:tcPr>
          <w:p w14:paraId="218E5F4E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708" w:type="dxa"/>
          </w:tcPr>
          <w:p w14:paraId="6DEAEEC0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95" w:type="dxa"/>
          </w:tcPr>
          <w:p w14:paraId="68D63D86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7E032E98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  <w:tr w:rsidR="00B90A1D" w:rsidRPr="00B36A10" w14:paraId="139BB873" w14:textId="77777777" w:rsidTr="00B90A1D">
        <w:tc>
          <w:tcPr>
            <w:tcW w:w="1115" w:type="dxa"/>
          </w:tcPr>
          <w:p w14:paraId="60919BC6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P800</w:t>
            </w:r>
          </w:p>
        </w:tc>
        <w:tc>
          <w:tcPr>
            <w:tcW w:w="1386" w:type="dxa"/>
          </w:tcPr>
          <w:p w14:paraId="4D11D764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708" w:type="dxa"/>
          </w:tcPr>
          <w:p w14:paraId="4080F6B6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95" w:type="dxa"/>
          </w:tcPr>
          <w:p w14:paraId="2E8586B9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538E428B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</w:tr>
      <w:tr w:rsidR="00B90A1D" w:rsidRPr="00B36A10" w14:paraId="69E7B9DA" w14:textId="77777777" w:rsidTr="00B90A1D">
        <w:tc>
          <w:tcPr>
            <w:tcW w:w="1115" w:type="dxa"/>
          </w:tcPr>
          <w:p w14:paraId="57FFC11C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P901</w:t>
            </w:r>
          </w:p>
        </w:tc>
        <w:tc>
          <w:tcPr>
            <w:tcW w:w="1386" w:type="dxa"/>
          </w:tcPr>
          <w:p w14:paraId="09A024E5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708" w:type="dxa"/>
          </w:tcPr>
          <w:p w14:paraId="5FB410DF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95" w:type="dxa"/>
          </w:tcPr>
          <w:p w14:paraId="19F8373F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62" w:type="dxa"/>
          </w:tcPr>
          <w:p w14:paraId="626C2581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</w:tr>
      <w:tr w:rsidR="00B90A1D" w:rsidRPr="00B36A10" w14:paraId="5DE3C0E5" w14:textId="77777777" w:rsidTr="00B90A1D">
        <w:tc>
          <w:tcPr>
            <w:tcW w:w="1115" w:type="dxa"/>
          </w:tcPr>
          <w:p w14:paraId="79D1C0ED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P904</w:t>
            </w:r>
          </w:p>
        </w:tc>
        <w:tc>
          <w:tcPr>
            <w:tcW w:w="1386" w:type="dxa"/>
          </w:tcPr>
          <w:p w14:paraId="7EE3310A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708" w:type="dxa"/>
          </w:tcPr>
          <w:p w14:paraId="6CDD5107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95" w:type="dxa"/>
          </w:tcPr>
          <w:p w14:paraId="017A7840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562" w:type="dxa"/>
          </w:tcPr>
          <w:p w14:paraId="5263E8B8" w14:textId="77777777" w:rsidR="00B90A1D" w:rsidRPr="00B36A10" w:rsidRDefault="00B90A1D" w:rsidP="00DE2B38">
            <w:pPr>
              <w:spacing w:before="40" w:after="12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</w:tbl>
    <w:p w14:paraId="056C05A2" w14:textId="774F8369" w:rsidR="00B90A1D" w:rsidRPr="00B36A10" w:rsidRDefault="00B90A1D" w:rsidP="00B90A1D">
      <w:pPr>
        <w:pStyle w:val="SingleTxtG"/>
        <w:spacing w:before="120"/>
        <w:rPr>
          <w:lang w:val="fr-FR"/>
        </w:rPr>
      </w:pPr>
      <w:r w:rsidRPr="00B36A10">
        <w:rPr>
          <w:lang w:val="fr-FR"/>
        </w:rPr>
        <w:t>11.</w:t>
      </w:r>
      <w:r w:rsidRPr="00B36A10">
        <w:rPr>
          <w:lang w:val="fr-FR"/>
        </w:rPr>
        <w:tab/>
        <w:t>Le critère (B) ne semble pas aussi pertinent que les autres ; il est utile mais il est redondant car il constitue une application du principe général selon lequel une marchandise dangereuse ne doit réagir en aucune façon avec son emballage ou d</w:t>
      </w:r>
      <w:r w:rsidR="00DE2B38">
        <w:rPr>
          <w:lang w:val="fr-FR"/>
        </w:rPr>
        <w:t>’</w:t>
      </w:r>
      <w:r w:rsidRPr="00B36A10">
        <w:rPr>
          <w:lang w:val="fr-FR"/>
        </w:rPr>
        <w:t>autres marchandises dangereuses (voir le 4.1.1.6).</w:t>
      </w:r>
    </w:p>
    <w:p w14:paraId="1C20D5AB" w14:textId="1C7ED474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12.</w:t>
      </w:r>
      <w:r w:rsidRPr="00B36A10">
        <w:rPr>
          <w:lang w:val="fr-FR"/>
        </w:rPr>
        <w:tab/>
        <w:t>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P901 et P904 ne semblent pas satisfaire aux critères énoncés au 5.5.3.3.2 et, par conséquent, il semblerait prudent de les retirer de la liste du 5.5.3.3.1. De même, l</w:t>
      </w:r>
      <w:r w:rsidR="00DE2B38">
        <w:rPr>
          <w:lang w:val="fr-FR"/>
        </w:rPr>
        <w:t>’</w:t>
      </w:r>
      <w:r w:rsidRPr="00B36A10">
        <w:rPr>
          <w:lang w:val="fr-FR"/>
        </w:rPr>
        <w:t>instruction P800 ne satisfait pas à tous ces critères, mais elle prend au moins en considération la plupart</w:t>
      </w:r>
      <w:r>
        <w:rPr>
          <w:lang w:val="fr-FR"/>
        </w:rPr>
        <w:t xml:space="preserve"> </w:t>
      </w:r>
      <w:r w:rsidRPr="00B36A10">
        <w:rPr>
          <w:lang w:val="fr-FR"/>
        </w:rPr>
        <w:t xml:space="preserve">de ceux-ci ; </w:t>
      </w:r>
      <w:r>
        <w:rPr>
          <w:lang w:val="fr-FR"/>
        </w:rPr>
        <w:t>la pertinence de s</w:t>
      </w:r>
      <w:r w:rsidRPr="00B36A10">
        <w:rPr>
          <w:lang w:val="fr-FR"/>
        </w:rPr>
        <w:t xml:space="preserve">a présence dans la liste du 5.5.3.3.1 devrait également être </w:t>
      </w:r>
      <w:r>
        <w:rPr>
          <w:lang w:val="fr-FR"/>
        </w:rPr>
        <w:t>étudiée</w:t>
      </w:r>
      <w:r w:rsidRPr="00B36A10">
        <w:rPr>
          <w:lang w:val="fr-FR"/>
        </w:rPr>
        <w:t>.</w:t>
      </w:r>
    </w:p>
    <w:p w14:paraId="32B1D557" w14:textId="0EAD757A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13.</w:t>
      </w:r>
      <w:r w:rsidRPr="00B36A10">
        <w:rPr>
          <w:lang w:val="fr-FR"/>
        </w:rPr>
        <w:tab/>
        <w:t>Si l</w:t>
      </w:r>
      <w:r w:rsidR="00DE2B38">
        <w:rPr>
          <w:lang w:val="fr-FR"/>
        </w:rPr>
        <w:t>’</w:t>
      </w:r>
      <w:r w:rsidRPr="00B36A10">
        <w:rPr>
          <w:lang w:val="fr-FR"/>
        </w:rPr>
        <w:t>on retirait ces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du 5.5.3.3.1, le respect des critères mentionnés au 5.5.3.3.2 devrait </w:t>
      </w:r>
      <w:r>
        <w:rPr>
          <w:lang w:val="fr-FR"/>
        </w:rPr>
        <w:t xml:space="preserve">alors </w:t>
      </w:r>
      <w:r w:rsidRPr="00B36A10">
        <w:rPr>
          <w:lang w:val="fr-FR"/>
        </w:rPr>
        <w:t>être vérifié lors de la préparation des colis.</w:t>
      </w:r>
    </w:p>
    <w:p w14:paraId="6B524ABC" w14:textId="2F03B738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14.</w:t>
      </w:r>
      <w:r w:rsidRPr="00B36A10">
        <w:rPr>
          <w:lang w:val="fr-FR"/>
        </w:rPr>
        <w:tab/>
        <w:t>En revanche, il existe aujourd</w:t>
      </w:r>
      <w:r w:rsidR="00DE2B38">
        <w:rPr>
          <w:lang w:val="fr-FR"/>
        </w:rPr>
        <w:t>’</w:t>
      </w:r>
      <w:r w:rsidRPr="00B36A10">
        <w:rPr>
          <w:lang w:val="fr-FR"/>
        </w:rPr>
        <w:t>hui d</w:t>
      </w:r>
      <w:r w:rsidR="00DE2B38">
        <w:rPr>
          <w:lang w:val="fr-FR"/>
        </w:rPr>
        <w:t>’</w:t>
      </w:r>
      <w:r w:rsidRPr="00B36A10">
        <w:rPr>
          <w:lang w:val="fr-FR"/>
        </w:rPr>
        <w:t>autres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qui prennent également en considération la réfrigération, à savoir les instructions P520, P911 et LP906. </w:t>
      </w:r>
      <w:r>
        <w:rPr>
          <w:lang w:val="fr-FR"/>
        </w:rPr>
        <w:t>I</w:t>
      </w:r>
      <w:r w:rsidRPr="00B36A10">
        <w:rPr>
          <w:lang w:val="fr-FR"/>
        </w:rPr>
        <w:t>l pourrait être intéressant de vérifier si elles peuvent être inclues dans le 5.5.3.3.1. Ces trois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contiennent les mêmes dispositions relatives </w:t>
      </w:r>
      <w:r>
        <w:rPr>
          <w:lang w:val="fr-FR"/>
        </w:rPr>
        <w:t xml:space="preserve">aux </w:t>
      </w:r>
      <w:r w:rsidRPr="00B36A10">
        <w:rPr>
          <w:lang w:val="fr-FR"/>
        </w:rPr>
        <w:t>critères</w:t>
      </w:r>
      <w:r>
        <w:rPr>
          <w:lang w:val="fr-FR"/>
        </w:rPr>
        <w:t xml:space="preserve"> susmentionnés</w:t>
      </w:r>
      <w:r w:rsidRPr="00B36A10">
        <w:rPr>
          <w:lang w:val="fr-FR"/>
        </w:rPr>
        <w:t>, et leur analyse fournit le résultat suivant 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15"/>
        <w:gridCol w:w="1386"/>
        <w:gridCol w:w="1694"/>
        <w:gridCol w:w="1609"/>
        <w:gridCol w:w="1562"/>
      </w:tblGrid>
      <w:tr w:rsidR="00B90A1D" w:rsidRPr="00577D7A" w14:paraId="55C31317" w14:textId="77777777" w:rsidTr="00DE2B38">
        <w:tc>
          <w:tcPr>
            <w:tcW w:w="1115" w:type="dxa"/>
          </w:tcPr>
          <w:p w14:paraId="4F0A1039" w14:textId="4719B35F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Instruction d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>emballage</w:t>
            </w:r>
          </w:p>
        </w:tc>
        <w:tc>
          <w:tcPr>
            <w:tcW w:w="1386" w:type="dxa"/>
          </w:tcPr>
          <w:p w14:paraId="501D3359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Basses températures (A)</w:t>
            </w:r>
          </w:p>
        </w:tc>
        <w:tc>
          <w:tcPr>
            <w:tcW w:w="1694" w:type="dxa"/>
          </w:tcPr>
          <w:p w14:paraId="0B47B29B" w14:textId="63D3F5D7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 xml:space="preserve">Le colis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n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 xml:space="preserve">est pas altéré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par l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>agent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de réfrigération (B)</w:t>
            </w:r>
          </w:p>
        </w:tc>
        <w:tc>
          <w:tcPr>
            <w:tcW w:w="1609" w:type="dxa"/>
          </w:tcPr>
          <w:p w14:paraId="589B8C8B" w14:textId="5636FEFF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 xml:space="preserve">Permet au gaz </w:t>
            </w:r>
            <w:r>
              <w:rPr>
                <w:lang w:val="fr-FR"/>
              </w:rPr>
              <w:br/>
            </w:r>
            <w:r w:rsidRPr="00B36A10">
              <w:rPr>
                <w:lang w:val="fr-FR"/>
              </w:rPr>
              <w:t>de s</w:t>
            </w:r>
            <w:r w:rsidR="00DE2B38">
              <w:rPr>
                <w:lang w:val="fr-FR"/>
              </w:rPr>
              <w:t>’</w:t>
            </w:r>
            <w:r w:rsidRPr="00B36A10">
              <w:rPr>
                <w:lang w:val="fr-FR"/>
              </w:rPr>
              <w:t>échapper/ résiste à la pression (C)</w:t>
            </w:r>
          </w:p>
        </w:tc>
        <w:tc>
          <w:tcPr>
            <w:tcW w:w="1562" w:type="dxa"/>
          </w:tcPr>
          <w:p w14:paraId="626B9F17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Empêche tout déplacement après la dissipation (D)</w:t>
            </w:r>
          </w:p>
        </w:tc>
      </w:tr>
      <w:tr w:rsidR="00B90A1D" w:rsidRPr="00B36A10" w14:paraId="456C0C08" w14:textId="77777777" w:rsidTr="00DE2B38">
        <w:tc>
          <w:tcPr>
            <w:tcW w:w="1115" w:type="dxa"/>
          </w:tcPr>
          <w:p w14:paraId="37C03C1D" w14:textId="4ECD0981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P520</w:t>
            </w:r>
          </w:p>
        </w:tc>
        <w:tc>
          <w:tcPr>
            <w:tcW w:w="1386" w:type="dxa"/>
          </w:tcPr>
          <w:p w14:paraId="64CEE772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694" w:type="dxa"/>
          </w:tcPr>
          <w:p w14:paraId="7091E21E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609" w:type="dxa"/>
          </w:tcPr>
          <w:p w14:paraId="279C93B5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3CDB5581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  <w:tr w:rsidR="00B90A1D" w:rsidRPr="00B36A10" w14:paraId="49AE0941" w14:textId="77777777" w:rsidTr="00DE2B38">
        <w:tc>
          <w:tcPr>
            <w:tcW w:w="1115" w:type="dxa"/>
          </w:tcPr>
          <w:p w14:paraId="5D166466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P911</w:t>
            </w:r>
          </w:p>
        </w:tc>
        <w:tc>
          <w:tcPr>
            <w:tcW w:w="1386" w:type="dxa"/>
          </w:tcPr>
          <w:p w14:paraId="3F16808F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694" w:type="dxa"/>
          </w:tcPr>
          <w:p w14:paraId="5D4ED02E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609" w:type="dxa"/>
          </w:tcPr>
          <w:p w14:paraId="33955392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02B3E03C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  <w:tr w:rsidR="00B90A1D" w:rsidRPr="00B36A10" w14:paraId="0E726DB6" w14:textId="77777777" w:rsidTr="00DE2B38">
        <w:tc>
          <w:tcPr>
            <w:tcW w:w="1115" w:type="dxa"/>
          </w:tcPr>
          <w:p w14:paraId="34A5E9F1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center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LP906</w:t>
            </w:r>
          </w:p>
        </w:tc>
        <w:tc>
          <w:tcPr>
            <w:tcW w:w="1386" w:type="dxa"/>
          </w:tcPr>
          <w:p w14:paraId="5C0C9F89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694" w:type="dxa"/>
          </w:tcPr>
          <w:p w14:paraId="6B513491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Pas mentionné</w:t>
            </w:r>
          </w:p>
        </w:tc>
        <w:tc>
          <w:tcPr>
            <w:tcW w:w="1609" w:type="dxa"/>
          </w:tcPr>
          <w:p w14:paraId="255A8ACD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  <w:tc>
          <w:tcPr>
            <w:tcW w:w="1562" w:type="dxa"/>
          </w:tcPr>
          <w:p w14:paraId="1D8B9226" w14:textId="77777777" w:rsidR="00B90A1D" w:rsidRPr="00B36A10" w:rsidRDefault="00B90A1D" w:rsidP="00DE2B38">
            <w:pPr>
              <w:spacing w:before="60" w:after="60" w:line="200" w:lineRule="exact"/>
              <w:ind w:left="57" w:right="57"/>
              <w:jc w:val="both"/>
              <w:rPr>
                <w:rFonts w:eastAsia="SimSun"/>
                <w:lang w:val="fr-FR"/>
              </w:rPr>
            </w:pPr>
            <w:r w:rsidRPr="00B36A10">
              <w:rPr>
                <w:lang w:val="fr-FR"/>
              </w:rPr>
              <w:t>Inclus</w:t>
            </w:r>
          </w:p>
        </w:tc>
      </w:tr>
    </w:tbl>
    <w:p w14:paraId="56E7918B" w14:textId="482C1377" w:rsidR="00B90A1D" w:rsidRPr="00B36A10" w:rsidRDefault="00B90A1D" w:rsidP="00DE2B38">
      <w:pPr>
        <w:pStyle w:val="SingleTxtG"/>
        <w:spacing w:before="120"/>
        <w:rPr>
          <w:lang w:val="fr-FR"/>
        </w:rPr>
      </w:pPr>
      <w:r w:rsidRPr="00B36A10">
        <w:rPr>
          <w:lang w:val="fr-FR"/>
        </w:rPr>
        <w:t>15.</w:t>
      </w:r>
      <w:r w:rsidRPr="00B36A10">
        <w:rPr>
          <w:lang w:val="fr-FR"/>
        </w:rPr>
        <w:tab/>
        <w:t>Si l</w:t>
      </w:r>
      <w:r w:rsidR="00DE2B38">
        <w:rPr>
          <w:lang w:val="fr-FR"/>
        </w:rPr>
        <w:t>’</w:t>
      </w:r>
      <w:r w:rsidRPr="00B36A10">
        <w:rPr>
          <w:lang w:val="fr-FR"/>
        </w:rPr>
        <w:t>on incluait ces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>emballage dans le 5.5.3.3.1, les critères du 5.5.3.3.2 ne devraient plus être vérifiés lors de la préparation des colis.</w:t>
      </w:r>
    </w:p>
    <w:p w14:paraId="0CC764B4" w14:textId="77777777" w:rsidR="00B90A1D" w:rsidRPr="00B36A10" w:rsidRDefault="00B90A1D" w:rsidP="00B90A1D">
      <w:pPr>
        <w:pStyle w:val="HChG"/>
        <w:rPr>
          <w:lang w:val="fr-FR"/>
        </w:rPr>
      </w:pPr>
      <w:r w:rsidRPr="00B36A10">
        <w:rPr>
          <w:lang w:val="fr-FR"/>
        </w:rPr>
        <w:tab/>
      </w:r>
      <w:r w:rsidRPr="00B36A10">
        <w:rPr>
          <w:lang w:val="fr-FR"/>
        </w:rPr>
        <w:tab/>
      </w:r>
      <w:r w:rsidRPr="00B36A10">
        <w:rPr>
          <w:bCs/>
          <w:lang w:val="fr-FR"/>
        </w:rPr>
        <w:t>Proposition</w:t>
      </w:r>
    </w:p>
    <w:p w14:paraId="586F13BF" w14:textId="41222D0D" w:rsidR="00B90A1D" w:rsidRPr="00B36A10" w:rsidRDefault="00B90A1D" w:rsidP="00B90A1D">
      <w:pPr>
        <w:pStyle w:val="SingleTxtG"/>
        <w:rPr>
          <w:lang w:val="fr-FR"/>
        </w:rPr>
      </w:pPr>
      <w:r w:rsidRPr="00B36A10">
        <w:rPr>
          <w:lang w:val="fr-FR"/>
        </w:rPr>
        <w:t>16.</w:t>
      </w:r>
      <w:r w:rsidRPr="00B36A10">
        <w:rPr>
          <w:lang w:val="fr-FR"/>
        </w:rPr>
        <w:tab/>
        <w:t>Compte tenu de l</w:t>
      </w:r>
      <w:r w:rsidR="00DE2B38">
        <w:rPr>
          <w:lang w:val="fr-FR"/>
        </w:rPr>
        <w:t>’</w:t>
      </w:r>
      <w:r w:rsidRPr="00B36A10">
        <w:rPr>
          <w:lang w:val="fr-FR"/>
        </w:rPr>
        <w:t>analyse qui précède, l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Espagne juge nécessaire de modifier le 5.5.3.3.1 comme suit (les modifications figurent en caractères </w:t>
      </w:r>
      <w:r w:rsidRPr="00FA5E7C">
        <w:rPr>
          <w:u w:val="single"/>
          <w:lang w:val="fr-FR"/>
        </w:rPr>
        <w:t>soulignés</w:t>
      </w:r>
      <w:r w:rsidRPr="00B36A10">
        <w:rPr>
          <w:lang w:val="fr-FR"/>
        </w:rPr>
        <w:t xml:space="preserve"> pour les ajouts et </w:t>
      </w:r>
      <w:r w:rsidRPr="00FA5E7C">
        <w:rPr>
          <w:strike/>
          <w:lang w:val="fr-FR"/>
        </w:rPr>
        <w:t>biffés</w:t>
      </w:r>
      <w:r w:rsidRPr="00B36A10">
        <w:rPr>
          <w:lang w:val="fr-FR"/>
        </w:rPr>
        <w:t xml:space="preserve"> pour les suppressions) :</w:t>
      </w:r>
    </w:p>
    <w:p w14:paraId="5DB114C3" w14:textId="10F8F818" w:rsidR="00B90A1D" w:rsidRDefault="00B90A1D" w:rsidP="00DE2B38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B36A10">
        <w:rPr>
          <w:lang w:val="fr-FR"/>
        </w:rPr>
        <w:t>5.5.3.3.1</w:t>
      </w:r>
      <w:r w:rsidRPr="00B36A10">
        <w:rPr>
          <w:lang w:val="fr-FR"/>
        </w:rPr>
        <w:tab/>
        <w:t>Les marchandises dangereuses emballées nécessitant d</w:t>
      </w:r>
      <w:r w:rsidR="00DE2B38">
        <w:rPr>
          <w:lang w:val="fr-FR"/>
        </w:rPr>
        <w:t>’</w:t>
      </w:r>
      <w:r w:rsidRPr="00B36A10">
        <w:rPr>
          <w:lang w:val="fr-FR"/>
        </w:rPr>
        <w:t>être réfrigérées ou conditionnées auxquelles sont affectées les instructions d</w:t>
      </w:r>
      <w:r w:rsidR="00DE2B38">
        <w:rPr>
          <w:lang w:val="fr-FR"/>
        </w:rPr>
        <w:t>’</w:t>
      </w:r>
      <w:r w:rsidRPr="00B36A10">
        <w:rPr>
          <w:lang w:val="fr-FR"/>
        </w:rPr>
        <w:t xml:space="preserve">emballage P203, </w:t>
      </w:r>
      <w:r w:rsidRPr="00B36A10">
        <w:rPr>
          <w:u w:val="single"/>
          <w:lang w:val="fr-FR"/>
        </w:rPr>
        <w:t>P520</w:t>
      </w:r>
      <w:r w:rsidRPr="00B36A10">
        <w:rPr>
          <w:lang w:val="fr-FR"/>
        </w:rPr>
        <w:t xml:space="preserve">, P620, P650, </w:t>
      </w:r>
      <w:r w:rsidRPr="00B36A10">
        <w:rPr>
          <w:u w:val="single"/>
          <w:lang w:val="fr-FR"/>
        </w:rPr>
        <w:t xml:space="preserve">P911 et LP906 </w:t>
      </w:r>
      <w:r w:rsidRPr="00B36A10">
        <w:rPr>
          <w:strike/>
          <w:lang w:val="fr-FR"/>
        </w:rPr>
        <w:t>P800, P901 ou P904</w:t>
      </w:r>
      <w:r w:rsidRPr="00B36A10">
        <w:rPr>
          <w:lang w:val="fr-FR"/>
        </w:rPr>
        <w:t>du 4.1.4.1 doivent satisfaire aux prescriptions appropriées des dites instructions.</w:t>
      </w:r>
      <w:r>
        <w:rPr>
          <w:lang w:val="fr-FR"/>
        </w:rPr>
        <w:t> ».</w:t>
      </w:r>
    </w:p>
    <w:p w14:paraId="3A7A4AD0" w14:textId="21A88194" w:rsidR="00B90A1D" w:rsidRPr="00B90A1D" w:rsidRDefault="00B90A1D" w:rsidP="00B90A1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90A1D" w:rsidRPr="00B90A1D" w:rsidSect="00B90A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19D6" w14:textId="77777777" w:rsidR="00CC23F9" w:rsidRDefault="00CC23F9" w:rsidP="00F95C08">
      <w:pPr>
        <w:spacing w:line="240" w:lineRule="auto"/>
      </w:pPr>
    </w:p>
  </w:endnote>
  <w:endnote w:type="continuationSeparator" w:id="0">
    <w:p w14:paraId="7F1AECB9" w14:textId="77777777" w:rsidR="00CC23F9" w:rsidRPr="00AC3823" w:rsidRDefault="00CC23F9" w:rsidP="00AC3823">
      <w:pPr>
        <w:pStyle w:val="Footer"/>
      </w:pPr>
    </w:p>
  </w:endnote>
  <w:endnote w:type="continuationNotice" w:id="1">
    <w:p w14:paraId="4697597A" w14:textId="77777777" w:rsidR="00CC23F9" w:rsidRDefault="00CC23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64BE" w14:textId="33FD6493" w:rsidR="00B90A1D" w:rsidRPr="00B90A1D" w:rsidRDefault="00B90A1D" w:rsidP="00B90A1D">
    <w:pPr>
      <w:pStyle w:val="Footer"/>
      <w:tabs>
        <w:tab w:val="right" w:pos="9638"/>
      </w:tabs>
    </w:pPr>
    <w:r w:rsidRPr="00B90A1D">
      <w:rPr>
        <w:b/>
        <w:sz w:val="18"/>
      </w:rPr>
      <w:fldChar w:fldCharType="begin"/>
    </w:r>
    <w:r w:rsidRPr="00B90A1D">
      <w:rPr>
        <w:b/>
        <w:sz w:val="18"/>
      </w:rPr>
      <w:instrText xml:space="preserve"> PAGE  \* MERGEFORMAT </w:instrText>
    </w:r>
    <w:r w:rsidRPr="00B90A1D">
      <w:rPr>
        <w:b/>
        <w:sz w:val="18"/>
      </w:rPr>
      <w:fldChar w:fldCharType="separate"/>
    </w:r>
    <w:r w:rsidRPr="00B90A1D">
      <w:rPr>
        <w:b/>
        <w:noProof/>
        <w:sz w:val="18"/>
      </w:rPr>
      <w:t>2</w:t>
    </w:r>
    <w:r w:rsidRPr="00B90A1D">
      <w:rPr>
        <w:b/>
        <w:sz w:val="18"/>
      </w:rPr>
      <w:fldChar w:fldCharType="end"/>
    </w:r>
    <w:r>
      <w:rPr>
        <w:b/>
        <w:sz w:val="18"/>
      </w:rPr>
      <w:tab/>
    </w:r>
    <w:r>
      <w:t>GE.22-04827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6FD" w14:textId="4F5A6063" w:rsidR="00B90A1D" w:rsidRPr="00B90A1D" w:rsidRDefault="00B90A1D" w:rsidP="00B90A1D">
    <w:pPr>
      <w:pStyle w:val="Footer"/>
      <w:tabs>
        <w:tab w:val="right" w:pos="9638"/>
      </w:tabs>
      <w:rPr>
        <w:b/>
        <w:sz w:val="18"/>
      </w:rPr>
    </w:pPr>
    <w:r>
      <w:t>GE.22-04827</w:t>
    </w:r>
    <w:r>
      <w:tab/>
    </w:r>
    <w:r w:rsidRPr="00B90A1D">
      <w:rPr>
        <w:b/>
        <w:sz w:val="18"/>
      </w:rPr>
      <w:fldChar w:fldCharType="begin"/>
    </w:r>
    <w:r w:rsidRPr="00B90A1D">
      <w:rPr>
        <w:b/>
        <w:sz w:val="18"/>
      </w:rPr>
      <w:instrText xml:space="preserve"> PAGE  \* MERGEFORMAT </w:instrText>
    </w:r>
    <w:r w:rsidRPr="00B90A1D">
      <w:rPr>
        <w:b/>
        <w:sz w:val="18"/>
      </w:rPr>
      <w:fldChar w:fldCharType="separate"/>
    </w:r>
    <w:r w:rsidRPr="00B90A1D">
      <w:rPr>
        <w:b/>
        <w:noProof/>
        <w:sz w:val="18"/>
      </w:rPr>
      <w:t>3</w:t>
    </w:r>
    <w:r w:rsidRPr="00B90A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401C" w14:textId="04D97998" w:rsidR="0068456F" w:rsidRPr="00B90A1D" w:rsidRDefault="00B90A1D" w:rsidP="00B90A1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68A8FB" wp14:editId="1E44695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04827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3B2B2D" wp14:editId="18CBC9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</w:t>
    </w:r>
    <w:r w:rsidR="00DE2B38">
      <w:rPr>
        <w:sz w:val="20"/>
      </w:rPr>
      <w:t>060522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1956" w14:textId="77777777" w:rsidR="00CC23F9" w:rsidRPr="00AC3823" w:rsidRDefault="00CC23F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51435E" w14:textId="77777777" w:rsidR="00CC23F9" w:rsidRPr="00AC3823" w:rsidRDefault="00CC23F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CABAD8" w14:textId="77777777" w:rsidR="00CC23F9" w:rsidRPr="00AC3823" w:rsidRDefault="00CC23F9">
      <w:pPr>
        <w:spacing w:line="240" w:lineRule="auto"/>
        <w:rPr>
          <w:sz w:val="2"/>
          <w:szCs w:val="2"/>
        </w:rPr>
      </w:pPr>
    </w:p>
  </w:footnote>
  <w:footnote w:id="2">
    <w:p w14:paraId="5D9DE3F5" w14:textId="1F0DC876" w:rsidR="00DE2B38" w:rsidRPr="00DE2B38" w:rsidRDefault="00DE2B38">
      <w:pPr>
        <w:pStyle w:val="FootnoteText"/>
      </w:pPr>
      <w:r>
        <w:rPr>
          <w:rStyle w:val="FootnoteReference"/>
        </w:rPr>
        <w:tab/>
      </w:r>
      <w:r w:rsidRPr="00DE2B3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989" w14:textId="4DE7DEA3" w:rsidR="00B90A1D" w:rsidRPr="00B90A1D" w:rsidRDefault="00F61A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4EE7" w14:textId="7E41CACB" w:rsidR="00B90A1D" w:rsidRPr="00B90A1D" w:rsidRDefault="00F61AA3" w:rsidP="00B90A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F9"/>
    <w:rsid w:val="00017F94"/>
    <w:rsid w:val="00023842"/>
    <w:rsid w:val="000305D3"/>
    <w:rsid w:val="000334F9"/>
    <w:rsid w:val="0007796D"/>
    <w:rsid w:val="000B7790"/>
    <w:rsid w:val="000F0810"/>
    <w:rsid w:val="00111F2F"/>
    <w:rsid w:val="00132EA9"/>
    <w:rsid w:val="0014365E"/>
    <w:rsid w:val="00172E49"/>
    <w:rsid w:val="00176178"/>
    <w:rsid w:val="001F525A"/>
    <w:rsid w:val="0020293D"/>
    <w:rsid w:val="00223272"/>
    <w:rsid w:val="0024779E"/>
    <w:rsid w:val="00283190"/>
    <w:rsid w:val="002832AC"/>
    <w:rsid w:val="002D7C93"/>
    <w:rsid w:val="00430F82"/>
    <w:rsid w:val="00441C3B"/>
    <w:rsid w:val="00446FE5"/>
    <w:rsid w:val="00452396"/>
    <w:rsid w:val="0049404D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45D13"/>
    <w:rsid w:val="00871C75"/>
    <w:rsid w:val="0087636B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90A1D"/>
    <w:rsid w:val="00BA0CA9"/>
    <w:rsid w:val="00C02897"/>
    <w:rsid w:val="00CC23F9"/>
    <w:rsid w:val="00D3439C"/>
    <w:rsid w:val="00DB1831"/>
    <w:rsid w:val="00DD3BFD"/>
    <w:rsid w:val="00DE2B38"/>
    <w:rsid w:val="00DF6678"/>
    <w:rsid w:val="00EA21F9"/>
    <w:rsid w:val="00EF2E22"/>
    <w:rsid w:val="00F01738"/>
    <w:rsid w:val="00F61AA3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6AB42"/>
  <w15:docId w15:val="{CA5EF047-2269-4243-8670-097DAF0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90A1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B90A1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B90A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ST/SG/AC.10/C.3/2022/12</vt:lpstr>
      <vt:lpstr>    Révision des instructions d’emballage figurant aux 5.5.3.3.1 et 5.5.3.3.2</vt:lpstr>
      <vt:lpstr>        Communication de l’expert de l’Espagne*</vt:lpstr>
      <vt:lpstr>    Introduction</vt:lpstr>
      <vt:lpstr>    Contexte</vt:lpstr>
      <vt:lpstr>    Analyse</vt:lpstr>
      <vt:lpstr>    Proposition</vt:lpstr>
    </vt:vector>
  </TitlesOfParts>
  <Company>DCM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ST/SG/AC.10/C.3/2022/12</dc:title>
  <dc:subject/>
  <dc:creator>Corinne ROBERT</dc:creator>
  <cp:keywords/>
  <cp:lastModifiedBy>Laurence Berthet</cp:lastModifiedBy>
  <cp:revision>3</cp:revision>
  <cp:lastPrinted>2022-05-07T11:32:00Z</cp:lastPrinted>
  <dcterms:created xsi:type="dcterms:W3CDTF">2022-05-07T11:32:00Z</dcterms:created>
  <dcterms:modified xsi:type="dcterms:W3CDTF">2022-05-07T11:33:00Z</dcterms:modified>
</cp:coreProperties>
</file>