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C218" w14:textId="77777777" w:rsidR="00403658" w:rsidRPr="005F1FB8" w:rsidRDefault="00403658" w:rsidP="00403658">
      <w:pPr>
        <w:pStyle w:val="HChG"/>
        <w:tabs>
          <w:tab w:val="clear" w:pos="851"/>
        </w:tabs>
        <w:ind w:firstLine="0"/>
        <w:rPr>
          <w:lang w:val="en-US"/>
        </w:rPr>
      </w:pPr>
      <w:r w:rsidRPr="00FD4196">
        <w:tab/>
      </w:r>
      <w:r w:rsidRPr="00B6567D">
        <w:rPr>
          <w:lang w:val="en-US"/>
        </w:rPr>
        <w:t xml:space="preserve">Proposal </w:t>
      </w:r>
      <w:r>
        <w:rPr>
          <w:lang w:val="en-US"/>
        </w:rPr>
        <w:t>to amend the 06 and 07</w:t>
      </w:r>
      <w:r w:rsidRPr="00403658">
        <w:rPr>
          <w:color w:val="000000" w:themeColor="text1"/>
          <w:lang w:val="en-US"/>
        </w:rPr>
        <w:t xml:space="preserve"> series </w:t>
      </w:r>
      <w:r w:rsidRPr="005F1FB8">
        <w:rPr>
          <w:color w:val="000000" w:themeColor="text1"/>
          <w:lang w:val="en-US"/>
        </w:rPr>
        <w:t>of amendments to UN Regulation No. 83</w:t>
      </w:r>
      <w:r>
        <w:rPr>
          <w:color w:val="000000" w:themeColor="text1"/>
          <w:lang w:val="en-US"/>
        </w:rPr>
        <w:t xml:space="preserve"> </w:t>
      </w:r>
      <w:r w:rsidRPr="005F1FB8">
        <w:rPr>
          <w:lang w:val="en-US"/>
        </w:rPr>
        <w:t>(Emissions of M</w:t>
      </w:r>
      <w:r w:rsidRPr="00B67A34">
        <w:rPr>
          <w:vertAlign w:val="subscript"/>
          <w:lang w:val="en-US"/>
        </w:rPr>
        <w:t>1</w:t>
      </w:r>
      <w:r w:rsidRPr="005F1FB8">
        <w:rPr>
          <w:lang w:val="en-US"/>
        </w:rPr>
        <w:t xml:space="preserve"> and N</w:t>
      </w:r>
      <w:r w:rsidRPr="00B67A34">
        <w:rPr>
          <w:vertAlign w:val="subscript"/>
          <w:lang w:val="en-US"/>
        </w:rPr>
        <w:t>1</w:t>
      </w:r>
      <w:r w:rsidRPr="005F1FB8">
        <w:rPr>
          <w:lang w:val="en-US"/>
        </w:rPr>
        <w:t xml:space="preserve"> vehicles)</w:t>
      </w:r>
    </w:p>
    <w:p w14:paraId="7C498016" w14:textId="4D10ABA6" w:rsidR="0025789E" w:rsidRDefault="00403658" w:rsidP="00403658">
      <w:pPr>
        <w:keepNext/>
        <w:keepLines/>
        <w:tabs>
          <w:tab w:val="right" w:pos="851"/>
        </w:tabs>
        <w:spacing w:before="360" w:line="300" w:lineRule="exact"/>
        <w:ind w:left="1134" w:right="1134"/>
        <w:rPr>
          <w:lang w:val="en-GB"/>
        </w:rPr>
      </w:pPr>
      <w:r w:rsidRPr="00403658">
        <w:rPr>
          <w:lang w:val="en-US"/>
        </w:rPr>
        <w:t>This document aims at clarifying the requirements for sampling of vehicles for In-Service Conformity testing</w:t>
      </w:r>
      <w:r w:rsidR="00FE3634" w:rsidRPr="00C26EFD">
        <w:rPr>
          <w:lang w:val="en-GB"/>
        </w:rPr>
        <w:t xml:space="preserve">. </w:t>
      </w:r>
    </w:p>
    <w:p w14:paraId="14187536" w14:textId="77777777" w:rsidR="0025789E" w:rsidRDefault="00FE3634" w:rsidP="00403658">
      <w:pPr>
        <w:keepNext/>
        <w:keepLines/>
        <w:tabs>
          <w:tab w:val="right" w:pos="851"/>
        </w:tabs>
        <w:spacing w:after="240" w:line="300" w:lineRule="exact"/>
        <w:ind w:left="1134" w:right="1134"/>
        <w:rPr>
          <w:lang w:val="en-GB"/>
        </w:rPr>
      </w:pPr>
      <w:r w:rsidRPr="00C26EFD">
        <w:rPr>
          <w:lang w:val="en-GB"/>
        </w:rPr>
        <w:t>The modifications to the current text of the Regulation are marked in bold for new or strikethrough for deleted characters.</w:t>
      </w:r>
    </w:p>
    <w:p w14:paraId="44DCD2E6" w14:textId="0D4D916E" w:rsidR="00E03A64" w:rsidRDefault="00E03A64" w:rsidP="00FE3634">
      <w:pPr>
        <w:keepNext/>
        <w:keepLines/>
        <w:tabs>
          <w:tab w:val="right" w:pos="851"/>
        </w:tabs>
        <w:spacing w:before="360" w:after="240" w:line="300" w:lineRule="exact"/>
        <w:ind w:left="1134" w:right="1134"/>
        <w:rPr>
          <w:b/>
          <w:sz w:val="28"/>
          <w:lang w:val="en-GB"/>
        </w:rPr>
      </w:pPr>
    </w:p>
    <w:p w14:paraId="73D0DFF5" w14:textId="77777777" w:rsidR="00403658" w:rsidRPr="00C26EFD" w:rsidRDefault="00403658" w:rsidP="00FE3634">
      <w:pPr>
        <w:keepNext/>
        <w:keepLines/>
        <w:tabs>
          <w:tab w:val="right" w:pos="851"/>
        </w:tabs>
        <w:spacing w:before="360" w:after="240" w:line="300" w:lineRule="exact"/>
        <w:ind w:left="1134" w:right="1134"/>
        <w:rPr>
          <w:b/>
          <w:sz w:val="28"/>
          <w:lang w:val="en-GB"/>
        </w:rPr>
      </w:pPr>
    </w:p>
    <w:p w14:paraId="583C5B91" w14:textId="0F06BAC6" w:rsidR="00E03A64" w:rsidRDefault="00AE16CE" w:rsidP="00E05332">
      <w:pPr>
        <w:keepNext/>
        <w:keepLines/>
        <w:spacing w:before="360" w:after="240" w:line="300" w:lineRule="exact"/>
        <w:ind w:left="567" w:right="1134" w:hanging="567"/>
        <w:rPr>
          <w:b/>
          <w:sz w:val="28"/>
          <w:lang w:val="en-GB"/>
        </w:rPr>
      </w:pPr>
      <w:r w:rsidRPr="00C26EFD">
        <w:rPr>
          <w:b/>
          <w:sz w:val="28"/>
          <w:lang w:val="en-GB"/>
        </w:rPr>
        <w:t>I</w:t>
      </w:r>
      <w:r w:rsidR="00E03A64" w:rsidRPr="00C26EFD">
        <w:rPr>
          <w:b/>
          <w:sz w:val="28"/>
          <w:lang w:val="en-GB"/>
        </w:rPr>
        <w:t>.</w:t>
      </w:r>
      <w:r w:rsidR="00E03A64" w:rsidRPr="00C26EFD">
        <w:rPr>
          <w:b/>
          <w:sz w:val="28"/>
          <w:lang w:val="en-GB"/>
        </w:rPr>
        <w:tab/>
        <w:t>Proposal</w:t>
      </w:r>
    </w:p>
    <w:p w14:paraId="796B2274" w14:textId="77777777" w:rsidR="00403658" w:rsidRPr="00403658" w:rsidRDefault="00403658" w:rsidP="00403658">
      <w:pPr>
        <w:spacing w:after="120"/>
        <w:ind w:left="1134" w:right="1134"/>
        <w:rPr>
          <w:rFonts w:eastAsia="MS Mincho"/>
          <w:i/>
          <w:lang w:val="en-US"/>
        </w:rPr>
      </w:pPr>
      <w:r w:rsidRPr="00403658">
        <w:rPr>
          <w:rFonts w:eastAsia="MS Mincho"/>
          <w:i/>
          <w:lang w:val="en-US"/>
        </w:rPr>
        <w:t>In the 06 series of amendments</w:t>
      </w:r>
    </w:p>
    <w:p w14:paraId="1E15BED1" w14:textId="77777777" w:rsidR="00403658" w:rsidRPr="00403658" w:rsidRDefault="00403658" w:rsidP="00403658">
      <w:pPr>
        <w:spacing w:after="120"/>
        <w:ind w:left="1134" w:right="1134"/>
        <w:rPr>
          <w:rFonts w:eastAsia="MS Mincho"/>
          <w:i/>
          <w:lang w:val="en-US"/>
        </w:rPr>
      </w:pPr>
      <w:r w:rsidRPr="00403658">
        <w:rPr>
          <w:rFonts w:eastAsia="MS Mincho"/>
          <w:i/>
          <w:lang w:val="en-US"/>
        </w:rPr>
        <w:t xml:space="preserve">Paragraph 9.3.5.1., </w:t>
      </w:r>
      <w:r w:rsidRPr="00403658">
        <w:rPr>
          <w:rFonts w:eastAsia="MS Mincho"/>
          <w:iCs/>
          <w:lang w:val="en-US"/>
        </w:rPr>
        <w:t>amend to read:</w:t>
      </w:r>
    </w:p>
    <w:p w14:paraId="4346295F" w14:textId="77777777" w:rsidR="00403658" w:rsidRPr="00403658" w:rsidRDefault="00403658" w:rsidP="00403658">
      <w:pPr>
        <w:adjustRightInd w:val="0"/>
        <w:spacing w:after="120"/>
        <w:ind w:left="2268" w:right="1134" w:hanging="1134"/>
        <w:jc w:val="both"/>
        <w:rPr>
          <w:rFonts w:eastAsia="MS Mincho"/>
          <w:lang w:val="en-US"/>
        </w:rPr>
      </w:pPr>
      <w:r w:rsidRPr="00403658">
        <w:rPr>
          <w:lang w:val="en-US"/>
        </w:rPr>
        <w:t>"</w:t>
      </w:r>
      <w:r w:rsidRPr="00403658">
        <w:rPr>
          <w:rFonts w:eastAsia="MS Mincho"/>
          <w:lang w:val="en-US"/>
        </w:rPr>
        <w:t xml:space="preserve">9.3.5.1. </w:t>
      </w:r>
      <w:r w:rsidRPr="00403658">
        <w:rPr>
          <w:rFonts w:eastAsia="MS Mincho"/>
          <w:lang w:val="en-US"/>
        </w:rPr>
        <w:tab/>
        <w:t>When applying the statistical procedure defined in Appendix 4 (</w:t>
      </w:r>
      <w:proofErr w:type="gramStart"/>
      <w:r w:rsidRPr="00403658">
        <w:rPr>
          <w:rFonts w:eastAsia="MS Mincho"/>
          <w:lang w:val="en-US"/>
        </w:rPr>
        <w:t>i.e.</w:t>
      </w:r>
      <w:proofErr w:type="gramEnd"/>
      <w:r w:rsidRPr="00403658">
        <w:rPr>
          <w:rFonts w:eastAsia="MS Mincho"/>
          <w:lang w:val="en-US"/>
        </w:rPr>
        <w:t xml:space="preserve"> for tailpipe emissions), the number of sample lots shall depend on the annual </w:t>
      </w:r>
      <w:r w:rsidRPr="00403658">
        <w:rPr>
          <w:rFonts w:eastAsia="MS Mincho"/>
          <w:strike/>
          <w:lang w:val="en-US"/>
        </w:rPr>
        <w:t>sales</w:t>
      </w:r>
      <w:r w:rsidRPr="00403658">
        <w:rPr>
          <w:rFonts w:eastAsia="MS Mincho"/>
          <w:lang w:val="en-US"/>
        </w:rPr>
        <w:t xml:space="preserve"> </w:t>
      </w:r>
      <w:r w:rsidRPr="00403658">
        <w:rPr>
          <w:rFonts w:eastAsia="MS Mincho"/>
          <w:b/>
          <w:bCs/>
          <w:lang w:val="en-US"/>
        </w:rPr>
        <w:t>production</w:t>
      </w:r>
      <w:r w:rsidRPr="00403658">
        <w:rPr>
          <w:rFonts w:eastAsia="MS Mincho"/>
          <w:lang w:val="en-US"/>
        </w:rPr>
        <w:t xml:space="preserve"> volume of an in-service family </w:t>
      </w:r>
      <w:r w:rsidRPr="00403658">
        <w:rPr>
          <w:rFonts w:eastAsia="MS Mincho"/>
          <w:b/>
          <w:bCs/>
          <w:lang w:val="en-US"/>
        </w:rPr>
        <w:t>intended for sales</w:t>
      </w:r>
      <w:r w:rsidRPr="00403658">
        <w:rPr>
          <w:rFonts w:eastAsia="MS Mincho"/>
          <w:lang w:val="en-US"/>
        </w:rPr>
        <w:t xml:space="preserve"> </w:t>
      </w:r>
      <w:r w:rsidRPr="00403658">
        <w:rPr>
          <w:rFonts w:eastAsia="MS Mincho"/>
          <w:b/>
          <w:bCs/>
          <w:lang w:val="en-US"/>
        </w:rPr>
        <w:t>in the contracting parties that apply this regulation</w:t>
      </w:r>
      <w:r w:rsidRPr="00403658">
        <w:rPr>
          <w:rFonts w:eastAsia="MS Mincho"/>
          <w:lang w:val="en-US"/>
        </w:rPr>
        <w:t xml:space="preserve"> </w:t>
      </w:r>
      <w:r w:rsidRPr="00403658">
        <w:rPr>
          <w:rFonts w:eastAsia="MS Mincho"/>
          <w:strike/>
          <w:lang w:val="en-US"/>
        </w:rPr>
        <w:t>territories of a regional organization (e.g. European Union)</w:t>
      </w:r>
      <w:r w:rsidRPr="00403658">
        <w:rPr>
          <w:rFonts w:eastAsia="MS Mincho"/>
          <w:lang w:val="en-US"/>
        </w:rPr>
        <w:t>, as defined in the following table.</w:t>
      </w:r>
    </w:p>
    <w:p w14:paraId="75AE0C5B" w14:textId="77777777" w:rsidR="00403658" w:rsidRPr="00403658" w:rsidRDefault="00403658" w:rsidP="00403658">
      <w:pPr>
        <w:adjustRightInd w:val="0"/>
        <w:spacing w:after="120"/>
        <w:ind w:left="2268" w:right="1134"/>
        <w:rPr>
          <w:lang w:val="en-US"/>
        </w:rPr>
      </w:pPr>
    </w:p>
    <w:tbl>
      <w:tblPr>
        <w:tblW w:w="0" w:type="auto"/>
        <w:tblInd w:w="2263" w:type="dxa"/>
        <w:tblLayout w:type="fixed"/>
        <w:tblCellMar>
          <w:left w:w="0" w:type="dxa"/>
          <w:right w:w="0" w:type="dxa"/>
        </w:tblCellMar>
        <w:tblLook w:val="0000" w:firstRow="0" w:lastRow="0" w:firstColumn="0" w:lastColumn="0" w:noHBand="0" w:noVBand="0"/>
      </w:tblPr>
      <w:tblGrid>
        <w:gridCol w:w="3682"/>
        <w:gridCol w:w="2232"/>
      </w:tblGrid>
      <w:tr w:rsidR="00403658" w:rsidRPr="00380266" w14:paraId="7B296349" w14:textId="77777777" w:rsidTr="00A45919">
        <w:trPr>
          <w:trHeight w:val="1055"/>
        </w:trPr>
        <w:tc>
          <w:tcPr>
            <w:tcW w:w="3682" w:type="dxa"/>
            <w:tcBorders>
              <w:top w:val="single" w:sz="4" w:space="0" w:color="000000"/>
              <w:left w:val="single" w:sz="4" w:space="0" w:color="000000"/>
              <w:bottom w:val="single" w:sz="12" w:space="0" w:color="000000"/>
              <w:right w:val="single" w:sz="4" w:space="0" w:color="000000"/>
            </w:tcBorders>
          </w:tcPr>
          <w:p w14:paraId="311D0003" w14:textId="77777777" w:rsidR="00403658" w:rsidRPr="00380266" w:rsidRDefault="00403658" w:rsidP="00A45919">
            <w:pPr>
              <w:suppressAutoHyphens w:val="0"/>
              <w:kinsoku w:val="0"/>
              <w:overflowPunct w:val="0"/>
              <w:autoSpaceDE w:val="0"/>
              <w:autoSpaceDN w:val="0"/>
              <w:adjustRightInd w:val="0"/>
              <w:spacing w:before="76" w:line="240" w:lineRule="auto"/>
              <w:ind w:left="62"/>
              <w:rPr>
                <w:i/>
                <w:iCs/>
                <w:strike/>
                <w:sz w:val="16"/>
                <w:szCs w:val="16"/>
              </w:rPr>
            </w:pPr>
            <w:r w:rsidRPr="00380266">
              <w:rPr>
                <w:b/>
                <w:bCs/>
                <w:i/>
                <w:iCs/>
                <w:sz w:val="16"/>
                <w:szCs w:val="16"/>
              </w:rPr>
              <w:t xml:space="preserve">Production </w:t>
            </w:r>
            <w:proofErr w:type="spellStart"/>
            <w:r w:rsidRPr="00380266">
              <w:rPr>
                <w:b/>
                <w:bCs/>
                <w:i/>
                <w:iCs/>
                <w:sz w:val="16"/>
                <w:szCs w:val="16"/>
              </w:rPr>
              <w:t>Volume</w:t>
            </w:r>
            <w:r w:rsidRPr="00380266">
              <w:rPr>
                <w:i/>
                <w:iCs/>
                <w:strike/>
                <w:sz w:val="16"/>
                <w:szCs w:val="16"/>
              </w:rPr>
              <w:t>Registrations</w:t>
            </w:r>
            <w:proofErr w:type="spellEnd"/>
          </w:p>
          <w:p w14:paraId="40963DCB" w14:textId="77777777" w:rsidR="00403658" w:rsidRPr="00403658" w:rsidRDefault="00403658" w:rsidP="00403658">
            <w:pPr>
              <w:numPr>
                <w:ilvl w:val="0"/>
                <w:numId w:val="40"/>
              </w:numPr>
              <w:tabs>
                <w:tab w:val="left" w:pos="154"/>
              </w:tabs>
              <w:suppressAutoHyphens w:val="0"/>
              <w:kinsoku w:val="0"/>
              <w:overflowPunct w:val="0"/>
              <w:autoSpaceDE w:val="0"/>
              <w:autoSpaceDN w:val="0"/>
              <w:adjustRightInd w:val="0"/>
              <w:spacing w:before="80" w:line="240" w:lineRule="auto"/>
              <w:ind w:left="153"/>
              <w:rPr>
                <w:i/>
                <w:iCs/>
                <w:sz w:val="16"/>
                <w:szCs w:val="16"/>
                <w:lang w:val="en-US"/>
              </w:rPr>
            </w:pPr>
            <w:r w:rsidRPr="00403658">
              <w:rPr>
                <w:i/>
                <w:iCs/>
                <w:sz w:val="16"/>
                <w:szCs w:val="16"/>
                <w:lang w:val="en-US"/>
              </w:rPr>
              <w:t>per</w:t>
            </w:r>
            <w:r w:rsidRPr="00403658">
              <w:rPr>
                <w:i/>
                <w:iCs/>
                <w:spacing w:val="-2"/>
                <w:sz w:val="16"/>
                <w:szCs w:val="16"/>
                <w:lang w:val="en-US"/>
              </w:rPr>
              <w:t xml:space="preserve"> </w:t>
            </w:r>
            <w:r w:rsidRPr="00403658">
              <w:rPr>
                <w:i/>
                <w:iCs/>
                <w:sz w:val="16"/>
                <w:szCs w:val="16"/>
                <w:lang w:val="en-US"/>
              </w:rPr>
              <w:t>calendar</w:t>
            </w:r>
            <w:r w:rsidRPr="00403658">
              <w:rPr>
                <w:i/>
                <w:iCs/>
                <w:spacing w:val="-2"/>
                <w:sz w:val="16"/>
                <w:szCs w:val="16"/>
                <w:lang w:val="en-US"/>
              </w:rPr>
              <w:t xml:space="preserve"> </w:t>
            </w:r>
            <w:r w:rsidRPr="00403658">
              <w:rPr>
                <w:i/>
                <w:iCs/>
                <w:sz w:val="16"/>
                <w:szCs w:val="16"/>
                <w:lang w:val="en-US"/>
              </w:rPr>
              <w:t>year</w:t>
            </w:r>
            <w:r w:rsidRPr="00403658">
              <w:rPr>
                <w:i/>
                <w:iCs/>
                <w:spacing w:val="-2"/>
                <w:sz w:val="16"/>
                <w:szCs w:val="16"/>
                <w:lang w:val="en-US"/>
              </w:rPr>
              <w:t xml:space="preserve"> </w:t>
            </w:r>
            <w:r w:rsidRPr="00403658">
              <w:rPr>
                <w:i/>
                <w:iCs/>
                <w:sz w:val="16"/>
                <w:szCs w:val="16"/>
                <w:lang w:val="en-US"/>
              </w:rPr>
              <w:t>(for</w:t>
            </w:r>
            <w:r w:rsidRPr="00403658">
              <w:rPr>
                <w:i/>
                <w:iCs/>
                <w:spacing w:val="-1"/>
                <w:sz w:val="16"/>
                <w:szCs w:val="16"/>
                <w:lang w:val="en-US"/>
              </w:rPr>
              <w:t xml:space="preserve"> </w:t>
            </w:r>
            <w:r w:rsidRPr="00403658">
              <w:rPr>
                <w:i/>
                <w:iCs/>
                <w:sz w:val="16"/>
                <w:szCs w:val="16"/>
                <w:lang w:val="en-US"/>
              </w:rPr>
              <w:t>tailpipe</w:t>
            </w:r>
            <w:r w:rsidRPr="00403658">
              <w:rPr>
                <w:i/>
                <w:iCs/>
                <w:spacing w:val="-1"/>
                <w:sz w:val="16"/>
                <w:szCs w:val="16"/>
                <w:lang w:val="en-US"/>
              </w:rPr>
              <w:t xml:space="preserve"> </w:t>
            </w:r>
            <w:r w:rsidRPr="00403658">
              <w:rPr>
                <w:i/>
                <w:iCs/>
                <w:sz w:val="16"/>
                <w:szCs w:val="16"/>
                <w:lang w:val="en-US"/>
              </w:rPr>
              <w:t>emission</w:t>
            </w:r>
            <w:r w:rsidRPr="00403658">
              <w:rPr>
                <w:i/>
                <w:iCs/>
                <w:spacing w:val="-1"/>
                <w:sz w:val="16"/>
                <w:szCs w:val="16"/>
                <w:lang w:val="en-US"/>
              </w:rPr>
              <w:t xml:space="preserve"> </w:t>
            </w:r>
            <w:r w:rsidRPr="00403658">
              <w:rPr>
                <w:i/>
                <w:iCs/>
                <w:sz w:val="16"/>
                <w:szCs w:val="16"/>
                <w:lang w:val="en-US"/>
              </w:rPr>
              <w:t>tests),</w:t>
            </w:r>
          </w:p>
          <w:p w14:paraId="5ECD7241" w14:textId="77777777" w:rsidR="00403658" w:rsidRPr="00403658" w:rsidRDefault="00403658" w:rsidP="00403658">
            <w:pPr>
              <w:numPr>
                <w:ilvl w:val="0"/>
                <w:numId w:val="40"/>
              </w:numPr>
              <w:tabs>
                <w:tab w:val="left" w:pos="154"/>
              </w:tabs>
              <w:suppressAutoHyphens w:val="0"/>
              <w:kinsoku w:val="0"/>
              <w:overflowPunct w:val="0"/>
              <w:autoSpaceDE w:val="0"/>
              <w:autoSpaceDN w:val="0"/>
              <w:adjustRightInd w:val="0"/>
              <w:spacing w:before="80" w:line="240" w:lineRule="auto"/>
              <w:ind w:right="547" w:firstLine="0"/>
              <w:rPr>
                <w:i/>
                <w:iCs/>
                <w:sz w:val="16"/>
                <w:szCs w:val="16"/>
                <w:lang w:val="en-US"/>
              </w:rPr>
            </w:pPr>
            <w:r w:rsidRPr="00403658">
              <w:rPr>
                <w:i/>
                <w:iCs/>
                <w:sz w:val="16"/>
                <w:szCs w:val="16"/>
                <w:lang w:val="en-US"/>
              </w:rPr>
              <w:t>of</w:t>
            </w:r>
            <w:r w:rsidRPr="00403658">
              <w:rPr>
                <w:i/>
                <w:iCs/>
                <w:spacing w:val="-6"/>
                <w:sz w:val="16"/>
                <w:szCs w:val="16"/>
                <w:lang w:val="en-US"/>
              </w:rPr>
              <w:t xml:space="preserve"> </w:t>
            </w:r>
            <w:r w:rsidRPr="00403658">
              <w:rPr>
                <w:i/>
                <w:iCs/>
                <w:sz w:val="16"/>
                <w:szCs w:val="16"/>
                <w:lang w:val="en-US"/>
              </w:rPr>
              <w:t>vehicles</w:t>
            </w:r>
            <w:r w:rsidRPr="00403658">
              <w:rPr>
                <w:i/>
                <w:iCs/>
                <w:spacing w:val="-3"/>
                <w:sz w:val="16"/>
                <w:szCs w:val="16"/>
                <w:lang w:val="en-US"/>
              </w:rPr>
              <w:t xml:space="preserve"> </w:t>
            </w:r>
            <w:r w:rsidRPr="00403658">
              <w:rPr>
                <w:i/>
                <w:iCs/>
                <w:sz w:val="16"/>
                <w:szCs w:val="16"/>
                <w:lang w:val="en-US"/>
              </w:rPr>
              <w:t>of</w:t>
            </w:r>
            <w:r w:rsidRPr="00403658">
              <w:rPr>
                <w:i/>
                <w:iCs/>
                <w:spacing w:val="-5"/>
                <w:sz w:val="16"/>
                <w:szCs w:val="16"/>
                <w:lang w:val="en-US"/>
              </w:rPr>
              <w:t xml:space="preserve"> </w:t>
            </w:r>
            <w:r w:rsidRPr="00403658">
              <w:rPr>
                <w:i/>
                <w:iCs/>
                <w:sz w:val="16"/>
                <w:szCs w:val="16"/>
                <w:lang w:val="en-US"/>
              </w:rPr>
              <w:t>an</w:t>
            </w:r>
            <w:r w:rsidRPr="00403658">
              <w:rPr>
                <w:i/>
                <w:iCs/>
                <w:spacing w:val="-2"/>
                <w:sz w:val="16"/>
                <w:szCs w:val="16"/>
                <w:lang w:val="en-US"/>
              </w:rPr>
              <w:t xml:space="preserve"> </w:t>
            </w:r>
            <w:r w:rsidRPr="00403658">
              <w:rPr>
                <w:i/>
                <w:iCs/>
                <w:sz w:val="16"/>
                <w:szCs w:val="16"/>
                <w:lang w:val="en-US"/>
              </w:rPr>
              <w:t>OBD</w:t>
            </w:r>
            <w:r w:rsidRPr="00403658">
              <w:rPr>
                <w:i/>
                <w:iCs/>
                <w:spacing w:val="-4"/>
                <w:sz w:val="16"/>
                <w:szCs w:val="16"/>
                <w:lang w:val="en-US"/>
              </w:rPr>
              <w:t xml:space="preserve"> </w:t>
            </w:r>
            <w:r w:rsidRPr="00403658">
              <w:rPr>
                <w:i/>
                <w:iCs/>
                <w:sz w:val="16"/>
                <w:szCs w:val="16"/>
                <w:lang w:val="en-US"/>
              </w:rPr>
              <w:t>family</w:t>
            </w:r>
            <w:r w:rsidRPr="00403658">
              <w:rPr>
                <w:i/>
                <w:iCs/>
                <w:spacing w:val="2"/>
                <w:sz w:val="16"/>
                <w:szCs w:val="16"/>
                <w:lang w:val="en-US"/>
              </w:rPr>
              <w:t xml:space="preserve"> </w:t>
            </w:r>
            <w:r w:rsidRPr="00403658">
              <w:rPr>
                <w:i/>
                <w:iCs/>
                <w:sz w:val="16"/>
                <w:szCs w:val="16"/>
                <w:lang w:val="en-US"/>
              </w:rPr>
              <w:t>with</w:t>
            </w:r>
            <w:r w:rsidRPr="00403658">
              <w:rPr>
                <w:i/>
                <w:iCs/>
                <w:spacing w:val="2"/>
                <w:sz w:val="16"/>
                <w:szCs w:val="16"/>
                <w:lang w:val="en-US"/>
              </w:rPr>
              <w:t xml:space="preserve"> </w:t>
            </w:r>
            <w:r w:rsidRPr="00403658">
              <w:rPr>
                <w:i/>
                <w:iCs/>
                <w:sz w:val="16"/>
                <w:szCs w:val="16"/>
                <w:lang w:val="en-US"/>
              </w:rPr>
              <w:t>IUPR in</w:t>
            </w:r>
            <w:r w:rsidRPr="00403658">
              <w:rPr>
                <w:i/>
                <w:iCs/>
                <w:spacing w:val="-3"/>
                <w:sz w:val="16"/>
                <w:szCs w:val="16"/>
                <w:lang w:val="en-US"/>
              </w:rPr>
              <w:t xml:space="preserve"> </w:t>
            </w:r>
            <w:r w:rsidRPr="00403658">
              <w:rPr>
                <w:i/>
                <w:iCs/>
                <w:sz w:val="16"/>
                <w:szCs w:val="16"/>
                <w:lang w:val="en-US"/>
              </w:rPr>
              <w:t>the</w:t>
            </w:r>
            <w:r w:rsidRPr="00403658">
              <w:rPr>
                <w:i/>
                <w:iCs/>
                <w:spacing w:val="-37"/>
                <w:sz w:val="16"/>
                <w:szCs w:val="16"/>
                <w:lang w:val="en-US"/>
              </w:rPr>
              <w:t xml:space="preserve"> </w:t>
            </w:r>
            <w:r w:rsidRPr="00403658">
              <w:rPr>
                <w:i/>
                <w:iCs/>
                <w:sz w:val="16"/>
                <w:szCs w:val="16"/>
                <w:lang w:val="en-US"/>
              </w:rPr>
              <w:t>sampling period</w:t>
            </w:r>
          </w:p>
        </w:tc>
        <w:tc>
          <w:tcPr>
            <w:tcW w:w="2232" w:type="dxa"/>
            <w:tcBorders>
              <w:top w:val="single" w:sz="4" w:space="0" w:color="000000"/>
              <w:left w:val="single" w:sz="4" w:space="0" w:color="000000"/>
              <w:bottom w:val="single" w:sz="12" w:space="0" w:color="000000"/>
              <w:right w:val="single" w:sz="4" w:space="0" w:color="auto"/>
            </w:tcBorders>
          </w:tcPr>
          <w:p w14:paraId="0AA51BD5" w14:textId="77777777" w:rsidR="00403658" w:rsidRPr="00380266" w:rsidRDefault="00403658" w:rsidP="00A45919">
            <w:pPr>
              <w:suppressAutoHyphens w:val="0"/>
              <w:kinsoku w:val="0"/>
              <w:overflowPunct w:val="0"/>
              <w:autoSpaceDE w:val="0"/>
              <w:autoSpaceDN w:val="0"/>
              <w:adjustRightInd w:val="0"/>
              <w:spacing w:before="76" w:line="240" w:lineRule="auto"/>
              <w:ind w:left="1" w:right="116"/>
              <w:jc w:val="center"/>
              <w:rPr>
                <w:i/>
                <w:iCs/>
                <w:sz w:val="16"/>
                <w:szCs w:val="16"/>
              </w:rPr>
            </w:pPr>
            <w:proofErr w:type="spellStart"/>
            <w:r w:rsidRPr="00380266">
              <w:rPr>
                <w:i/>
                <w:iCs/>
                <w:sz w:val="16"/>
                <w:szCs w:val="16"/>
              </w:rPr>
              <w:t>Number</w:t>
            </w:r>
            <w:proofErr w:type="spellEnd"/>
            <w:r w:rsidRPr="00380266">
              <w:rPr>
                <w:i/>
                <w:iCs/>
                <w:spacing w:val="-2"/>
                <w:sz w:val="16"/>
                <w:szCs w:val="16"/>
              </w:rPr>
              <w:t xml:space="preserve"> </w:t>
            </w:r>
            <w:r w:rsidRPr="00380266">
              <w:rPr>
                <w:i/>
                <w:iCs/>
                <w:sz w:val="16"/>
                <w:szCs w:val="16"/>
              </w:rPr>
              <w:t>of</w:t>
            </w:r>
            <w:r w:rsidRPr="00380266">
              <w:rPr>
                <w:i/>
                <w:iCs/>
                <w:spacing w:val="-3"/>
                <w:sz w:val="16"/>
                <w:szCs w:val="16"/>
              </w:rPr>
              <w:t xml:space="preserve"> </w:t>
            </w:r>
            <w:proofErr w:type="spellStart"/>
            <w:r w:rsidRPr="00380266">
              <w:rPr>
                <w:i/>
                <w:iCs/>
                <w:sz w:val="16"/>
                <w:szCs w:val="16"/>
              </w:rPr>
              <w:t>sample</w:t>
            </w:r>
            <w:proofErr w:type="spellEnd"/>
            <w:r w:rsidRPr="00380266">
              <w:rPr>
                <w:i/>
                <w:iCs/>
                <w:spacing w:val="-1"/>
                <w:sz w:val="16"/>
                <w:szCs w:val="16"/>
              </w:rPr>
              <w:t xml:space="preserve"> </w:t>
            </w:r>
            <w:r w:rsidRPr="00380266">
              <w:rPr>
                <w:i/>
                <w:iCs/>
                <w:sz w:val="16"/>
                <w:szCs w:val="16"/>
              </w:rPr>
              <w:t>lots</w:t>
            </w:r>
          </w:p>
        </w:tc>
      </w:tr>
      <w:tr w:rsidR="00403658" w:rsidRPr="00380266" w14:paraId="1A4B2C3C" w14:textId="77777777" w:rsidTr="00A45919">
        <w:trPr>
          <w:trHeight w:val="349"/>
        </w:trPr>
        <w:tc>
          <w:tcPr>
            <w:tcW w:w="3682" w:type="dxa"/>
            <w:tcBorders>
              <w:top w:val="single" w:sz="12" w:space="0" w:color="000000"/>
              <w:left w:val="single" w:sz="4" w:space="0" w:color="000000"/>
              <w:bottom w:val="single" w:sz="4" w:space="0" w:color="000000"/>
              <w:right w:val="single" w:sz="4" w:space="0" w:color="000000"/>
            </w:tcBorders>
          </w:tcPr>
          <w:p w14:paraId="7DD2EE76" w14:textId="77777777" w:rsidR="00403658" w:rsidRPr="00380266" w:rsidRDefault="00403658" w:rsidP="00A45919">
            <w:pPr>
              <w:suppressAutoHyphens w:val="0"/>
              <w:kinsoku w:val="0"/>
              <w:overflowPunct w:val="0"/>
              <w:autoSpaceDE w:val="0"/>
              <w:autoSpaceDN w:val="0"/>
              <w:adjustRightInd w:val="0"/>
              <w:spacing w:line="225" w:lineRule="exact"/>
              <w:ind w:left="62"/>
            </w:pPr>
            <w:r w:rsidRPr="00380266">
              <w:t>Up</w:t>
            </w:r>
            <w:r w:rsidRPr="00380266">
              <w:rPr>
                <w:spacing w:val="2"/>
              </w:rPr>
              <w:t xml:space="preserve"> </w:t>
            </w:r>
            <w:r w:rsidRPr="00380266">
              <w:t>to</w:t>
            </w:r>
            <w:r w:rsidRPr="00380266">
              <w:rPr>
                <w:spacing w:val="-2"/>
              </w:rPr>
              <w:t xml:space="preserve"> </w:t>
            </w:r>
            <w:r w:rsidRPr="00380266">
              <w:t>100,000</w:t>
            </w:r>
          </w:p>
        </w:tc>
        <w:tc>
          <w:tcPr>
            <w:tcW w:w="2232" w:type="dxa"/>
            <w:tcBorders>
              <w:top w:val="single" w:sz="12" w:space="0" w:color="000000"/>
              <w:left w:val="single" w:sz="4" w:space="0" w:color="000000"/>
              <w:bottom w:val="single" w:sz="4" w:space="0" w:color="000000"/>
              <w:right w:val="single" w:sz="4" w:space="0" w:color="auto"/>
            </w:tcBorders>
          </w:tcPr>
          <w:p w14:paraId="20132A51" w14:textId="77777777" w:rsidR="00403658" w:rsidRPr="00380266" w:rsidRDefault="00403658" w:rsidP="00A45919">
            <w:pPr>
              <w:suppressAutoHyphens w:val="0"/>
              <w:kinsoku w:val="0"/>
              <w:overflowPunct w:val="0"/>
              <w:autoSpaceDE w:val="0"/>
              <w:autoSpaceDN w:val="0"/>
              <w:adjustRightInd w:val="0"/>
              <w:spacing w:line="225" w:lineRule="exact"/>
              <w:ind w:left="517"/>
              <w:jc w:val="center"/>
            </w:pPr>
            <w:r w:rsidRPr="00380266">
              <w:t>1</w:t>
            </w:r>
          </w:p>
        </w:tc>
      </w:tr>
      <w:tr w:rsidR="00403658" w:rsidRPr="00380266" w14:paraId="3267046D" w14:textId="77777777" w:rsidTr="00A45919">
        <w:trPr>
          <w:trHeight w:val="350"/>
        </w:trPr>
        <w:tc>
          <w:tcPr>
            <w:tcW w:w="3682" w:type="dxa"/>
            <w:tcBorders>
              <w:top w:val="single" w:sz="4" w:space="0" w:color="000000"/>
              <w:left w:val="single" w:sz="4" w:space="0" w:color="000000"/>
              <w:bottom w:val="single" w:sz="4" w:space="0" w:color="000000"/>
              <w:right w:val="single" w:sz="4" w:space="0" w:color="000000"/>
            </w:tcBorders>
          </w:tcPr>
          <w:p w14:paraId="50ECC639" w14:textId="77777777" w:rsidR="00403658" w:rsidRPr="00380266" w:rsidRDefault="00403658" w:rsidP="00A45919">
            <w:pPr>
              <w:suppressAutoHyphens w:val="0"/>
              <w:kinsoku w:val="0"/>
              <w:overflowPunct w:val="0"/>
              <w:autoSpaceDE w:val="0"/>
              <w:autoSpaceDN w:val="0"/>
              <w:adjustRightInd w:val="0"/>
              <w:spacing w:line="225" w:lineRule="exact"/>
              <w:ind w:left="62"/>
            </w:pPr>
            <w:r w:rsidRPr="00380266">
              <w:t>100,001</w:t>
            </w:r>
            <w:r w:rsidRPr="00380266">
              <w:rPr>
                <w:spacing w:val="-3"/>
              </w:rPr>
              <w:t xml:space="preserve"> </w:t>
            </w:r>
            <w:r w:rsidRPr="00380266">
              <w:t>to</w:t>
            </w:r>
            <w:r w:rsidRPr="00380266">
              <w:rPr>
                <w:spacing w:val="-2"/>
              </w:rPr>
              <w:t xml:space="preserve"> </w:t>
            </w:r>
            <w:r w:rsidRPr="00380266">
              <w:t>200,000</w:t>
            </w:r>
          </w:p>
        </w:tc>
        <w:tc>
          <w:tcPr>
            <w:tcW w:w="2232" w:type="dxa"/>
            <w:tcBorders>
              <w:top w:val="single" w:sz="4" w:space="0" w:color="000000"/>
              <w:left w:val="single" w:sz="4" w:space="0" w:color="000000"/>
              <w:bottom w:val="single" w:sz="4" w:space="0" w:color="000000"/>
              <w:right w:val="single" w:sz="4" w:space="0" w:color="auto"/>
            </w:tcBorders>
          </w:tcPr>
          <w:p w14:paraId="267D5D0A" w14:textId="77777777" w:rsidR="00403658" w:rsidRPr="00380266" w:rsidRDefault="00403658" w:rsidP="00A45919">
            <w:pPr>
              <w:suppressAutoHyphens w:val="0"/>
              <w:kinsoku w:val="0"/>
              <w:overflowPunct w:val="0"/>
              <w:autoSpaceDE w:val="0"/>
              <w:autoSpaceDN w:val="0"/>
              <w:adjustRightInd w:val="0"/>
              <w:spacing w:line="225" w:lineRule="exact"/>
              <w:ind w:left="517"/>
              <w:jc w:val="center"/>
            </w:pPr>
            <w:r w:rsidRPr="00380266">
              <w:t>2</w:t>
            </w:r>
          </w:p>
        </w:tc>
      </w:tr>
      <w:tr w:rsidR="00403658" w:rsidRPr="00380266" w14:paraId="5050CEA7" w14:textId="77777777" w:rsidTr="00A45919">
        <w:trPr>
          <w:trHeight w:val="325"/>
        </w:trPr>
        <w:tc>
          <w:tcPr>
            <w:tcW w:w="3682" w:type="dxa"/>
            <w:tcBorders>
              <w:top w:val="single" w:sz="4" w:space="0" w:color="000000"/>
              <w:left w:val="single" w:sz="4" w:space="0" w:color="000000"/>
              <w:bottom w:val="single" w:sz="18" w:space="0" w:color="000000"/>
              <w:right w:val="single" w:sz="4" w:space="0" w:color="000000"/>
            </w:tcBorders>
          </w:tcPr>
          <w:p w14:paraId="3521A17D" w14:textId="77777777" w:rsidR="00403658" w:rsidRPr="00380266" w:rsidRDefault="00403658" w:rsidP="00A45919">
            <w:pPr>
              <w:suppressAutoHyphens w:val="0"/>
              <w:kinsoku w:val="0"/>
              <w:overflowPunct w:val="0"/>
              <w:autoSpaceDE w:val="0"/>
              <w:autoSpaceDN w:val="0"/>
              <w:adjustRightInd w:val="0"/>
              <w:spacing w:line="225" w:lineRule="exact"/>
              <w:ind w:left="62"/>
            </w:pPr>
            <w:proofErr w:type="spellStart"/>
            <w:r w:rsidRPr="00380266">
              <w:t>Above</w:t>
            </w:r>
            <w:proofErr w:type="spellEnd"/>
            <w:r w:rsidRPr="00380266">
              <w:rPr>
                <w:spacing w:val="-1"/>
              </w:rPr>
              <w:t xml:space="preserve"> </w:t>
            </w:r>
            <w:r w:rsidRPr="00380266">
              <w:t>200,000</w:t>
            </w:r>
          </w:p>
        </w:tc>
        <w:tc>
          <w:tcPr>
            <w:tcW w:w="2232" w:type="dxa"/>
            <w:tcBorders>
              <w:top w:val="single" w:sz="4" w:space="0" w:color="000000"/>
              <w:left w:val="single" w:sz="4" w:space="0" w:color="000000"/>
              <w:bottom w:val="single" w:sz="18" w:space="0" w:color="000000"/>
              <w:right w:val="single" w:sz="4" w:space="0" w:color="auto"/>
            </w:tcBorders>
          </w:tcPr>
          <w:p w14:paraId="663D14B8" w14:textId="77777777" w:rsidR="00403658" w:rsidRPr="00380266" w:rsidRDefault="00403658" w:rsidP="00A45919">
            <w:pPr>
              <w:suppressAutoHyphens w:val="0"/>
              <w:kinsoku w:val="0"/>
              <w:overflowPunct w:val="0"/>
              <w:autoSpaceDE w:val="0"/>
              <w:autoSpaceDN w:val="0"/>
              <w:adjustRightInd w:val="0"/>
              <w:spacing w:line="225" w:lineRule="exact"/>
              <w:ind w:left="517"/>
              <w:jc w:val="center"/>
            </w:pPr>
            <w:r w:rsidRPr="00380266">
              <w:t>3</w:t>
            </w:r>
          </w:p>
        </w:tc>
      </w:tr>
    </w:tbl>
    <w:p w14:paraId="4714C784" w14:textId="77777777" w:rsidR="00403658" w:rsidRDefault="00403658" w:rsidP="00403658">
      <w:pPr>
        <w:adjustRightInd w:val="0"/>
        <w:spacing w:after="120"/>
        <w:ind w:left="2268" w:right="1134"/>
        <w:jc w:val="both"/>
      </w:pPr>
      <w:r>
        <w:t>"</w:t>
      </w:r>
    </w:p>
    <w:p w14:paraId="1912B047" w14:textId="77777777" w:rsidR="00403658" w:rsidRDefault="00403658" w:rsidP="00403658">
      <w:pPr>
        <w:spacing w:after="120"/>
        <w:ind w:left="1134" w:right="1134"/>
        <w:rPr>
          <w:rFonts w:eastAsia="MS Mincho"/>
          <w:i/>
        </w:rPr>
      </w:pPr>
    </w:p>
    <w:p w14:paraId="0336ED8C" w14:textId="15EBFB41" w:rsidR="00403658" w:rsidRPr="00403658" w:rsidRDefault="00403658" w:rsidP="00403658">
      <w:pPr>
        <w:spacing w:after="120"/>
        <w:ind w:left="1134" w:right="1134"/>
        <w:rPr>
          <w:rFonts w:eastAsia="MS Mincho"/>
          <w:i/>
          <w:lang w:val="en-US"/>
        </w:rPr>
      </w:pPr>
      <w:r w:rsidRPr="00403658">
        <w:rPr>
          <w:rFonts w:eastAsia="MS Mincho"/>
          <w:i/>
          <w:lang w:val="en-US"/>
        </w:rPr>
        <w:t>In the 07 series of amendments</w:t>
      </w:r>
    </w:p>
    <w:p w14:paraId="6D43B81F" w14:textId="77777777" w:rsidR="00403658" w:rsidRPr="00403658" w:rsidRDefault="00403658" w:rsidP="00403658">
      <w:pPr>
        <w:spacing w:after="120"/>
        <w:ind w:left="1134" w:right="1134"/>
        <w:rPr>
          <w:rFonts w:eastAsia="MS Mincho"/>
          <w:i/>
          <w:lang w:val="en-US"/>
        </w:rPr>
      </w:pPr>
      <w:r w:rsidRPr="00403658">
        <w:rPr>
          <w:rFonts w:eastAsia="MS Mincho"/>
          <w:i/>
          <w:lang w:val="en-US"/>
        </w:rPr>
        <w:t xml:space="preserve">Paragraph 9.3.5.1., </w:t>
      </w:r>
      <w:r w:rsidRPr="00403658">
        <w:rPr>
          <w:rFonts w:eastAsia="MS Mincho"/>
          <w:iCs/>
          <w:lang w:val="en-US"/>
        </w:rPr>
        <w:t>amend to read:</w:t>
      </w:r>
    </w:p>
    <w:p w14:paraId="59FB7A2B" w14:textId="77777777" w:rsidR="00403658" w:rsidRPr="00403658" w:rsidRDefault="00403658" w:rsidP="00403658">
      <w:pPr>
        <w:adjustRightInd w:val="0"/>
        <w:spacing w:after="120"/>
        <w:ind w:left="2268" w:right="1134" w:hanging="1134"/>
        <w:jc w:val="both"/>
        <w:rPr>
          <w:rFonts w:eastAsia="MS Mincho"/>
          <w:lang w:val="en-US"/>
        </w:rPr>
      </w:pPr>
      <w:r w:rsidRPr="00403658">
        <w:rPr>
          <w:lang w:val="en-US"/>
        </w:rPr>
        <w:t>"</w:t>
      </w:r>
      <w:r w:rsidRPr="00403658">
        <w:rPr>
          <w:rFonts w:eastAsia="MS Mincho"/>
          <w:lang w:val="en-US"/>
        </w:rPr>
        <w:t xml:space="preserve">9.3.5.1. </w:t>
      </w:r>
      <w:r w:rsidRPr="00403658">
        <w:rPr>
          <w:rFonts w:eastAsia="MS Mincho"/>
          <w:lang w:val="en-US"/>
        </w:rPr>
        <w:tab/>
        <w:t>When applying the statistical procedure defined in Appendix 4 to this Regulation (</w:t>
      </w:r>
      <w:proofErr w:type="gramStart"/>
      <w:r w:rsidRPr="00403658">
        <w:rPr>
          <w:rFonts w:eastAsia="MS Mincho"/>
          <w:lang w:val="en-US"/>
        </w:rPr>
        <w:t>i.e.</w:t>
      </w:r>
      <w:proofErr w:type="gramEnd"/>
      <w:r w:rsidRPr="00403658">
        <w:rPr>
          <w:rFonts w:eastAsia="MS Mincho"/>
          <w:lang w:val="en-US"/>
        </w:rPr>
        <w:t xml:space="preserve"> for tailpipe emissions), the number of sample lots shall depend on the annual </w:t>
      </w:r>
      <w:r w:rsidRPr="00403658">
        <w:rPr>
          <w:rFonts w:eastAsia="MS Mincho"/>
          <w:strike/>
          <w:lang w:val="en-US"/>
        </w:rPr>
        <w:t>sales</w:t>
      </w:r>
      <w:r w:rsidRPr="00403658">
        <w:rPr>
          <w:rFonts w:eastAsia="MS Mincho"/>
          <w:lang w:val="en-US"/>
        </w:rPr>
        <w:t xml:space="preserve"> </w:t>
      </w:r>
      <w:r w:rsidRPr="00403658">
        <w:rPr>
          <w:rFonts w:eastAsia="MS Mincho"/>
          <w:b/>
          <w:bCs/>
          <w:lang w:val="en-US"/>
        </w:rPr>
        <w:t>production</w:t>
      </w:r>
      <w:r w:rsidRPr="00403658">
        <w:rPr>
          <w:rFonts w:eastAsia="MS Mincho"/>
          <w:lang w:val="en-US"/>
        </w:rPr>
        <w:t xml:space="preserve"> volume of an in-service family </w:t>
      </w:r>
      <w:r w:rsidRPr="00403658">
        <w:rPr>
          <w:rFonts w:eastAsia="MS Mincho"/>
          <w:b/>
          <w:bCs/>
          <w:lang w:val="en-US"/>
        </w:rPr>
        <w:t>intended for sales</w:t>
      </w:r>
      <w:r w:rsidRPr="00403658">
        <w:rPr>
          <w:rFonts w:eastAsia="MS Mincho"/>
          <w:lang w:val="en-US"/>
        </w:rPr>
        <w:t xml:space="preserve"> </w:t>
      </w:r>
      <w:r w:rsidRPr="00403658">
        <w:rPr>
          <w:rFonts w:eastAsia="MS Mincho"/>
          <w:b/>
          <w:bCs/>
          <w:lang w:val="en-US"/>
        </w:rPr>
        <w:t>in the contracting parties that apply this regulation</w:t>
      </w:r>
      <w:r w:rsidRPr="00403658">
        <w:rPr>
          <w:rFonts w:eastAsia="MS Mincho"/>
          <w:lang w:val="en-US"/>
        </w:rPr>
        <w:t xml:space="preserve"> </w:t>
      </w:r>
      <w:r w:rsidRPr="00403658">
        <w:rPr>
          <w:rFonts w:eastAsia="MS Mincho"/>
          <w:strike/>
          <w:lang w:val="en-US"/>
        </w:rPr>
        <w:t>territories of a regional organization (e.g. European Union)</w:t>
      </w:r>
      <w:r w:rsidRPr="00403658">
        <w:rPr>
          <w:rFonts w:eastAsia="MS Mincho"/>
          <w:lang w:val="en-US"/>
        </w:rPr>
        <w:t>, as defined in Table 4.</w:t>
      </w:r>
    </w:p>
    <w:p w14:paraId="1F8AAC99" w14:textId="77777777" w:rsidR="00403658" w:rsidRDefault="00403658" w:rsidP="00403658">
      <w:pPr>
        <w:adjustRightInd w:val="0"/>
        <w:spacing w:after="120"/>
        <w:ind w:left="2268" w:right="1134"/>
      </w:pPr>
      <w:r>
        <w:lastRenderedPageBreak/>
        <w:t>Table 4</w:t>
      </w:r>
      <w:r>
        <w:br/>
      </w:r>
      <w:proofErr w:type="spellStart"/>
      <w:r>
        <w:t>Sample</w:t>
      </w:r>
      <w:proofErr w:type="spellEnd"/>
      <w:r>
        <w:t xml:space="preserve"> size</w:t>
      </w:r>
    </w:p>
    <w:tbl>
      <w:tblPr>
        <w:tblW w:w="0" w:type="auto"/>
        <w:tblInd w:w="2263" w:type="dxa"/>
        <w:tblLayout w:type="fixed"/>
        <w:tblCellMar>
          <w:left w:w="0" w:type="dxa"/>
          <w:right w:w="0" w:type="dxa"/>
        </w:tblCellMar>
        <w:tblLook w:val="0000" w:firstRow="0" w:lastRow="0" w:firstColumn="0" w:lastColumn="0" w:noHBand="0" w:noVBand="0"/>
      </w:tblPr>
      <w:tblGrid>
        <w:gridCol w:w="3682"/>
        <w:gridCol w:w="2232"/>
      </w:tblGrid>
      <w:tr w:rsidR="00403658" w:rsidRPr="00380266" w14:paraId="79372E58" w14:textId="77777777" w:rsidTr="00A45919">
        <w:trPr>
          <w:trHeight w:val="1055"/>
        </w:trPr>
        <w:tc>
          <w:tcPr>
            <w:tcW w:w="3682" w:type="dxa"/>
            <w:tcBorders>
              <w:top w:val="single" w:sz="4" w:space="0" w:color="000000"/>
              <w:left w:val="single" w:sz="4" w:space="0" w:color="000000"/>
              <w:bottom w:val="single" w:sz="12" w:space="0" w:color="000000"/>
              <w:right w:val="single" w:sz="4" w:space="0" w:color="000000"/>
            </w:tcBorders>
          </w:tcPr>
          <w:p w14:paraId="260C2F6B" w14:textId="77777777" w:rsidR="00403658" w:rsidRPr="00380266" w:rsidRDefault="00403658" w:rsidP="00A45919">
            <w:pPr>
              <w:suppressAutoHyphens w:val="0"/>
              <w:kinsoku w:val="0"/>
              <w:overflowPunct w:val="0"/>
              <w:autoSpaceDE w:val="0"/>
              <w:autoSpaceDN w:val="0"/>
              <w:adjustRightInd w:val="0"/>
              <w:spacing w:before="76" w:line="240" w:lineRule="auto"/>
              <w:ind w:left="62"/>
              <w:rPr>
                <w:i/>
                <w:iCs/>
                <w:strike/>
                <w:sz w:val="16"/>
                <w:szCs w:val="16"/>
              </w:rPr>
            </w:pPr>
            <w:r w:rsidRPr="00380266">
              <w:rPr>
                <w:b/>
                <w:bCs/>
                <w:i/>
                <w:iCs/>
                <w:sz w:val="16"/>
                <w:szCs w:val="16"/>
              </w:rPr>
              <w:t xml:space="preserve">Production </w:t>
            </w:r>
            <w:proofErr w:type="spellStart"/>
            <w:r w:rsidRPr="00380266">
              <w:rPr>
                <w:b/>
                <w:bCs/>
                <w:i/>
                <w:iCs/>
                <w:sz w:val="16"/>
                <w:szCs w:val="16"/>
              </w:rPr>
              <w:t>Volume</w:t>
            </w:r>
            <w:r w:rsidRPr="00380266">
              <w:rPr>
                <w:i/>
                <w:iCs/>
                <w:strike/>
                <w:sz w:val="16"/>
                <w:szCs w:val="16"/>
              </w:rPr>
              <w:t>Registrations</w:t>
            </w:r>
            <w:proofErr w:type="spellEnd"/>
          </w:p>
          <w:p w14:paraId="3C83DA70" w14:textId="77777777" w:rsidR="00403658" w:rsidRPr="00403658" w:rsidRDefault="00403658" w:rsidP="00403658">
            <w:pPr>
              <w:numPr>
                <w:ilvl w:val="0"/>
                <w:numId w:val="40"/>
              </w:numPr>
              <w:tabs>
                <w:tab w:val="left" w:pos="154"/>
              </w:tabs>
              <w:suppressAutoHyphens w:val="0"/>
              <w:kinsoku w:val="0"/>
              <w:overflowPunct w:val="0"/>
              <w:autoSpaceDE w:val="0"/>
              <w:autoSpaceDN w:val="0"/>
              <w:adjustRightInd w:val="0"/>
              <w:spacing w:before="80" w:line="240" w:lineRule="auto"/>
              <w:ind w:left="153"/>
              <w:rPr>
                <w:i/>
                <w:iCs/>
                <w:sz w:val="16"/>
                <w:szCs w:val="16"/>
                <w:lang w:val="en-US"/>
              </w:rPr>
            </w:pPr>
            <w:r w:rsidRPr="00403658">
              <w:rPr>
                <w:i/>
                <w:iCs/>
                <w:sz w:val="16"/>
                <w:szCs w:val="16"/>
                <w:lang w:val="en-US"/>
              </w:rPr>
              <w:t>per</w:t>
            </w:r>
            <w:r w:rsidRPr="00403658">
              <w:rPr>
                <w:i/>
                <w:iCs/>
                <w:spacing w:val="-2"/>
                <w:sz w:val="16"/>
                <w:szCs w:val="16"/>
                <w:lang w:val="en-US"/>
              </w:rPr>
              <w:t xml:space="preserve"> </w:t>
            </w:r>
            <w:r w:rsidRPr="00403658">
              <w:rPr>
                <w:i/>
                <w:iCs/>
                <w:sz w:val="16"/>
                <w:szCs w:val="16"/>
                <w:lang w:val="en-US"/>
              </w:rPr>
              <w:t>calendar</w:t>
            </w:r>
            <w:r w:rsidRPr="00403658">
              <w:rPr>
                <w:i/>
                <w:iCs/>
                <w:spacing w:val="-2"/>
                <w:sz w:val="16"/>
                <w:szCs w:val="16"/>
                <w:lang w:val="en-US"/>
              </w:rPr>
              <w:t xml:space="preserve"> </w:t>
            </w:r>
            <w:r w:rsidRPr="00403658">
              <w:rPr>
                <w:i/>
                <w:iCs/>
                <w:sz w:val="16"/>
                <w:szCs w:val="16"/>
                <w:lang w:val="en-US"/>
              </w:rPr>
              <w:t>year</w:t>
            </w:r>
            <w:r w:rsidRPr="00403658">
              <w:rPr>
                <w:i/>
                <w:iCs/>
                <w:spacing w:val="-2"/>
                <w:sz w:val="16"/>
                <w:szCs w:val="16"/>
                <w:lang w:val="en-US"/>
              </w:rPr>
              <w:t xml:space="preserve"> </w:t>
            </w:r>
            <w:r w:rsidRPr="00403658">
              <w:rPr>
                <w:i/>
                <w:iCs/>
                <w:sz w:val="16"/>
                <w:szCs w:val="16"/>
                <w:lang w:val="en-US"/>
              </w:rPr>
              <w:t>(for</w:t>
            </w:r>
            <w:r w:rsidRPr="00403658">
              <w:rPr>
                <w:i/>
                <w:iCs/>
                <w:spacing w:val="-1"/>
                <w:sz w:val="16"/>
                <w:szCs w:val="16"/>
                <w:lang w:val="en-US"/>
              </w:rPr>
              <w:t xml:space="preserve"> </w:t>
            </w:r>
            <w:r w:rsidRPr="00403658">
              <w:rPr>
                <w:i/>
                <w:iCs/>
                <w:sz w:val="16"/>
                <w:szCs w:val="16"/>
                <w:lang w:val="en-US"/>
              </w:rPr>
              <w:t>tailpipe</w:t>
            </w:r>
            <w:r w:rsidRPr="00403658">
              <w:rPr>
                <w:i/>
                <w:iCs/>
                <w:spacing w:val="-1"/>
                <w:sz w:val="16"/>
                <w:szCs w:val="16"/>
                <w:lang w:val="en-US"/>
              </w:rPr>
              <w:t xml:space="preserve"> </w:t>
            </w:r>
            <w:r w:rsidRPr="00403658">
              <w:rPr>
                <w:i/>
                <w:iCs/>
                <w:sz w:val="16"/>
                <w:szCs w:val="16"/>
                <w:lang w:val="en-US"/>
              </w:rPr>
              <w:t>emission</w:t>
            </w:r>
            <w:r w:rsidRPr="00403658">
              <w:rPr>
                <w:i/>
                <w:iCs/>
                <w:spacing w:val="-1"/>
                <w:sz w:val="16"/>
                <w:szCs w:val="16"/>
                <w:lang w:val="en-US"/>
              </w:rPr>
              <w:t xml:space="preserve"> </w:t>
            </w:r>
            <w:r w:rsidRPr="00403658">
              <w:rPr>
                <w:i/>
                <w:iCs/>
                <w:sz w:val="16"/>
                <w:szCs w:val="16"/>
                <w:lang w:val="en-US"/>
              </w:rPr>
              <w:t>tests),</w:t>
            </w:r>
          </w:p>
          <w:p w14:paraId="295FC7DE" w14:textId="77777777" w:rsidR="00403658" w:rsidRPr="00403658" w:rsidRDefault="00403658" w:rsidP="00403658">
            <w:pPr>
              <w:numPr>
                <w:ilvl w:val="0"/>
                <w:numId w:val="40"/>
              </w:numPr>
              <w:tabs>
                <w:tab w:val="left" w:pos="154"/>
              </w:tabs>
              <w:suppressAutoHyphens w:val="0"/>
              <w:kinsoku w:val="0"/>
              <w:overflowPunct w:val="0"/>
              <w:autoSpaceDE w:val="0"/>
              <w:autoSpaceDN w:val="0"/>
              <w:adjustRightInd w:val="0"/>
              <w:spacing w:before="80" w:line="240" w:lineRule="auto"/>
              <w:ind w:right="547" w:firstLine="0"/>
              <w:rPr>
                <w:i/>
                <w:iCs/>
                <w:sz w:val="16"/>
                <w:szCs w:val="16"/>
                <w:lang w:val="en-US"/>
              </w:rPr>
            </w:pPr>
            <w:r w:rsidRPr="00403658">
              <w:rPr>
                <w:i/>
                <w:iCs/>
                <w:sz w:val="16"/>
                <w:szCs w:val="16"/>
                <w:lang w:val="en-US"/>
              </w:rPr>
              <w:t>of</w:t>
            </w:r>
            <w:r w:rsidRPr="00403658">
              <w:rPr>
                <w:i/>
                <w:iCs/>
                <w:spacing w:val="-6"/>
                <w:sz w:val="16"/>
                <w:szCs w:val="16"/>
                <w:lang w:val="en-US"/>
              </w:rPr>
              <w:t xml:space="preserve"> </w:t>
            </w:r>
            <w:r w:rsidRPr="00403658">
              <w:rPr>
                <w:i/>
                <w:iCs/>
                <w:sz w:val="16"/>
                <w:szCs w:val="16"/>
                <w:lang w:val="en-US"/>
              </w:rPr>
              <w:t>vehicles</w:t>
            </w:r>
            <w:r w:rsidRPr="00403658">
              <w:rPr>
                <w:i/>
                <w:iCs/>
                <w:spacing w:val="-3"/>
                <w:sz w:val="16"/>
                <w:szCs w:val="16"/>
                <w:lang w:val="en-US"/>
              </w:rPr>
              <w:t xml:space="preserve"> </w:t>
            </w:r>
            <w:r w:rsidRPr="00403658">
              <w:rPr>
                <w:i/>
                <w:iCs/>
                <w:sz w:val="16"/>
                <w:szCs w:val="16"/>
                <w:lang w:val="en-US"/>
              </w:rPr>
              <w:t>of</w:t>
            </w:r>
            <w:r w:rsidRPr="00403658">
              <w:rPr>
                <w:i/>
                <w:iCs/>
                <w:spacing w:val="-5"/>
                <w:sz w:val="16"/>
                <w:szCs w:val="16"/>
                <w:lang w:val="en-US"/>
              </w:rPr>
              <w:t xml:space="preserve"> </w:t>
            </w:r>
            <w:r w:rsidRPr="00403658">
              <w:rPr>
                <w:i/>
                <w:iCs/>
                <w:sz w:val="16"/>
                <w:szCs w:val="16"/>
                <w:lang w:val="en-US"/>
              </w:rPr>
              <w:t>an</w:t>
            </w:r>
            <w:r w:rsidRPr="00403658">
              <w:rPr>
                <w:i/>
                <w:iCs/>
                <w:spacing w:val="-2"/>
                <w:sz w:val="16"/>
                <w:szCs w:val="16"/>
                <w:lang w:val="en-US"/>
              </w:rPr>
              <w:t xml:space="preserve"> </w:t>
            </w:r>
            <w:r w:rsidRPr="00403658">
              <w:rPr>
                <w:i/>
                <w:iCs/>
                <w:sz w:val="16"/>
                <w:szCs w:val="16"/>
                <w:lang w:val="en-US"/>
              </w:rPr>
              <w:t>OBD</w:t>
            </w:r>
            <w:r w:rsidRPr="00403658">
              <w:rPr>
                <w:i/>
                <w:iCs/>
                <w:spacing w:val="-4"/>
                <w:sz w:val="16"/>
                <w:szCs w:val="16"/>
                <w:lang w:val="en-US"/>
              </w:rPr>
              <w:t xml:space="preserve"> </w:t>
            </w:r>
            <w:r w:rsidRPr="00403658">
              <w:rPr>
                <w:i/>
                <w:iCs/>
                <w:sz w:val="16"/>
                <w:szCs w:val="16"/>
                <w:lang w:val="en-US"/>
              </w:rPr>
              <w:t>family</w:t>
            </w:r>
            <w:r w:rsidRPr="00403658">
              <w:rPr>
                <w:i/>
                <w:iCs/>
                <w:spacing w:val="2"/>
                <w:sz w:val="16"/>
                <w:szCs w:val="16"/>
                <w:lang w:val="en-US"/>
              </w:rPr>
              <w:t xml:space="preserve"> </w:t>
            </w:r>
            <w:r w:rsidRPr="00403658">
              <w:rPr>
                <w:i/>
                <w:iCs/>
                <w:sz w:val="16"/>
                <w:szCs w:val="16"/>
                <w:lang w:val="en-US"/>
              </w:rPr>
              <w:t>with</w:t>
            </w:r>
            <w:r w:rsidRPr="00403658">
              <w:rPr>
                <w:i/>
                <w:iCs/>
                <w:spacing w:val="2"/>
                <w:sz w:val="16"/>
                <w:szCs w:val="16"/>
                <w:lang w:val="en-US"/>
              </w:rPr>
              <w:t xml:space="preserve"> </w:t>
            </w:r>
            <w:r w:rsidRPr="00403658">
              <w:rPr>
                <w:i/>
                <w:iCs/>
                <w:sz w:val="16"/>
                <w:szCs w:val="16"/>
                <w:lang w:val="en-US"/>
              </w:rPr>
              <w:t>IUPR in</w:t>
            </w:r>
            <w:r w:rsidRPr="00403658">
              <w:rPr>
                <w:i/>
                <w:iCs/>
                <w:spacing w:val="-3"/>
                <w:sz w:val="16"/>
                <w:szCs w:val="16"/>
                <w:lang w:val="en-US"/>
              </w:rPr>
              <w:t xml:space="preserve"> </w:t>
            </w:r>
            <w:r w:rsidRPr="00403658">
              <w:rPr>
                <w:i/>
                <w:iCs/>
                <w:sz w:val="16"/>
                <w:szCs w:val="16"/>
                <w:lang w:val="en-US"/>
              </w:rPr>
              <w:t>the</w:t>
            </w:r>
            <w:r w:rsidRPr="00403658">
              <w:rPr>
                <w:i/>
                <w:iCs/>
                <w:spacing w:val="-37"/>
                <w:sz w:val="16"/>
                <w:szCs w:val="16"/>
                <w:lang w:val="en-US"/>
              </w:rPr>
              <w:t xml:space="preserve"> </w:t>
            </w:r>
            <w:r w:rsidRPr="00403658">
              <w:rPr>
                <w:i/>
                <w:iCs/>
                <w:sz w:val="16"/>
                <w:szCs w:val="16"/>
                <w:lang w:val="en-US"/>
              </w:rPr>
              <w:t>sampling period</w:t>
            </w:r>
          </w:p>
        </w:tc>
        <w:tc>
          <w:tcPr>
            <w:tcW w:w="2232" w:type="dxa"/>
            <w:tcBorders>
              <w:top w:val="single" w:sz="4" w:space="0" w:color="000000"/>
              <w:left w:val="single" w:sz="4" w:space="0" w:color="000000"/>
              <w:bottom w:val="single" w:sz="12" w:space="0" w:color="000000"/>
              <w:right w:val="single" w:sz="4" w:space="0" w:color="auto"/>
            </w:tcBorders>
          </w:tcPr>
          <w:p w14:paraId="5A834692" w14:textId="77777777" w:rsidR="00403658" w:rsidRPr="00380266" w:rsidRDefault="00403658" w:rsidP="00A45919">
            <w:pPr>
              <w:suppressAutoHyphens w:val="0"/>
              <w:kinsoku w:val="0"/>
              <w:overflowPunct w:val="0"/>
              <w:autoSpaceDE w:val="0"/>
              <w:autoSpaceDN w:val="0"/>
              <w:adjustRightInd w:val="0"/>
              <w:spacing w:before="76" w:line="240" w:lineRule="auto"/>
              <w:ind w:left="1" w:right="116"/>
              <w:jc w:val="center"/>
              <w:rPr>
                <w:i/>
                <w:iCs/>
                <w:sz w:val="16"/>
                <w:szCs w:val="16"/>
              </w:rPr>
            </w:pPr>
            <w:proofErr w:type="spellStart"/>
            <w:r w:rsidRPr="00380266">
              <w:rPr>
                <w:i/>
                <w:iCs/>
                <w:sz w:val="16"/>
                <w:szCs w:val="16"/>
              </w:rPr>
              <w:t>Number</w:t>
            </w:r>
            <w:proofErr w:type="spellEnd"/>
            <w:r w:rsidRPr="00380266">
              <w:rPr>
                <w:i/>
                <w:iCs/>
                <w:spacing w:val="-2"/>
                <w:sz w:val="16"/>
                <w:szCs w:val="16"/>
              </w:rPr>
              <w:t xml:space="preserve"> </w:t>
            </w:r>
            <w:r w:rsidRPr="00380266">
              <w:rPr>
                <w:i/>
                <w:iCs/>
                <w:sz w:val="16"/>
                <w:szCs w:val="16"/>
              </w:rPr>
              <w:t>of</w:t>
            </w:r>
            <w:r w:rsidRPr="00380266">
              <w:rPr>
                <w:i/>
                <w:iCs/>
                <w:spacing w:val="-3"/>
                <w:sz w:val="16"/>
                <w:szCs w:val="16"/>
              </w:rPr>
              <w:t xml:space="preserve"> </w:t>
            </w:r>
            <w:proofErr w:type="spellStart"/>
            <w:r w:rsidRPr="00380266">
              <w:rPr>
                <w:i/>
                <w:iCs/>
                <w:sz w:val="16"/>
                <w:szCs w:val="16"/>
              </w:rPr>
              <w:t>sample</w:t>
            </w:r>
            <w:proofErr w:type="spellEnd"/>
            <w:r w:rsidRPr="00380266">
              <w:rPr>
                <w:i/>
                <w:iCs/>
                <w:spacing w:val="-1"/>
                <w:sz w:val="16"/>
                <w:szCs w:val="16"/>
              </w:rPr>
              <w:t xml:space="preserve"> </w:t>
            </w:r>
            <w:r w:rsidRPr="00380266">
              <w:rPr>
                <w:i/>
                <w:iCs/>
                <w:sz w:val="16"/>
                <w:szCs w:val="16"/>
              </w:rPr>
              <w:t>lots</w:t>
            </w:r>
          </w:p>
        </w:tc>
      </w:tr>
      <w:tr w:rsidR="00403658" w:rsidRPr="00380266" w14:paraId="7A698EAA" w14:textId="77777777" w:rsidTr="00A45919">
        <w:trPr>
          <w:trHeight w:val="349"/>
        </w:trPr>
        <w:tc>
          <w:tcPr>
            <w:tcW w:w="3682" w:type="dxa"/>
            <w:tcBorders>
              <w:top w:val="single" w:sz="12" w:space="0" w:color="000000"/>
              <w:left w:val="single" w:sz="4" w:space="0" w:color="000000"/>
              <w:bottom w:val="single" w:sz="4" w:space="0" w:color="000000"/>
              <w:right w:val="single" w:sz="4" w:space="0" w:color="000000"/>
            </w:tcBorders>
          </w:tcPr>
          <w:p w14:paraId="54F9E7F8" w14:textId="77777777" w:rsidR="00403658" w:rsidRPr="00380266" w:rsidRDefault="00403658" w:rsidP="00A45919">
            <w:pPr>
              <w:suppressAutoHyphens w:val="0"/>
              <w:kinsoku w:val="0"/>
              <w:overflowPunct w:val="0"/>
              <w:autoSpaceDE w:val="0"/>
              <w:autoSpaceDN w:val="0"/>
              <w:adjustRightInd w:val="0"/>
              <w:spacing w:line="225" w:lineRule="exact"/>
              <w:ind w:left="62"/>
            </w:pPr>
            <w:r w:rsidRPr="00380266">
              <w:t>Up</w:t>
            </w:r>
            <w:r w:rsidRPr="00380266">
              <w:rPr>
                <w:spacing w:val="2"/>
              </w:rPr>
              <w:t xml:space="preserve"> </w:t>
            </w:r>
            <w:r w:rsidRPr="00380266">
              <w:t>to</w:t>
            </w:r>
            <w:r w:rsidRPr="00380266">
              <w:rPr>
                <w:spacing w:val="-2"/>
              </w:rPr>
              <w:t xml:space="preserve"> </w:t>
            </w:r>
            <w:r w:rsidRPr="00380266">
              <w:t>100,000</w:t>
            </w:r>
          </w:p>
        </w:tc>
        <w:tc>
          <w:tcPr>
            <w:tcW w:w="2232" w:type="dxa"/>
            <w:tcBorders>
              <w:top w:val="single" w:sz="12" w:space="0" w:color="000000"/>
              <w:left w:val="single" w:sz="4" w:space="0" w:color="000000"/>
              <w:bottom w:val="single" w:sz="4" w:space="0" w:color="000000"/>
              <w:right w:val="single" w:sz="4" w:space="0" w:color="auto"/>
            </w:tcBorders>
          </w:tcPr>
          <w:p w14:paraId="1244F4A1" w14:textId="77777777" w:rsidR="00403658" w:rsidRPr="00380266" w:rsidRDefault="00403658" w:rsidP="00A45919">
            <w:pPr>
              <w:suppressAutoHyphens w:val="0"/>
              <w:kinsoku w:val="0"/>
              <w:overflowPunct w:val="0"/>
              <w:autoSpaceDE w:val="0"/>
              <w:autoSpaceDN w:val="0"/>
              <w:adjustRightInd w:val="0"/>
              <w:spacing w:line="225" w:lineRule="exact"/>
              <w:ind w:left="517"/>
              <w:jc w:val="center"/>
            </w:pPr>
            <w:r w:rsidRPr="00380266">
              <w:t>1</w:t>
            </w:r>
          </w:p>
        </w:tc>
      </w:tr>
      <w:tr w:rsidR="00403658" w:rsidRPr="00380266" w14:paraId="7BE058BB" w14:textId="77777777" w:rsidTr="00A45919">
        <w:trPr>
          <w:trHeight w:val="350"/>
        </w:trPr>
        <w:tc>
          <w:tcPr>
            <w:tcW w:w="3682" w:type="dxa"/>
            <w:tcBorders>
              <w:top w:val="single" w:sz="4" w:space="0" w:color="000000"/>
              <w:left w:val="single" w:sz="4" w:space="0" w:color="000000"/>
              <w:bottom w:val="single" w:sz="4" w:space="0" w:color="000000"/>
              <w:right w:val="single" w:sz="4" w:space="0" w:color="000000"/>
            </w:tcBorders>
          </w:tcPr>
          <w:p w14:paraId="3E930938" w14:textId="77777777" w:rsidR="00403658" w:rsidRPr="00380266" w:rsidRDefault="00403658" w:rsidP="00A45919">
            <w:pPr>
              <w:suppressAutoHyphens w:val="0"/>
              <w:kinsoku w:val="0"/>
              <w:overflowPunct w:val="0"/>
              <w:autoSpaceDE w:val="0"/>
              <w:autoSpaceDN w:val="0"/>
              <w:adjustRightInd w:val="0"/>
              <w:spacing w:line="225" w:lineRule="exact"/>
              <w:ind w:left="62"/>
            </w:pPr>
            <w:r w:rsidRPr="00380266">
              <w:t>100,001</w:t>
            </w:r>
            <w:r w:rsidRPr="00380266">
              <w:rPr>
                <w:spacing w:val="-3"/>
              </w:rPr>
              <w:t xml:space="preserve"> </w:t>
            </w:r>
            <w:r w:rsidRPr="00380266">
              <w:t>to</w:t>
            </w:r>
            <w:r w:rsidRPr="00380266">
              <w:rPr>
                <w:spacing w:val="-2"/>
              </w:rPr>
              <w:t xml:space="preserve"> </w:t>
            </w:r>
            <w:r w:rsidRPr="00380266">
              <w:t>200,000</w:t>
            </w:r>
          </w:p>
        </w:tc>
        <w:tc>
          <w:tcPr>
            <w:tcW w:w="2232" w:type="dxa"/>
            <w:tcBorders>
              <w:top w:val="single" w:sz="4" w:space="0" w:color="000000"/>
              <w:left w:val="single" w:sz="4" w:space="0" w:color="000000"/>
              <w:bottom w:val="single" w:sz="4" w:space="0" w:color="000000"/>
              <w:right w:val="single" w:sz="4" w:space="0" w:color="auto"/>
            </w:tcBorders>
          </w:tcPr>
          <w:p w14:paraId="29D56DC1" w14:textId="77777777" w:rsidR="00403658" w:rsidRPr="00380266" w:rsidRDefault="00403658" w:rsidP="00A45919">
            <w:pPr>
              <w:suppressAutoHyphens w:val="0"/>
              <w:kinsoku w:val="0"/>
              <w:overflowPunct w:val="0"/>
              <w:autoSpaceDE w:val="0"/>
              <w:autoSpaceDN w:val="0"/>
              <w:adjustRightInd w:val="0"/>
              <w:spacing w:line="225" w:lineRule="exact"/>
              <w:ind w:left="517"/>
              <w:jc w:val="center"/>
            </w:pPr>
            <w:r w:rsidRPr="00380266">
              <w:t>2</w:t>
            </w:r>
          </w:p>
        </w:tc>
      </w:tr>
      <w:tr w:rsidR="00403658" w:rsidRPr="00380266" w14:paraId="2D1E9569" w14:textId="77777777" w:rsidTr="00A45919">
        <w:trPr>
          <w:trHeight w:val="325"/>
        </w:trPr>
        <w:tc>
          <w:tcPr>
            <w:tcW w:w="3682" w:type="dxa"/>
            <w:tcBorders>
              <w:top w:val="single" w:sz="4" w:space="0" w:color="000000"/>
              <w:left w:val="single" w:sz="4" w:space="0" w:color="000000"/>
              <w:bottom w:val="single" w:sz="18" w:space="0" w:color="000000"/>
              <w:right w:val="single" w:sz="4" w:space="0" w:color="000000"/>
            </w:tcBorders>
          </w:tcPr>
          <w:p w14:paraId="68B8F30B" w14:textId="77777777" w:rsidR="00403658" w:rsidRPr="00380266" w:rsidRDefault="00403658" w:rsidP="00A45919">
            <w:pPr>
              <w:suppressAutoHyphens w:val="0"/>
              <w:kinsoku w:val="0"/>
              <w:overflowPunct w:val="0"/>
              <w:autoSpaceDE w:val="0"/>
              <w:autoSpaceDN w:val="0"/>
              <w:adjustRightInd w:val="0"/>
              <w:spacing w:line="225" w:lineRule="exact"/>
              <w:ind w:left="62"/>
            </w:pPr>
            <w:proofErr w:type="spellStart"/>
            <w:r w:rsidRPr="00380266">
              <w:t>Above</w:t>
            </w:r>
            <w:proofErr w:type="spellEnd"/>
            <w:r w:rsidRPr="00380266">
              <w:rPr>
                <w:spacing w:val="-1"/>
              </w:rPr>
              <w:t xml:space="preserve"> </w:t>
            </w:r>
            <w:r w:rsidRPr="00380266">
              <w:t>200,000</w:t>
            </w:r>
          </w:p>
        </w:tc>
        <w:tc>
          <w:tcPr>
            <w:tcW w:w="2232" w:type="dxa"/>
            <w:tcBorders>
              <w:top w:val="single" w:sz="4" w:space="0" w:color="000000"/>
              <w:left w:val="single" w:sz="4" w:space="0" w:color="000000"/>
              <w:bottom w:val="single" w:sz="18" w:space="0" w:color="000000"/>
              <w:right w:val="single" w:sz="4" w:space="0" w:color="auto"/>
            </w:tcBorders>
          </w:tcPr>
          <w:p w14:paraId="1A50E99B" w14:textId="77777777" w:rsidR="00403658" w:rsidRPr="00380266" w:rsidRDefault="00403658" w:rsidP="00A45919">
            <w:pPr>
              <w:suppressAutoHyphens w:val="0"/>
              <w:kinsoku w:val="0"/>
              <w:overflowPunct w:val="0"/>
              <w:autoSpaceDE w:val="0"/>
              <w:autoSpaceDN w:val="0"/>
              <w:adjustRightInd w:val="0"/>
              <w:spacing w:line="225" w:lineRule="exact"/>
              <w:ind w:left="517"/>
              <w:jc w:val="center"/>
            </w:pPr>
            <w:r w:rsidRPr="00380266">
              <w:t>3</w:t>
            </w:r>
          </w:p>
        </w:tc>
      </w:tr>
    </w:tbl>
    <w:p w14:paraId="0956962B" w14:textId="77777777" w:rsidR="00403658" w:rsidRDefault="00403658" w:rsidP="00403658">
      <w:pPr>
        <w:adjustRightInd w:val="0"/>
        <w:spacing w:after="120"/>
        <w:ind w:left="2268" w:right="1134"/>
        <w:jc w:val="both"/>
      </w:pPr>
      <w:r>
        <w:t>"</w:t>
      </w:r>
    </w:p>
    <w:p w14:paraId="59CBABDD" w14:textId="77777777" w:rsidR="00403658" w:rsidRDefault="00403658" w:rsidP="00403658">
      <w:pPr>
        <w:adjustRightInd w:val="0"/>
        <w:spacing w:after="120"/>
        <w:ind w:left="2268" w:right="1134" w:hanging="1134"/>
        <w:jc w:val="both"/>
      </w:pPr>
    </w:p>
    <w:p w14:paraId="758D189F" w14:textId="77777777" w:rsidR="00403658" w:rsidRPr="00403658" w:rsidRDefault="00403658" w:rsidP="00403658">
      <w:pPr>
        <w:spacing w:after="120"/>
        <w:ind w:left="1134" w:right="1134"/>
        <w:rPr>
          <w:rFonts w:eastAsia="MS Mincho"/>
          <w:i/>
          <w:lang w:val="en-US"/>
        </w:rPr>
      </w:pPr>
      <w:r w:rsidRPr="00403658">
        <w:rPr>
          <w:rFonts w:eastAsia="MS Mincho"/>
          <w:i/>
          <w:lang w:val="en-US"/>
        </w:rPr>
        <w:t>In the 06 and 07 series of amendments</w:t>
      </w:r>
    </w:p>
    <w:p w14:paraId="40F675B6" w14:textId="77777777" w:rsidR="00403658" w:rsidRPr="00403658" w:rsidRDefault="00403658" w:rsidP="00403658">
      <w:pPr>
        <w:spacing w:after="120"/>
        <w:ind w:left="1134" w:right="1134"/>
        <w:rPr>
          <w:rFonts w:eastAsia="MS Mincho"/>
          <w:i/>
          <w:lang w:val="en-US"/>
        </w:rPr>
      </w:pPr>
      <w:r w:rsidRPr="00403658">
        <w:rPr>
          <w:rFonts w:eastAsia="MS Mincho"/>
          <w:i/>
          <w:lang w:val="en-US"/>
        </w:rPr>
        <w:t xml:space="preserve">Add new paragraph 9.3.5.3., </w:t>
      </w:r>
      <w:r w:rsidRPr="00403658">
        <w:rPr>
          <w:rFonts w:eastAsia="MS Mincho"/>
          <w:iCs/>
          <w:lang w:val="en-US"/>
        </w:rPr>
        <w:t>to read:</w:t>
      </w:r>
    </w:p>
    <w:p w14:paraId="1037EE30" w14:textId="4A0E9AF6" w:rsidR="00E05332" w:rsidRPr="00403658" w:rsidRDefault="00403658" w:rsidP="00403658">
      <w:pPr>
        <w:keepNext/>
        <w:keepLines/>
        <w:tabs>
          <w:tab w:val="left" w:pos="8505"/>
        </w:tabs>
        <w:spacing w:after="240" w:line="300" w:lineRule="exact"/>
        <w:ind w:left="2268" w:right="1134" w:hanging="1134"/>
        <w:rPr>
          <w:b/>
          <w:color w:val="FF0000"/>
          <w:sz w:val="28"/>
          <w:lang w:val="en-US"/>
        </w:rPr>
      </w:pPr>
      <w:r w:rsidRPr="00403658">
        <w:rPr>
          <w:lang w:val="en-US"/>
        </w:rPr>
        <w:t>"</w:t>
      </w:r>
      <w:r w:rsidRPr="00403658">
        <w:rPr>
          <w:b/>
          <w:bCs/>
          <w:lang w:val="en-US"/>
        </w:rPr>
        <w:t>9.3.5.3.</w:t>
      </w:r>
      <w:r w:rsidRPr="00403658">
        <w:rPr>
          <w:b/>
          <w:bCs/>
          <w:lang w:val="en-US"/>
        </w:rPr>
        <w:tab/>
        <w:t>In-service conformity checks for the Type I test (</w:t>
      </w:r>
      <w:proofErr w:type="gramStart"/>
      <w:r w:rsidRPr="00403658">
        <w:rPr>
          <w:b/>
          <w:bCs/>
          <w:lang w:val="en-US"/>
        </w:rPr>
        <w:t>i.e.</w:t>
      </w:r>
      <w:proofErr w:type="gramEnd"/>
      <w:r w:rsidRPr="00403658">
        <w:rPr>
          <w:b/>
          <w:bCs/>
          <w:lang w:val="en-US"/>
        </w:rPr>
        <w:t xml:space="preserve"> for tailpipe emissions) shall not be mandatory if the annual production volume of an in-service family intended for sales in the contracting parties that apply this regulation was less than 5 000 vehicles for the previous year.</w:t>
      </w:r>
      <w:r w:rsidRPr="00403658">
        <w:rPr>
          <w:lang w:val="en-US"/>
        </w:rPr>
        <w:t>"</w:t>
      </w:r>
    </w:p>
    <w:p w14:paraId="24FFE9C4" w14:textId="77777777" w:rsidR="00E03A64" w:rsidRPr="00C26EFD" w:rsidRDefault="00AE16CE" w:rsidP="00364D44">
      <w:pPr>
        <w:spacing w:before="120" w:after="120"/>
        <w:ind w:left="567" w:right="1134" w:hanging="567"/>
        <w:jc w:val="both"/>
        <w:rPr>
          <w:b/>
          <w:color w:val="FF0000"/>
          <w:sz w:val="28"/>
          <w:lang w:val="en-GB"/>
        </w:rPr>
      </w:pPr>
      <w:r w:rsidRPr="00C26EFD">
        <w:rPr>
          <w:b/>
          <w:sz w:val="28"/>
          <w:lang w:val="en-GB"/>
        </w:rPr>
        <w:t>II</w:t>
      </w:r>
      <w:r w:rsidR="00E82F8E">
        <w:rPr>
          <w:b/>
          <w:sz w:val="28"/>
          <w:lang w:val="en-GB"/>
        </w:rPr>
        <w:t>.</w:t>
      </w:r>
      <w:r w:rsidR="00E82F8E">
        <w:rPr>
          <w:b/>
          <w:sz w:val="28"/>
          <w:lang w:val="en-GB"/>
        </w:rPr>
        <w:tab/>
        <w:t>Justification</w:t>
      </w:r>
    </w:p>
    <w:p w14:paraId="51402CB5" w14:textId="77777777" w:rsidR="006E28A3" w:rsidRDefault="006E28A3" w:rsidP="006E28A3">
      <w:pPr>
        <w:spacing w:after="120"/>
        <w:ind w:left="1134" w:right="1134"/>
        <w:jc w:val="both"/>
        <w:rPr>
          <w:rFonts w:eastAsia="MS Mincho"/>
          <w:lang w:val="en-US"/>
        </w:rPr>
      </w:pPr>
      <w:r>
        <w:rPr>
          <w:rFonts w:eastAsia="MS Mincho"/>
        </w:rPr>
        <w:t xml:space="preserve">1. </w:t>
      </w:r>
      <w:r>
        <w:rPr>
          <w:rFonts w:eastAsia="MS Mincho"/>
        </w:rPr>
        <w:tab/>
      </w:r>
      <w:r>
        <w:rPr>
          <w:rFonts w:eastAsia="MS Mincho"/>
          <w:lang w:val="en-US"/>
        </w:rPr>
        <w:t>As many Contracting Parties do not have monitoring of vehicle registrations, and manufacturers have difficulties obtaining accurate information from importers and sales companies, it would be helpful to clarify that testing could be based on production volumes.</w:t>
      </w:r>
    </w:p>
    <w:p w14:paraId="66DF8100" w14:textId="77777777" w:rsidR="006E28A3" w:rsidRDefault="006E28A3" w:rsidP="006E28A3">
      <w:pPr>
        <w:spacing w:after="120"/>
        <w:ind w:left="1134" w:right="1134"/>
        <w:jc w:val="both"/>
        <w:rPr>
          <w:rFonts w:eastAsia="MS Mincho"/>
          <w:lang w:val="en-US"/>
        </w:rPr>
      </w:pPr>
      <w:r>
        <w:rPr>
          <w:rFonts w:eastAsia="MS Mincho"/>
        </w:rPr>
        <w:t xml:space="preserve">2. </w:t>
      </w:r>
      <w:r>
        <w:rPr>
          <w:rFonts w:eastAsia="MS Mincho"/>
        </w:rPr>
        <w:tab/>
        <w:t xml:space="preserve">The 05 </w:t>
      </w:r>
      <w:proofErr w:type="spellStart"/>
      <w:r>
        <w:rPr>
          <w:rFonts w:eastAsia="MS Mincho"/>
        </w:rPr>
        <w:t>series</w:t>
      </w:r>
      <w:proofErr w:type="spellEnd"/>
      <w:r>
        <w:rPr>
          <w:rFonts w:eastAsia="MS Mincho"/>
        </w:rPr>
        <w:t xml:space="preserve"> of </w:t>
      </w:r>
      <w:proofErr w:type="spellStart"/>
      <w:r>
        <w:rPr>
          <w:rFonts w:eastAsia="MS Mincho"/>
        </w:rPr>
        <w:t>amendments</w:t>
      </w:r>
      <w:proofErr w:type="spellEnd"/>
      <w:r>
        <w:rPr>
          <w:rFonts w:eastAsia="MS Mincho"/>
        </w:rPr>
        <w:t xml:space="preserve"> </w:t>
      </w:r>
      <w:proofErr w:type="spellStart"/>
      <w:r>
        <w:rPr>
          <w:rFonts w:eastAsia="MS Mincho"/>
        </w:rPr>
        <w:t>contained</w:t>
      </w:r>
      <w:proofErr w:type="spellEnd"/>
      <w:r>
        <w:rPr>
          <w:rFonts w:eastAsia="MS Mincho"/>
        </w:rPr>
        <w:t xml:space="preserve"> a </w:t>
      </w:r>
      <w:proofErr w:type="spellStart"/>
      <w:r>
        <w:rPr>
          <w:rFonts w:eastAsia="MS Mincho"/>
        </w:rPr>
        <w:t>threshold</w:t>
      </w:r>
      <w:proofErr w:type="spellEnd"/>
      <w:r>
        <w:rPr>
          <w:rFonts w:eastAsia="MS Mincho"/>
        </w:rPr>
        <w:t xml:space="preserve"> of </w:t>
      </w:r>
      <w:proofErr w:type="spellStart"/>
      <w:r>
        <w:rPr>
          <w:rFonts w:eastAsia="MS Mincho"/>
        </w:rPr>
        <w:t>vehicle</w:t>
      </w:r>
      <w:proofErr w:type="spellEnd"/>
      <w:r>
        <w:rPr>
          <w:rFonts w:eastAsia="MS Mincho"/>
        </w:rPr>
        <w:t xml:space="preserve"> sales </w:t>
      </w:r>
      <w:proofErr w:type="spellStart"/>
      <w:r>
        <w:rPr>
          <w:rFonts w:eastAsia="MS Mincho"/>
        </w:rPr>
        <w:t>below</w:t>
      </w:r>
      <w:proofErr w:type="spellEnd"/>
      <w:r>
        <w:rPr>
          <w:rFonts w:eastAsia="MS Mincho"/>
        </w:rPr>
        <w:t xml:space="preserve"> </w:t>
      </w:r>
      <w:proofErr w:type="spellStart"/>
      <w:r>
        <w:rPr>
          <w:rFonts w:eastAsia="MS Mincho"/>
        </w:rPr>
        <w:t>which</w:t>
      </w:r>
      <w:proofErr w:type="spellEnd"/>
      <w:r>
        <w:rPr>
          <w:rFonts w:eastAsia="MS Mincho"/>
        </w:rPr>
        <w:t xml:space="preserve"> no ISC </w:t>
      </w:r>
      <w:proofErr w:type="spellStart"/>
      <w:r>
        <w:rPr>
          <w:rFonts w:eastAsia="MS Mincho"/>
        </w:rPr>
        <w:t>testing</w:t>
      </w:r>
      <w:proofErr w:type="spellEnd"/>
      <w:r>
        <w:rPr>
          <w:rFonts w:eastAsia="MS Mincho"/>
        </w:rPr>
        <w:t xml:space="preserve"> </w:t>
      </w:r>
      <w:proofErr w:type="spellStart"/>
      <w:r>
        <w:rPr>
          <w:rFonts w:eastAsia="MS Mincho"/>
        </w:rPr>
        <w:t>was</w:t>
      </w:r>
      <w:proofErr w:type="spellEnd"/>
      <w:r>
        <w:rPr>
          <w:rFonts w:eastAsia="MS Mincho"/>
        </w:rPr>
        <w:t xml:space="preserve"> </w:t>
      </w:r>
      <w:proofErr w:type="spellStart"/>
      <w:r>
        <w:rPr>
          <w:rFonts w:eastAsia="MS Mincho"/>
        </w:rPr>
        <w:t>necessary</w:t>
      </w:r>
      <w:proofErr w:type="spellEnd"/>
      <w:r>
        <w:rPr>
          <w:rFonts w:eastAsia="MS Mincho"/>
        </w:rPr>
        <w:t xml:space="preserve">. </w:t>
      </w:r>
      <w:proofErr w:type="spellStart"/>
      <w:r>
        <w:rPr>
          <w:rFonts w:eastAsia="MS Mincho"/>
        </w:rPr>
        <w:t>Although</w:t>
      </w:r>
      <w:proofErr w:type="spellEnd"/>
      <w:r>
        <w:rPr>
          <w:rFonts w:eastAsia="MS Mincho"/>
        </w:rPr>
        <w:t xml:space="preserve"> </w:t>
      </w:r>
      <w:proofErr w:type="spellStart"/>
      <w:r>
        <w:rPr>
          <w:rFonts w:eastAsia="MS Mincho"/>
        </w:rPr>
        <w:t>this</w:t>
      </w:r>
      <w:proofErr w:type="spellEnd"/>
      <w:r>
        <w:rPr>
          <w:rFonts w:eastAsia="MS Mincho"/>
        </w:rPr>
        <w:t xml:space="preserve"> </w:t>
      </w:r>
      <w:proofErr w:type="spellStart"/>
      <w:r>
        <w:rPr>
          <w:rFonts w:eastAsia="MS Mincho"/>
        </w:rPr>
        <w:t>threshold</w:t>
      </w:r>
      <w:proofErr w:type="spellEnd"/>
      <w:r>
        <w:rPr>
          <w:rFonts w:eastAsia="MS Mincho"/>
        </w:rPr>
        <w:t xml:space="preserve"> </w:t>
      </w:r>
      <w:proofErr w:type="spellStart"/>
      <w:r>
        <w:rPr>
          <w:rFonts w:eastAsia="MS Mincho"/>
        </w:rPr>
        <w:t>was</w:t>
      </w:r>
      <w:proofErr w:type="spellEnd"/>
      <w:r>
        <w:rPr>
          <w:rFonts w:eastAsia="MS Mincho"/>
        </w:rPr>
        <w:t xml:space="preserve"> </w:t>
      </w:r>
      <w:proofErr w:type="spellStart"/>
      <w:r>
        <w:rPr>
          <w:rFonts w:eastAsia="MS Mincho"/>
        </w:rPr>
        <w:t>retained</w:t>
      </w:r>
      <w:proofErr w:type="spellEnd"/>
      <w:r>
        <w:rPr>
          <w:rFonts w:eastAsia="MS Mincho"/>
        </w:rPr>
        <w:t xml:space="preserve"> in EU </w:t>
      </w:r>
      <w:proofErr w:type="spellStart"/>
      <w:r>
        <w:rPr>
          <w:rFonts w:eastAsia="MS Mincho"/>
        </w:rPr>
        <w:t>legislation</w:t>
      </w:r>
      <w:proofErr w:type="spellEnd"/>
      <w:r>
        <w:rPr>
          <w:rFonts w:eastAsia="MS Mincho"/>
        </w:rPr>
        <w:t xml:space="preserve"> </w:t>
      </w:r>
      <w:proofErr w:type="spellStart"/>
      <w:r>
        <w:rPr>
          <w:rFonts w:eastAsia="MS Mincho"/>
        </w:rPr>
        <w:t>it</w:t>
      </w:r>
      <w:proofErr w:type="spellEnd"/>
      <w:r>
        <w:rPr>
          <w:rFonts w:eastAsia="MS Mincho"/>
        </w:rPr>
        <w:t xml:space="preserve"> </w:t>
      </w:r>
      <w:proofErr w:type="spellStart"/>
      <w:r>
        <w:rPr>
          <w:rFonts w:eastAsia="MS Mincho"/>
        </w:rPr>
        <w:t>does</w:t>
      </w:r>
      <w:proofErr w:type="spellEnd"/>
      <w:r>
        <w:rPr>
          <w:rFonts w:eastAsia="MS Mincho"/>
        </w:rPr>
        <w:t xml:space="preserve"> not </w:t>
      </w:r>
      <w:proofErr w:type="spellStart"/>
      <w:r>
        <w:rPr>
          <w:rFonts w:eastAsia="MS Mincho"/>
        </w:rPr>
        <w:t>appear</w:t>
      </w:r>
      <w:proofErr w:type="spellEnd"/>
      <w:r>
        <w:rPr>
          <w:rFonts w:eastAsia="MS Mincho"/>
        </w:rPr>
        <w:t xml:space="preserve"> for Type 1 </w:t>
      </w:r>
      <w:proofErr w:type="spellStart"/>
      <w:r>
        <w:rPr>
          <w:rFonts w:eastAsia="MS Mincho"/>
        </w:rPr>
        <w:t>testing</w:t>
      </w:r>
      <w:proofErr w:type="spellEnd"/>
      <w:r>
        <w:rPr>
          <w:rFonts w:eastAsia="MS Mincho"/>
        </w:rPr>
        <w:t xml:space="preserve"> in the 06 or 07 </w:t>
      </w:r>
      <w:proofErr w:type="spellStart"/>
      <w:r>
        <w:rPr>
          <w:rFonts w:eastAsia="MS Mincho"/>
        </w:rPr>
        <w:t>series</w:t>
      </w:r>
      <w:proofErr w:type="spellEnd"/>
      <w:r>
        <w:rPr>
          <w:rFonts w:eastAsia="MS Mincho"/>
        </w:rPr>
        <w:t xml:space="preserve"> of </w:t>
      </w:r>
      <w:proofErr w:type="spellStart"/>
      <w:r>
        <w:rPr>
          <w:rFonts w:eastAsia="MS Mincho"/>
        </w:rPr>
        <w:t>amendments</w:t>
      </w:r>
      <w:proofErr w:type="spellEnd"/>
      <w:r>
        <w:rPr>
          <w:rFonts w:eastAsia="MS Mincho"/>
        </w:rPr>
        <w:t xml:space="preserve">. </w:t>
      </w:r>
      <w:proofErr w:type="spellStart"/>
      <w:r>
        <w:rPr>
          <w:rFonts w:eastAsia="MS Mincho"/>
        </w:rPr>
        <w:t>Similar</w:t>
      </w:r>
      <w:proofErr w:type="spellEnd"/>
      <w:r>
        <w:rPr>
          <w:rFonts w:eastAsia="MS Mincho"/>
        </w:rPr>
        <w:t xml:space="preserve"> </w:t>
      </w:r>
      <w:proofErr w:type="spellStart"/>
      <w:r>
        <w:rPr>
          <w:rFonts w:eastAsia="MS Mincho"/>
        </w:rPr>
        <w:t>text</w:t>
      </w:r>
      <w:proofErr w:type="spellEnd"/>
      <w:r>
        <w:rPr>
          <w:rFonts w:eastAsia="MS Mincho"/>
        </w:rPr>
        <w:t xml:space="preserve"> </w:t>
      </w:r>
      <w:proofErr w:type="spellStart"/>
      <w:r>
        <w:rPr>
          <w:rFonts w:eastAsia="MS Mincho"/>
        </w:rPr>
        <w:t>appears</w:t>
      </w:r>
      <w:proofErr w:type="spellEnd"/>
      <w:r>
        <w:rPr>
          <w:rFonts w:eastAsia="MS Mincho"/>
        </w:rPr>
        <w:t xml:space="preserve"> in </w:t>
      </w:r>
      <w:proofErr w:type="spellStart"/>
      <w:r>
        <w:rPr>
          <w:rFonts w:eastAsia="MS Mincho"/>
        </w:rPr>
        <w:t>paragraph</w:t>
      </w:r>
      <w:proofErr w:type="spellEnd"/>
      <w:r>
        <w:rPr>
          <w:rFonts w:eastAsia="MS Mincho"/>
        </w:rPr>
        <w:t xml:space="preserve"> 9.3.5.2. </w:t>
      </w:r>
      <w:proofErr w:type="gramStart"/>
      <w:r>
        <w:rPr>
          <w:rFonts w:eastAsia="MS Mincho"/>
        </w:rPr>
        <w:t>in</w:t>
      </w:r>
      <w:proofErr w:type="gramEnd"/>
      <w:r>
        <w:rPr>
          <w:rFonts w:eastAsia="MS Mincho"/>
        </w:rPr>
        <w:t xml:space="preserve"> the </w:t>
      </w:r>
      <w:proofErr w:type="spellStart"/>
      <w:r>
        <w:rPr>
          <w:rFonts w:eastAsia="MS Mincho"/>
        </w:rPr>
        <w:t>context</w:t>
      </w:r>
      <w:proofErr w:type="spellEnd"/>
      <w:r>
        <w:rPr>
          <w:rFonts w:eastAsia="MS Mincho"/>
        </w:rPr>
        <w:t xml:space="preserve"> of IUPR and </w:t>
      </w:r>
      <w:proofErr w:type="spellStart"/>
      <w:r>
        <w:rPr>
          <w:rFonts w:eastAsia="MS Mincho"/>
        </w:rPr>
        <w:t>this</w:t>
      </w:r>
      <w:proofErr w:type="spellEnd"/>
      <w:r>
        <w:rPr>
          <w:rFonts w:eastAsia="MS Mincho"/>
        </w:rPr>
        <w:t xml:space="preserve"> </w:t>
      </w:r>
      <w:proofErr w:type="spellStart"/>
      <w:r>
        <w:rPr>
          <w:rFonts w:eastAsia="MS Mincho"/>
        </w:rPr>
        <w:t>may</w:t>
      </w:r>
      <w:proofErr w:type="spellEnd"/>
      <w:r>
        <w:rPr>
          <w:rFonts w:eastAsia="MS Mincho"/>
        </w:rPr>
        <w:t xml:space="preserve"> </w:t>
      </w:r>
      <w:proofErr w:type="spellStart"/>
      <w:r>
        <w:rPr>
          <w:rFonts w:eastAsia="MS Mincho"/>
        </w:rPr>
        <w:t>be</w:t>
      </w:r>
      <w:proofErr w:type="spellEnd"/>
      <w:r>
        <w:rPr>
          <w:rFonts w:eastAsia="MS Mincho"/>
        </w:rPr>
        <w:t xml:space="preserve"> the cause for an </w:t>
      </w:r>
      <w:proofErr w:type="spellStart"/>
      <w:r>
        <w:rPr>
          <w:rFonts w:eastAsia="MS Mincho"/>
        </w:rPr>
        <w:t>unintentional</w:t>
      </w:r>
      <w:proofErr w:type="spellEnd"/>
      <w:r>
        <w:rPr>
          <w:rFonts w:eastAsia="MS Mincho"/>
        </w:rPr>
        <w:t xml:space="preserve"> </w:t>
      </w:r>
      <w:proofErr w:type="spellStart"/>
      <w:r>
        <w:rPr>
          <w:rFonts w:eastAsia="MS Mincho"/>
        </w:rPr>
        <w:t>removal</w:t>
      </w:r>
      <w:proofErr w:type="spellEnd"/>
      <w:r>
        <w:rPr>
          <w:rFonts w:eastAsia="MS Mincho"/>
        </w:rPr>
        <w:t xml:space="preserve">. As </w:t>
      </w:r>
      <w:proofErr w:type="spellStart"/>
      <w:r>
        <w:rPr>
          <w:rFonts w:eastAsia="MS Mincho"/>
        </w:rPr>
        <w:t>it</w:t>
      </w:r>
      <w:proofErr w:type="spellEnd"/>
      <w:r>
        <w:rPr>
          <w:rFonts w:eastAsia="MS Mincho"/>
        </w:rPr>
        <w:t xml:space="preserve"> </w:t>
      </w:r>
      <w:proofErr w:type="spellStart"/>
      <w:r>
        <w:rPr>
          <w:rFonts w:eastAsia="MS Mincho"/>
        </w:rPr>
        <w:t>is</w:t>
      </w:r>
      <w:proofErr w:type="spellEnd"/>
      <w:r>
        <w:rPr>
          <w:rFonts w:eastAsia="MS Mincho"/>
        </w:rPr>
        <w:t xml:space="preserve"> </w:t>
      </w:r>
      <w:proofErr w:type="spellStart"/>
      <w:r>
        <w:rPr>
          <w:rFonts w:eastAsia="MS Mincho"/>
        </w:rPr>
        <w:t>very</w:t>
      </w:r>
      <w:proofErr w:type="spellEnd"/>
      <w:r>
        <w:rPr>
          <w:rFonts w:eastAsia="MS Mincho"/>
        </w:rPr>
        <w:t xml:space="preserve"> </w:t>
      </w:r>
      <w:proofErr w:type="spellStart"/>
      <w:r>
        <w:rPr>
          <w:rFonts w:eastAsia="MS Mincho"/>
        </w:rPr>
        <w:t>difficult</w:t>
      </w:r>
      <w:proofErr w:type="spellEnd"/>
      <w:r>
        <w:rPr>
          <w:rFonts w:eastAsia="MS Mincho"/>
        </w:rPr>
        <w:t xml:space="preserve"> to source </w:t>
      </w:r>
      <w:proofErr w:type="spellStart"/>
      <w:r>
        <w:rPr>
          <w:rFonts w:eastAsia="MS Mincho"/>
        </w:rPr>
        <w:t>vehicles</w:t>
      </w:r>
      <w:proofErr w:type="spellEnd"/>
      <w:r>
        <w:rPr>
          <w:rFonts w:eastAsia="MS Mincho"/>
        </w:rPr>
        <w:t xml:space="preserve"> </w:t>
      </w:r>
      <w:proofErr w:type="spellStart"/>
      <w:r>
        <w:rPr>
          <w:rFonts w:eastAsia="MS Mincho"/>
        </w:rPr>
        <w:t>from</w:t>
      </w:r>
      <w:proofErr w:type="spellEnd"/>
      <w:r>
        <w:rPr>
          <w:rFonts w:eastAsia="MS Mincho"/>
        </w:rPr>
        <w:t xml:space="preserve"> </w:t>
      </w:r>
      <w:proofErr w:type="spellStart"/>
      <w:r>
        <w:rPr>
          <w:rFonts w:eastAsia="MS Mincho"/>
        </w:rPr>
        <w:t>vehicles</w:t>
      </w:r>
      <w:proofErr w:type="spellEnd"/>
      <w:r>
        <w:rPr>
          <w:rFonts w:eastAsia="MS Mincho"/>
        </w:rPr>
        <w:t xml:space="preserve"> </w:t>
      </w:r>
      <w:proofErr w:type="spellStart"/>
      <w:r>
        <w:rPr>
          <w:rFonts w:eastAsia="MS Mincho"/>
        </w:rPr>
        <w:t>with</w:t>
      </w:r>
      <w:proofErr w:type="spellEnd"/>
      <w:r>
        <w:rPr>
          <w:rFonts w:eastAsia="MS Mincho"/>
        </w:rPr>
        <w:t xml:space="preserve"> </w:t>
      </w:r>
      <w:proofErr w:type="spellStart"/>
      <w:r>
        <w:rPr>
          <w:rFonts w:eastAsia="MS Mincho"/>
        </w:rPr>
        <w:t>low</w:t>
      </w:r>
      <w:proofErr w:type="spellEnd"/>
      <w:r>
        <w:rPr>
          <w:rFonts w:eastAsia="MS Mincho"/>
        </w:rPr>
        <w:t xml:space="preserve"> sales, </w:t>
      </w:r>
      <w:proofErr w:type="spellStart"/>
      <w:r>
        <w:rPr>
          <w:rFonts w:eastAsia="MS Mincho"/>
        </w:rPr>
        <w:t>this</w:t>
      </w:r>
      <w:proofErr w:type="spellEnd"/>
      <w:r>
        <w:rPr>
          <w:rFonts w:eastAsia="MS Mincho"/>
        </w:rPr>
        <w:t xml:space="preserve"> </w:t>
      </w:r>
      <w:proofErr w:type="spellStart"/>
      <w:r>
        <w:rPr>
          <w:rFonts w:eastAsia="MS Mincho"/>
        </w:rPr>
        <w:t>threshold</w:t>
      </w:r>
      <w:proofErr w:type="spellEnd"/>
      <w:r>
        <w:rPr>
          <w:rFonts w:eastAsia="MS Mincho"/>
        </w:rPr>
        <w:t xml:space="preserve"> </w:t>
      </w:r>
      <w:proofErr w:type="spellStart"/>
      <w:r>
        <w:rPr>
          <w:rFonts w:eastAsia="MS Mincho"/>
        </w:rPr>
        <w:t>should</w:t>
      </w:r>
      <w:proofErr w:type="spellEnd"/>
      <w:r>
        <w:rPr>
          <w:rFonts w:eastAsia="MS Mincho"/>
        </w:rPr>
        <w:t xml:space="preserve"> </w:t>
      </w:r>
      <w:proofErr w:type="spellStart"/>
      <w:r>
        <w:rPr>
          <w:rFonts w:eastAsia="MS Mincho"/>
        </w:rPr>
        <w:t>be</w:t>
      </w:r>
      <w:proofErr w:type="spellEnd"/>
      <w:r>
        <w:rPr>
          <w:rFonts w:eastAsia="MS Mincho"/>
        </w:rPr>
        <w:t xml:space="preserve"> re-</w:t>
      </w:r>
      <w:proofErr w:type="spellStart"/>
      <w:r>
        <w:rPr>
          <w:rFonts w:eastAsia="MS Mincho"/>
        </w:rPr>
        <w:t>introduced</w:t>
      </w:r>
      <w:proofErr w:type="spellEnd"/>
      <w:r>
        <w:rPr>
          <w:rFonts w:eastAsia="MS Mincho"/>
        </w:rPr>
        <w:t>.</w:t>
      </w:r>
    </w:p>
    <w:p w14:paraId="41ED3E2A" w14:textId="77777777" w:rsidR="00E05332" w:rsidRPr="00E05332" w:rsidRDefault="00E05332" w:rsidP="00E05332">
      <w:pPr>
        <w:pStyle w:val="SingleTxtG"/>
        <w:spacing w:before="240" w:after="0"/>
        <w:jc w:val="center"/>
        <w:rPr>
          <w:u w:val="single"/>
          <w:lang w:val="en-US"/>
        </w:rPr>
      </w:pPr>
      <w:r w:rsidRPr="00E05332">
        <w:rPr>
          <w:u w:val="single"/>
          <w:lang w:val="en-US"/>
        </w:rPr>
        <w:tab/>
      </w:r>
      <w:r w:rsidRPr="00E05332">
        <w:rPr>
          <w:u w:val="single"/>
          <w:lang w:val="en-US"/>
        </w:rPr>
        <w:tab/>
      </w:r>
      <w:r w:rsidRPr="00E05332">
        <w:rPr>
          <w:u w:val="single"/>
          <w:lang w:val="en-US"/>
        </w:rPr>
        <w:tab/>
      </w:r>
      <w:r w:rsidRPr="00E05332">
        <w:rPr>
          <w:u w:val="single"/>
          <w:lang w:val="en-US"/>
        </w:rPr>
        <w:tab/>
      </w:r>
    </w:p>
    <w:p w14:paraId="72F0862A" w14:textId="77777777" w:rsidR="00E03A64" w:rsidRPr="00E05332" w:rsidRDefault="00E03A64" w:rsidP="00E03A64">
      <w:pPr>
        <w:spacing w:after="120"/>
        <w:ind w:left="1134" w:right="1134"/>
        <w:jc w:val="both"/>
        <w:rPr>
          <w:lang w:val="en-US"/>
        </w:rPr>
      </w:pPr>
    </w:p>
    <w:p w14:paraId="1057DE0A" w14:textId="77777777" w:rsidR="00240D36" w:rsidRPr="00C26EFD" w:rsidRDefault="00240D36" w:rsidP="00266F75">
      <w:pPr>
        <w:spacing w:after="120"/>
        <w:ind w:right="1134"/>
        <w:jc w:val="both"/>
        <w:rPr>
          <w:lang w:val="en-GB"/>
        </w:rPr>
      </w:pPr>
    </w:p>
    <w:p w14:paraId="15EDE4F3" w14:textId="4D732282" w:rsidR="00E03A64" w:rsidRPr="00C26EFD" w:rsidRDefault="00E03A64" w:rsidP="00E03A64">
      <w:pPr>
        <w:spacing w:after="120"/>
        <w:ind w:left="1134" w:right="1134"/>
        <w:jc w:val="both"/>
        <w:rPr>
          <w:lang w:val="en-GB"/>
        </w:rPr>
      </w:pPr>
    </w:p>
    <w:p w14:paraId="62750469" w14:textId="77777777" w:rsidR="00240D36" w:rsidRPr="00C26EFD" w:rsidRDefault="00240D36" w:rsidP="00E03A64">
      <w:pPr>
        <w:spacing w:after="120"/>
        <w:ind w:left="1134" w:right="1134"/>
        <w:jc w:val="both"/>
        <w:rPr>
          <w:lang w:val="en-GB"/>
        </w:rPr>
      </w:pPr>
    </w:p>
    <w:sectPr w:rsidR="00240D36" w:rsidRPr="00C26EFD" w:rsidSect="00E03A64">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8376" w14:textId="77777777" w:rsidR="00261C09" w:rsidRDefault="00261C09"/>
  </w:endnote>
  <w:endnote w:type="continuationSeparator" w:id="0">
    <w:p w14:paraId="07E65FFF" w14:textId="77777777" w:rsidR="00261C09" w:rsidRDefault="00261C09"/>
  </w:endnote>
  <w:endnote w:type="continuationNotice" w:id="1">
    <w:p w14:paraId="3466C22C" w14:textId="77777777" w:rsidR="00261C09" w:rsidRDefault="00261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326B" w14:textId="77777777" w:rsidR="0048702C" w:rsidRDefault="0048702C">
    <w:pPr>
      <w:pStyle w:val="Footer"/>
    </w:pPr>
    <w:r>
      <w:rPr>
        <w:rStyle w:val="PageNumber"/>
      </w:rPr>
      <w:fldChar w:fldCharType="begin"/>
    </w:r>
    <w:r>
      <w:rPr>
        <w:rStyle w:val="PageNumber"/>
      </w:rPr>
      <w:instrText xml:space="preserve"> PAGE </w:instrText>
    </w:r>
    <w:r>
      <w:rPr>
        <w:rStyle w:val="PageNumber"/>
      </w:rPr>
      <w:fldChar w:fldCharType="separate"/>
    </w:r>
    <w:r w:rsidR="001E2693">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D623" w14:textId="77777777" w:rsidR="0048702C" w:rsidRDefault="0048702C"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1E2693">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6674" w14:textId="77777777" w:rsidR="0048702C" w:rsidRDefault="0048702C"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1E26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C6D7" w14:textId="77777777" w:rsidR="00261C09" w:rsidRPr="00D27D5E" w:rsidRDefault="00261C09" w:rsidP="00D27D5E">
      <w:pPr>
        <w:tabs>
          <w:tab w:val="right" w:pos="2155"/>
        </w:tabs>
        <w:spacing w:after="80"/>
        <w:ind w:left="680"/>
        <w:rPr>
          <w:u w:val="single"/>
        </w:rPr>
      </w:pPr>
      <w:r>
        <w:rPr>
          <w:u w:val="single"/>
        </w:rPr>
        <w:tab/>
      </w:r>
    </w:p>
  </w:footnote>
  <w:footnote w:type="continuationSeparator" w:id="0">
    <w:p w14:paraId="6B45F7C0" w14:textId="77777777" w:rsidR="00261C09" w:rsidRDefault="00261C09">
      <w:r>
        <w:rPr>
          <w:u w:val="single"/>
        </w:rPr>
        <w:tab/>
      </w:r>
      <w:r>
        <w:rPr>
          <w:u w:val="single"/>
        </w:rPr>
        <w:tab/>
      </w:r>
      <w:r>
        <w:rPr>
          <w:u w:val="single"/>
        </w:rPr>
        <w:tab/>
      </w:r>
      <w:r>
        <w:rPr>
          <w:u w:val="single"/>
        </w:rPr>
        <w:tab/>
      </w:r>
    </w:p>
  </w:footnote>
  <w:footnote w:type="continuationNotice" w:id="1">
    <w:p w14:paraId="5630CA75" w14:textId="77777777" w:rsidR="00261C09" w:rsidRDefault="00261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795D" w14:textId="77777777" w:rsidR="006E28A3" w:rsidRDefault="006E2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8F5A" w14:textId="2DC1289F" w:rsidR="0048702C" w:rsidRDefault="0048702C" w:rsidP="00E03A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795"/>
      <w:gridCol w:w="4844"/>
    </w:tblGrid>
    <w:tr w:rsidR="0025789E" w:rsidRPr="00403658" w14:paraId="6E6C6F4F" w14:textId="77777777" w:rsidTr="0025789E">
      <w:tc>
        <w:tcPr>
          <w:tcW w:w="4927" w:type="dxa"/>
          <w:shd w:val="clear" w:color="auto" w:fill="auto"/>
        </w:tcPr>
        <w:p w14:paraId="5676953E" w14:textId="77777777" w:rsidR="0025789E" w:rsidRPr="0025789E" w:rsidRDefault="0025789E" w:rsidP="0025789E">
          <w:pPr>
            <w:tabs>
              <w:tab w:val="center" w:pos="4513"/>
              <w:tab w:val="right" w:pos="9026"/>
            </w:tabs>
            <w:rPr>
              <w:b/>
              <w:lang w:val="en-US"/>
            </w:rPr>
          </w:pPr>
          <w:r w:rsidRPr="0025789E">
            <w:rPr>
              <w:lang w:val="en-US"/>
            </w:rPr>
            <w:t>Submitted by the expert from OICA</w:t>
          </w:r>
        </w:p>
      </w:tc>
      <w:tc>
        <w:tcPr>
          <w:tcW w:w="4928" w:type="dxa"/>
          <w:shd w:val="clear" w:color="auto" w:fill="auto"/>
        </w:tcPr>
        <w:p w14:paraId="1E484C68" w14:textId="6F51FEFE" w:rsidR="0025789E" w:rsidRPr="0025789E" w:rsidRDefault="0025789E" w:rsidP="006E28A3">
          <w:pPr>
            <w:tabs>
              <w:tab w:val="center" w:pos="4513"/>
              <w:tab w:val="right" w:pos="9026"/>
            </w:tabs>
            <w:ind w:left="1311"/>
            <w:jc w:val="right"/>
            <w:rPr>
              <w:lang w:val="en-US"/>
            </w:rPr>
          </w:pPr>
          <w:r w:rsidRPr="0025789E">
            <w:rPr>
              <w:u w:val="single"/>
              <w:lang w:val="en-US"/>
            </w:rPr>
            <w:t>Informal document</w:t>
          </w:r>
          <w:r w:rsidRPr="0025789E">
            <w:rPr>
              <w:lang w:val="en-US"/>
            </w:rPr>
            <w:t xml:space="preserve"> </w:t>
          </w:r>
          <w:r w:rsidRPr="0025789E">
            <w:rPr>
              <w:b/>
              <w:bCs/>
              <w:lang w:val="en-US"/>
            </w:rPr>
            <w:t>GRPE-8</w:t>
          </w:r>
          <w:r w:rsidR="00403658">
            <w:rPr>
              <w:b/>
              <w:bCs/>
              <w:lang w:val="en-US"/>
            </w:rPr>
            <w:t>6</w:t>
          </w:r>
          <w:r w:rsidRPr="0025789E">
            <w:rPr>
              <w:b/>
              <w:bCs/>
              <w:lang w:val="en-US"/>
            </w:rPr>
            <w:t>-</w:t>
          </w:r>
          <w:r w:rsidR="00237DB4">
            <w:rPr>
              <w:b/>
              <w:bCs/>
              <w:lang w:val="en-US"/>
            </w:rPr>
            <w:t>24</w:t>
          </w:r>
          <w:r w:rsidR="006E28A3">
            <w:rPr>
              <w:b/>
              <w:bCs/>
              <w:lang w:val="en-US"/>
            </w:rPr>
            <w:t>-Rev.1</w:t>
          </w:r>
        </w:p>
        <w:p w14:paraId="56A8064D" w14:textId="00714025" w:rsidR="0025789E" w:rsidRPr="0025789E" w:rsidRDefault="0025789E" w:rsidP="006E28A3">
          <w:pPr>
            <w:tabs>
              <w:tab w:val="center" w:pos="4513"/>
              <w:tab w:val="right" w:pos="9026"/>
            </w:tabs>
            <w:ind w:left="1691"/>
            <w:jc w:val="right"/>
            <w:rPr>
              <w:bCs/>
              <w:lang w:val="en-US"/>
            </w:rPr>
          </w:pPr>
          <w:r w:rsidRPr="0025789E">
            <w:rPr>
              <w:bCs/>
              <w:lang w:val="en-US"/>
            </w:rPr>
            <w:t>8</w:t>
          </w:r>
          <w:r w:rsidR="00403658">
            <w:rPr>
              <w:bCs/>
              <w:lang w:val="en-US"/>
            </w:rPr>
            <w:t>6</w:t>
          </w:r>
          <w:r w:rsidRPr="0025789E">
            <w:rPr>
              <w:bCs/>
              <w:vertAlign w:val="superscript"/>
              <w:lang w:val="en-US"/>
            </w:rPr>
            <w:t>th</w:t>
          </w:r>
          <w:r w:rsidRPr="0025789E">
            <w:rPr>
              <w:bCs/>
              <w:lang w:val="en-US"/>
            </w:rPr>
            <w:t xml:space="preserve"> GRPE, </w:t>
          </w:r>
          <w:r w:rsidR="00403658">
            <w:rPr>
              <w:bCs/>
              <w:lang w:val="en-US"/>
            </w:rPr>
            <w:t>30 May – 2 June</w:t>
          </w:r>
          <w:r w:rsidRPr="0025789E">
            <w:rPr>
              <w:bCs/>
              <w:lang w:val="en-US"/>
            </w:rPr>
            <w:t xml:space="preserve"> 2022</w:t>
          </w:r>
        </w:p>
        <w:p w14:paraId="2173B17B" w14:textId="5AAB94FE" w:rsidR="0025789E" w:rsidRPr="00403658" w:rsidRDefault="0025789E" w:rsidP="006E28A3">
          <w:pPr>
            <w:tabs>
              <w:tab w:val="center" w:pos="4513"/>
              <w:tab w:val="right" w:pos="9026"/>
            </w:tabs>
            <w:ind w:left="1691"/>
            <w:jc w:val="right"/>
            <w:rPr>
              <w:lang w:val="en-US"/>
            </w:rPr>
          </w:pPr>
          <w:r w:rsidRPr="00403658">
            <w:rPr>
              <w:lang w:val="en-US"/>
            </w:rPr>
            <w:t xml:space="preserve">Agenda item </w:t>
          </w:r>
          <w:proofErr w:type="gramStart"/>
          <w:r w:rsidR="00403658">
            <w:rPr>
              <w:lang w:val="en-US"/>
            </w:rPr>
            <w:t>3</w:t>
          </w:r>
          <w:r w:rsidR="00573A54" w:rsidRPr="00403658">
            <w:rPr>
              <w:lang w:val="en-US"/>
            </w:rPr>
            <w:t>.(</w:t>
          </w:r>
          <w:proofErr w:type="gramEnd"/>
          <w:r w:rsidR="00573A54" w:rsidRPr="00403658">
            <w:rPr>
              <w:lang w:val="en-US"/>
            </w:rPr>
            <w:t>a)</w:t>
          </w:r>
          <w:r w:rsidR="00E05332" w:rsidRPr="00403658">
            <w:rPr>
              <w:lang w:val="en-US"/>
            </w:rPr>
            <w:t>.</w:t>
          </w:r>
        </w:p>
      </w:tc>
    </w:tr>
  </w:tbl>
  <w:p w14:paraId="5349BEE2" w14:textId="77777777" w:rsidR="0048702C" w:rsidRPr="00DD1A1B" w:rsidRDefault="0048702C" w:rsidP="0025789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62" w:hanging="92"/>
      </w:pPr>
      <w:rPr>
        <w:rFonts w:ascii="Times New Roman" w:hAnsi="Times New Roman" w:cs="Times New Roman"/>
        <w:b w:val="0"/>
        <w:bCs w:val="0"/>
        <w:i/>
        <w:iCs/>
        <w:w w:val="98"/>
        <w:sz w:val="16"/>
        <w:szCs w:val="16"/>
      </w:rPr>
    </w:lvl>
    <w:lvl w:ilvl="1">
      <w:numFmt w:val="bullet"/>
      <w:lvlText w:val="•"/>
      <w:lvlJc w:val="left"/>
      <w:pPr>
        <w:ind w:left="421" w:hanging="92"/>
      </w:pPr>
    </w:lvl>
    <w:lvl w:ilvl="2">
      <w:numFmt w:val="bullet"/>
      <w:lvlText w:val="•"/>
      <w:lvlJc w:val="left"/>
      <w:pPr>
        <w:ind w:left="782" w:hanging="92"/>
      </w:pPr>
    </w:lvl>
    <w:lvl w:ilvl="3">
      <w:numFmt w:val="bullet"/>
      <w:lvlText w:val="•"/>
      <w:lvlJc w:val="left"/>
      <w:pPr>
        <w:ind w:left="1143" w:hanging="92"/>
      </w:pPr>
    </w:lvl>
    <w:lvl w:ilvl="4">
      <w:numFmt w:val="bullet"/>
      <w:lvlText w:val="•"/>
      <w:lvlJc w:val="left"/>
      <w:pPr>
        <w:ind w:left="1504" w:hanging="92"/>
      </w:pPr>
    </w:lvl>
    <w:lvl w:ilvl="5">
      <w:numFmt w:val="bullet"/>
      <w:lvlText w:val="•"/>
      <w:lvlJc w:val="left"/>
      <w:pPr>
        <w:ind w:left="1866" w:hanging="92"/>
      </w:pPr>
    </w:lvl>
    <w:lvl w:ilvl="6">
      <w:numFmt w:val="bullet"/>
      <w:lvlText w:val="•"/>
      <w:lvlJc w:val="left"/>
      <w:pPr>
        <w:ind w:left="2227" w:hanging="92"/>
      </w:pPr>
    </w:lvl>
    <w:lvl w:ilvl="7">
      <w:numFmt w:val="bullet"/>
      <w:lvlText w:val="•"/>
      <w:lvlJc w:val="left"/>
      <w:pPr>
        <w:ind w:left="2588" w:hanging="92"/>
      </w:pPr>
    </w:lvl>
    <w:lvl w:ilvl="8">
      <w:numFmt w:val="bullet"/>
      <w:lvlText w:val="•"/>
      <w:lvlJc w:val="left"/>
      <w:pPr>
        <w:ind w:left="2949" w:hanging="92"/>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DB631DA"/>
    <w:multiLevelType w:val="hybridMultilevel"/>
    <w:tmpl w:val="2B12CBFE"/>
    <w:lvl w:ilvl="0" w:tplc="7E6676D4">
      <w:start w:val="1"/>
      <w:numFmt w:val="lowerLetter"/>
      <w:lvlText w:val="%1)"/>
      <w:lvlJc w:val="left"/>
      <w:pPr>
        <w:ind w:left="2838" w:hanging="564"/>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2407E9A"/>
    <w:multiLevelType w:val="hybridMultilevel"/>
    <w:tmpl w:val="AB429652"/>
    <w:lvl w:ilvl="0" w:tplc="B12A44CC">
      <w:start w:val="1"/>
      <w:numFmt w:val="lowerLetter"/>
      <w:lvlText w:val="(%1)"/>
      <w:lvlJc w:val="left"/>
      <w:pPr>
        <w:ind w:left="2832" w:hanging="564"/>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3EA584F"/>
    <w:multiLevelType w:val="hybridMultilevel"/>
    <w:tmpl w:val="A92CA566"/>
    <w:lvl w:ilvl="0" w:tplc="BAEA567E">
      <w:start w:val="1"/>
      <w:numFmt w:val="lowerLetter"/>
      <w:lvlText w:val="%1)"/>
      <w:lvlJc w:val="left"/>
      <w:pPr>
        <w:ind w:left="2832" w:hanging="564"/>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3490196"/>
    <w:multiLevelType w:val="hybridMultilevel"/>
    <w:tmpl w:val="5AB0651E"/>
    <w:lvl w:ilvl="0" w:tplc="EB105214">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28"/>
  </w:num>
  <w:num w:numId="17">
    <w:abstractNumId w:val="27"/>
  </w:num>
  <w:num w:numId="18">
    <w:abstractNumId w:val="30"/>
  </w:num>
  <w:num w:numId="19">
    <w:abstractNumId w:val="24"/>
  </w:num>
  <w:num w:numId="20">
    <w:abstractNumId w:val="22"/>
  </w:num>
  <w:num w:numId="21">
    <w:abstractNumId w:val="25"/>
  </w:num>
  <w:num w:numId="22">
    <w:abstractNumId w:val="29"/>
  </w:num>
  <w:num w:numId="23">
    <w:abstractNumId w:val="32"/>
  </w:num>
  <w:num w:numId="24">
    <w:abstractNumId w:val="18"/>
  </w:num>
  <w:num w:numId="25">
    <w:abstractNumId w:val="19"/>
  </w:num>
  <w:num w:numId="26">
    <w:abstractNumId w:val="36"/>
  </w:num>
  <w:num w:numId="27">
    <w:abstractNumId w:val="31"/>
  </w:num>
  <w:num w:numId="28">
    <w:abstractNumId w:val="21"/>
  </w:num>
  <w:num w:numId="29">
    <w:abstractNumId w:val="33"/>
  </w:num>
  <w:num w:numId="30">
    <w:abstractNumId w:val="16"/>
  </w:num>
  <w:num w:numId="31">
    <w:abstractNumId w:val="12"/>
  </w:num>
  <w:num w:numId="32">
    <w:abstractNumId w:val="35"/>
  </w:num>
  <w:num w:numId="33">
    <w:abstractNumId w:val="39"/>
  </w:num>
  <w:num w:numId="34">
    <w:abstractNumId w:val="11"/>
  </w:num>
  <w:num w:numId="35">
    <w:abstractNumId w:val="20"/>
  </w:num>
  <w:num w:numId="36">
    <w:abstractNumId w:val="23"/>
  </w:num>
  <w:num w:numId="37">
    <w:abstractNumId w:val="38"/>
  </w:num>
  <w:num w:numId="38">
    <w:abstractNumId w:val="34"/>
  </w:num>
  <w:num w:numId="39">
    <w:abstractNumId w:val="14"/>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AU" w:vendorID="64" w:dllVersion="6" w:nlCheck="1" w:checkStyle="1"/>
  <w:activeWritingStyle w:appName="MSWord" w:lang="it-IT"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13"/>
    <w:rsid w:val="00001E10"/>
    <w:rsid w:val="00002779"/>
    <w:rsid w:val="000047D9"/>
    <w:rsid w:val="00004EBE"/>
    <w:rsid w:val="000062F5"/>
    <w:rsid w:val="0000737A"/>
    <w:rsid w:val="00013598"/>
    <w:rsid w:val="00016AC5"/>
    <w:rsid w:val="00017592"/>
    <w:rsid w:val="00020252"/>
    <w:rsid w:val="00030ADE"/>
    <w:rsid w:val="000312C0"/>
    <w:rsid w:val="00031CA3"/>
    <w:rsid w:val="00031D74"/>
    <w:rsid w:val="00031EFC"/>
    <w:rsid w:val="00035F50"/>
    <w:rsid w:val="000403DA"/>
    <w:rsid w:val="00053AD5"/>
    <w:rsid w:val="00053B19"/>
    <w:rsid w:val="00054A47"/>
    <w:rsid w:val="000571C0"/>
    <w:rsid w:val="00057396"/>
    <w:rsid w:val="00074B46"/>
    <w:rsid w:val="0008393C"/>
    <w:rsid w:val="00083F5E"/>
    <w:rsid w:val="00093ECB"/>
    <w:rsid w:val="000A2D72"/>
    <w:rsid w:val="000A500E"/>
    <w:rsid w:val="000A59AC"/>
    <w:rsid w:val="000A71C5"/>
    <w:rsid w:val="000B2ECB"/>
    <w:rsid w:val="000B422A"/>
    <w:rsid w:val="000C6560"/>
    <w:rsid w:val="000D18F6"/>
    <w:rsid w:val="000D6288"/>
    <w:rsid w:val="000E40FD"/>
    <w:rsid w:val="000E5D7E"/>
    <w:rsid w:val="000F2A46"/>
    <w:rsid w:val="000F3C75"/>
    <w:rsid w:val="000F41F2"/>
    <w:rsid w:val="00102BD5"/>
    <w:rsid w:val="001035EE"/>
    <w:rsid w:val="0010544E"/>
    <w:rsid w:val="001118B4"/>
    <w:rsid w:val="001138F1"/>
    <w:rsid w:val="0011447A"/>
    <w:rsid w:val="001249D5"/>
    <w:rsid w:val="00126243"/>
    <w:rsid w:val="00127D55"/>
    <w:rsid w:val="001345D5"/>
    <w:rsid w:val="00135C0D"/>
    <w:rsid w:val="00136077"/>
    <w:rsid w:val="00141D3E"/>
    <w:rsid w:val="00153756"/>
    <w:rsid w:val="00160540"/>
    <w:rsid w:val="00161A5C"/>
    <w:rsid w:val="00164B1E"/>
    <w:rsid w:val="0017182C"/>
    <w:rsid w:val="00171C75"/>
    <w:rsid w:val="00177007"/>
    <w:rsid w:val="001839CC"/>
    <w:rsid w:val="00186C01"/>
    <w:rsid w:val="00186EE9"/>
    <w:rsid w:val="001901A6"/>
    <w:rsid w:val="00192EEB"/>
    <w:rsid w:val="0019714C"/>
    <w:rsid w:val="001A1371"/>
    <w:rsid w:val="001A20FB"/>
    <w:rsid w:val="001A293E"/>
    <w:rsid w:val="001B2047"/>
    <w:rsid w:val="001B6F40"/>
    <w:rsid w:val="001C2681"/>
    <w:rsid w:val="001C2E31"/>
    <w:rsid w:val="001C3DEB"/>
    <w:rsid w:val="001C60AE"/>
    <w:rsid w:val="001C78A9"/>
    <w:rsid w:val="001D3B46"/>
    <w:rsid w:val="001D7F8A"/>
    <w:rsid w:val="001E2693"/>
    <w:rsid w:val="001E3FEB"/>
    <w:rsid w:val="001E4A02"/>
    <w:rsid w:val="0020064D"/>
    <w:rsid w:val="00201035"/>
    <w:rsid w:val="002013C5"/>
    <w:rsid w:val="00204265"/>
    <w:rsid w:val="00207580"/>
    <w:rsid w:val="00207CDC"/>
    <w:rsid w:val="00217A86"/>
    <w:rsid w:val="002232AF"/>
    <w:rsid w:val="00223B89"/>
    <w:rsid w:val="00225A8C"/>
    <w:rsid w:val="00232EE1"/>
    <w:rsid w:val="002375DC"/>
    <w:rsid w:val="00237DB4"/>
    <w:rsid w:val="00240D36"/>
    <w:rsid w:val="00244494"/>
    <w:rsid w:val="00244C65"/>
    <w:rsid w:val="00247143"/>
    <w:rsid w:val="002551CE"/>
    <w:rsid w:val="0025789E"/>
    <w:rsid w:val="00260EF7"/>
    <w:rsid w:val="00261C09"/>
    <w:rsid w:val="00262807"/>
    <w:rsid w:val="002659F1"/>
    <w:rsid w:val="00266F75"/>
    <w:rsid w:val="00271C7C"/>
    <w:rsid w:val="00272A76"/>
    <w:rsid w:val="0028175D"/>
    <w:rsid w:val="00281D40"/>
    <w:rsid w:val="00282F04"/>
    <w:rsid w:val="00285232"/>
    <w:rsid w:val="002873BA"/>
    <w:rsid w:val="00287B39"/>
    <w:rsid w:val="00287E79"/>
    <w:rsid w:val="0029070F"/>
    <w:rsid w:val="00291021"/>
    <w:rsid w:val="00291D90"/>
    <w:rsid w:val="002928F9"/>
    <w:rsid w:val="00292AD9"/>
    <w:rsid w:val="00293F81"/>
    <w:rsid w:val="002A073F"/>
    <w:rsid w:val="002A0B95"/>
    <w:rsid w:val="002A5D07"/>
    <w:rsid w:val="002B283E"/>
    <w:rsid w:val="002B399B"/>
    <w:rsid w:val="002C0CBE"/>
    <w:rsid w:val="002C16C3"/>
    <w:rsid w:val="002C2BCA"/>
    <w:rsid w:val="002E7821"/>
    <w:rsid w:val="002F32A9"/>
    <w:rsid w:val="002F7163"/>
    <w:rsid w:val="003016B7"/>
    <w:rsid w:val="00301C4F"/>
    <w:rsid w:val="00301EFA"/>
    <w:rsid w:val="003036B5"/>
    <w:rsid w:val="003062FC"/>
    <w:rsid w:val="003070AB"/>
    <w:rsid w:val="0030798F"/>
    <w:rsid w:val="00310241"/>
    <w:rsid w:val="003102BF"/>
    <w:rsid w:val="00317CE1"/>
    <w:rsid w:val="0032662C"/>
    <w:rsid w:val="0032688E"/>
    <w:rsid w:val="00326E60"/>
    <w:rsid w:val="003278BE"/>
    <w:rsid w:val="00330F9C"/>
    <w:rsid w:val="003360FB"/>
    <w:rsid w:val="00336E96"/>
    <w:rsid w:val="00337699"/>
    <w:rsid w:val="00340C35"/>
    <w:rsid w:val="00342FE6"/>
    <w:rsid w:val="003458D4"/>
    <w:rsid w:val="003515AA"/>
    <w:rsid w:val="0035541D"/>
    <w:rsid w:val="0036014E"/>
    <w:rsid w:val="003616B4"/>
    <w:rsid w:val="00364D44"/>
    <w:rsid w:val="00370E0F"/>
    <w:rsid w:val="00374106"/>
    <w:rsid w:val="00377473"/>
    <w:rsid w:val="00377C49"/>
    <w:rsid w:val="003822EB"/>
    <w:rsid w:val="00387337"/>
    <w:rsid w:val="003939C3"/>
    <w:rsid w:val="00395DFE"/>
    <w:rsid w:val="00395F88"/>
    <w:rsid w:val="003976D5"/>
    <w:rsid w:val="003A0FE8"/>
    <w:rsid w:val="003A5740"/>
    <w:rsid w:val="003B1596"/>
    <w:rsid w:val="003B21AA"/>
    <w:rsid w:val="003B3944"/>
    <w:rsid w:val="003B4E7F"/>
    <w:rsid w:val="003B71BA"/>
    <w:rsid w:val="003C68AD"/>
    <w:rsid w:val="003D1DF3"/>
    <w:rsid w:val="003D26C8"/>
    <w:rsid w:val="003D387B"/>
    <w:rsid w:val="003D4183"/>
    <w:rsid w:val="003D46A7"/>
    <w:rsid w:val="003D6C68"/>
    <w:rsid w:val="003D77CD"/>
    <w:rsid w:val="003E07FE"/>
    <w:rsid w:val="003E4A29"/>
    <w:rsid w:val="003F143E"/>
    <w:rsid w:val="003F6314"/>
    <w:rsid w:val="00400AC9"/>
    <w:rsid w:val="00402727"/>
    <w:rsid w:val="00403658"/>
    <w:rsid w:val="004067DD"/>
    <w:rsid w:val="0041175A"/>
    <w:rsid w:val="00411A77"/>
    <w:rsid w:val="00413449"/>
    <w:rsid w:val="004159D0"/>
    <w:rsid w:val="004249E7"/>
    <w:rsid w:val="00426BA6"/>
    <w:rsid w:val="00426C6C"/>
    <w:rsid w:val="004302BF"/>
    <w:rsid w:val="0043072D"/>
    <w:rsid w:val="00430E44"/>
    <w:rsid w:val="00434F04"/>
    <w:rsid w:val="00440D4C"/>
    <w:rsid w:val="004456D6"/>
    <w:rsid w:val="004538FB"/>
    <w:rsid w:val="00456BF6"/>
    <w:rsid w:val="00465EE2"/>
    <w:rsid w:val="00471F2C"/>
    <w:rsid w:val="004720B1"/>
    <w:rsid w:val="00473A8F"/>
    <w:rsid w:val="00473D03"/>
    <w:rsid w:val="004806BA"/>
    <w:rsid w:val="0048239C"/>
    <w:rsid w:val="0048702C"/>
    <w:rsid w:val="00487541"/>
    <w:rsid w:val="00490450"/>
    <w:rsid w:val="0049121B"/>
    <w:rsid w:val="004A58C0"/>
    <w:rsid w:val="004A7442"/>
    <w:rsid w:val="004A75EB"/>
    <w:rsid w:val="004C0D3F"/>
    <w:rsid w:val="004C17DB"/>
    <w:rsid w:val="004D2005"/>
    <w:rsid w:val="004D3124"/>
    <w:rsid w:val="004D314E"/>
    <w:rsid w:val="004D58D2"/>
    <w:rsid w:val="004D5E0D"/>
    <w:rsid w:val="004D625F"/>
    <w:rsid w:val="004D679D"/>
    <w:rsid w:val="004D6F75"/>
    <w:rsid w:val="004E22E9"/>
    <w:rsid w:val="004E5BF0"/>
    <w:rsid w:val="004E5C4E"/>
    <w:rsid w:val="004E6A80"/>
    <w:rsid w:val="004F147A"/>
    <w:rsid w:val="00500D7C"/>
    <w:rsid w:val="0050137B"/>
    <w:rsid w:val="005020A0"/>
    <w:rsid w:val="00502C64"/>
    <w:rsid w:val="0050341E"/>
    <w:rsid w:val="00503783"/>
    <w:rsid w:val="0050659C"/>
    <w:rsid w:val="00510FAC"/>
    <w:rsid w:val="00514DBB"/>
    <w:rsid w:val="00517CC4"/>
    <w:rsid w:val="0052189F"/>
    <w:rsid w:val="005223A3"/>
    <w:rsid w:val="005223A8"/>
    <w:rsid w:val="0052484D"/>
    <w:rsid w:val="00530709"/>
    <w:rsid w:val="00531DC9"/>
    <w:rsid w:val="00536C8D"/>
    <w:rsid w:val="00542549"/>
    <w:rsid w:val="00542E7C"/>
    <w:rsid w:val="0054385B"/>
    <w:rsid w:val="00543D5E"/>
    <w:rsid w:val="00546101"/>
    <w:rsid w:val="00550885"/>
    <w:rsid w:val="00554FAD"/>
    <w:rsid w:val="005552D8"/>
    <w:rsid w:val="005561F0"/>
    <w:rsid w:val="00571F41"/>
    <w:rsid w:val="00571FCA"/>
    <w:rsid w:val="00572A80"/>
    <w:rsid w:val="00573A54"/>
    <w:rsid w:val="005740D6"/>
    <w:rsid w:val="00575BDF"/>
    <w:rsid w:val="00581C0B"/>
    <w:rsid w:val="005830A7"/>
    <w:rsid w:val="005837D4"/>
    <w:rsid w:val="005903E7"/>
    <w:rsid w:val="00595576"/>
    <w:rsid w:val="00595BE4"/>
    <w:rsid w:val="005A0A6B"/>
    <w:rsid w:val="005A3CDD"/>
    <w:rsid w:val="005A636F"/>
    <w:rsid w:val="005B077F"/>
    <w:rsid w:val="005B27C4"/>
    <w:rsid w:val="005B5842"/>
    <w:rsid w:val="005B5EAD"/>
    <w:rsid w:val="005B76A3"/>
    <w:rsid w:val="005C1E12"/>
    <w:rsid w:val="005E0BE0"/>
    <w:rsid w:val="005E2FF0"/>
    <w:rsid w:val="005E5D1F"/>
    <w:rsid w:val="005F0D33"/>
    <w:rsid w:val="005F3834"/>
    <w:rsid w:val="005F5902"/>
    <w:rsid w:val="005F5C4D"/>
    <w:rsid w:val="005F5E33"/>
    <w:rsid w:val="005F69A2"/>
    <w:rsid w:val="006000D9"/>
    <w:rsid w:val="00603391"/>
    <w:rsid w:val="00611D43"/>
    <w:rsid w:val="00612D48"/>
    <w:rsid w:val="00614877"/>
    <w:rsid w:val="00615307"/>
    <w:rsid w:val="00616B45"/>
    <w:rsid w:val="00621264"/>
    <w:rsid w:val="00622A82"/>
    <w:rsid w:val="00624003"/>
    <w:rsid w:val="00630D9B"/>
    <w:rsid w:val="0063137C"/>
    <w:rsid w:val="00631953"/>
    <w:rsid w:val="00632E7F"/>
    <w:rsid w:val="00634E1A"/>
    <w:rsid w:val="006439EC"/>
    <w:rsid w:val="00644577"/>
    <w:rsid w:val="00646C3A"/>
    <w:rsid w:val="00657D40"/>
    <w:rsid w:val="006608EA"/>
    <w:rsid w:val="00660980"/>
    <w:rsid w:val="00661205"/>
    <w:rsid w:val="00661275"/>
    <w:rsid w:val="00665A62"/>
    <w:rsid w:val="00670BAC"/>
    <w:rsid w:val="00672688"/>
    <w:rsid w:val="00673E58"/>
    <w:rsid w:val="0068125F"/>
    <w:rsid w:val="0068252A"/>
    <w:rsid w:val="00685843"/>
    <w:rsid w:val="006863E9"/>
    <w:rsid w:val="00690571"/>
    <w:rsid w:val="00697583"/>
    <w:rsid w:val="006A12E1"/>
    <w:rsid w:val="006B0D40"/>
    <w:rsid w:val="006B1399"/>
    <w:rsid w:val="006B4590"/>
    <w:rsid w:val="006B59C7"/>
    <w:rsid w:val="006B7ADF"/>
    <w:rsid w:val="006C209B"/>
    <w:rsid w:val="006C340C"/>
    <w:rsid w:val="006C47E8"/>
    <w:rsid w:val="006C70C8"/>
    <w:rsid w:val="006D1D1C"/>
    <w:rsid w:val="006D1EFF"/>
    <w:rsid w:val="006D666F"/>
    <w:rsid w:val="006E1570"/>
    <w:rsid w:val="006E28A3"/>
    <w:rsid w:val="006E5FC7"/>
    <w:rsid w:val="006F32A3"/>
    <w:rsid w:val="006F3FA6"/>
    <w:rsid w:val="006F707A"/>
    <w:rsid w:val="006F73F4"/>
    <w:rsid w:val="006F7CD1"/>
    <w:rsid w:val="006F7F03"/>
    <w:rsid w:val="007018B2"/>
    <w:rsid w:val="0070347C"/>
    <w:rsid w:val="00703EC0"/>
    <w:rsid w:val="00706101"/>
    <w:rsid w:val="00710302"/>
    <w:rsid w:val="007133B7"/>
    <w:rsid w:val="007176C1"/>
    <w:rsid w:val="0072110F"/>
    <w:rsid w:val="00722932"/>
    <w:rsid w:val="00724DA7"/>
    <w:rsid w:val="00730966"/>
    <w:rsid w:val="00732B3C"/>
    <w:rsid w:val="007338CE"/>
    <w:rsid w:val="007365CD"/>
    <w:rsid w:val="00746F5E"/>
    <w:rsid w:val="00752E98"/>
    <w:rsid w:val="00753667"/>
    <w:rsid w:val="00756FE9"/>
    <w:rsid w:val="00757307"/>
    <w:rsid w:val="00762229"/>
    <w:rsid w:val="00763C21"/>
    <w:rsid w:val="00764136"/>
    <w:rsid w:val="00766D06"/>
    <w:rsid w:val="00766E2D"/>
    <w:rsid w:val="00770873"/>
    <w:rsid w:val="007774AE"/>
    <w:rsid w:val="007852D5"/>
    <w:rsid w:val="0079032D"/>
    <w:rsid w:val="00790F2F"/>
    <w:rsid w:val="007978E6"/>
    <w:rsid w:val="007A4735"/>
    <w:rsid w:val="007B27CB"/>
    <w:rsid w:val="007C43A7"/>
    <w:rsid w:val="007D1A04"/>
    <w:rsid w:val="007D4E20"/>
    <w:rsid w:val="007D6429"/>
    <w:rsid w:val="007D6D51"/>
    <w:rsid w:val="007E1B56"/>
    <w:rsid w:val="007F3451"/>
    <w:rsid w:val="007F3EF0"/>
    <w:rsid w:val="007F55CB"/>
    <w:rsid w:val="007F67F1"/>
    <w:rsid w:val="00812C1A"/>
    <w:rsid w:val="00814573"/>
    <w:rsid w:val="00821AE9"/>
    <w:rsid w:val="00827132"/>
    <w:rsid w:val="008317F6"/>
    <w:rsid w:val="00835080"/>
    <w:rsid w:val="00836CAF"/>
    <w:rsid w:val="008418CC"/>
    <w:rsid w:val="0084471D"/>
    <w:rsid w:val="00844750"/>
    <w:rsid w:val="0084488A"/>
    <w:rsid w:val="00856B6B"/>
    <w:rsid w:val="00856D39"/>
    <w:rsid w:val="00857984"/>
    <w:rsid w:val="00860332"/>
    <w:rsid w:val="00862738"/>
    <w:rsid w:val="00866A05"/>
    <w:rsid w:val="00867006"/>
    <w:rsid w:val="0087460B"/>
    <w:rsid w:val="00893025"/>
    <w:rsid w:val="008957BC"/>
    <w:rsid w:val="008962BF"/>
    <w:rsid w:val="0089756B"/>
    <w:rsid w:val="008A2518"/>
    <w:rsid w:val="008B3169"/>
    <w:rsid w:val="008B44C4"/>
    <w:rsid w:val="008B7879"/>
    <w:rsid w:val="008C3758"/>
    <w:rsid w:val="008C39AC"/>
    <w:rsid w:val="008C3F29"/>
    <w:rsid w:val="008C52FB"/>
    <w:rsid w:val="008D3919"/>
    <w:rsid w:val="008E28CA"/>
    <w:rsid w:val="008E4410"/>
    <w:rsid w:val="008E7FAE"/>
    <w:rsid w:val="008F0F36"/>
    <w:rsid w:val="008F3D5B"/>
    <w:rsid w:val="00901068"/>
    <w:rsid w:val="00901556"/>
    <w:rsid w:val="0090498A"/>
    <w:rsid w:val="00905FBF"/>
    <w:rsid w:val="009117E5"/>
    <w:rsid w:val="00911BF7"/>
    <w:rsid w:val="00917113"/>
    <w:rsid w:val="009211D4"/>
    <w:rsid w:val="009267F1"/>
    <w:rsid w:val="009279E7"/>
    <w:rsid w:val="00930F2E"/>
    <w:rsid w:val="00934D4C"/>
    <w:rsid w:val="00936F5A"/>
    <w:rsid w:val="009470BD"/>
    <w:rsid w:val="00952FDB"/>
    <w:rsid w:val="00955275"/>
    <w:rsid w:val="009556DB"/>
    <w:rsid w:val="0096487B"/>
    <w:rsid w:val="00970F6B"/>
    <w:rsid w:val="00976711"/>
    <w:rsid w:val="009778A1"/>
    <w:rsid w:val="00977EC8"/>
    <w:rsid w:val="00980780"/>
    <w:rsid w:val="0098166F"/>
    <w:rsid w:val="00983DA0"/>
    <w:rsid w:val="009847D5"/>
    <w:rsid w:val="00986E21"/>
    <w:rsid w:val="009948E3"/>
    <w:rsid w:val="00995211"/>
    <w:rsid w:val="00995D02"/>
    <w:rsid w:val="009A09FE"/>
    <w:rsid w:val="009A321F"/>
    <w:rsid w:val="009A4381"/>
    <w:rsid w:val="009A6A9E"/>
    <w:rsid w:val="009B057B"/>
    <w:rsid w:val="009B7AE1"/>
    <w:rsid w:val="009C00A3"/>
    <w:rsid w:val="009D3A8C"/>
    <w:rsid w:val="009D5A5F"/>
    <w:rsid w:val="009D64C4"/>
    <w:rsid w:val="009E000B"/>
    <w:rsid w:val="009E2214"/>
    <w:rsid w:val="009E6E61"/>
    <w:rsid w:val="009E7956"/>
    <w:rsid w:val="009F3A13"/>
    <w:rsid w:val="00A00E5B"/>
    <w:rsid w:val="00A0313F"/>
    <w:rsid w:val="00A050FA"/>
    <w:rsid w:val="00A103AF"/>
    <w:rsid w:val="00A10449"/>
    <w:rsid w:val="00A1123A"/>
    <w:rsid w:val="00A21A8C"/>
    <w:rsid w:val="00A2235B"/>
    <w:rsid w:val="00A2492E"/>
    <w:rsid w:val="00A24FEE"/>
    <w:rsid w:val="00A326FA"/>
    <w:rsid w:val="00A34891"/>
    <w:rsid w:val="00A35419"/>
    <w:rsid w:val="00A35E18"/>
    <w:rsid w:val="00A44716"/>
    <w:rsid w:val="00A455E2"/>
    <w:rsid w:val="00A52538"/>
    <w:rsid w:val="00A5529C"/>
    <w:rsid w:val="00A55C74"/>
    <w:rsid w:val="00A566C8"/>
    <w:rsid w:val="00A56E4C"/>
    <w:rsid w:val="00A57313"/>
    <w:rsid w:val="00A6018E"/>
    <w:rsid w:val="00A62D08"/>
    <w:rsid w:val="00A649F2"/>
    <w:rsid w:val="00A67246"/>
    <w:rsid w:val="00A67496"/>
    <w:rsid w:val="00A70163"/>
    <w:rsid w:val="00A70EF3"/>
    <w:rsid w:val="00A71547"/>
    <w:rsid w:val="00A856DA"/>
    <w:rsid w:val="00A96AE9"/>
    <w:rsid w:val="00A97264"/>
    <w:rsid w:val="00A97414"/>
    <w:rsid w:val="00A97A1B"/>
    <w:rsid w:val="00A97F33"/>
    <w:rsid w:val="00AA04FE"/>
    <w:rsid w:val="00AA477F"/>
    <w:rsid w:val="00AA4811"/>
    <w:rsid w:val="00AA66C2"/>
    <w:rsid w:val="00AB21D5"/>
    <w:rsid w:val="00AB53F5"/>
    <w:rsid w:val="00AB660E"/>
    <w:rsid w:val="00AB7F40"/>
    <w:rsid w:val="00AC41A5"/>
    <w:rsid w:val="00AC67A1"/>
    <w:rsid w:val="00AC7977"/>
    <w:rsid w:val="00AD56A1"/>
    <w:rsid w:val="00AD73D6"/>
    <w:rsid w:val="00AD79AF"/>
    <w:rsid w:val="00AE1636"/>
    <w:rsid w:val="00AE16CE"/>
    <w:rsid w:val="00AE2938"/>
    <w:rsid w:val="00AE352C"/>
    <w:rsid w:val="00AE55D0"/>
    <w:rsid w:val="00AE656F"/>
    <w:rsid w:val="00AE794F"/>
    <w:rsid w:val="00AF4B5F"/>
    <w:rsid w:val="00B11FED"/>
    <w:rsid w:val="00B12AB4"/>
    <w:rsid w:val="00B20C7B"/>
    <w:rsid w:val="00B20E76"/>
    <w:rsid w:val="00B20EC1"/>
    <w:rsid w:val="00B21B20"/>
    <w:rsid w:val="00B2541E"/>
    <w:rsid w:val="00B324BC"/>
    <w:rsid w:val="00B32E2D"/>
    <w:rsid w:val="00B367AE"/>
    <w:rsid w:val="00B412F8"/>
    <w:rsid w:val="00B43ED5"/>
    <w:rsid w:val="00B4466B"/>
    <w:rsid w:val="00B53379"/>
    <w:rsid w:val="00B61990"/>
    <w:rsid w:val="00B706B3"/>
    <w:rsid w:val="00B72212"/>
    <w:rsid w:val="00B7543C"/>
    <w:rsid w:val="00B768FF"/>
    <w:rsid w:val="00B778BF"/>
    <w:rsid w:val="00B85D99"/>
    <w:rsid w:val="00B8607B"/>
    <w:rsid w:val="00B92391"/>
    <w:rsid w:val="00B93E72"/>
    <w:rsid w:val="00B969D6"/>
    <w:rsid w:val="00BA1B07"/>
    <w:rsid w:val="00BA1E0F"/>
    <w:rsid w:val="00BB0D7E"/>
    <w:rsid w:val="00BC3FE0"/>
    <w:rsid w:val="00BC4943"/>
    <w:rsid w:val="00BC6718"/>
    <w:rsid w:val="00BD71C8"/>
    <w:rsid w:val="00BE184B"/>
    <w:rsid w:val="00BE78EB"/>
    <w:rsid w:val="00BE7B88"/>
    <w:rsid w:val="00BF0556"/>
    <w:rsid w:val="00BF2655"/>
    <w:rsid w:val="00BF4838"/>
    <w:rsid w:val="00C005B2"/>
    <w:rsid w:val="00C00C5D"/>
    <w:rsid w:val="00C04A87"/>
    <w:rsid w:val="00C11802"/>
    <w:rsid w:val="00C160C6"/>
    <w:rsid w:val="00C17138"/>
    <w:rsid w:val="00C24B53"/>
    <w:rsid w:val="00C24E22"/>
    <w:rsid w:val="00C2522D"/>
    <w:rsid w:val="00C261F8"/>
    <w:rsid w:val="00C2665A"/>
    <w:rsid w:val="00C26EFD"/>
    <w:rsid w:val="00C33100"/>
    <w:rsid w:val="00C34243"/>
    <w:rsid w:val="00C34C4E"/>
    <w:rsid w:val="00C51E35"/>
    <w:rsid w:val="00C52995"/>
    <w:rsid w:val="00C5325A"/>
    <w:rsid w:val="00C53BAF"/>
    <w:rsid w:val="00C53CCE"/>
    <w:rsid w:val="00C54AA6"/>
    <w:rsid w:val="00C60530"/>
    <w:rsid w:val="00C63328"/>
    <w:rsid w:val="00C6664E"/>
    <w:rsid w:val="00C70623"/>
    <w:rsid w:val="00C70CA1"/>
    <w:rsid w:val="00C71487"/>
    <w:rsid w:val="00C7350D"/>
    <w:rsid w:val="00C80ECE"/>
    <w:rsid w:val="00C836E1"/>
    <w:rsid w:val="00C83AC3"/>
    <w:rsid w:val="00C92B4E"/>
    <w:rsid w:val="00C940E9"/>
    <w:rsid w:val="00C94120"/>
    <w:rsid w:val="00C96972"/>
    <w:rsid w:val="00CA0127"/>
    <w:rsid w:val="00CA0FB9"/>
    <w:rsid w:val="00CA49A6"/>
    <w:rsid w:val="00CB1F1C"/>
    <w:rsid w:val="00CB6267"/>
    <w:rsid w:val="00CC5834"/>
    <w:rsid w:val="00CD1A71"/>
    <w:rsid w:val="00CD1FBB"/>
    <w:rsid w:val="00CD3634"/>
    <w:rsid w:val="00CE32FE"/>
    <w:rsid w:val="00CE5A9C"/>
    <w:rsid w:val="00CE7227"/>
    <w:rsid w:val="00D00DE2"/>
    <w:rsid w:val="00D016B5"/>
    <w:rsid w:val="00D03260"/>
    <w:rsid w:val="00D034F1"/>
    <w:rsid w:val="00D10A8E"/>
    <w:rsid w:val="00D11B17"/>
    <w:rsid w:val="00D11DC3"/>
    <w:rsid w:val="00D142CE"/>
    <w:rsid w:val="00D218F8"/>
    <w:rsid w:val="00D27D5E"/>
    <w:rsid w:val="00D27F8C"/>
    <w:rsid w:val="00D30ABC"/>
    <w:rsid w:val="00D371F4"/>
    <w:rsid w:val="00D47A16"/>
    <w:rsid w:val="00D536B6"/>
    <w:rsid w:val="00D56A9E"/>
    <w:rsid w:val="00D57082"/>
    <w:rsid w:val="00D57C1E"/>
    <w:rsid w:val="00D60301"/>
    <w:rsid w:val="00D604F1"/>
    <w:rsid w:val="00D6327A"/>
    <w:rsid w:val="00D6454D"/>
    <w:rsid w:val="00D66E6A"/>
    <w:rsid w:val="00D74C4B"/>
    <w:rsid w:val="00D76519"/>
    <w:rsid w:val="00D8765D"/>
    <w:rsid w:val="00D9454D"/>
    <w:rsid w:val="00D967C7"/>
    <w:rsid w:val="00DA153B"/>
    <w:rsid w:val="00DA4B37"/>
    <w:rsid w:val="00DA57D4"/>
    <w:rsid w:val="00DA7672"/>
    <w:rsid w:val="00DB4793"/>
    <w:rsid w:val="00DB64C0"/>
    <w:rsid w:val="00DC7833"/>
    <w:rsid w:val="00DD11FA"/>
    <w:rsid w:val="00DD1A1B"/>
    <w:rsid w:val="00DD3E44"/>
    <w:rsid w:val="00DD6D12"/>
    <w:rsid w:val="00DD6E2C"/>
    <w:rsid w:val="00DD70AF"/>
    <w:rsid w:val="00DD73BB"/>
    <w:rsid w:val="00DE01E3"/>
    <w:rsid w:val="00DE17DD"/>
    <w:rsid w:val="00DE6D90"/>
    <w:rsid w:val="00DF002F"/>
    <w:rsid w:val="00DF7F73"/>
    <w:rsid w:val="00E0244D"/>
    <w:rsid w:val="00E02A4F"/>
    <w:rsid w:val="00E02D1B"/>
    <w:rsid w:val="00E03A64"/>
    <w:rsid w:val="00E04CA6"/>
    <w:rsid w:val="00E05332"/>
    <w:rsid w:val="00E12D45"/>
    <w:rsid w:val="00E132E6"/>
    <w:rsid w:val="00E13CE5"/>
    <w:rsid w:val="00E14106"/>
    <w:rsid w:val="00E16C22"/>
    <w:rsid w:val="00E209E1"/>
    <w:rsid w:val="00E259A2"/>
    <w:rsid w:val="00E25CEE"/>
    <w:rsid w:val="00E41F45"/>
    <w:rsid w:val="00E42D23"/>
    <w:rsid w:val="00E42F9B"/>
    <w:rsid w:val="00E43A4E"/>
    <w:rsid w:val="00E4491D"/>
    <w:rsid w:val="00E46700"/>
    <w:rsid w:val="00E467D9"/>
    <w:rsid w:val="00E46C45"/>
    <w:rsid w:val="00E504DA"/>
    <w:rsid w:val="00E52AEC"/>
    <w:rsid w:val="00E55D71"/>
    <w:rsid w:val="00E56F0A"/>
    <w:rsid w:val="00E61A2F"/>
    <w:rsid w:val="00E63421"/>
    <w:rsid w:val="00E74B8E"/>
    <w:rsid w:val="00E81E94"/>
    <w:rsid w:val="00E82607"/>
    <w:rsid w:val="00E82F8E"/>
    <w:rsid w:val="00E84E79"/>
    <w:rsid w:val="00E86D9C"/>
    <w:rsid w:val="00E915C6"/>
    <w:rsid w:val="00EA20E9"/>
    <w:rsid w:val="00EA31C2"/>
    <w:rsid w:val="00EB04A0"/>
    <w:rsid w:val="00EB50D1"/>
    <w:rsid w:val="00EB67F0"/>
    <w:rsid w:val="00EB7C7C"/>
    <w:rsid w:val="00EC17EF"/>
    <w:rsid w:val="00ED0A27"/>
    <w:rsid w:val="00ED2EDD"/>
    <w:rsid w:val="00ED4C78"/>
    <w:rsid w:val="00EE002B"/>
    <w:rsid w:val="00EE2EA3"/>
    <w:rsid w:val="00EF3A5B"/>
    <w:rsid w:val="00EF6183"/>
    <w:rsid w:val="00EF6937"/>
    <w:rsid w:val="00EF73A7"/>
    <w:rsid w:val="00F00678"/>
    <w:rsid w:val="00F01516"/>
    <w:rsid w:val="00F06C2A"/>
    <w:rsid w:val="00F15C00"/>
    <w:rsid w:val="00F16AC6"/>
    <w:rsid w:val="00F17AC6"/>
    <w:rsid w:val="00F20C8B"/>
    <w:rsid w:val="00F2438C"/>
    <w:rsid w:val="00F30D47"/>
    <w:rsid w:val="00F3201D"/>
    <w:rsid w:val="00F35031"/>
    <w:rsid w:val="00F409C4"/>
    <w:rsid w:val="00F46DC9"/>
    <w:rsid w:val="00F51F6F"/>
    <w:rsid w:val="00F56037"/>
    <w:rsid w:val="00F57129"/>
    <w:rsid w:val="00F60488"/>
    <w:rsid w:val="00F610A1"/>
    <w:rsid w:val="00F614CA"/>
    <w:rsid w:val="00F6284B"/>
    <w:rsid w:val="00F6679D"/>
    <w:rsid w:val="00F66822"/>
    <w:rsid w:val="00F674EF"/>
    <w:rsid w:val="00F74D73"/>
    <w:rsid w:val="00F75761"/>
    <w:rsid w:val="00F822AD"/>
    <w:rsid w:val="00F870FA"/>
    <w:rsid w:val="00F87625"/>
    <w:rsid w:val="00F87BC6"/>
    <w:rsid w:val="00F96B3F"/>
    <w:rsid w:val="00FA0501"/>
    <w:rsid w:val="00FA2969"/>
    <w:rsid w:val="00FA5A79"/>
    <w:rsid w:val="00FB00CB"/>
    <w:rsid w:val="00FB0BFE"/>
    <w:rsid w:val="00FB122F"/>
    <w:rsid w:val="00FB32D0"/>
    <w:rsid w:val="00FB43DE"/>
    <w:rsid w:val="00FB4C51"/>
    <w:rsid w:val="00FC0F63"/>
    <w:rsid w:val="00FC31FE"/>
    <w:rsid w:val="00FD04D2"/>
    <w:rsid w:val="00FD4F12"/>
    <w:rsid w:val="00FE19D6"/>
    <w:rsid w:val="00FE3634"/>
    <w:rsid w:val="00FE39B8"/>
    <w:rsid w:val="00FE4325"/>
    <w:rsid w:val="00FE63C6"/>
    <w:rsid w:val="00FF1DBD"/>
    <w:rsid w:val="00FF2A3F"/>
    <w:rsid w:val="00FF72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671E78"/>
  <w15:chartTrackingRefBased/>
  <w15:docId w15:val="{05813B14-4652-4DFE-9ADB-DF2555B3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styleId="PlaceholderText">
    <w:name w:val="Placeholder Text"/>
    <w:basedOn w:val="DefaultParagraphFont"/>
    <w:uiPriority w:val="99"/>
    <w:semiHidden/>
    <w:rsid w:val="007018B2"/>
    <w:rPr>
      <w:color w:val="808080"/>
    </w:rPr>
  </w:style>
  <w:style w:type="paragraph" w:customStyle="1" w:styleId="Pa25">
    <w:name w:val="Pa25"/>
    <w:basedOn w:val="Default"/>
    <w:next w:val="Default"/>
    <w:uiPriority w:val="99"/>
    <w:rsid w:val="009A4381"/>
    <w:pPr>
      <w:spacing w:line="200" w:lineRule="atLeast"/>
    </w:pPr>
    <w:rPr>
      <w:rFonts w:ascii="Cambria" w:hAnsi="Cambria"/>
      <w:color w:val="auto"/>
      <w:lang w:val="en-US" w:eastAsia="en-US"/>
    </w:rPr>
  </w:style>
  <w:style w:type="character" w:customStyle="1" w:styleId="A12">
    <w:name w:val="A12"/>
    <w:uiPriority w:val="99"/>
    <w:rsid w:val="009A4381"/>
    <w:rPr>
      <w:rFonts w:cs="Cambria"/>
      <w:color w:val="000000"/>
      <w:sz w:val="15"/>
      <w:szCs w:val="15"/>
    </w:rPr>
  </w:style>
  <w:style w:type="paragraph" w:customStyle="1" w:styleId="Pa27">
    <w:name w:val="Pa27"/>
    <w:basedOn w:val="Default"/>
    <w:next w:val="Default"/>
    <w:uiPriority w:val="99"/>
    <w:rsid w:val="00402727"/>
    <w:pPr>
      <w:spacing w:line="180" w:lineRule="atLeast"/>
    </w:pPr>
    <w:rPr>
      <w:rFonts w:ascii="Cambria" w:hAnsi="Cambria"/>
      <w:color w:val="auto"/>
      <w:lang w:val="en-US" w:eastAsia="en-US"/>
    </w:rPr>
  </w:style>
  <w:style w:type="character" w:customStyle="1" w:styleId="A13">
    <w:name w:val="A13"/>
    <w:uiPriority w:val="99"/>
    <w:rsid w:val="00402727"/>
    <w:rPr>
      <w:rFonts w:cs="Cambria"/>
      <w:color w:val="000000"/>
      <w:sz w:val="13"/>
      <w:szCs w:val="13"/>
    </w:rPr>
  </w:style>
  <w:style w:type="character" w:customStyle="1" w:styleId="A15">
    <w:name w:val="A15"/>
    <w:uiPriority w:val="99"/>
    <w:rsid w:val="00402727"/>
    <w:rPr>
      <w:rFonts w:cs="Cambria"/>
      <w:color w:val="000000"/>
      <w:sz w:val="13"/>
      <w:szCs w:val="13"/>
    </w:rPr>
  </w:style>
  <w:style w:type="paragraph" w:styleId="ListParagraph">
    <w:name w:val="List Paragraph"/>
    <w:basedOn w:val="Normal"/>
    <w:uiPriority w:val="34"/>
    <w:qFormat/>
    <w:rsid w:val="001D3B46"/>
    <w:pPr>
      <w:ind w:left="720"/>
      <w:contextualSpacing/>
    </w:pPr>
  </w:style>
  <w:style w:type="paragraph" w:styleId="Revision">
    <w:name w:val="Revision"/>
    <w:hidden/>
    <w:uiPriority w:val="99"/>
    <w:semiHidden/>
    <w:rsid w:val="00697583"/>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157">
      <w:bodyDiv w:val="1"/>
      <w:marLeft w:val="0"/>
      <w:marRight w:val="0"/>
      <w:marTop w:val="0"/>
      <w:marBottom w:val="0"/>
      <w:divBdr>
        <w:top w:val="none" w:sz="0" w:space="0" w:color="auto"/>
        <w:left w:val="none" w:sz="0" w:space="0" w:color="auto"/>
        <w:bottom w:val="none" w:sz="0" w:space="0" w:color="auto"/>
        <w:right w:val="none" w:sz="0" w:space="0" w:color="auto"/>
      </w:divBdr>
    </w:div>
    <w:div w:id="310868232">
      <w:bodyDiv w:val="1"/>
      <w:marLeft w:val="0"/>
      <w:marRight w:val="0"/>
      <w:marTop w:val="0"/>
      <w:marBottom w:val="0"/>
      <w:divBdr>
        <w:top w:val="none" w:sz="0" w:space="0" w:color="auto"/>
        <w:left w:val="none" w:sz="0" w:space="0" w:color="auto"/>
        <w:bottom w:val="none" w:sz="0" w:space="0" w:color="auto"/>
        <w:right w:val="none" w:sz="0" w:space="0" w:color="auto"/>
      </w:divBdr>
    </w:div>
    <w:div w:id="564032342">
      <w:bodyDiv w:val="1"/>
      <w:marLeft w:val="0"/>
      <w:marRight w:val="0"/>
      <w:marTop w:val="0"/>
      <w:marBottom w:val="0"/>
      <w:divBdr>
        <w:top w:val="none" w:sz="0" w:space="0" w:color="auto"/>
        <w:left w:val="none" w:sz="0" w:space="0" w:color="auto"/>
        <w:bottom w:val="none" w:sz="0" w:space="0" w:color="auto"/>
        <w:right w:val="none" w:sz="0" w:space="0" w:color="auto"/>
      </w:divBdr>
    </w:div>
    <w:div w:id="850754976">
      <w:bodyDiv w:val="1"/>
      <w:marLeft w:val="0"/>
      <w:marRight w:val="0"/>
      <w:marTop w:val="0"/>
      <w:marBottom w:val="0"/>
      <w:divBdr>
        <w:top w:val="none" w:sz="0" w:space="0" w:color="auto"/>
        <w:left w:val="none" w:sz="0" w:space="0" w:color="auto"/>
        <w:bottom w:val="none" w:sz="0" w:space="0" w:color="auto"/>
        <w:right w:val="none" w:sz="0" w:space="0" w:color="auto"/>
      </w:divBdr>
      <w:divsChild>
        <w:div w:id="527258364">
          <w:marLeft w:val="547"/>
          <w:marRight w:val="0"/>
          <w:marTop w:val="86"/>
          <w:marBottom w:val="0"/>
          <w:divBdr>
            <w:top w:val="none" w:sz="0" w:space="0" w:color="auto"/>
            <w:left w:val="none" w:sz="0" w:space="0" w:color="auto"/>
            <w:bottom w:val="none" w:sz="0" w:space="0" w:color="auto"/>
            <w:right w:val="none" w:sz="0" w:space="0" w:color="auto"/>
          </w:divBdr>
        </w:div>
        <w:div w:id="1269047568">
          <w:marLeft w:val="547"/>
          <w:marRight w:val="0"/>
          <w:marTop w:val="86"/>
          <w:marBottom w:val="0"/>
          <w:divBdr>
            <w:top w:val="none" w:sz="0" w:space="0" w:color="auto"/>
            <w:left w:val="none" w:sz="0" w:space="0" w:color="auto"/>
            <w:bottom w:val="none" w:sz="0" w:space="0" w:color="auto"/>
            <w:right w:val="none" w:sz="0" w:space="0" w:color="auto"/>
          </w:divBdr>
        </w:div>
        <w:div w:id="1940796628">
          <w:marLeft w:val="547"/>
          <w:marRight w:val="0"/>
          <w:marTop w:val="86"/>
          <w:marBottom w:val="0"/>
          <w:divBdr>
            <w:top w:val="none" w:sz="0" w:space="0" w:color="auto"/>
            <w:left w:val="none" w:sz="0" w:space="0" w:color="auto"/>
            <w:bottom w:val="none" w:sz="0" w:space="0" w:color="auto"/>
            <w:right w:val="none" w:sz="0" w:space="0" w:color="auto"/>
          </w:divBdr>
        </w:div>
      </w:divsChild>
    </w:div>
    <w:div w:id="1205680987">
      <w:bodyDiv w:val="1"/>
      <w:marLeft w:val="0"/>
      <w:marRight w:val="0"/>
      <w:marTop w:val="0"/>
      <w:marBottom w:val="0"/>
      <w:divBdr>
        <w:top w:val="none" w:sz="0" w:space="0" w:color="auto"/>
        <w:left w:val="none" w:sz="0" w:space="0" w:color="auto"/>
        <w:bottom w:val="none" w:sz="0" w:space="0" w:color="auto"/>
        <w:right w:val="none" w:sz="0" w:space="0" w:color="auto"/>
      </w:divBdr>
    </w:div>
    <w:div w:id="1311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F761A-DD37-47FE-BFED-B52705855DA4}">
  <ds:schemaRefs>
    <ds:schemaRef ds:uri="http://schemas.microsoft.com/sharepoint/v3/contenttype/forms"/>
  </ds:schemaRefs>
</ds:datastoreItem>
</file>

<file path=customXml/itemProps2.xml><?xml version="1.0" encoding="utf-8"?>
<ds:datastoreItem xmlns:ds="http://schemas.openxmlformats.org/officeDocument/2006/customXml" ds:itemID="{ABBEB5B6-5B1B-4E65-9F24-64512514CCC5}">
  <ds:schemaRefs>
    <ds:schemaRef ds:uri="http://schemas.openxmlformats.org/officeDocument/2006/bibliography"/>
  </ds:schemaRefs>
</ds:datastoreItem>
</file>

<file path=customXml/itemProps3.xml><?xml version="1.0" encoding="utf-8"?>
<ds:datastoreItem xmlns:ds="http://schemas.openxmlformats.org/officeDocument/2006/customXml" ds:itemID="{69D62EA7-84D3-4A23-AA47-C7D0BE17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7A89F-72D9-4800-8182-D6268E6F0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2855</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Francois Cuenot</cp:lastModifiedBy>
  <cp:revision>3</cp:revision>
  <cp:lastPrinted>2012-07-18T08:50:00Z</cp:lastPrinted>
  <dcterms:created xsi:type="dcterms:W3CDTF">2022-05-29T21:18:00Z</dcterms:created>
  <dcterms:modified xsi:type="dcterms:W3CDTF">2022-05-29T21:19:00Z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