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2CDDA4E5" w14:textId="77777777" w:rsidR="00D95904" w:rsidRDefault="00D95904" w:rsidP="00D95904">
      <w:pPr>
        <w:pStyle w:val="Default"/>
        <w:jc w:val="center"/>
        <w:rPr>
          <w:b/>
          <w:bCs/>
          <w:sz w:val="32"/>
          <w:szCs w:val="36"/>
        </w:rPr>
      </w:pPr>
      <w:r w:rsidRPr="00CB1BC0">
        <w:rPr>
          <w:b/>
          <w:bCs/>
          <w:sz w:val="32"/>
          <w:szCs w:val="32"/>
        </w:rPr>
        <w:t>Proposal</w:t>
      </w:r>
      <w:r w:rsidRPr="00CB1BC0">
        <w:rPr>
          <w:b/>
          <w:bCs/>
          <w:sz w:val="32"/>
          <w:szCs w:val="36"/>
        </w:rPr>
        <w:t xml:space="preserve"> for additional content in </w:t>
      </w:r>
    </w:p>
    <w:p w14:paraId="4E0BA1F5" w14:textId="77777777" w:rsidR="00D95904" w:rsidRDefault="00D95904" w:rsidP="00D95904">
      <w:pPr>
        <w:pStyle w:val="Default"/>
        <w:jc w:val="center"/>
        <w:rPr>
          <w:b/>
          <w:bCs/>
          <w:sz w:val="32"/>
          <w:szCs w:val="36"/>
        </w:rPr>
      </w:pPr>
      <w:r w:rsidRPr="00154A08">
        <w:rPr>
          <w:b/>
          <w:bCs/>
          <w:sz w:val="32"/>
          <w:szCs w:val="36"/>
        </w:rPr>
        <w:t>ECE/TRANS/WP.29/GRPE/2022/10</w:t>
      </w:r>
    </w:p>
    <w:p w14:paraId="7AD0C4F2" w14:textId="77777777" w:rsidR="001A3844" w:rsidRDefault="001A3844" w:rsidP="001A3844">
      <w:pPr>
        <w:pStyle w:val="Default"/>
        <w:rPr>
          <w:sz w:val="20"/>
          <w:szCs w:val="20"/>
        </w:rPr>
      </w:pPr>
    </w:p>
    <w:p w14:paraId="155C97DB" w14:textId="77777777" w:rsidR="001A3844" w:rsidRDefault="001A3844" w:rsidP="001A3844">
      <w:pPr>
        <w:pStyle w:val="Default"/>
        <w:rPr>
          <w:sz w:val="20"/>
          <w:szCs w:val="20"/>
        </w:rPr>
      </w:pPr>
    </w:p>
    <w:p w14:paraId="435DE4E0" w14:textId="3D2D604C" w:rsidR="00D95904" w:rsidRPr="00CA1F03" w:rsidRDefault="00D95904" w:rsidP="00D95904">
      <w:pPr>
        <w:pStyle w:val="Default"/>
        <w:ind w:left="1134" w:right="1110"/>
        <w:jc w:val="both"/>
        <w:rPr>
          <w:b/>
          <w:bCs/>
          <w:sz w:val="20"/>
          <w:szCs w:val="20"/>
        </w:rPr>
      </w:pPr>
      <w:r w:rsidRPr="00CB1BC0">
        <w:rPr>
          <w:sz w:val="20"/>
          <w:szCs w:val="20"/>
        </w:rPr>
        <w:t xml:space="preserve">This document </w:t>
      </w:r>
      <w:r w:rsidRPr="00CB1BC0">
        <w:rPr>
          <w:bCs/>
          <w:sz w:val="20"/>
          <w:szCs w:val="20"/>
        </w:rPr>
        <w:t xml:space="preserve">proposes </w:t>
      </w:r>
      <w:r>
        <w:rPr>
          <w:bCs/>
          <w:sz w:val="20"/>
          <w:szCs w:val="20"/>
        </w:rPr>
        <w:t>amendments to</w:t>
      </w:r>
      <w:r w:rsidRPr="00CB1BC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UN </w:t>
      </w:r>
      <w:r w:rsidRPr="00CB1BC0">
        <w:rPr>
          <w:bCs/>
          <w:sz w:val="20"/>
          <w:szCs w:val="20"/>
        </w:rPr>
        <w:t xml:space="preserve">Regulation </w:t>
      </w:r>
      <w:r>
        <w:rPr>
          <w:bCs/>
          <w:sz w:val="20"/>
          <w:szCs w:val="20"/>
        </w:rPr>
        <w:t xml:space="preserve">No. </w:t>
      </w:r>
      <w:r w:rsidRPr="00CB1BC0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3</w:t>
      </w:r>
      <w:r w:rsidRPr="00CB1BC0">
        <w:rPr>
          <w:bCs/>
          <w:sz w:val="20"/>
          <w:szCs w:val="20"/>
        </w:rPr>
        <w:t xml:space="preserve"> concerning </w:t>
      </w:r>
      <w:r>
        <w:rPr>
          <w:bCs/>
          <w:sz w:val="20"/>
          <w:szCs w:val="20"/>
        </w:rPr>
        <w:t xml:space="preserve">a </w:t>
      </w:r>
      <w:r w:rsidRPr="00154A08">
        <w:rPr>
          <w:bCs/>
          <w:sz w:val="20"/>
          <w:szCs w:val="20"/>
        </w:rPr>
        <w:t>correct</w:t>
      </w:r>
      <w:r>
        <w:rPr>
          <w:bCs/>
          <w:sz w:val="20"/>
          <w:szCs w:val="20"/>
        </w:rPr>
        <w:t>ion of</w:t>
      </w:r>
      <w:r w:rsidRPr="00154A08">
        <w:rPr>
          <w:bCs/>
          <w:sz w:val="20"/>
          <w:szCs w:val="20"/>
        </w:rPr>
        <w:t xml:space="preserve"> the recursive formula</w:t>
      </w:r>
      <w:r>
        <w:rPr>
          <w:bCs/>
          <w:sz w:val="20"/>
          <w:szCs w:val="20"/>
        </w:rPr>
        <w:t xml:space="preserve"> </w:t>
      </w:r>
      <w:r w:rsidRPr="00154A08">
        <w:rPr>
          <w:bCs/>
          <w:sz w:val="20"/>
          <w:szCs w:val="20"/>
        </w:rPr>
        <w:t>for verifying the conformity of production</w:t>
      </w:r>
      <w:r>
        <w:rPr>
          <w:bCs/>
          <w:sz w:val="20"/>
          <w:szCs w:val="20"/>
        </w:rPr>
        <w:t xml:space="preserve">, an alignment of </w:t>
      </w:r>
      <w:r w:rsidRPr="00154A08">
        <w:rPr>
          <w:bCs/>
          <w:sz w:val="20"/>
          <w:szCs w:val="20"/>
        </w:rPr>
        <w:t xml:space="preserve">the approval certificate </w:t>
      </w:r>
      <w:r>
        <w:rPr>
          <w:bCs/>
          <w:sz w:val="20"/>
          <w:szCs w:val="20"/>
        </w:rPr>
        <w:t>within</w:t>
      </w:r>
      <w:r w:rsidRPr="00154A08">
        <w:rPr>
          <w:bCs/>
          <w:sz w:val="20"/>
          <w:szCs w:val="20"/>
        </w:rPr>
        <w:t xml:space="preserve"> UN Regulation No. 83 </w:t>
      </w:r>
      <w:r>
        <w:rPr>
          <w:bCs/>
          <w:sz w:val="20"/>
          <w:szCs w:val="20"/>
        </w:rPr>
        <w:t>to</w:t>
      </w:r>
      <w:r w:rsidRPr="00154A08">
        <w:rPr>
          <w:bCs/>
          <w:sz w:val="20"/>
          <w:szCs w:val="20"/>
        </w:rPr>
        <w:t xml:space="preserve"> recent changes </w:t>
      </w:r>
      <w:r>
        <w:rPr>
          <w:bCs/>
          <w:sz w:val="20"/>
          <w:szCs w:val="20"/>
        </w:rPr>
        <w:t>of</w:t>
      </w:r>
      <w:r w:rsidRPr="00154A08">
        <w:rPr>
          <w:bCs/>
          <w:sz w:val="20"/>
          <w:szCs w:val="20"/>
        </w:rPr>
        <w:t xml:space="preserve"> regulation UN Regulation No. 24</w:t>
      </w:r>
      <w:r>
        <w:rPr>
          <w:bCs/>
          <w:sz w:val="20"/>
          <w:szCs w:val="20"/>
        </w:rPr>
        <w:t xml:space="preserve"> and changes to the </w:t>
      </w:r>
      <w:r w:rsidRPr="002520B2">
        <w:rPr>
          <w:bCs/>
          <w:color w:val="000000" w:themeColor="text1"/>
          <w:sz w:val="20"/>
          <w:szCs w:val="20"/>
        </w:rPr>
        <w:t xml:space="preserve">OBD chapter in order to harmonize </w:t>
      </w:r>
      <w:r w:rsidRPr="00E176E3">
        <w:rPr>
          <w:rFonts w:eastAsia="MS Mincho"/>
          <w:sz w:val="20"/>
          <w:szCs w:val="20"/>
          <w:lang w:eastAsia="fr-FR"/>
        </w:rPr>
        <w:t>UN Regulation No. 83 to UN Regulation No. 154</w:t>
      </w:r>
      <w:r>
        <w:rPr>
          <w:bCs/>
          <w:sz w:val="20"/>
          <w:szCs w:val="20"/>
        </w:rPr>
        <w:t xml:space="preserve">. </w:t>
      </w:r>
      <w:r w:rsidRPr="00CA1F03">
        <w:rPr>
          <w:sz w:val="20"/>
          <w:szCs w:val="20"/>
        </w:rPr>
        <w:t xml:space="preserve">The modifications to the current text of the Regulation are marked in bold for new or strikethrough for deleted characters. </w:t>
      </w:r>
    </w:p>
    <w:p w14:paraId="148B07F7" w14:textId="77777777" w:rsidR="0065242B" w:rsidRPr="00387F0F" w:rsidRDefault="0065242B" w:rsidP="00D95904">
      <w:pPr>
        <w:pStyle w:val="HChG"/>
        <w:tabs>
          <w:tab w:val="left" w:pos="8505"/>
        </w:tabs>
        <w:spacing w:before="320" w:after="200" w:line="240" w:lineRule="atLeast"/>
        <w:ind w:left="0" w:right="-40" w:firstLine="0"/>
      </w:pPr>
      <w:r w:rsidRPr="007E2DDC">
        <w:t>I.</w:t>
      </w:r>
      <w:r w:rsidRPr="007E2DDC">
        <w:tab/>
      </w:r>
      <w:r>
        <w:t xml:space="preserve"> </w:t>
      </w:r>
      <w:r w:rsidRPr="00387F0F">
        <w:t>Introduction</w:t>
      </w:r>
    </w:p>
    <w:p w14:paraId="1D519CD6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 xml:space="preserve">In the </w:t>
      </w:r>
      <w:r w:rsidRPr="00154A08">
        <w:rPr>
          <w:rFonts w:eastAsia="MS Mincho"/>
          <w:i/>
          <w:color w:val="000000"/>
          <w:lang w:eastAsia="fr-FR"/>
        </w:rPr>
        <w:t>05</w:t>
      </w:r>
      <w:r w:rsidRPr="00154A08">
        <w:rPr>
          <w:rFonts w:eastAsia="MS Mincho"/>
          <w:i/>
          <w:lang w:eastAsia="fr-FR"/>
        </w:rPr>
        <w:t>, 06 and 07 series of amendments</w:t>
      </w:r>
    </w:p>
    <w:p w14:paraId="5EFA7ACF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 xml:space="preserve">Paragraph 6. of Appendix 2, </w:t>
      </w:r>
      <w:r w:rsidRPr="00154A08">
        <w:rPr>
          <w:rFonts w:eastAsia="MS Mincho"/>
          <w:iCs/>
          <w:lang w:eastAsia="fr-FR"/>
        </w:rPr>
        <w:t>amend to read:</w:t>
      </w:r>
    </w:p>
    <w:p w14:paraId="4A463276" w14:textId="77777777" w:rsidR="00D95904" w:rsidRPr="00154A08" w:rsidRDefault="00D95904" w:rsidP="00D95904">
      <w:pPr>
        <w:adjustRightInd w:val="0"/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154A08">
        <w:rPr>
          <w:lang w:eastAsia="fr-FR"/>
        </w:rPr>
        <w:t>"</w:t>
      </w:r>
      <w:r w:rsidRPr="00154A08">
        <w:rPr>
          <w:rFonts w:eastAsia="MS Mincho"/>
          <w:lang w:eastAsia="fr-FR"/>
        </w:rPr>
        <w:t xml:space="preserve">6. </w:t>
      </w:r>
      <w:r w:rsidRPr="00154A08">
        <w:rPr>
          <w:rFonts w:eastAsia="MS Mincho"/>
          <w:lang w:eastAsia="fr-FR"/>
        </w:rPr>
        <w:tab/>
        <w:t>Remarks</w:t>
      </w:r>
    </w:p>
    <w:p w14:paraId="020ABBDA" w14:textId="77777777" w:rsidR="00D95904" w:rsidRPr="00154A08" w:rsidRDefault="00D95904" w:rsidP="00D95904">
      <w:pPr>
        <w:adjustRightInd w:val="0"/>
        <w:spacing w:after="120"/>
        <w:ind w:left="2268" w:right="1134"/>
        <w:jc w:val="both"/>
        <w:rPr>
          <w:lang w:eastAsia="fr-FR"/>
        </w:rPr>
      </w:pPr>
      <w:r w:rsidRPr="00154A08">
        <w:rPr>
          <w:rFonts w:eastAsia="MS Mincho"/>
          <w:lang w:eastAsia="fr-FR"/>
        </w:rPr>
        <w:t>The following recursive formulae are useful for computing successive values of the test statistic:</w:t>
      </w:r>
    </w:p>
    <w:p w14:paraId="70D54BA5" w14:textId="77777777" w:rsidR="00D95904" w:rsidRPr="00154A08" w:rsidRDefault="001109F1" w:rsidP="00D95904">
      <w:pPr>
        <w:adjustRightInd w:val="0"/>
        <w:spacing w:after="120"/>
        <w:ind w:left="2268" w:right="1134"/>
        <w:jc w:val="both"/>
        <w:rPr>
          <w:strike/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eastAsia="MS Mincho" w:hAnsi="Cambria Math"/>
                  <w:i/>
                  <w:strike/>
                  <w:lang w:eastAsia="fr-FR"/>
                </w:rPr>
              </m:ctrlPr>
            </m:sSubSupPr>
            <m:e>
              <m:r>
                <w:rPr>
                  <w:rFonts w:ascii="Cambria Math" w:eastAsia="MS Mincho" w:hAnsi="Cambria Math"/>
                  <w:strike/>
                  <w:lang w:eastAsia="fr-FR"/>
                </w:rPr>
                <m:t>V</m:t>
              </m:r>
            </m:e>
            <m:sub>
              <m:r>
                <w:rPr>
                  <w:rFonts w:ascii="Cambria Math" w:eastAsia="MS Mincho" w:hAnsi="Cambria Math"/>
                  <w:strike/>
                  <w:lang w:eastAsia="fr-FR"/>
                </w:rPr>
                <m:t>n</m:t>
              </m:r>
            </m:sub>
            <m:sup>
              <m:r>
                <w:rPr>
                  <w:rFonts w:ascii="Cambria Math" w:eastAsia="MS Mincho" w:hAnsi="Cambria Math"/>
                  <w:strike/>
                  <w:lang w:eastAsia="fr-FR"/>
                </w:rPr>
                <m:t>2</m:t>
              </m:r>
            </m:sup>
          </m:sSubSup>
          <m:r>
            <w:rPr>
              <w:rFonts w:ascii="Cambria Math" w:eastAsia="MS Mincho" w:hAnsi="Cambria Math"/>
              <w:strike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strike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strike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trike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trike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strike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eastAsia="MS Mincho" w:hAnsi="Cambria Math"/>
                  <w:i/>
                  <w:strike/>
                  <w:lang w:eastAsia="fr-FR"/>
                </w:rPr>
              </m:ctrlPr>
            </m:sSubSupPr>
            <m:e>
              <m:r>
                <w:rPr>
                  <w:rFonts w:ascii="Cambria Math" w:eastAsia="MS Mincho" w:hAnsi="Cambria Math"/>
                  <w:strike/>
                  <w:lang w:eastAsia="fr-FR"/>
                </w:rPr>
                <m:t>V</m:t>
              </m:r>
            </m:e>
            <m:sub>
              <m:r>
                <w:rPr>
                  <w:rFonts w:ascii="Cambria Math" w:eastAsia="MS Mincho" w:hAnsi="Cambria Math"/>
                  <w:strike/>
                  <w:lang w:eastAsia="fr-FR"/>
                </w:rPr>
                <m:t>n-1</m:t>
              </m:r>
            </m:sub>
            <m:sup>
              <m:r>
                <w:rPr>
                  <w:rFonts w:ascii="Cambria Math" w:eastAsia="MS Mincho" w:hAnsi="Cambria Math"/>
                  <w:strike/>
                  <w:lang w:eastAsia="fr-FR"/>
                </w:rPr>
                <m:t>2</m:t>
              </m:r>
            </m:sup>
          </m:sSubSup>
          <m:r>
            <w:rPr>
              <w:rFonts w:ascii="Cambria Math" w:eastAsia="MS Mincho" w:hAnsi="Cambria Math"/>
              <w:strike/>
              <w:lang w:eastAsia="fr-FR"/>
            </w:rPr>
            <m:t>+</m:t>
          </m:r>
          <m:sSup>
            <m:sSupPr>
              <m:ctrlPr>
                <w:rPr>
                  <w:rFonts w:ascii="Cambria Math" w:eastAsia="MS Mincho" w:hAnsi="Cambria Math"/>
                  <w:i/>
                  <w:strike/>
                  <w:lang w:eastAsia="fr-FR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MS Mincho" w:hAnsi="Cambria Math"/>
                      <w:i/>
                      <w:strike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S Mincho" w:hAnsi="Cambria Math"/>
                          <w:i/>
                          <w:strike/>
                          <w:lang w:eastAsia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MS Mincho" w:hAnsi="Cambria Math"/>
                              <w:i/>
                              <w:strike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Mincho" w:hAnsi="Cambria Math"/>
                                  <w:i/>
                                  <w:strike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MS Mincho" w:hAnsi="Cambria Math"/>
                                  <w:strike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MS Mincho" w:hAnsi="Cambria Math"/>
                              <w:strike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MS Mincho" w:hAnsi="Cambria Math"/>
                          <w:strike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S Mincho" w:hAnsi="Cambria Math"/>
                              <w:i/>
                              <w:strike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/>
                              <w:strike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MS Mincho" w:hAnsi="Cambria Math"/>
                              <w:strike/>
                              <w:lang w:eastAsia="fr-FR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MS Mincho" w:hAnsi="Cambria Math"/>
                          <w:strike/>
                          <w:lang w:eastAsia="fr-FR"/>
                        </w:rPr>
                        <m:t>n-1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MS Mincho" w:hAnsi="Cambria Math"/>
                  <w:strike/>
                  <w:lang w:eastAsia="fr-FR"/>
                </w:rPr>
                <m:t>2</m:t>
              </m:r>
            </m:sup>
          </m:sSup>
        </m:oMath>
      </m:oMathPara>
    </w:p>
    <w:p w14:paraId="41C3F4A7" w14:textId="77777777" w:rsidR="00D95904" w:rsidRPr="00154A08" w:rsidRDefault="001109F1" w:rsidP="00D95904">
      <w:pPr>
        <w:adjustRightInd w:val="0"/>
        <w:spacing w:after="120"/>
        <w:ind w:left="2268" w:right="1134"/>
        <w:jc w:val="both"/>
        <w:rPr>
          <w:b/>
          <w:lang w:eastAsia="fr-FR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lang w:eastAsia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lang w:eastAsia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/>
                  <w:i/>
                  <w:lang w:eastAsia="fr-F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158D70E1" w14:textId="77777777" w:rsidR="00D95904" w:rsidRPr="00154A08" w:rsidRDefault="001109F1" w:rsidP="00D95904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6E3022C7" w14:textId="77777777" w:rsidR="00D95904" w:rsidRPr="00154A08" w:rsidRDefault="00D95904" w:rsidP="00D95904">
      <w:pPr>
        <w:adjustRightInd w:val="0"/>
        <w:spacing w:after="120"/>
        <w:ind w:left="2268" w:right="1134"/>
        <w:jc w:val="both"/>
        <w:rPr>
          <w:lang w:eastAsia="fr-FR"/>
        </w:rPr>
      </w:pPr>
      <w:r w:rsidRPr="00154A08">
        <w:rPr>
          <w:lang w:eastAsia="fr-FR"/>
        </w:rPr>
        <w:t>…"</w:t>
      </w:r>
    </w:p>
    <w:p w14:paraId="47B33197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</w:p>
    <w:p w14:paraId="40824D17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>In the 07 series of amendments</w:t>
      </w:r>
    </w:p>
    <w:p w14:paraId="61D44006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 xml:space="preserve">Paragraph 2.4. of Annex 2, </w:t>
      </w:r>
      <w:r w:rsidRPr="00154A08">
        <w:rPr>
          <w:rFonts w:eastAsia="MS Mincho"/>
          <w:iCs/>
          <w:lang w:eastAsia="fr-FR"/>
        </w:rPr>
        <w:t>amend to read:</w:t>
      </w:r>
    </w:p>
    <w:p w14:paraId="26A909C3" w14:textId="10405C24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"2.4. </w:t>
      </w:r>
      <w:r w:rsidRPr="00154A08">
        <w:rPr>
          <w:lang w:eastAsia="fr-FR"/>
        </w:rPr>
        <w:tab/>
        <w:t>Smoke opacity test results</w:t>
      </w:r>
      <w:r w:rsidRPr="00154A08">
        <w:rPr>
          <w:vertAlign w:val="superscript"/>
          <w:lang w:eastAsia="fr-FR"/>
        </w:rPr>
        <w:t>1,6</w:t>
      </w:r>
    </w:p>
    <w:p w14:paraId="3DE840AD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2.4.1. </w:t>
      </w:r>
      <w:r w:rsidRPr="00154A08">
        <w:rPr>
          <w:lang w:eastAsia="fr-FR"/>
        </w:rPr>
        <w:tab/>
        <w:t xml:space="preserve">At steady speeds: See technical service test report number </w:t>
      </w:r>
      <w:r w:rsidRPr="00154A08">
        <w:rPr>
          <w:b/>
          <w:bCs/>
          <w:lang w:eastAsia="fr-FR"/>
        </w:rPr>
        <w:t>(if any)</w:t>
      </w:r>
      <w:r w:rsidRPr="00154A08">
        <w:rPr>
          <w:lang w:eastAsia="fr-FR"/>
        </w:rPr>
        <w:t>: ................</w:t>
      </w:r>
    </w:p>
    <w:p w14:paraId="12060797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 </w:t>
      </w:r>
      <w:r w:rsidRPr="00154A08">
        <w:rPr>
          <w:lang w:eastAsia="fr-FR"/>
        </w:rPr>
        <w:tab/>
        <w:t>Free acceleration tests</w:t>
      </w:r>
    </w:p>
    <w:p w14:paraId="0C5DDE10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2.4.2.1. </w:t>
      </w:r>
      <w:r w:rsidRPr="00154A08">
        <w:rPr>
          <w:lang w:eastAsia="fr-FR"/>
        </w:rPr>
        <w:tab/>
        <w:t xml:space="preserve">Measured value of the absorption coefficient </w:t>
      </w:r>
      <w:r w:rsidRPr="00154A08">
        <w:rPr>
          <w:b/>
          <w:bCs/>
          <w:lang w:eastAsia="fr-FR"/>
        </w:rPr>
        <w:t>(if any)</w:t>
      </w:r>
      <w:r w:rsidRPr="00154A08">
        <w:rPr>
          <w:lang w:eastAsia="fr-FR"/>
        </w:rPr>
        <w:t>: ............................. .m</w:t>
      </w:r>
      <w:r w:rsidRPr="00154A08">
        <w:rPr>
          <w:vertAlign w:val="superscript"/>
          <w:lang w:eastAsia="fr-FR"/>
        </w:rPr>
        <w:t>-1</w:t>
      </w:r>
    </w:p>
    <w:p w14:paraId="081CB3C1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2.4.2.2. </w:t>
      </w:r>
      <w:r w:rsidRPr="00154A08">
        <w:rPr>
          <w:lang w:eastAsia="fr-FR"/>
        </w:rPr>
        <w:tab/>
        <w:t>Corrected value of the absorption coefficient: ........................................... m</w:t>
      </w:r>
      <w:r w:rsidRPr="00154A08">
        <w:rPr>
          <w:vertAlign w:val="superscript"/>
          <w:lang w:eastAsia="fr-FR"/>
        </w:rPr>
        <w:t>-1</w:t>
      </w:r>
    </w:p>
    <w:p w14:paraId="50289F78" w14:textId="76863501" w:rsidR="00D95904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154A08">
        <w:rPr>
          <w:lang w:eastAsia="fr-FR"/>
        </w:rPr>
        <w:t xml:space="preserve">2.4.2.3. </w:t>
      </w:r>
      <w:r w:rsidRPr="00154A08">
        <w:rPr>
          <w:lang w:eastAsia="fr-FR"/>
        </w:rPr>
        <w:tab/>
        <w:t xml:space="preserve">Location of the absorption coefficient symbol on the </w:t>
      </w:r>
      <w:proofErr w:type="gramStart"/>
      <w:r w:rsidRPr="00154A08">
        <w:rPr>
          <w:lang w:eastAsia="fr-FR"/>
        </w:rPr>
        <w:t>vehicle:.........................</w:t>
      </w:r>
      <w:proofErr w:type="gramEnd"/>
    </w:p>
    <w:p w14:paraId="15AC688B" w14:textId="77777777" w:rsidR="00D95904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</w:p>
    <w:p w14:paraId="1A4488D2" w14:textId="214731AC" w:rsidR="00D95904" w:rsidRPr="00154A08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154A08">
        <w:rPr>
          <w:vertAlign w:val="superscript"/>
          <w:lang w:eastAsia="fr-FR"/>
        </w:rPr>
        <w:lastRenderedPageBreak/>
        <w:t>6</w:t>
      </w:r>
      <w:r w:rsidRPr="00154A08">
        <w:rPr>
          <w:lang w:eastAsia="fr-FR"/>
        </w:rPr>
        <w:t xml:space="preserve"> Smoke opacity </w:t>
      </w:r>
      <w:r w:rsidRPr="00154A08">
        <w:rPr>
          <w:b/>
          <w:bCs/>
          <w:lang w:eastAsia="fr-FR"/>
        </w:rPr>
        <w:t>values</w:t>
      </w:r>
      <w:r w:rsidRPr="00154A08">
        <w:rPr>
          <w:lang w:eastAsia="fr-FR"/>
        </w:rPr>
        <w:t xml:space="preserve"> </w:t>
      </w:r>
      <w:r w:rsidRPr="00154A08">
        <w:rPr>
          <w:strike/>
          <w:lang w:eastAsia="fr-FR"/>
        </w:rPr>
        <w:t>measurements to be carried out</w:t>
      </w:r>
      <w:r w:rsidRPr="00154A08">
        <w:rPr>
          <w:lang w:eastAsia="fr-FR"/>
        </w:rPr>
        <w:t xml:space="preserve"> according to provisions laid out in Regulation No. 24.</w:t>
      </w:r>
      <w:r w:rsidRPr="00D95904">
        <w:rPr>
          <w:lang w:eastAsia="fr-FR"/>
        </w:rPr>
        <w:t xml:space="preserve"> </w:t>
      </w:r>
      <w:r w:rsidRPr="00154A08">
        <w:rPr>
          <w:lang w:eastAsia="fr-FR"/>
        </w:rPr>
        <w:t>"</w:t>
      </w:r>
    </w:p>
    <w:p w14:paraId="3AE5AE52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</w:p>
    <w:p w14:paraId="185D451A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>In the 06 series of amendments</w:t>
      </w:r>
    </w:p>
    <w:p w14:paraId="4D30AA98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 xml:space="preserve">Paragraph 2.4. of Annex 2, </w:t>
      </w:r>
      <w:r w:rsidRPr="00154A08">
        <w:rPr>
          <w:rFonts w:eastAsia="MS Mincho"/>
          <w:iCs/>
          <w:lang w:eastAsia="fr-FR"/>
        </w:rPr>
        <w:t>amend to read:</w:t>
      </w:r>
    </w:p>
    <w:p w14:paraId="5F0D733E" w14:textId="6F5084B9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"2.4. </w:t>
      </w:r>
      <w:r w:rsidRPr="00154A08">
        <w:rPr>
          <w:lang w:eastAsia="fr-FR"/>
        </w:rPr>
        <w:tab/>
        <w:t>Smoke opacity test results</w:t>
      </w:r>
      <w:r w:rsidRPr="00154A08">
        <w:rPr>
          <w:vertAlign w:val="superscript"/>
          <w:lang w:eastAsia="fr-FR"/>
        </w:rPr>
        <w:t>e,2</w:t>
      </w:r>
    </w:p>
    <w:p w14:paraId="220AEC30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2.4.1. </w:t>
      </w:r>
      <w:r w:rsidRPr="00154A08">
        <w:rPr>
          <w:lang w:eastAsia="fr-FR"/>
        </w:rPr>
        <w:tab/>
        <w:t xml:space="preserve">At steady speeds: See technical service test report number </w:t>
      </w:r>
      <w:r w:rsidRPr="00154A08">
        <w:rPr>
          <w:b/>
          <w:bCs/>
          <w:lang w:eastAsia="fr-FR"/>
        </w:rPr>
        <w:t>(if any)</w:t>
      </w:r>
      <w:r w:rsidRPr="00154A08">
        <w:rPr>
          <w:lang w:eastAsia="fr-FR"/>
        </w:rPr>
        <w:t>: ................</w:t>
      </w:r>
    </w:p>
    <w:p w14:paraId="1813BF0A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 </w:t>
      </w:r>
      <w:r w:rsidRPr="00154A08">
        <w:rPr>
          <w:lang w:eastAsia="fr-FR"/>
        </w:rPr>
        <w:tab/>
        <w:t>Free acceleration tests</w:t>
      </w:r>
    </w:p>
    <w:p w14:paraId="48948EB1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2.4.2.1. </w:t>
      </w:r>
      <w:r w:rsidRPr="00154A08">
        <w:rPr>
          <w:lang w:eastAsia="fr-FR"/>
        </w:rPr>
        <w:tab/>
        <w:t xml:space="preserve">Measured value of the absorption coefficient </w:t>
      </w:r>
      <w:r w:rsidRPr="00154A08">
        <w:rPr>
          <w:b/>
          <w:bCs/>
          <w:lang w:eastAsia="fr-FR"/>
        </w:rPr>
        <w:t>(if any)</w:t>
      </w:r>
      <w:r w:rsidRPr="00154A08">
        <w:rPr>
          <w:lang w:eastAsia="fr-FR"/>
        </w:rPr>
        <w:t>: ............................. .m</w:t>
      </w:r>
      <w:r w:rsidRPr="00154A08">
        <w:rPr>
          <w:vertAlign w:val="superscript"/>
          <w:lang w:eastAsia="fr-FR"/>
        </w:rPr>
        <w:t>-1</w:t>
      </w:r>
    </w:p>
    <w:p w14:paraId="0632EEA7" w14:textId="77777777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 xml:space="preserve">2.4.2.2. </w:t>
      </w:r>
      <w:r w:rsidRPr="00154A08">
        <w:rPr>
          <w:lang w:eastAsia="fr-FR"/>
        </w:rPr>
        <w:tab/>
        <w:t>Corrected value of the absorption coefficient: ........................................... m</w:t>
      </w:r>
      <w:r w:rsidRPr="00154A08">
        <w:rPr>
          <w:vertAlign w:val="superscript"/>
          <w:lang w:eastAsia="fr-FR"/>
        </w:rPr>
        <w:t>-1</w:t>
      </w:r>
    </w:p>
    <w:p w14:paraId="6AFA21AE" w14:textId="77777777" w:rsidR="00D95904" w:rsidRPr="00154A08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154A08">
        <w:rPr>
          <w:lang w:eastAsia="fr-FR"/>
        </w:rPr>
        <w:t xml:space="preserve">2.4.2.3. </w:t>
      </w:r>
      <w:r w:rsidRPr="00154A08">
        <w:rPr>
          <w:lang w:eastAsia="fr-FR"/>
        </w:rPr>
        <w:tab/>
        <w:t>Location of the absorption coefficient symbol on the vehicle:.........................</w:t>
      </w:r>
    </w:p>
    <w:p w14:paraId="18EB0613" w14:textId="77777777" w:rsidR="00D95904" w:rsidRPr="00154A08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</w:p>
    <w:p w14:paraId="0B54D61B" w14:textId="529540DA" w:rsidR="00D95904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  <w:r w:rsidRPr="00154A08">
        <w:rPr>
          <w:vertAlign w:val="superscript"/>
          <w:lang w:eastAsia="fr-FR"/>
        </w:rPr>
        <w:t>e</w:t>
      </w:r>
      <w:r w:rsidRPr="00154A08">
        <w:rPr>
          <w:lang w:eastAsia="fr-FR"/>
        </w:rPr>
        <w:t xml:space="preserve"> Smoke opacity </w:t>
      </w:r>
      <w:r w:rsidRPr="00154A08">
        <w:rPr>
          <w:b/>
          <w:bCs/>
          <w:lang w:eastAsia="fr-FR"/>
        </w:rPr>
        <w:t>values</w:t>
      </w:r>
      <w:r w:rsidRPr="00154A08">
        <w:rPr>
          <w:lang w:eastAsia="fr-FR"/>
        </w:rPr>
        <w:t xml:space="preserve"> </w:t>
      </w:r>
      <w:r w:rsidRPr="00154A08">
        <w:rPr>
          <w:strike/>
          <w:lang w:eastAsia="fr-FR"/>
        </w:rPr>
        <w:t>measurements to be carried out</w:t>
      </w:r>
      <w:r w:rsidRPr="00154A08">
        <w:rPr>
          <w:lang w:eastAsia="fr-FR"/>
        </w:rPr>
        <w:t xml:space="preserve"> according to provisions laid out in Regulation No. 24.</w:t>
      </w:r>
      <w:r w:rsidRPr="00D95904">
        <w:rPr>
          <w:lang w:eastAsia="fr-FR"/>
        </w:rPr>
        <w:t xml:space="preserve"> </w:t>
      </w:r>
      <w:r w:rsidRPr="00154A08">
        <w:rPr>
          <w:lang w:eastAsia="fr-FR"/>
        </w:rPr>
        <w:t>"</w:t>
      </w:r>
    </w:p>
    <w:p w14:paraId="50A67D0F" w14:textId="77777777" w:rsidR="00D95904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</w:p>
    <w:p w14:paraId="1E188B95" w14:textId="77777777" w:rsidR="00D95904" w:rsidRPr="00154A08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154A08">
        <w:rPr>
          <w:rFonts w:eastAsia="MS Mincho"/>
          <w:i/>
          <w:lang w:eastAsia="fr-FR"/>
        </w:rPr>
        <w:t xml:space="preserve">In the </w:t>
      </w:r>
      <w:r w:rsidRPr="00EE4CAA">
        <w:rPr>
          <w:rFonts w:eastAsia="MS Mincho"/>
          <w:i/>
          <w:lang w:eastAsia="fr-FR"/>
        </w:rPr>
        <w:t>05, 06 and 07</w:t>
      </w:r>
      <w:r w:rsidRPr="00154A08">
        <w:rPr>
          <w:rFonts w:eastAsia="MS Mincho"/>
          <w:i/>
          <w:lang w:eastAsia="fr-FR"/>
        </w:rPr>
        <w:t xml:space="preserve"> series of amendments</w:t>
      </w:r>
    </w:p>
    <w:p w14:paraId="2EAF9285" w14:textId="77777777" w:rsidR="00D95904" w:rsidRDefault="00D95904" w:rsidP="00D95904">
      <w:pPr>
        <w:spacing w:after="120"/>
        <w:ind w:left="1134" w:right="1134"/>
        <w:rPr>
          <w:rFonts w:eastAsia="MS Mincho"/>
          <w:iCs/>
          <w:lang w:eastAsia="fr-FR"/>
        </w:rPr>
      </w:pPr>
      <w:r w:rsidRPr="00154A08">
        <w:rPr>
          <w:rFonts w:eastAsia="MS Mincho"/>
          <w:i/>
          <w:lang w:eastAsia="fr-FR"/>
        </w:rPr>
        <w:t xml:space="preserve">Paragraph </w:t>
      </w:r>
      <w:r>
        <w:rPr>
          <w:rFonts w:eastAsia="MS Mincho"/>
          <w:i/>
          <w:lang w:eastAsia="fr-FR"/>
        </w:rPr>
        <w:t>3.2.1.2</w:t>
      </w:r>
      <w:r w:rsidRPr="00154A08">
        <w:rPr>
          <w:rFonts w:eastAsia="MS Mincho"/>
          <w:i/>
          <w:lang w:eastAsia="fr-FR"/>
        </w:rPr>
        <w:t>. of A</w:t>
      </w:r>
      <w:r>
        <w:rPr>
          <w:rFonts w:eastAsia="MS Mincho"/>
          <w:i/>
          <w:lang w:eastAsia="fr-FR"/>
        </w:rPr>
        <w:t>nne</w:t>
      </w:r>
      <w:r w:rsidRPr="00154A08">
        <w:rPr>
          <w:rFonts w:eastAsia="MS Mincho"/>
          <w:i/>
          <w:lang w:eastAsia="fr-FR"/>
        </w:rPr>
        <w:t xml:space="preserve">x </w:t>
      </w:r>
      <w:r>
        <w:rPr>
          <w:rFonts w:eastAsia="MS Mincho"/>
          <w:i/>
          <w:lang w:eastAsia="fr-FR"/>
        </w:rPr>
        <w:t>11</w:t>
      </w:r>
      <w:r w:rsidRPr="00154A08">
        <w:rPr>
          <w:rFonts w:eastAsia="MS Mincho"/>
          <w:i/>
          <w:lang w:eastAsia="fr-FR"/>
        </w:rPr>
        <w:t xml:space="preserve">, </w:t>
      </w:r>
      <w:r w:rsidRPr="00154A08">
        <w:rPr>
          <w:rFonts w:eastAsia="MS Mincho"/>
          <w:iCs/>
          <w:lang w:eastAsia="fr-FR"/>
        </w:rPr>
        <w:t>amend to read:</w:t>
      </w:r>
    </w:p>
    <w:p w14:paraId="2094C56B" w14:textId="19932A0B" w:rsidR="00D95904" w:rsidRPr="00154A08" w:rsidRDefault="00D95904" w:rsidP="00D95904">
      <w:pPr>
        <w:adjustRightInd w:val="0"/>
        <w:spacing w:after="120"/>
        <w:ind w:left="2268" w:right="1134" w:hanging="1134"/>
        <w:rPr>
          <w:lang w:eastAsia="fr-FR"/>
        </w:rPr>
      </w:pPr>
      <w:r w:rsidRPr="00154A08">
        <w:rPr>
          <w:lang w:eastAsia="fr-FR"/>
        </w:rPr>
        <w:t>"</w:t>
      </w:r>
      <w:r>
        <w:rPr>
          <w:lang w:eastAsia="fr-FR"/>
        </w:rPr>
        <w:t>3</w:t>
      </w:r>
      <w:r w:rsidRPr="00154A08">
        <w:rPr>
          <w:lang w:eastAsia="fr-FR"/>
        </w:rPr>
        <w:t>.</w:t>
      </w:r>
      <w:r>
        <w:rPr>
          <w:lang w:eastAsia="fr-FR"/>
        </w:rPr>
        <w:t>2</w:t>
      </w:r>
      <w:r w:rsidRPr="00154A08">
        <w:rPr>
          <w:lang w:eastAsia="fr-FR"/>
        </w:rPr>
        <w:t>.</w:t>
      </w:r>
      <w:r>
        <w:rPr>
          <w:lang w:eastAsia="fr-FR"/>
        </w:rPr>
        <w:t>1.2.</w:t>
      </w:r>
      <w:r w:rsidRPr="00154A08">
        <w:rPr>
          <w:lang w:eastAsia="fr-FR"/>
        </w:rPr>
        <w:t xml:space="preserve"> </w:t>
      </w:r>
      <w:r w:rsidRPr="00154A08">
        <w:rPr>
          <w:lang w:eastAsia="fr-FR"/>
        </w:rPr>
        <w:tab/>
      </w:r>
      <w:r w:rsidRPr="00355295">
        <w:rPr>
          <w:lang w:eastAsia="fr-FR"/>
        </w:rPr>
        <w:t xml:space="preserve">A manufacturer may disable </w:t>
      </w:r>
      <w:r w:rsidRPr="00355295">
        <w:rPr>
          <w:strike/>
          <w:lang w:eastAsia="fr-FR"/>
        </w:rPr>
        <w:t>the OBD system at ambient engine starting temperatures</w:t>
      </w:r>
      <w:r w:rsidRPr="00355295">
        <w:rPr>
          <w:lang w:eastAsia="fr-FR"/>
        </w:rPr>
        <w:t xml:space="preserve"> </w:t>
      </w:r>
      <w:r w:rsidRPr="00355295">
        <w:rPr>
          <w:b/>
          <w:bCs/>
          <w:lang w:eastAsia="fr-FR"/>
        </w:rPr>
        <w:t xml:space="preserve">any specific OBD monitor for a given driving cycle for ambient or engine temperatures </w:t>
      </w:r>
      <w:r w:rsidRPr="00355295">
        <w:rPr>
          <w:lang w:eastAsia="fr-FR"/>
        </w:rPr>
        <w:t>below 266 K (-7°</w:t>
      </w:r>
      <w:r>
        <w:rPr>
          <w:lang w:eastAsia="fr-FR"/>
        </w:rPr>
        <w:t xml:space="preserve"> </w:t>
      </w:r>
      <w:r w:rsidRPr="00355295">
        <w:rPr>
          <w:lang w:eastAsia="fr-FR"/>
        </w:rPr>
        <w:t xml:space="preserve">C) or at elevations over 2,500 metres above sea level provided the manufacturer submits data and/or an engineering evaluation which adequately demonstrate that monitoring would be unreliable when such conditions exist. A manufacturer may also request disablement of </w:t>
      </w:r>
      <w:r w:rsidRPr="00355295">
        <w:rPr>
          <w:strike/>
          <w:lang w:eastAsia="fr-FR"/>
        </w:rPr>
        <w:t>the OBD system at other ambient engine starting temperatures if he demonstrates</w:t>
      </w:r>
      <w:r w:rsidRPr="00355295">
        <w:t xml:space="preserve"> </w:t>
      </w:r>
      <w:r w:rsidRPr="00355295">
        <w:rPr>
          <w:b/>
          <w:bCs/>
          <w:lang w:eastAsia="fr-FR"/>
        </w:rPr>
        <w:t>any specific OBD monitor at other ambient temperatures or other elevations if they demonstrate</w:t>
      </w:r>
      <w:r w:rsidRPr="00355295">
        <w:rPr>
          <w:lang w:eastAsia="fr-FR"/>
        </w:rPr>
        <w:t xml:space="preserve"> to the authority with data and/or an engineering evaluation that misdiagnosis would occur under such conditions. It is not necessary to illuminate the Malfunction Indicator (MI) if </w:t>
      </w:r>
      <w:r w:rsidRPr="00355295">
        <w:rPr>
          <w:strike/>
          <w:lang w:eastAsia="fr-FR"/>
        </w:rPr>
        <w:t>the</w:t>
      </w:r>
      <w:r w:rsidRPr="00355295">
        <w:rPr>
          <w:lang w:eastAsia="fr-FR"/>
        </w:rPr>
        <w:t xml:space="preserve"> OBD thresholds are exceeded during a regeneration provided no defect is present.</w:t>
      </w:r>
      <w:r w:rsidRPr="00D95904">
        <w:rPr>
          <w:lang w:eastAsia="fr-FR"/>
        </w:rPr>
        <w:t xml:space="preserve"> </w:t>
      </w:r>
      <w:r w:rsidRPr="00154A08">
        <w:rPr>
          <w:lang w:eastAsia="fr-FR"/>
        </w:rPr>
        <w:t>"</w:t>
      </w:r>
    </w:p>
    <w:p w14:paraId="06667031" w14:textId="77777777" w:rsidR="00D95904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</w:p>
    <w:p w14:paraId="22EAC4DF" w14:textId="77777777" w:rsidR="00D95904" w:rsidRPr="00EE4CAA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EE4CAA">
        <w:rPr>
          <w:rFonts w:eastAsia="MS Mincho"/>
          <w:i/>
          <w:lang w:eastAsia="fr-FR"/>
        </w:rPr>
        <w:t>In the 06 and 07 series of amendments</w:t>
      </w:r>
    </w:p>
    <w:p w14:paraId="238F53EA" w14:textId="77777777" w:rsidR="00D95904" w:rsidRPr="00EE4CAA" w:rsidRDefault="00D95904" w:rsidP="00D95904">
      <w:pPr>
        <w:spacing w:after="120"/>
        <w:ind w:left="1134" w:right="1134"/>
        <w:rPr>
          <w:rFonts w:eastAsia="MS Mincho"/>
          <w:i/>
          <w:lang w:eastAsia="fr-FR"/>
        </w:rPr>
      </w:pPr>
      <w:r w:rsidRPr="00EE4CAA">
        <w:rPr>
          <w:rFonts w:eastAsia="MS Mincho"/>
          <w:i/>
          <w:lang w:eastAsia="fr-FR"/>
        </w:rPr>
        <w:t xml:space="preserve">Annex 11, Appendix 1, Paragraph 3.2.1.2., </w:t>
      </w:r>
      <w:r w:rsidRPr="00994F06">
        <w:rPr>
          <w:rFonts w:eastAsia="MS Mincho"/>
          <w:iCs/>
          <w:lang w:eastAsia="fr-FR"/>
        </w:rPr>
        <w:t>amend to read</w:t>
      </w:r>
      <w:r w:rsidRPr="00EE4CAA">
        <w:rPr>
          <w:rFonts w:eastAsia="MS Mincho"/>
          <w:i/>
          <w:lang w:eastAsia="fr-FR"/>
        </w:rPr>
        <w:t>:</w:t>
      </w:r>
    </w:p>
    <w:p w14:paraId="4C92F4A0" w14:textId="77777777" w:rsidR="00D95904" w:rsidRPr="008B438F" w:rsidRDefault="00D95904" w:rsidP="00D95904">
      <w:pPr>
        <w:spacing w:after="120"/>
        <w:ind w:left="2268" w:right="1134" w:hanging="1134"/>
        <w:jc w:val="both"/>
        <w:rPr>
          <w:lang w:eastAsia="fr-FR"/>
        </w:rPr>
      </w:pPr>
      <w:r w:rsidRPr="008B438F">
        <w:rPr>
          <w:lang w:eastAsia="fr-FR"/>
        </w:rPr>
        <w:t>"6.5.3.2.        Standards used for the transmission of OBD relevant information:</w:t>
      </w:r>
    </w:p>
    <w:p w14:paraId="3CBF75F1" w14:textId="77777777" w:rsidR="00D95904" w:rsidRPr="008B438F" w:rsidRDefault="00D95904" w:rsidP="00D95904">
      <w:pPr>
        <w:spacing w:after="120"/>
        <w:ind w:left="2835" w:right="1134" w:hanging="567"/>
        <w:jc w:val="both"/>
        <w:rPr>
          <w:lang w:eastAsia="fr-FR"/>
        </w:rPr>
      </w:pPr>
      <w:r w:rsidRPr="008B438F">
        <w:rPr>
          <w:lang w:eastAsia="fr-FR"/>
        </w:rPr>
        <w:t>(a)       ISO 15031-5 "Road vehicles - communication between vehicles and external test equipment for emissions-related diagnostics – Part 5: Emissions-related diagnostic services", dated 1 April 2011 or SAE J1979 dated 23 February 2012;</w:t>
      </w:r>
    </w:p>
    <w:p w14:paraId="181C73E6" w14:textId="77777777" w:rsidR="00D95904" w:rsidRPr="008B438F" w:rsidRDefault="00D95904" w:rsidP="00D95904">
      <w:pPr>
        <w:spacing w:after="120"/>
        <w:ind w:left="2835" w:right="1134" w:hanging="567"/>
        <w:jc w:val="both"/>
        <w:rPr>
          <w:lang w:eastAsia="fr-FR"/>
        </w:rPr>
      </w:pPr>
      <w:r w:rsidRPr="008B438F">
        <w:rPr>
          <w:lang w:eastAsia="fr-FR"/>
        </w:rPr>
        <w:t>(b)       ISO 15031-4 "Road vehicles – Communication between vehicle and external test equipment for emissions related diagnostics – Part 4: External test equipment", dated 1 June 2005 or SAE J1978 dated 30 April 2002;</w:t>
      </w:r>
    </w:p>
    <w:p w14:paraId="1696EDC3" w14:textId="77777777" w:rsidR="00D95904" w:rsidRPr="008B438F" w:rsidRDefault="00D95904" w:rsidP="00D95904">
      <w:pPr>
        <w:spacing w:after="120"/>
        <w:ind w:left="2835" w:right="1134" w:hanging="567"/>
        <w:jc w:val="both"/>
        <w:rPr>
          <w:lang w:eastAsia="fr-FR"/>
        </w:rPr>
      </w:pPr>
      <w:r w:rsidRPr="008B438F">
        <w:rPr>
          <w:lang w:eastAsia="fr-FR"/>
        </w:rPr>
        <w:lastRenderedPageBreak/>
        <w:t>(c)        ISO 15031-3 "Road vehicles – Communication between vehicle and external test equipment for emissions related diagnostics Part 3: Diagnostic connector and related electrical circuits: specification and</w:t>
      </w:r>
      <w:r w:rsidRPr="00EE4CAA">
        <w:t xml:space="preserve"> </w:t>
      </w:r>
      <w:r w:rsidRPr="008B438F">
        <w:rPr>
          <w:lang w:eastAsia="fr-FR"/>
        </w:rPr>
        <w:t>use", dated 1 July 2004 or SAE J 1962 dated 26 July 2012;</w:t>
      </w:r>
    </w:p>
    <w:p w14:paraId="372C15F3" w14:textId="77777777" w:rsidR="00D95904" w:rsidRPr="008B438F" w:rsidRDefault="00D95904" w:rsidP="00D95904">
      <w:pPr>
        <w:spacing w:after="120"/>
        <w:ind w:left="2835" w:right="1134" w:hanging="567"/>
        <w:jc w:val="both"/>
        <w:rPr>
          <w:lang w:eastAsia="fr-FR"/>
        </w:rPr>
      </w:pPr>
      <w:r w:rsidRPr="008B438F">
        <w:rPr>
          <w:lang w:eastAsia="fr-FR"/>
        </w:rPr>
        <w:t>(d)       ISO 15031-6 "Road vehicles – Communication between vehicle and external test equipment for emissions related diagnostics – Part 6: Diagnostic trouble code definitions", dated 13 August 2010 or SAE J2012 dated 07 March 2013;</w:t>
      </w:r>
    </w:p>
    <w:p w14:paraId="3152E963" w14:textId="77777777" w:rsidR="00D95904" w:rsidRPr="008B438F" w:rsidRDefault="00D95904" w:rsidP="00D95904">
      <w:pPr>
        <w:spacing w:after="120"/>
        <w:ind w:left="2835" w:right="1134" w:hanging="567"/>
        <w:jc w:val="both"/>
        <w:rPr>
          <w:lang w:eastAsia="fr-FR"/>
        </w:rPr>
      </w:pPr>
      <w:r w:rsidRPr="008B438F">
        <w:rPr>
          <w:lang w:eastAsia="fr-FR"/>
        </w:rPr>
        <w:t>(e)       ISO 27145 "Road vehicles – Implementation of World-Wide Harmonized On-Board Diagnostics (WWH-OBD)" dated 2012-08-15 with the restriction, that only 6.5.3.1.(a) may be used as a data link;</w:t>
      </w:r>
    </w:p>
    <w:p w14:paraId="54D05A33" w14:textId="77777777" w:rsidR="00D95904" w:rsidRPr="008B438F" w:rsidRDefault="00D95904" w:rsidP="00D95904">
      <w:pPr>
        <w:spacing w:after="120"/>
        <w:ind w:left="2835" w:right="1134" w:hanging="567"/>
        <w:jc w:val="both"/>
      </w:pPr>
      <w:r w:rsidRPr="008B438F">
        <w:t xml:space="preserve">(f)        </w:t>
      </w:r>
      <w:r w:rsidRPr="008B438F">
        <w:rPr>
          <w:strike/>
        </w:rPr>
        <w:t>ISO 14229:2013 "Road vehicles – Unified diagnostic services (UDS) with the restriction, that only 6.5.3.1.(a) may be used as a data link"</w:t>
      </w:r>
      <w:r w:rsidRPr="008B438F">
        <w:t xml:space="preserve"> </w:t>
      </w:r>
      <w:r w:rsidRPr="008B438F">
        <w:rPr>
          <w:b/>
          <w:bCs/>
        </w:rPr>
        <w:t xml:space="preserve">SAE J 1979-2 "E/E Diagnostic Test Modes: </w:t>
      </w:r>
      <w:proofErr w:type="spellStart"/>
      <w:r w:rsidRPr="008B438F">
        <w:rPr>
          <w:b/>
          <w:bCs/>
        </w:rPr>
        <w:t>OBDonUDS</w:t>
      </w:r>
      <w:proofErr w:type="spellEnd"/>
      <w:r w:rsidRPr="008B438F">
        <w:rPr>
          <w:b/>
          <w:bCs/>
        </w:rPr>
        <w:t>", April 2021</w:t>
      </w:r>
      <w:r w:rsidRPr="008B438F">
        <w:t>.</w:t>
      </w:r>
    </w:p>
    <w:p w14:paraId="58212B32" w14:textId="77777777" w:rsidR="00D95904" w:rsidRPr="008B438F" w:rsidRDefault="00D95904" w:rsidP="00D95904">
      <w:pPr>
        <w:spacing w:after="120"/>
        <w:ind w:left="2268" w:right="1134"/>
        <w:jc w:val="both"/>
      </w:pPr>
      <w:r w:rsidRPr="008B438F">
        <w:t xml:space="preserve">The standards (e) </w:t>
      </w:r>
      <w:r w:rsidRPr="008B438F">
        <w:rPr>
          <w:strike/>
        </w:rPr>
        <w:t>and</w:t>
      </w:r>
      <w:r w:rsidRPr="008B438F">
        <w:t xml:space="preserve"> </w:t>
      </w:r>
      <w:r w:rsidRPr="008B438F">
        <w:rPr>
          <w:b/>
          <w:bCs/>
        </w:rPr>
        <w:t>or</w:t>
      </w:r>
      <w:r w:rsidRPr="008B438F">
        <w:t xml:space="preserve"> (f) may be used as an option instead of (a) </w:t>
      </w:r>
      <w:r w:rsidRPr="008B438F">
        <w:rPr>
          <w:strike/>
        </w:rPr>
        <w:t>not earlier than 1 January 2019</w:t>
      </w:r>
      <w:r w:rsidRPr="008B438F">
        <w:t>."</w:t>
      </w:r>
    </w:p>
    <w:p w14:paraId="0B8300BF" w14:textId="77777777" w:rsidR="00D95904" w:rsidRPr="00EE4CAA" w:rsidRDefault="00D95904" w:rsidP="00D95904">
      <w:pPr>
        <w:adjustRightInd w:val="0"/>
        <w:spacing w:after="120"/>
        <w:ind w:left="2268" w:right="1134" w:hanging="1134"/>
        <w:jc w:val="both"/>
        <w:rPr>
          <w:lang w:eastAsia="fr-FR"/>
        </w:rPr>
      </w:pPr>
    </w:p>
    <w:p w14:paraId="3BC06239" w14:textId="77777777" w:rsidR="00D95904" w:rsidRDefault="00D95904" w:rsidP="00D95904">
      <w:pPr>
        <w:pStyle w:val="Default"/>
        <w:ind w:right="805"/>
        <w:rPr>
          <w:b/>
          <w:bCs/>
          <w:sz w:val="28"/>
          <w:szCs w:val="28"/>
        </w:rPr>
      </w:pPr>
    </w:p>
    <w:p w14:paraId="5E84FF72" w14:textId="77777777" w:rsidR="00D95904" w:rsidRDefault="00D95904" w:rsidP="00D95904">
      <w:pPr>
        <w:pStyle w:val="Default"/>
        <w:ind w:right="805"/>
        <w:rPr>
          <w:b/>
          <w:bCs/>
          <w:sz w:val="28"/>
          <w:szCs w:val="28"/>
        </w:rPr>
      </w:pPr>
      <w:r w:rsidRPr="00951AE1">
        <w:rPr>
          <w:b/>
          <w:bCs/>
          <w:sz w:val="28"/>
          <w:szCs w:val="28"/>
        </w:rPr>
        <w:t>II. Justification</w:t>
      </w:r>
    </w:p>
    <w:p w14:paraId="2F4890FB" w14:textId="77777777" w:rsidR="00D95904" w:rsidRDefault="00D95904" w:rsidP="00D95904">
      <w:pPr>
        <w:pStyle w:val="Default"/>
        <w:ind w:left="1134" w:right="1110"/>
        <w:rPr>
          <w:sz w:val="28"/>
          <w:szCs w:val="28"/>
        </w:rPr>
      </w:pPr>
    </w:p>
    <w:p w14:paraId="0DEEBB7D" w14:textId="77777777" w:rsidR="00D95904" w:rsidRPr="00154A08" w:rsidRDefault="00D95904" w:rsidP="00D95904">
      <w:pPr>
        <w:spacing w:after="120"/>
        <w:ind w:left="1134" w:right="1134"/>
        <w:jc w:val="both"/>
        <w:rPr>
          <w:rFonts w:eastAsia="MS Mincho"/>
          <w:lang w:eastAsia="fr-FR"/>
        </w:rPr>
      </w:pPr>
      <w:r w:rsidRPr="00154A08">
        <w:rPr>
          <w:rFonts w:eastAsia="MS Mincho"/>
          <w:lang w:eastAsia="fr-FR"/>
        </w:rPr>
        <w:t xml:space="preserve">1. </w:t>
      </w:r>
      <w:r w:rsidRPr="00154A08">
        <w:rPr>
          <w:rFonts w:eastAsia="MS Mincho"/>
          <w:lang w:eastAsia="fr-FR"/>
        </w:rPr>
        <w:tab/>
        <w:t xml:space="preserve">This proposal addresses the correction of the recursive formula for </w:t>
      </w:r>
      <w:proofErr w:type="spellStart"/>
      <w:r w:rsidRPr="00154A08">
        <w:rPr>
          <w:rFonts w:eastAsia="MS Mincho"/>
          <w:lang w:eastAsia="fr-FR"/>
        </w:rPr>
        <w:t>V</w:t>
      </w:r>
      <w:r w:rsidRPr="00154A08">
        <w:rPr>
          <w:rFonts w:eastAsia="MS Mincho"/>
          <w:vertAlign w:val="subscript"/>
          <w:lang w:eastAsia="fr-FR"/>
        </w:rPr>
        <w:t>n</w:t>
      </w:r>
      <w:proofErr w:type="spellEnd"/>
      <w:r w:rsidRPr="00154A08">
        <w:rPr>
          <w:rFonts w:eastAsia="MS Mincho"/>
          <w:lang w:eastAsia="fr-FR"/>
        </w:rPr>
        <w:t xml:space="preserve"> of paragraph 6. in Appendix 2 of the 05, 06 and 07 series of amendments of UN Regulation No. 83.</w:t>
      </w:r>
    </w:p>
    <w:p w14:paraId="1A9B56C5" w14:textId="77777777" w:rsidR="00D95904" w:rsidRPr="00154A08" w:rsidRDefault="00D95904" w:rsidP="00D95904">
      <w:pPr>
        <w:spacing w:after="120"/>
        <w:ind w:left="1134" w:right="1134"/>
        <w:jc w:val="both"/>
        <w:rPr>
          <w:rFonts w:eastAsia="MS Mincho"/>
          <w:lang w:eastAsia="fr-FR"/>
        </w:rPr>
      </w:pPr>
      <w:r w:rsidRPr="00154A08">
        <w:rPr>
          <w:rFonts w:eastAsia="MS Mincho"/>
          <w:lang w:eastAsia="fr-FR"/>
        </w:rPr>
        <w:t xml:space="preserve">2. </w:t>
      </w:r>
      <w:r w:rsidRPr="00154A08">
        <w:rPr>
          <w:rFonts w:eastAsia="MS Mincho"/>
          <w:lang w:eastAsia="fr-FR"/>
        </w:rPr>
        <w:tab/>
        <w:t>This proposal aligns the approval certificates of the 06 and 07 series of amendments to UN Regulation No. 83 with the latest changes to UN Regulation No. 24.</w:t>
      </w:r>
    </w:p>
    <w:p w14:paraId="545C8B6C" w14:textId="77777777" w:rsidR="00D95904" w:rsidRDefault="00D95904" w:rsidP="00D95904">
      <w:pPr>
        <w:spacing w:after="120"/>
        <w:ind w:left="1134" w:right="1134"/>
        <w:jc w:val="both"/>
        <w:rPr>
          <w:rFonts w:eastAsia="MS Mincho"/>
          <w:lang w:eastAsia="fr-FR"/>
        </w:rPr>
      </w:pPr>
      <w:r w:rsidRPr="00154A08">
        <w:rPr>
          <w:rFonts w:eastAsia="MS Mincho"/>
          <w:lang w:eastAsia="fr-FR"/>
        </w:rPr>
        <w:t>Note: the footnote designations appear to vary with the Series of Amendments and language. Only the wording of this footnote should be amended.</w:t>
      </w:r>
    </w:p>
    <w:p w14:paraId="7D5D8F7D" w14:textId="77777777" w:rsidR="00D95904" w:rsidRDefault="00D95904" w:rsidP="00D95904">
      <w:pPr>
        <w:spacing w:after="120"/>
        <w:ind w:left="1134" w:right="1134"/>
        <w:jc w:val="both"/>
        <w:rPr>
          <w:rFonts w:eastAsia="MS Mincho"/>
          <w:lang w:eastAsia="fr-FR"/>
        </w:rPr>
      </w:pPr>
      <w:r w:rsidRPr="00EE4CAA">
        <w:rPr>
          <w:rFonts w:eastAsia="MS Mincho"/>
          <w:lang w:eastAsia="fr-FR"/>
        </w:rPr>
        <w:t xml:space="preserve">3. </w:t>
      </w:r>
      <w:r w:rsidRPr="00EE4CAA">
        <w:rPr>
          <w:rFonts w:eastAsia="MS Mincho"/>
          <w:lang w:eastAsia="fr-FR"/>
        </w:rPr>
        <w:tab/>
        <w:t xml:space="preserve">The altitude of 2500m in paragraph 3.2.1.2. should remain unchanged. This permits continuity of existing approvals to </w:t>
      </w:r>
      <w:r w:rsidRPr="00154A08">
        <w:rPr>
          <w:rFonts w:eastAsia="MS Mincho"/>
          <w:lang w:eastAsia="fr-FR"/>
        </w:rPr>
        <w:t>UN Regulation No. 83</w:t>
      </w:r>
      <w:r w:rsidRPr="00EE4CAA">
        <w:rPr>
          <w:rFonts w:eastAsia="MS Mincho"/>
          <w:lang w:eastAsia="fr-FR"/>
        </w:rPr>
        <w:t xml:space="preserve"> whilst being covered by the value of 2400m in </w:t>
      </w:r>
      <w:r w:rsidRPr="00154A08">
        <w:rPr>
          <w:rFonts w:eastAsia="MS Mincho"/>
          <w:lang w:eastAsia="fr-FR"/>
        </w:rPr>
        <w:t xml:space="preserve">UN Regulation No. </w:t>
      </w:r>
      <w:r>
        <w:rPr>
          <w:rFonts w:eastAsia="MS Mincho"/>
          <w:lang w:eastAsia="fr-FR"/>
        </w:rPr>
        <w:t>154</w:t>
      </w:r>
      <w:r w:rsidRPr="00EE4CAA">
        <w:rPr>
          <w:rFonts w:eastAsia="MS Mincho"/>
          <w:lang w:eastAsia="fr-FR"/>
        </w:rPr>
        <w:t>.</w:t>
      </w:r>
    </w:p>
    <w:p w14:paraId="0956A5C6" w14:textId="77777777" w:rsidR="00D95904" w:rsidRPr="00EE4CAA" w:rsidRDefault="00D95904" w:rsidP="00D95904">
      <w:pPr>
        <w:spacing w:after="120"/>
        <w:ind w:left="1134" w:right="1134"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4.</w:t>
      </w:r>
      <w:r>
        <w:rPr>
          <w:rFonts w:eastAsia="MS Mincho"/>
          <w:lang w:eastAsia="fr-FR"/>
        </w:rPr>
        <w:tab/>
      </w:r>
      <w:r w:rsidRPr="00EE4CAA">
        <w:rPr>
          <w:rFonts w:eastAsia="MS Mincho"/>
          <w:lang w:eastAsia="fr-FR"/>
        </w:rPr>
        <w:t xml:space="preserve">Other than the altitude mentioned above, this proposal aligns the text of </w:t>
      </w:r>
      <w:r w:rsidRPr="00154A08">
        <w:rPr>
          <w:rFonts w:eastAsia="MS Mincho"/>
          <w:lang w:eastAsia="fr-FR"/>
        </w:rPr>
        <w:t>UN Regulation No. 83</w:t>
      </w:r>
      <w:r w:rsidRPr="00EE4CAA">
        <w:rPr>
          <w:rFonts w:eastAsia="MS Mincho"/>
          <w:lang w:eastAsia="fr-FR"/>
        </w:rPr>
        <w:t xml:space="preserve"> with that of </w:t>
      </w:r>
      <w:r w:rsidRPr="00154A08">
        <w:rPr>
          <w:rFonts w:eastAsia="MS Mincho"/>
          <w:lang w:eastAsia="fr-FR"/>
        </w:rPr>
        <w:t xml:space="preserve">UN Regulation No. </w:t>
      </w:r>
      <w:r>
        <w:rPr>
          <w:rFonts w:eastAsia="MS Mincho"/>
          <w:lang w:eastAsia="fr-FR"/>
        </w:rPr>
        <w:t>154,</w:t>
      </w:r>
      <w:r w:rsidRPr="00EE4CAA">
        <w:rPr>
          <w:rFonts w:eastAsia="MS Mincho"/>
          <w:lang w:eastAsia="fr-FR"/>
        </w:rPr>
        <w:t xml:space="preserve"> thus enabling harmonized development of OBD systems.</w:t>
      </w:r>
    </w:p>
    <w:p w14:paraId="37CA7E27" w14:textId="77777777" w:rsidR="001A3844" w:rsidRDefault="001A3844" w:rsidP="001A3844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34CE8" w14:textId="053B29AD" w:rsidR="00172D72" w:rsidRPr="0065242B" w:rsidRDefault="00172D72" w:rsidP="001A3844">
      <w:pPr>
        <w:tabs>
          <w:tab w:val="left" w:pos="8505"/>
        </w:tabs>
        <w:suppressAutoHyphens w:val="0"/>
        <w:spacing w:after="120"/>
        <w:ind w:left="1689" w:right="1134" w:hanging="555"/>
        <w:jc w:val="both"/>
        <w:rPr>
          <w:i/>
        </w:rPr>
      </w:pPr>
    </w:p>
    <w:sectPr w:rsidR="00172D72" w:rsidRPr="0065242B" w:rsidSect="00652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F00D" w14:textId="77777777" w:rsidR="001F32A1" w:rsidRDefault="001F32A1"/>
  </w:endnote>
  <w:endnote w:type="continuationSeparator" w:id="0">
    <w:p w14:paraId="6CFDF610" w14:textId="77777777" w:rsidR="001F32A1" w:rsidRDefault="001F32A1"/>
  </w:endnote>
  <w:endnote w:type="continuationNotice" w:id="1">
    <w:p w14:paraId="549141FD" w14:textId="77777777" w:rsidR="001F32A1" w:rsidRDefault="001F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CB6A" w14:textId="77777777" w:rsidR="001F32A1" w:rsidRPr="000B175B" w:rsidRDefault="001F32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3DE73" w14:textId="77777777" w:rsidR="001F32A1" w:rsidRPr="00FC68B7" w:rsidRDefault="001F32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DAD700" w14:textId="77777777" w:rsidR="001F32A1" w:rsidRDefault="001F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42B1752F" w:rsidR="00484DBC" w:rsidRPr="001A3844" w:rsidRDefault="001A3844" w:rsidP="001A3844">
    <w:pPr>
      <w:pStyle w:val="Header"/>
    </w:pPr>
    <w:r w:rsidRPr="00EE5A28">
      <w:rPr>
        <w:bCs/>
      </w:rPr>
      <w:t>GRPE-8</w:t>
    </w:r>
    <w:r>
      <w:rPr>
        <w:bCs/>
      </w:rPr>
      <w:t>6</w:t>
    </w:r>
    <w:r w:rsidRPr="00EE5A28">
      <w:rPr>
        <w:bCs/>
      </w:rPr>
      <w:t>-</w:t>
    </w:r>
    <w:r w:rsidR="001109F1">
      <w:rPr>
        <w:bCs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5F702636" w:rsidR="00484DBC" w:rsidRPr="001A3844" w:rsidRDefault="001A3844" w:rsidP="001A3844">
    <w:pPr>
      <w:pStyle w:val="Header"/>
      <w:jc w:val="right"/>
    </w:pPr>
    <w:r w:rsidRPr="00EE5A28">
      <w:rPr>
        <w:bCs/>
      </w:rPr>
      <w:t>GRPE-8</w:t>
    </w:r>
    <w:r>
      <w:rPr>
        <w:bCs/>
      </w:rPr>
      <w:t>6</w:t>
    </w:r>
    <w:r w:rsidRPr="00EE5A28">
      <w:rPr>
        <w:bCs/>
      </w:rPr>
      <w:t>-</w:t>
    </w:r>
    <w:r w:rsidR="001109F1">
      <w:rPr>
        <w:bCs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5840DEC" w14:textId="078351FF" w:rsidR="001A3844" w:rsidRPr="00EE5A28" w:rsidRDefault="001A3844" w:rsidP="001A3844">
          <w:pPr>
            <w:tabs>
              <w:tab w:val="right" w:pos="9026"/>
            </w:tabs>
            <w:ind w:left="1416" w:right="-54"/>
          </w:pPr>
          <w:r w:rsidRPr="008C3F2E">
            <w:t>Informal document</w:t>
          </w:r>
          <w:r w:rsidRPr="00EE5A28">
            <w:t xml:space="preserve"> </w:t>
          </w:r>
          <w:r w:rsidRPr="00EE5A28">
            <w:rPr>
              <w:b/>
              <w:bCs/>
            </w:rPr>
            <w:t>GRPE-8</w:t>
          </w:r>
          <w:r>
            <w:rPr>
              <w:b/>
              <w:bCs/>
            </w:rPr>
            <w:t>6</w:t>
          </w:r>
          <w:r w:rsidRPr="00EE5A28">
            <w:rPr>
              <w:b/>
              <w:bCs/>
            </w:rPr>
            <w:t>-</w:t>
          </w:r>
          <w:r w:rsidR="001109F1">
            <w:rPr>
              <w:b/>
              <w:bCs/>
            </w:rPr>
            <w:t>12</w:t>
          </w:r>
        </w:p>
        <w:p w14:paraId="661718A8" w14:textId="77777777" w:rsidR="001A3844" w:rsidRPr="00EE5A28" w:rsidRDefault="001A3844" w:rsidP="001A3844">
          <w:pPr>
            <w:tabs>
              <w:tab w:val="center" w:pos="4513"/>
              <w:tab w:val="right" w:pos="9026"/>
            </w:tabs>
            <w:ind w:left="1416"/>
            <w:rPr>
              <w:bCs/>
            </w:rPr>
          </w:pPr>
          <w:r w:rsidRPr="00EE5A28">
            <w:rPr>
              <w:bCs/>
            </w:rPr>
            <w:t>8</w:t>
          </w:r>
          <w:r>
            <w:rPr>
              <w:bCs/>
            </w:rPr>
            <w:t>6</w:t>
          </w:r>
          <w:r w:rsidRPr="00EE5A28">
            <w:rPr>
              <w:bCs/>
              <w:vertAlign w:val="superscript"/>
            </w:rPr>
            <w:t>th</w:t>
          </w:r>
          <w:r w:rsidRPr="00EE5A28">
            <w:rPr>
              <w:bCs/>
            </w:rPr>
            <w:t xml:space="preserve"> GRPE, </w:t>
          </w:r>
          <w:r>
            <w:rPr>
              <w:bCs/>
            </w:rPr>
            <w:t xml:space="preserve">30 May </w:t>
          </w:r>
          <w:r w:rsidRPr="00EE5A28">
            <w:rPr>
              <w:bCs/>
            </w:rPr>
            <w:t>-</w:t>
          </w:r>
          <w:r>
            <w:rPr>
              <w:bCs/>
            </w:rPr>
            <w:t xml:space="preserve"> 02</w:t>
          </w:r>
          <w:r w:rsidRPr="00EE5A28">
            <w:rPr>
              <w:bCs/>
            </w:rPr>
            <w:t xml:space="preserve"> J</w:t>
          </w:r>
          <w:r>
            <w:rPr>
              <w:bCs/>
            </w:rPr>
            <w:t>une</w:t>
          </w:r>
          <w:r w:rsidRPr="00EE5A28">
            <w:rPr>
              <w:bCs/>
            </w:rPr>
            <w:t xml:space="preserve"> 2022</w:t>
          </w:r>
        </w:p>
        <w:p w14:paraId="1F19E409" w14:textId="2EF1D582" w:rsidR="001A3844" w:rsidRPr="001212DD" w:rsidRDefault="001A3844" w:rsidP="001A3844">
          <w:pPr>
            <w:tabs>
              <w:tab w:val="center" w:pos="4513"/>
              <w:tab w:val="right" w:pos="9026"/>
            </w:tabs>
            <w:ind w:left="1416"/>
          </w:pPr>
          <w:r w:rsidRPr="001212DD">
            <w:t xml:space="preserve">Agenda item </w:t>
          </w:r>
          <w:proofErr w:type="gramStart"/>
          <w:r>
            <w:t>3.(</w:t>
          </w:r>
          <w:proofErr w:type="gramEnd"/>
          <w:r>
            <w:t>a).</w:t>
          </w:r>
        </w:p>
        <w:p w14:paraId="1F9358C2" w14:textId="07021248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25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20"/>
  </w:num>
  <w:num w:numId="21">
    <w:abstractNumId w:val="17"/>
  </w:num>
  <w:num w:numId="22">
    <w:abstractNumId w:val="12"/>
  </w:num>
  <w:num w:numId="23">
    <w:abstractNumId w:val="22"/>
  </w:num>
  <w:num w:numId="24">
    <w:abstractNumId w:val="24"/>
  </w:num>
  <w:num w:numId="25">
    <w:abstractNumId w:val="10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09F1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844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16CB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904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6928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E855D-ADFD-4F23-BC1D-F4B3A7DF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Francois Cuenot</cp:lastModifiedBy>
  <cp:revision>3</cp:revision>
  <cp:lastPrinted>2018-08-29T09:38:00Z</cp:lastPrinted>
  <dcterms:created xsi:type="dcterms:W3CDTF">2022-05-25T13:19:00Z</dcterms:created>
  <dcterms:modified xsi:type="dcterms:W3CDTF">2022-05-26T09:27:00Z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</Properties>
</file>