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00AA87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E2BBD1E" w14:textId="77777777" w:rsidR="00F35BAF" w:rsidRPr="00DB58B5" w:rsidRDefault="00F35BAF" w:rsidP="00F1785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F030D0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3188DF4" w14:textId="781A5630" w:rsidR="00F35BAF" w:rsidRPr="00DB58B5" w:rsidRDefault="00F17854" w:rsidP="00F17854">
            <w:pPr>
              <w:jc w:val="right"/>
            </w:pPr>
            <w:r w:rsidRPr="00F17854">
              <w:rPr>
                <w:sz w:val="40"/>
              </w:rPr>
              <w:t>ECE</w:t>
            </w:r>
            <w:r>
              <w:t>/TRANS/WP.29/2022/85</w:t>
            </w:r>
          </w:p>
        </w:tc>
      </w:tr>
      <w:tr w:rsidR="00F35BAF" w:rsidRPr="00DB58B5" w14:paraId="40090AB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EF0EB0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4D34163" wp14:editId="6780608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136E32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090580" w14:textId="77777777" w:rsidR="00F35BAF" w:rsidRDefault="00F17854" w:rsidP="00C97039">
            <w:pPr>
              <w:spacing w:before="240"/>
            </w:pPr>
            <w:r>
              <w:t>Distr. générale</w:t>
            </w:r>
          </w:p>
          <w:p w14:paraId="4EC1E76E" w14:textId="77777777" w:rsidR="00F17854" w:rsidRDefault="00F17854" w:rsidP="00F17854">
            <w:pPr>
              <w:spacing w:line="240" w:lineRule="exact"/>
            </w:pPr>
            <w:r>
              <w:t>5 avril 2022</w:t>
            </w:r>
          </w:p>
          <w:p w14:paraId="657E848C" w14:textId="77777777" w:rsidR="00F17854" w:rsidRDefault="00F17854" w:rsidP="00F17854">
            <w:pPr>
              <w:spacing w:line="240" w:lineRule="exact"/>
            </w:pPr>
            <w:r>
              <w:t>Français</w:t>
            </w:r>
          </w:p>
          <w:p w14:paraId="35776276" w14:textId="5761D211" w:rsidR="00F17854" w:rsidRPr="00DB58B5" w:rsidRDefault="00F17854" w:rsidP="00F17854">
            <w:pPr>
              <w:spacing w:line="240" w:lineRule="exact"/>
            </w:pPr>
            <w:r>
              <w:t>Original</w:t>
            </w:r>
            <w:r w:rsidR="00AA3587">
              <w:t> :</w:t>
            </w:r>
            <w:r>
              <w:t xml:space="preserve"> anglais</w:t>
            </w:r>
          </w:p>
        </w:tc>
      </w:tr>
    </w:tbl>
    <w:p w14:paraId="35ED74D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1A710F9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7F2AAE8" w14:textId="5E1C33B6" w:rsidR="00A453EC" w:rsidRPr="00BA75A2" w:rsidRDefault="00A453EC" w:rsidP="00AA3587">
      <w:pPr>
        <w:spacing w:before="120" w:line="240" w:lineRule="auto"/>
        <w:ind w:right="2975"/>
        <w:rPr>
          <w:sz w:val="24"/>
          <w:szCs w:val="24"/>
        </w:rPr>
      </w:pPr>
      <w:r w:rsidRPr="00BA75A2">
        <w:rPr>
          <w:b/>
          <w:bCs/>
          <w:sz w:val="24"/>
          <w:szCs w:val="24"/>
        </w:rPr>
        <w:t xml:space="preserve">Forum mondial de l’harmonisation </w:t>
      </w:r>
      <w:r w:rsidR="00AA3587">
        <w:rPr>
          <w:b/>
          <w:bCs/>
          <w:sz w:val="24"/>
          <w:szCs w:val="24"/>
        </w:rPr>
        <w:br/>
      </w:r>
      <w:r w:rsidRPr="00BA75A2">
        <w:rPr>
          <w:b/>
          <w:bCs/>
          <w:sz w:val="24"/>
          <w:szCs w:val="24"/>
        </w:rPr>
        <w:t>des Règlements concernant les véhicules</w:t>
      </w:r>
    </w:p>
    <w:p w14:paraId="03934A65" w14:textId="77777777" w:rsidR="00A453EC" w:rsidRPr="00AA3587" w:rsidRDefault="00A453EC" w:rsidP="00AA3587">
      <w:pPr>
        <w:tabs>
          <w:tab w:val="center" w:pos="4819"/>
        </w:tabs>
        <w:spacing w:before="120" w:line="240" w:lineRule="auto"/>
        <w:ind w:right="2975"/>
        <w:rPr>
          <w:b/>
        </w:rPr>
      </w:pPr>
      <w:r w:rsidRPr="00AA3587">
        <w:rPr>
          <w:b/>
          <w:bCs/>
        </w:rPr>
        <w:t>187</w:t>
      </w:r>
      <w:r w:rsidRPr="00AA3587">
        <w:rPr>
          <w:b/>
          <w:bCs/>
          <w:vertAlign w:val="superscript"/>
        </w:rPr>
        <w:t>e</w:t>
      </w:r>
      <w:r w:rsidRPr="00AA3587">
        <w:rPr>
          <w:b/>
          <w:bCs/>
        </w:rPr>
        <w:t xml:space="preserve"> session</w:t>
      </w:r>
    </w:p>
    <w:p w14:paraId="4499BC70" w14:textId="77777777" w:rsidR="00A453EC" w:rsidRPr="00AA3587" w:rsidRDefault="00A453EC" w:rsidP="00AA3587">
      <w:pPr>
        <w:spacing w:line="240" w:lineRule="auto"/>
        <w:ind w:right="2975"/>
      </w:pPr>
      <w:r w:rsidRPr="00AA3587">
        <w:t>Genève, 21-24 juin 2022</w:t>
      </w:r>
    </w:p>
    <w:p w14:paraId="58DEF3EC" w14:textId="77777777" w:rsidR="00A453EC" w:rsidRPr="00AA3587" w:rsidRDefault="00A453EC" w:rsidP="00AA3587">
      <w:pPr>
        <w:spacing w:line="240" w:lineRule="auto"/>
        <w:ind w:right="2975"/>
      </w:pPr>
      <w:r w:rsidRPr="00AA3587">
        <w:t>Point 4.9.3 de l’ordre du jour provisoire</w:t>
      </w:r>
    </w:p>
    <w:p w14:paraId="7C407966" w14:textId="7AF8B796" w:rsidR="00A453EC" w:rsidRPr="00AA3587" w:rsidRDefault="00A453EC" w:rsidP="00AA3587">
      <w:pPr>
        <w:spacing w:line="240" w:lineRule="auto"/>
        <w:ind w:right="2975"/>
      </w:pPr>
      <w:bookmarkStart w:id="0" w:name="_Hlk101356160"/>
      <w:r w:rsidRPr="00AA3587">
        <w:rPr>
          <w:b/>
          <w:bCs/>
        </w:rPr>
        <w:t xml:space="preserve">Examen de projets d’amendements à des Règlements ONU </w:t>
      </w:r>
      <w:r w:rsidR="00AA3587">
        <w:rPr>
          <w:b/>
          <w:bCs/>
        </w:rPr>
        <w:br/>
      </w:r>
      <w:r w:rsidRPr="00AA3587">
        <w:rPr>
          <w:b/>
          <w:bCs/>
        </w:rPr>
        <w:t>existants, soumis par le</w:t>
      </w:r>
      <w:bookmarkEnd w:id="0"/>
      <w:r w:rsidRPr="00AA3587">
        <w:rPr>
          <w:b/>
          <w:bCs/>
        </w:rPr>
        <w:t xml:space="preserve"> GRBP</w:t>
      </w:r>
    </w:p>
    <w:p w14:paraId="507E47FF" w14:textId="77777777" w:rsidR="00A453EC" w:rsidRPr="00BA75A2" w:rsidRDefault="00A453EC" w:rsidP="00AA3587">
      <w:pPr>
        <w:pStyle w:val="HChG"/>
      </w:pPr>
      <w:r w:rsidRPr="00BA75A2">
        <w:tab/>
      </w:r>
      <w:r w:rsidRPr="00BA75A2">
        <w:tab/>
        <w:t>Proposition de complément 25 à la série originale d’amendements au Règlement ONU n</w:t>
      </w:r>
      <w:r w:rsidRPr="00BA75A2">
        <w:rPr>
          <w:vertAlign w:val="superscript"/>
        </w:rPr>
        <w:t>o</w:t>
      </w:r>
      <w:r w:rsidRPr="00AA3587">
        <w:t> </w:t>
      </w:r>
      <w:r w:rsidRPr="00BA75A2">
        <w:t>54 (Pneumatiques pour véhicules utilitaires et leurs remorques)</w:t>
      </w:r>
    </w:p>
    <w:p w14:paraId="179CEAEA" w14:textId="77777777" w:rsidR="00A453EC" w:rsidRPr="00BA75A2" w:rsidRDefault="00A453EC" w:rsidP="00AA3587">
      <w:pPr>
        <w:pStyle w:val="H1G"/>
      </w:pPr>
      <w:r w:rsidRPr="00BA75A2">
        <w:tab/>
      </w:r>
      <w:r w:rsidRPr="00BA75A2">
        <w:tab/>
        <w:t>Communication du Groupe de travail du bruit et des pneumatiques</w:t>
      </w:r>
      <w:r w:rsidRPr="00AA3587">
        <w:rPr>
          <w:b w:val="0"/>
          <w:bCs/>
          <w:sz w:val="20"/>
        </w:rPr>
        <w:footnoteReference w:customMarkFollows="1" w:id="2"/>
        <w:t>*</w:t>
      </w:r>
    </w:p>
    <w:p w14:paraId="79ECCE59" w14:textId="712D57F6" w:rsidR="00A453EC" w:rsidRPr="00BA75A2" w:rsidRDefault="00A453EC" w:rsidP="00AA3587">
      <w:pPr>
        <w:pStyle w:val="SingleTxtG"/>
        <w:ind w:firstLine="567"/>
      </w:pPr>
      <w:r w:rsidRPr="00BA75A2">
        <w:t>Le texte ci-après, adopté par le Groupe de travail du bruit et des pneumatiques (GRBP) à sa soixante-quinzième session (ECE/TRANS/WP.29/GRBP/73, par.</w:t>
      </w:r>
      <w:r w:rsidR="00AA3587">
        <w:t> </w:t>
      </w:r>
      <w:r w:rsidRPr="00BA75A2">
        <w:t>18), est fondé sur les documents ECE/TRANS/WP.29/GRBP/2022/6 et ECE/TRANS/WP.29/GRBP/2021/13, tel que modifiés par le document informel GRBP-75-31-Rev.2. Il est soumis au Forum mondial de l’harmonisation des Règlements concernant les véhicules (WP.29) et au Comité d’administration de l’Accord de 1958 (AC.1) pour examen à leurs sessions de juin 2022.</w:t>
      </w:r>
    </w:p>
    <w:p w14:paraId="754BE08B" w14:textId="39E48818" w:rsidR="00A453EC" w:rsidRDefault="00A453EC">
      <w:pPr>
        <w:suppressAutoHyphens w:val="0"/>
        <w:kinsoku/>
        <w:overflowPunct/>
        <w:autoSpaceDE/>
        <w:autoSpaceDN/>
        <w:adjustRightInd/>
        <w:snapToGrid/>
        <w:spacing w:after="200" w:line="276" w:lineRule="auto"/>
      </w:pPr>
      <w:r>
        <w:br w:type="page"/>
      </w:r>
    </w:p>
    <w:p w14:paraId="16B7B751" w14:textId="3C73062D" w:rsidR="00A453EC" w:rsidRPr="00AA3587" w:rsidRDefault="00A453EC" w:rsidP="00AA3587">
      <w:pPr>
        <w:pStyle w:val="SingleTxtG"/>
        <w:keepNext/>
      </w:pPr>
      <w:bookmarkStart w:id="1" w:name="_Hlk85793171"/>
      <w:r w:rsidRPr="00AA3587">
        <w:rPr>
          <w:i/>
          <w:iCs/>
        </w:rPr>
        <w:lastRenderedPageBreak/>
        <w:t>Paragraphe 2.13.1</w:t>
      </w:r>
      <w:r w:rsidRPr="00AA3587">
        <w:t>, lire</w:t>
      </w:r>
      <w:r w:rsidR="00AA3587">
        <w:t> :</w:t>
      </w:r>
    </w:p>
    <w:p w14:paraId="21006C94" w14:textId="675B315C" w:rsidR="00A453EC" w:rsidRPr="00AA3587" w:rsidRDefault="00A453EC" w:rsidP="00AA3587">
      <w:pPr>
        <w:pStyle w:val="SingleTxtG"/>
        <w:ind w:left="2268" w:hanging="1134"/>
      </w:pPr>
      <w:r w:rsidRPr="00AA3587">
        <w:t>« 2.13.1</w:t>
      </w:r>
      <w:r w:rsidRPr="00AA3587">
        <w:tab/>
      </w:r>
      <w:r w:rsidRPr="00AA3587">
        <w:rPr>
          <w:spacing w:val="-1"/>
        </w:rPr>
        <w:t xml:space="preserve">Toutefois, pour les pneumatiques identifiés par le </w:t>
      </w:r>
      <w:r w:rsidR="00AA3587" w:rsidRPr="00AA3587">
        <w:rPr>
          <w:spacing w:val="-1"/>
        </w:rPr>
        <w:t>“</w:t>
      </w:r>
      <w:r w:rsidRPr="00AA3587">
        <w:rPr>
          <w:spacing w:val="-1"/>
        </w:rPr>
        <w:t>montage pneumatique/jante</w:t>
      </w:r>
      <w:r w:rsidR="00AA3587" w:rsidRPr="00AA3587">
        <w:rPr>
          <w:spacing w:val="-1"/>
        </w:rPr>
        <w:t>”</w:t>
      </w:r>
      <w:r w:rsidRPr="00AA3587">
        <w:t xml:space="preserve"> (voir le paragraphe 2.20.5) symbole </w:t>
      </w:r>
      <w:r w:rsidR="00AA3587">
        <w:t>“</w:t>
      </w:r>
      <w:r w:rsidRPr="00AA3587">
        <w:t>A</w:t>
      </w:r>
      <w:r w:rsidR="00AA3587">
        <w:t>”</w:t>
      </w:r>
      <w:r w:rsidRPr="00AA3587">
        <w:t>, celui-là désigne l’endroit du pneumatique qui repose sur la jante</w:t>
      </w:r>
      <w:r w:rsidR="00AA3587">
        <w:t> ;</w:t>
      </w:r>
      <w:r w:rsidRPr="00AA3587">
        <w:t> ».</w:t>
      </w:r>
    </w:p>
    <w:p w14:paraId="28522E8D" w14:textId="331E8C87" w:rsidR="00A453EC" w:rsidRPr="00AA3587" w:rsidRDefault="00A453EC" w:rsidP="00AA3587">
      <w:pPr>
        <w:pStyle w:val="SingleTxtG"/>
        <w:keepNext/>
      </w:pPr>
      <w:r w:rsidRPr="00AA3587">
        <w:rPr>
          <w:i/>
          <w:iCs/>
        </w:rPr>
        <w:t>Paragraphe 2.30</w:t>
      </w:r>
      <w:r w:rsidRPr="00AA3587">
        <w:t>, lire</w:t>
      </w:r>
      <w:r w:rsidR="00AA3587">
        <w:t> :</w:t>
      </w:r>
    </w:p>
    <w:p w14:paraId="73D0A751" w14:textId="5318348A" w:rsidR="00A453EC" w:rsidRPr="00AA3587" w:rsidRDefault="00A453EC" w:rsidP="00AA3587">
      <w:pPr>
        <w:pStyle w:val="SingleTxtG"/>
        <w:ind w:left="2268" w:hanging="1134"/>
      </w:pPr>
      <w:r w:rsidRPr="00AA3587">
        <w:t>« 2.30</w:t>
      </w:r>
      <w:r w:rsidRPr="00AA3587">
        <w:tab/>
      </w:r>
      <w:r w:rsidRPr="00AA3587">
        <w:tab/>
      </w:r>
      <w:r w:rsidR="00AA3587">
        <w:t>“</w:t>
      </w:r>
      <w:r w:rsidRPr="00AA3587">
        <w:rPr>
          <w:i/>
          <w:iCs/>
        </w:rPr>
        <w:t>Indice de capacité de charge</w:t>
      </w:r>
      <w:r w:rsidR="00AA3587">
        <w:t>”</w:t>
      </w:r>
      <w:r w:rsidRPr="00AA3587">
        <w:t>, un nombre indiquant la charge que peut supporter le pneumatique à la vitesse caractéristique de la catégorie de vitesse à laquelle il se classe lorsqu’il est utilisé conformément aux prescriptions d’utilisation spécifiées par son fabricant. La liste de ces indices et des charges correspondantes figure à l’annexe 4</w:t>
      </w:r>
      <w:r w:rsidR="00AA3587">
        <w:t> ;</w:t>
      </w:r>
      <w:r w:rsidRPr="00AA3587">
        <w:t> ».</w:t>
      </w:r>
    </w:p>
    <w:p w14:paraId="26AFD54C" w14:textId="02242F8E" w:rsidR="00A453EC" w:rsidRPr="00AA3587" w:rsidRDefault="00A453EC" w:rsidP="00AA3587">
      <w:pPr>
        <w:pStyle w:val="SingleTxtG"/>
        <w:keepNext/>
      </w:pPr>
      <w:r w:rsidRPr="00AA3587">
        <w:rPr>
          <w:i/>
          <w:iCs/>
        </w:rPr>
        <w:t>Paragraphe 2.32</w:t>
      </w:r>
      <w:r w:rsidRPr="00AA3587">
        <w:t>, lire</w:t>
      </w:r>
      <w:r w:rsidR="00AA3587">
        <w:t> :</w:t>
      </w:r>
    </w:p>
    <w:p w14:paraId="42969CA6" w14:textId="632E37D0" w:rsidR="00A453EC" w:rsidRPr="00AA3587" w:rsidRDefault="00A453EC" w:rsidP="006E13D8">
      <w:pPr>
        <w:pStyle w:val="SingleTxtG"/>
        <w:keepNext/>
        <w:ind w:left="2268" w:hanging="1134"/>
      </w:pPr>
      <w:r w:rsidRPr="00AA3587">
        <w:t>« 2.32</w:t>
      </w:r>
      <w:r w:rsidRPr="00AA3587">
        <w:tab/>
      </w:r>
      <w:r w:rsidRPr="00AA3587">
        <w:tab/>
      </w:r>
      <w:r w:rsidR="006E13D8">
        <w:t>“</w:t>
      </w:r>
      <w:r w:rsidRPr="00AA3587">
        <w:rPr>
          <w:i/>
          <w:iCs/>
        </w:rPr>
        <w:t>Tableau de variation des charges en fonction de la vitesse</w:t>
      </w:r>
      <w:r w:rsidR="006E13D8">
        <w:t>” </w:t>
      </w:r>
      <w:r w:rsidR="00AA3587">
        <w:t>:</w:t>
      </w:r>
    </w:p>
    <w:p w14:paraId="2704768E" w14:textId="1A384B53" w:rsidR="00A453EC" w:rsidRPr="00AA3587" w:rsidRDefault="00A453EC" w:rsidP="00AA3587">
      <w:pPr>
        <w:pStyle w:val="SingleTxtG"/>
        <w:ind w:left="2268"/>
      </w:pPr>
      <w:r w:rsidRPr="00AA3587">
        <w:t>Le tableau figurant à l’annexe 8 indiquant, en fonction des indices de capacité de charge et des symboles de catégorie de vitesse nominale, les variations de charge que peut supporter un pneumatique lorsqu’il est utilisé à des vitesses différentes de celle correspondant à son symbole de catégorie de vitesse nominale. Ces variations de charge ne sont pas applicables avec le code de service supplémentaire obtenu lorsque les dispositions du paragraphe 6.2.5 sont appliquées</w:t>
      </w:r>
      <w:r w:rsidR="00AA3587">
        <w:t> ;</w:t>
      </w:r>
      <w:r w:rsidRPr="00AA3587">
        <w:t> ».</w:t>
      </w:r>
    </w:p>
    <w:p w14:paraId="7144EECA" w14:textId="686083F1" w:rsidR="00A453EC" w:rsidRPr="00AA3587" w:rsidRDefault="00A453EC" w:rsidP="00AA3587">
      <w:pPr>
        <w:pStyle w:val="SingleTxtG"/>
        <w:keepNext/>
        <w:rPr>
          <w:i/>
          <w:iCs/>
        </w:rPr>
      </w:pPr>
      <w:r w:rsidRPr="00AA3587">
        <w:rPr>
          <w:i/>
          <w:iCs/>
        </w:rPr>
        <w:t>Paragraphes 3.1.5 et 3.1.5.1</w:t>
      </w:r>
      <w:r w:rsidRPr="00AA3587">
        <w:t>, lire</w:t>
      </w:r>
      <w:r w:rsidR="00AA3587">
        <w:t> :</w:t>
      </w:r>
    </w:p>
    <w:p w14:paraId="7C89A6FA" w14:textId="0285A529" w:rsidR="00A453EC" w:rsidRPr="00AA3587" w:rsidRDefault="00A453EC" w:rsidP="00AA3587">
      <w:pPr>
        <w:pStyle w:val="SingleTxtG"/>
        <w:ind w:left="2268" w:hanging="1134"/>
      </w:pPr>
      <w:r w:rsidRPr="00AA3587">
        <w:t>« 3.1.5</w:t>
      </w:r>
      <w:r w:rsidRPr="00AA3587">
        <w:tab/>
      </w:r>
      <w:r w:rsidRPr="00AA3587">
        <w:tab/>
        <w:t>Le code de service tel que défini au paragraphe 2.35</w:t>
      </w:r>
      <w:r w:rsidR="00AA3587">
        <w:t> ;</w:t>
      </w:r>
    </w:p>
    <w:p w14:paraId="47D7BEBA" w14:textId="7E9AA97C" w:rsidR="00A453EC" w:rsidRPr="00AA3587" w:rsidRDefault="00A453EC" w:rsidP="00AA3587">
      <w:pPr>
        <w:pStyle w:val="SingleTxtG"/>
        <w:ind w:left="2268" w:hanging="1134"/>
      </w:pPr>
      <w:r w:rsidRPr="00AA3587">
        <w:t>3.1.5.1</w:t>
      </w:r>
      <w:r w:rsidRPr="00AA3587">
        <w:tab/>
        <w:t>Un code de service supplémentaire entouré d’un cercle lorsque les dispositions du paragraphe 6.2.5 sont appliquées</w:t>
      </w:r>
      <w:r w:rsidR="00AA3587">
        <w:t> ;</w:t>
      </w:r>
      <w:r w:rsidRPr="00AA3587">
        <w:t> ».</w:t>
      </w:r>
    </w:p>
    <w:p w14:paraId="3ABCD3CA" w14:textId="77777777" w:rsidR="00A453EC" w:rsidRPr="00AA3587" w:rsidRDefault="00A453EC" w:rsidP="00AA3587">
      <w:pPr>
        <w:pStyle w:val="SingleTxtG"/>
      </w:pPr>
      <w:r w:rsidRPr="00AA3587">
        <w:rPr>
          <w:i/>
          <w:iCs/>
        </w:rPr>
        <w:t>Paragraphe 3.1.5.2</w:t>
      </w:r>
      <w:r w:rsidRPr="00AA3587">
        <w:t>, supprimer.</w:t>
      </w:r>
    </w:p>
    <w:p w14:paraId="7915CDA3" w14:textId="337A7394" w:rsidR="00A453EC" w:rsidRPr="00AA3587" w:rsidRDefault="00A453EC" w:rsidP="00AA3587">
      <w:pPr>
        <w:pStyle w:val="SingleTxtG"/>
        <w:keepNext/>
      </w:pPr>
      <w:r w:rsidRPr="00AA3587">
        <w:rPr>
          <w:i/>
          <w:iCs/>
        </w:rPr>
        <w:t>Paragraphe 3.1.7</w:t>
      </w:r>
      <w:r w:rsidRPr="00AA3587">
        <w:t>, lire</w:t>
      </w:r>
      <w:r w:rsidR="00AA3587">
        <w:t> :</w:t>
      </w:r>
    </w:p>
    <w:p w14:paraId="547EDD93" w14:textId="77777777" w:rsidR="00A453EC" w:rsidRPr="00AA3587" w:rsidRDefault="00A453EC" w:rsidP="00AA3587">
      <w:pPr>
        <w:pStyle w:val="SingleTxtG"/>
        <w:ind w:left="2268" w:hanging="1134"/>
      </w:pPr>
      <w:r w:rsidRPr="00AA3587">
        <w:t>« 3.1.7</w:t>
      </w:r>
      <w:r w:rsidRPr="00AA3587">
        <w:tab/>
        <w:t>(omis) ».</w:t>
      </w:r>
    </w:p>
    <w:p w14:paraId="220737E1" w14:textId="452FED4E" w:rsidR="00A453EC" w:rsidRPr="00AA3587" w:rsidRDefault="00A453EC" w:rsidP="00AA3587">
      <w:pPr>
        <w:pStyle w:val="SingleTxtG"/>
        <w:keepNext/>
      </w:pPr>
      <w:r w:rsidRPr="00AA3587">
        <w:rPr>
          <w:i/>
          <w:iCs/>
        </w:rPr>
        <w:t>Paragraphe 3.1.10</w:t>
      </w:r>
      <w:r w:rsidRPr="00AA3587">
        <w:t>, lire</w:t>
      </w:r>
      <w:r w:rsidR="00AA3587">
        <w:t> :</w:t>
      </w:r>
    </w:p>
    <w:p w14:paraId="09F786A9" w14:textId="099402E7" w:rsidR="00A453EC" w:rsidRPr="00AA3587" w:rsidRDefault="00A453EC" w:rsidP="00AA3587">
      <w:pPr>
        <w:pStyle w:val="SingleTxtG"/>
        <w:ind w:left="2268" w:hanging="1134"/>
      </w:pPr>
      <w:r w:rsidRPr="00AA3587">
        <w:t>« 3.1.10</w:t>
      </w:r>
      <w:r w:rsidRPr="00AA3587">
        <w:tab/>
        <w:t xml:space="preserve">Dans le cas des pneumatiques </w:t>
      </w:r>
      <w:proofErr w:type="spellStart"/>
      <w:r w:rsidRPr="00AA3587">
        <w:t>recreusables</w:t>
      </w:r>
      <w:proofErr w:type="spellEnd"/>
      <w:r w:rsidRPr="00AA3587">
        <w:t xml:space="preserve">, sur chaque flanc, le symbole </w:t>
      </w:r>
      <w:r w:rsidR="00AA3587">
        <w:br/>
        <w:t>“</w:t>
      </w:r>
      <w:r w:rsidRPr="00AA3587">
        <w:rPr>
          <w:noProof/>
        </w:rPr>
        <mc:AlternateContent>
          <mc:Choice Requires="wpg">
            <w:drawing>
              <wp:inline distT="0" distB="0" distL="0" distR="0" wp14:anchorId="7F899A90" wp14:editId="5CFB85FD">
                <wp:extent cx="228600" cy="228600"/>
                <wp:effectExtent l="9525" t="9525" r="9525" b="9525"/>
                <wp:docPr id="1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161" y="1804"/>
                          <a:chExt cx="1080" cy="1080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344" y="2164"/>
                            <a:ext cx="720" cy="360"/>
                            <a:chOff x="1341" y="2164"/>
                            <a:chExt cx="720" cy="360"/>
                          </a:xfrm>
                        </wpg:grpSpPr>
                        <wps:wsp>
                          <wps:cNvPr id="16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1" y="216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1521" y="2164"/>
                              <a:ext cx="540" cy="360"/>
                              <a:chOff x="1521" y="2164"/>
                              <a:chExt cx="540" cy="360"/>
                            </a:xfrm>
                          </wpg:grpSpPr>
                          <wps:wsp>
                            <wps:cNvPr id="18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21" y="216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21" y="252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81" y="216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1" y="216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161" y="1804"/>
                            <a:ext cx="1080" cy="108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8800C" id="Group 32" o:spid="_x0000_s1026" style="width:18pt;height:18pt;mso-position-horizontal-relative:char;mso-position-vertical-relative:line" coordorigin="1161,180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">
                <v:group id="Group 33" o:spid="_x0000_s1027" style="position:absolute;left:1344;top:2164;width:720;height:360" coordorigin="1341,2164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34" o:spid="_x0000_s1028" style="position:absolute;visibility:visible;mso-wrap-style:square" from="1341,2164" to="1521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  <v:group id="Group 35" o:spid="_x0000_s1029" style="position:absolute;left:1521;top:2164;width:540;height:360" coordorigin="1521,2164" coordsize="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line id="Line 36" o:spid="_x0000_s1030" style="position:absolute;visibility:visible;mso-wrap-style:square" from="1521,2164" to="152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" strokeweight="1.5pt"/>
                    <v:line id="Line 37" o:spid="_x0000_s1031" style="position:absolute;visibility:visible;mso-wrap-style:square" from="1521,2524" to="188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    <v:line id="Line 38" o:spid="_x0000_s1032" style="position:absolute;flip:y;visibility:visible;mso-wrap-style:square" from="1881,2164" to="1881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" strokeweight="1.5pt"/>
                    <v:line id="Line 39" o:spid="_x0000_s1033" style="position:absolute;visibility:visible;mso-wrap-style:square" from="1881,2164" to="2061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  </v:group>
                </v:group>
                <v:oval id="Oval 40" o:spid="_x0000_s1034" style="position:absolute;left:1161;top:1804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" filled="f" strokeweight="1.5pt"/>
                <w10:anchorlock/>
              </v:group>
            </w:pict>
          </mc:Fallback>
        </mc:AlternateContent>
      </w:r>
      <w:r w:rsidR="00AA3587">
        <w:t>”</w:t>
      </w:r>
      <w:r w:rsidRPr="00AA3587">
        <w:t xml:space="preserve"> d’au moins 20</w:t>
      </w:r>
      <w:r w:rsidR="006E13D8">
        <w:t> </w:t>
      </w:r>
      <w:r w:rsidRPr="00AA3587">
        <w:t>mm de diamètre ou le mot « </w:t>
      </w:r>
      <w:r w:rsidRPr="00AA3587">
        <w:rPr>
          <w:lang w:val="en-US"/>
        </w:rPr>
        <w:t>REGROOVABLE</w:t>
      </w:r>
      <w:r w:rsidRPr="00AA3587">
        <w:t> »</w:t>
      </w:r>
      <w:r w:rsidR="00AA3587">
        <w:t> ;</w:t>
      </w:r>
      <w:r w:rsidRPr="00AA3587">
        <w:t> ».</w:t>
      </w:r>
    </w:p>
    <w:p w14:paraId="77F5C5A7" w14:textId="1EF14893" w:rsidR="00A453EC" w:rsidRPr="00AA3587" w:rsidRDefault="00A453EC" w:rsidP="00AA3587">
      <w:pPr>
        <w:pStyle w:val="SingleTxtG"/>
        <w:keepNext/>
      </w:pPr>
      <w:r w:rsidRPr="00AA3587">
        <w:rPr>
          <w:i/>
          <w:iCs/>
        </w:rPr>
        <w:t>Paragraphe 3.4.1</w:t>
      </w:r>
      <w:r w:rsidRPr="00AA3587">
        <w:t>, lire</w:t>
      </w:r>
      <w:r w:rsidR="00AA3587">
        <w:t> :</w:t>
      </w:r>
    </w:p>
    <w:p w14:paraId="2AAC83B7" w14:textId="77777777" w:rsidR="00A453EC" w:rsidRPr="00AA3587" w:rsidRDefault="00A453EC" w:rsidP="00AA3587">
      <w:pPr>
        <w:pStyle w:val="SingleTxtG"/>
        <w:ind w:left="2268" w:hanging="1134"/>
        <w:rPr>
          <w:bCs/>
        </w:rPr>
      </w:pPr>
      <w:r w:rsidRPr="00AA3587">
        <w:t>« 3.4.1</w:t>
      </w:r>
      <w:r w:rsidRPr="00AA3587">
        <w:tab/>
        <w:t>Les inscriptions doivent être situées dans la zone basse du pneumatique sur au moins un des flancs, à l’exception des inscriptions mentionnées aux paragraphes 3.1.1 et 3.1.2.</w:t>
      </w:r>
    </w:p>
    <w:p w14:paraId="3745DA9F" w14:textId="74723D57" w:rsidR="00A453EC" w:rsidRPr="00AA3587" w:rsidRDefault="00A453EC" w:rsidP="00AA3587">
      <w:pPr>
        <w:pStyle w:val="SingleTxtG"/>
        <w:ind w:left="2268"/>
      </w:pPr>
      <w:r w:rsidRPr="00AA3587">
        <w:rPr>
          <w:spacing w:val="-1"/>
        </w:rPr>
        <w:t>Toutefois, pour les pneumatiques identifiés par le “montage pneumatique/jante”</w:t>
      </w:r>
      <w:r w:rsidRPr="00AA3587">
        <w:t xml:space="preserve"> (voir le paragraphe 2.20.5) symbole “A”, les inscriptions peuvent être apposées n’importe où à l’extérieur des flancs du pneumatique. ».</w:t>
      </w:r>
    </w:p>
    <w:p w14:paraId="0DE0E91F" w14:textId="4599D10C" w:rsidR="00A453EC" w:rsidRPr="00AA3587" w:rsidRDefault="00A453EC" w:rsidP="00AA3587">
      <w:pPr>
        <w:pStyle w:val="SingleTxtG"/>
        <w:keepNext/>
      </w:pPr>
      <w:r w:rsidRPr="00AA3587">
        <w:rPr>
          <w:i/>
          <w:iCs/>
        </w:rPr>
        <w:t>Paragraphes 4.1.5 et 4.1.6</w:t>
      </w:r>
      <w:r w:rsidRPr="00AA3587">
        <w:t>, lire</w:t>
      </w:r>
      <w:r w:rsidR="00AA3587">
        <w:t> :</w:t>
      </w:r>
    </w:p>
    <w:p w14:paraId="085BF832" w14:textId="1B235814" w:rsidR="00A453EC" w:rsidRPr="00AA3587" w:rsidRDefault="00A453EC" w:rsidP="00AA3587">
      <w:pPr>
        <w:pStyle w:val="SingleTxtG"/>
        <w:ind w:left="2268" w:hanging="1134"/>
      </w:pPr>
      <w:r w:rsidRPr="00AA3587">
        <w:t>« 4.1.5</w:t>
      </w:r>
      <w:r w:rsidRPr="00AA3587">
        <w:tab/>
        <w:t>Le code de service</w:t>
      </w:r>
      <w:r w:rsidR="00AA3587">
        <w:t> ;</w:t>
      </w:r>
    </w:p>
    <w:p w14:paraId="4B4D56E7" w14:textId="56E0C014" w:rsidR="00A453EC" w:rsidRPr="00AA3587" w:rsidRDefault="00A453EC" w:rsidP="00AA3587">
      <w:pPr>
        <w:pStyle w:val="SingleTxtG"/>
        <w:ind w:left="2268" w:hanging="1134"/>
      </w:pPr>
      <w:r w:rsidRPr="00AA3587">
        <w:t>4.1.6</w:t>
      </w:r>
      <w:r w:rsidRPr="00AA3587">
        <w:tab/>
        <w:t>Le code de service supplémentaire lorsque les dispositions du paragraphe 6.2.5 sont appliquées</w:t>
      </w:r>
      <w:r w:rsidR="00AA3587">
        <w:t> ;</w:t>
      </w:r>
      <w:r w:rsidRPr="00AA3587">
        <w:t> ».</w:t>
      </w:r>
    </w:p>
    <w:p w14:paraId="710BB35B" w14:textId="3E95EECA" w:rsidR="00A453EC" w:rsidRPr="00AA3587" w:rsidRDefault="00A453EC" w:rsidP="00AA3587">
      <w:pPr>
        <w:pStyle w:val="SingleTxtG"/>
        <w:keepNext/>
      </w:pPr>
      <w:r w:rsidRPr="00AA3587">
        <w:rPr>
          <w:i/>
          <w:iCs/>
        </w:rPr>
        <w:t>Paragraphe 6.1.1.2</w:t>
      </w:r>
      <w:r w:rsidRPr="00AA3587">
        <w:t>, lire</w:t>
      </w:r>
      <w:r w:rsidR="00AA3587">
        <w:t> :</w:t>
      </w:r>
    </w:p>
    <w:p w14:paraId="68ECA949" w14:textId="77777777" w:rsidR="00A453EC" w:rsidRPr="00AA3587" w:rsidRDefault="00A453EC" w:rsidP="00AA3587">
      <w:pPr>
        <w:pStyle w:val="SingleTxtG"/>
        <w:ind w:left="2268" w:hanging="1134"/>
      </w:pPr>
      <w:r w:rsidRPr="00AA3587">
        <w:t>« 6.1.1.2</w:t>
      </w:r>
      <w:r w:rsidRPr="00AA3587">
        <w:tab/>
        <w:t>Nonobstant les dispositions du paragraphe 6.1.1.1, pour les types de pneumatiques dont la désignation figure dans la première colonne des tableaux de l’annexe 5 du présent Règlement, il est admis que la grosseur du boudin soit celle qui figure dans ces tableaux en face de la désignation du pneumatique.</w:t>
      </w:r>
    </w:p>
    <w:p w14:paraId="5A273FD7" w14:textId="44775805" w:rsidR="00A453EC" w:rsidRPr="00AA3587" w:rsidRDefault="00A453EC" w:rsidP="00AA3587">
      <w:pPr>
        <w:pStyle w:val="SingleTxtG"/>
        <w:ind w:left="2268"/>
      </w:pPr>
      <w:r w:rsidRPr="00AA3587">
        <w:lastRenderedPageBreak/>
        <w:t>Toutefois, si l’on utilise une jante de mesure dont le code de largeur diffère de celui qui figure dans le tableau, la grosseur du boudin est calculée à l’aide de la formule du paragraphe 6.1.1.1, où</w:t>
      </w:r>
      <w:r w:rsidR="00AA3587">
        <w:t> :</w:t>
      </w:r>
    </w:p>
    <w:p w14:paraId="2EC911A5" w14:textId="4381A389" w:rsidR="00A453EC" w:rsidRPr="00AA3587" w:rsidRDefault="00A453EC" w:rsidP="00AA3587">
      <w:pPr>
        <w:pStyle w:val="SingleTxtG"/>
        <w:ind w:left="2835" w:hanging="567"/>
      </w:pPr>
      <w:r w:rsidRPr="00AA3587">
        <w:t>S1</w:t>
      </w:r>
      <w:r w:rsidRPr="00AA3587">
        <w:tab/>
        <w:t>est la grosseur du boudin exprimée en millimètres figurant dans le</w:t>
      </w:r>
      <w:r w:rsidR="00AA3587">
        <w:t> </w:t>
      </w:r>
      <w:r w:rsidRPr="00AA3587">
        <w:t>tableau</w:t>
      </w:r>
      <w:r w:rsidR="00AA3587">
        <w:t> ;</w:t>
      </w:r>
    </w:p>
    <w:p w14:paraId="72B6A80D" w14:textId="18B1B4D0" w:rsidR="00A453EC" w:rsidRPr="00AA3587" w:rsidRDefault="00A453EC" w:rsidP="00AA3587">
      <w:pPr>
        <w:pStyle w:val="SingleTxtG"/>
        <w:ind w:left="2835" w:hanging="567"/>
      </w:pPr>
      <w:r w:rsidRPr="00AA3587">
        <w:t>A1</w:t>
      </w:r>
      <w:r w:rsidRPr="00AA3587">
        <w:tab/>
        <w:t>est le code de largeur de la jante de mesure figurant dans le tableau, multiplié par 25,4</w:t>
      </w:r>
      <w:r w:rsidR="00AA3587">
        <w:t> ;</w:t>
      </w:r>
    </w:p>
    <w:p w14:paraId="6459F501" w14:textId="3EE13DCD" w:rsidR="00A453EC" w:rsidRPr="00AA3587" w:rsidRDefault="00A453EC" w:rsidP="00AA3587">
      <w:pPr>
        <w:pStyle w:val="SingleTxtG"/>
        <w:ind w:left="2268"/>
        <w:rPr>
          <w:i/>
          <w:iCs/>
        </w:rPr>
      </w:pPr>
      <w:r w:rsidRPr="00AA3587">
        <w:t>les autres valeurs sont telles que définies au paragraphe 6.1.1.1. ».</w:t>
      </w:r>
    </w:p>
    <w:p w14:paraId="6A1911FC" w14:textId="7A2523F1" w:rsidR="00A453EC" w:rsidRPr="00AA3587" w:rsidRDefault="00A453EC" w:rsidP="00AA3587">
      <w:pPr>
        <w:pStyle w:val="SingleTxtG"/>
        <w:keepNext/>
      </w:pPr>
      <w:r w:rsidRPr="00AA3587">
        <w:rPr>
          <w:i/>
          <w:iCs/>
        </w:rPr>
        <w:t>Paragraphe 6.1.1.3</w:t>
      </w:r>
      <w:r w:rsidRPr="00AA3587">
        <w:t>, lire</w:t>
      </w:r>
      <w:r w:rsidR="00AA3587">
        <w:t> :</w:t>
      </w:r>
    </w:p>
    <w:p w14:paraId="5ED3DC98" w14:textId="3A06E31B" w:rsidR="00A453EC" w:rsidRPr="00AA3587" w:rsidRDefault="00A453EC" w:rsidP="00AA3587">
      <w:pPr>
        <w:pStyle w:val="SingleTxtG"/>
        <w:ind w:left="2268" w:hanging="1134"/>
      </w:pPr>
      <w:r w:rsidRPr="00AA3587">
        <w:t>« 6.1.1.3</w:t>
      </w:r>
      <w:r w:rsidRPr="00AA3587">
        <w:tab/>
      </w:r>
      <w:r w:rsidRPr="00AA3587">
        <w:rPr>
          <w:spacing w:val="-1"/>
        </w:rPr>
        <w:t xml:space="preserve">Toutefois, pour les pneumatiques identifiés par le </w:t>
      </w:r>
      <w:r w:rsidR="00AA3587" w:rsidRPr="00AA3587">
        <w:rPr>
          <w:spacing w:val="-1"/>
        </w:rPr>
        <w:t>“</w:t>
      </w:r>
      <w:r w:rsidRPr="00AA3587">
        <w:rPr>
          <w:spacing w:val="-1"/>
        </w:rPr>
        <w:t>montage pneumatique/jante</w:t>
      </w:r>
      <w:r w:rsidR="00AA3587" w:rsidRPr="00AA3587">
        <w:rPr>
          <w:spacing w:val="-1"/>
        </w:rPr>
        <w:t>”</w:t>
      </w:r>
      <w:r w:rsidRPr="00AA3587">
        <w:t xml:space="preserve"> (voir le paragraphe 2.20.5) symbole </w:t>
      </w:r>
      <w:r w:rsidR="00AA3587">
        <w:t>“</w:t>
      </w:r>
      <w:r w:rsidRPr="00AA3587">
        <w:t>A</w:t>
      </w:r>
      <w:r w:rsidR="00AA3587">
        <w:t>”</w:t>
      </w:r>
      <w:r w:rsidRPr="00AA3587">
        <w:t>, la valeur K est considérée comme étant égale à 0,6. ».</w:t>
      </w:r>
    </w:p>
    <w:p w14:paraId="00C28A37" w14:textId="32AE2020" w:rsidR="00A453EC" w:rsidRPr="00AA3587" w:rsidRDefault="00A453EC" w:rsidP="00AA3587">
      <w:pPr>
        <w:pStyle w:val="SingleTxtG"/>
        <w:keepNext/>
      </w:pPr>
      <w:r w:rsidRPr="00AA3587">
        <w:rPr>
          <w:i/>
          <w:iCs/>
        </w:rPr>
        <w:t>Paragraphe 6.1.2.3</w:t>
      </w:r>
      <w:r w:rsidRPr="00AA3587">
        <w:t>, lire</w:t>
      </w:r>
      <w:r w:rsidR="00AA3587">
        <w:t> :</w:t>
      </w:r>
    </w:p>
    <w:p w14:paraId="423D0F09" w14:textId="787C0EBA" w:rsidR="00A453EC" w:rsidRPr="00AA3587" w:rsidRDefault="00A453EC" w:rsidP="00AA3587">
      <w:pPr>
        <w:pStyle w:val="SingleTxtG"/>
        <w:ind w:left="2268" w:hanging="1134"/>
      </w:pPr>
      <w:r w:rsidRPr="00AA3587">
        <w:t>« 6.1.2.3</w:t>
      </w:r>
      <w:r w:rsidRPr="00AA3587">
        <w:tab/>
      </w:r>
      <w:r w:rsidRPr="00AA3587">
        <w:rPr>
          <w:spacing w:val="-1"/>
        </w:rPr>
        <w:t xml:space="preserve">Toutefois, pour les pneumatiques identifiés par le </w:t>
      </w:r>
      <w:r w:rsidR="00AA3587" w:rsidRPr="00AA3587">
        <w:rPr>
          <w:spacing w:val="-1"/>
        </w:rPr>
        <w:t>“</w:t>
      </w:r>
      <w:r w:rsidRPr="00AA3587">
        <w:rPr>
          <w:spacing w:val="-1"/>
        </w:rPr>
        <w:t>montage pneumatique/jante</w:t>
      </w:r>
      <w:r w:rsidR="00AA3587" w:rsidRPr="00AA3587">
        <w:rPr>
          <w:spacing w:val="-1"/>
        </w:rPr>
        <w:t>”</w:t>
      </w:r>
      <w:r w:rsidRPr="00AA3587">
        <w:t xml:space="preserve"> (voir le paragraphe 2.20.5) symbole </w:t>
      </w:r>
      <w:r w:rsidR="00AA3587">
        <w:t>“</w:t>
      </w:r>
      <w:r w:rsidRPr="00AA3587">
        <w:t>A</w:t>
      </w:r>
      <w:r w:rsidR="00AA3587">
        <w:t>”</w:t>
      </w:r>
      <w:r w:rsidRPr="00AA3587">
        <w:t>, le diamètre extérieur est celui spécifié dans la désignation de dimension du pneumatique figurant sur le flanc de celui-ci. ».</w:t>
      </w:r>
    </w:p>
    <w:p w14:paraId="3B76A8CF" w14:textId="436325AF" w:rsidR="00A453EC" w:rsidRPr="00AA3587" w:rsidRDefault="00A453EC" w:rsidP="00AA3587">
      <w:pPr>
        <w:pStyle w:val="SingleTxtG"/>
        <w:keepNext/>
      </w:pPr>
      <w:r w:rsidRPr="00AA3587">
        <w:rPr>
          <w:i/>
          <w:iCs/>
        </w:rPr>
        <w:t>Paragraphe 6.1.4.3</w:t>
      </w:r>
      <w:r w:rsidRPr="00AA3587">
        <w:t>, lire</w:t>
      </w:r>
      <w:r w:rsidR="00AA3587">
        <w:t> :</w:t>
      </w:r>
    </w:p>
    <w:p w14:paraId="5236D8A7" w14:textId="6FE3BCF3" w:rsidR="00A453EC" w:rsidRPr="00AA3587" w:rsidRDefault="00A453EC" w:rsidP="00AA3587">
      <w:pPr>
        <w:pStyle w:val="SingleTxtG"/>
        <w:ind w:left="2268" w:hanging="1134"/>
      </w:pPr>
      <w:r w:rsidRPr="00AA3587">
        <w:t>« 6.1.4.3</w:t>
      </w:r>
      <w:r w:rsidRPr="00AA3587">
        <w:tab/>
      </w:r>
      <w:r w:rsidRPr="00AA3587">
        <w:rPr>
          <w:spacing w:val="-1"/>
        </w:rPr>
        <w:t xml:space="preserve">Toutefois, pour les pneumatiques identifiés par le </w:t>
      </w:r>
      <w:r w:rsidR="00AA3587">
        <w:rPr>
          <w:spacing w:val="-1"/>
        </w:rPr>
        <w:t>“</w:t>
      </w:r>
      <w:r w:rsidRPr="00AA3587">
        <w:rPr>
          <w:spacing w:val="-1"/>
        </w:rPr>
        <w:t>montage pneumatique/jante</w:t>
      </w:r>
      <w:r w:rsidR="00AA3587">
        <w:rPr>
          <w:spacing w:val="-1"/>
        </w:rPr>
        <w:t>”</w:t>
      </w:r>
      <w:r w:rsidRPr="00AA3587">
        <w:t xml:space="preserve"> (voir le paragraphe 2.20.5) symbole </w:t>
      </w:r>
      <w:r w:rsidR="00AA3587">
        <w:t>“</w:t>
      </w:r>
      <w:r w:rsidRPr="00AA3587">
        <w:t>A</w:t>
      </w:r>
      <w:r w:rsidR="00AA3587">
        <w:t>”</w:t>
      </w:r>
      <w:r w:rsidRPr="00AA3587">
        <w:t>, la grosseur hors tout du pneumatique dans sa partie inférieure, est égale à la largeur nominale de la jante sur laquelle le pneumatique est monté, telle qu’indiquée par le constructeur dans la notice descriptive, majorée de 27</w:t>
      </w:r>
      <w:r w:rsidR="00AA3587">
        <w:t> </w:t>
      </w:r>
      <w:proofErr w:type="spellStart"/>
      <w:r w:rsidRPr="00AA3587">
        <w:t>mm.</w:t>
      </w:r>
      <w:proofErr w:type="spellEnd"/>
      <w:r w:rsidRPr="00AA3587">
        <w:t> ».</w:t>
      </w:r>
    </w:p>
    <w:p w14:paraId="1D225523" w14:textId="7B60A724" w:rsidR="00A453EC" w:rsidRPr="00AA3587" w:rsidRDefault="00A453EC" w:rsidP="00AA3587">
      <w:pPr>
        <w:pStyle w:val="SingleTxtG"/>
        <w:keepNext/>
      </w:pPr>
      <w:r w:rsidRPr="00AA3587">
        <w:rPr>
          <w:i/>
          <w:iCs/>
        </w:rPr>
        <w:t>Paragraphe 6.1.5.1</w:t>
      </w:r>
      <w:r w:rsidRPr="00AA3587">
        <w:t>, lire</w:t>
      </w:r>
      <w:r w:rsidR="00AA3587">
        <w:t> :</w:t>
      </w:r>
    </w:p>
    <w:p w14:paraId="4928EAB8" w14:textId="528915C1" w:rsidR="00A453EC" w:rsidRPr="00AA3587" w:rsidRDefault="00A453EC" w:rsidP="00AA3587">
      <w:pPr>
        <w:pStyle w:val="SingleTxtG"/>
        <w:ind w:left="2268" w:hanging="1134"/>
      </w:pPr>
      <w:r w:rsidRPr="00AA3587">
        <w:t>« 6.1.5.1</w:t>
      </w:r>
      <w:r w:rsidRPr="00AA3587">
        <w:tab/>
        <w:t xml:space="preserve">Pour les pneumatiques énumérés à l’annexe 5 et les pneumatiques auxquels s’applique la configuration de </w:t>
      </w:r>
      <w:r w:rsidR="00AA3587">
        <w:t>“</w:t>
      </w:r>
      <w:r w:rsidRPr="00AA3587">
        <w:t>montage pneumatique/jante</w:t>
      </w:r>
      <w:r w:rsidR="00AA3587">
        <w:t>”</w:t>
      </w:r>
      <w:r w:rsidRPr="00AA3587">
        <w:t xml:space="preserve"> (voir le paragraphe 2.20.5) identifiée par le symbole </w:t>
      </w:r>
      <w:r w:rsidR="00AA3587">
        <w:t>“</w:t>
      </w:r>
      <w:r w:rsidRPr="00AA3587">
        <w:t>A</w:t>
      </w:r>
      <w:r w:rsidR="00AA3587">
        <w:t>”</w:t>
      </w:r>
      <w:r w:rsidRPr="00AA3587">
        <w:t>, la hauteur nominale H du boudin est égale à</w:t>
      </w:r>
      <w:r w:rsidR="00AA3587">
        <w:t> :</w:t>
      </w:r>
    </w:p>
    <w:p w14:paraId="41C167DD" w14:textId="1E577299" w:rsidR="00A453EC" w:rsidRPr="00AA3587" w:rsidRDefault="00A453EC" w:rsidP="00AA3587">
      <w:pPr>
        <w:pStyle w:val="SingleTxtG"/>
        <w:ind w:left="2268"/>
      </w:pPr>
      <w:r w:rsidRPr="00AA3587">
        <w:t xml:space="preserve">H = 0,5 (D </w:t>
      </w:r>
      <w:r w:rsidR="00D263D2">
        <w:t>−</w:t>
      </w:r>
      <w:r w:rsidRPr="00AA3587">
        <w:t xml:space="preserve"> d)</w:t>
      </w:r>
      <w:r w:rsidR="00AA3587">
        <w:t xml:space="preserve"> </w:t>
      </w:r>
      <w:r w:rsidRPr="00AA3587">
        <w:t>arrondie au millimètre le plus proche (pour les références, voir le paragraphe 6.1.2.1). ».</w:t>
      </w:r>
    </w:p>
    <w:p w14:paraId="33BA6D04" w14:textId="038465B1" w:rsidR="00A453EC" w:rsidRPr="00AA3587" w:rsidRDefault="00A453EC" w:rsidP="00AA3587">
      <w:pPr>
        <w:pStyle w:val="SingleTxtG"/>
        <w:keepNext/>
      </w:pPr>
      <w:r w:rsidRPr="00AA3587">
        <w:rPr>
          <w:i/>
          <w:iCs/>
        </w:rPr>
        <w:t>Annexe 7, paragraphe 3.1.2</w:t>
      </w:r>
      <w:r w:rsidRPr="00AA3587">
        <w:t>, lire</w:t>
      </w:r>
      <w:r w:rsidR="00AA3587">
        <w:t> :</w:t>
      </w:r>
    </w:p>
    <w:p w14:paraId="11F5033B" w14:textId="50B03E20" w:rsidR="00A453EC" w:rsidRPr="00AA3587" w:rsidRDefault="00A453EC" w:rsidP="00AA3587">
      <w:pPr>
        <w:pStyle w:val="SingleTxtG"/>
        <w:ind w:left="2268" w:hanging="1134"/>
      </w:pPr>
      <w:r w:rsidRPr="00AA3587">
        <w:t>« 3.1.2</w:t>
      </w:r>
      <w:r w:rsidRPr="00AA3587">
        <w:tab/>
        <w:t xml:space="preserve">Aux pneumatiques dont l’indice de capacité de charge en montage simple est au minimum de 122 et qui porte la mention supplémentaire </w:t>
      </w:r>
      <w:r w:rsidR="00AA3587">
        <w:t>“</w:t>
      </w:r>
      <w:r w:rsidRPr="00AA3587">
        <w:t>C</w:t>
      </w:r>
      <w:r w:rsidR="00AA3587">
        <w:t>”</w:t>
      </w:r>
      <w:r w:rsidRPr="00AA3587">
        <w:t xml:space="preserve"> ou </w:t>
      </w:r>
      <w:r w:rsidR="00AA3587">
        <w:t>“</w:t>
      </w:r>
      <w:r w:rsidRPr="00AA3587">
        <w:t>LT</w:t>
      </w:r>
      <w:r w:rsidR="00AA3587">
        <w:t>”</w:t>
      </w:r>
      <w:r w:rsidRPr="00AA3587">
        <w:t xml:space="preserve"> visée aux paragraphes 2.20.6 et 3.1.14 du présent Règlement. ».</w:t>
      </w:r>
    </w:p>
    <w:bookmarkEnd w:id="1"/>
    <w:p w14:paraId="0F45E188" w14:textId="1B386EAB" w:rsidR="00F9573C" w:rsidRPr="00A453EC" w:rsidRDefault="00A453EC" w:rsidP="00A453E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A3587">
        <w:rPr>
          <w:u w:val="single"/>
        </w:rPr>
        <w:tab/>
      </w:r>
    </w:p>
    <w:sectPr w:rsidR="00F9573C" w:rsidRPr="00A453EC" w:rsidSect="00F178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8397" w14:textId="77777777" w:rsidR="00C246C1" w:rsidRDefault="00C246C1" w:rsidP="00F95C08">
      <w:pPr>
        <w:spacing w:line="240" w:lineRule="auto"/>
      </w:pPr>
    </w:p>
  </w:endnote>
  <w:endnote w:type="continuationSeparator" w:id="0">
    <w:p w14:paraId="7AA744CB" w14:textId="77777777" w:rsidR="00C246C1" w:rsidRPr="00AC3823" w:rsidRDefault="00C246C1" w:rsidP="00AC3823">
      <w:pPr>
        <w:pStyle w:val="Pieddepage"/>
      </w:pPr>
    </w:p>
  </w:endnote>
  <w:endnote w:type="continuationNotice" w:id="1">
    <w:p w14:paraId="723F0093" w14:textId="77777777" w:rsidR="00C246C1" w:rsidRDefault="00C246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B4DA7" w14:textId="447301D2" w:rsidR="00F17854" w:rsidRPr="00F17854" w:rsidRDefault="00F17854" w:rsidP="00F17854">
    <w:pPr>
      <w:pStyle w:val="Pieddepage"/>
      <w:tabs>
        <w:tab w:val="right" w:pos="9638"/>
      </w:tabs>
    </w:pPr>
    <w:r w:rsidRPr="00F17854">
      <w:rPr>
        <w:b/>
        <w:sz w:val="18"/>
      </w:rPr>
      <w:fldChar w:fldCharType="begin"/>
    </w:r>
    <w:r w:rsidRPr="00F17854">
      <w:rPr>
        <w:b/>
        <w:sz w:val="18"/>
      </w:rPr>
      <w:instrText xml:space="preserve"> PAGE  \* MERGEFORMAT </w:instrText>
    </w:r>
    <w:r w:rsidRPr="00F17854">
      <w:rPr>
        <w:b/>
        <w:sz w:val="18"/>
      </w:rPr>
      <w:fldChar w:fldCharType="separate"/>
    </w:r>
    <w:r w:rsidRPr="00F17854">
      <w:rPr>
        <w:b/>
        <w:noProof/>
        <w:sz w:val="18"/>
      </w:rPr>
      <w:t>2</w:t>
    </w:r>
    <w:r w:rsidRPr="00F17854">
      <w:rPr>
        <w:b/>
        <w:sz w:val="18"/>
      </w:rPr>
      <w:fldChar w:fldCharType="end"/>
    </w:r>
    <w:r>
      <w:rPr>
        <w:b/>
        <w:sz w:val="18"/>
      </w:rPr>
      <w:tab/>
    </w:r>
    <w:r>
      <w:t>GE.22-05000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5C21" w14:textId="478C26B0" w:rsidR="00F17854" w:rsidRPr="00F17854" w:rsidRDefault="00F17854" w:rsidP="00F17854">
    <w:pPr>
      <w:pStyle w:val="Pieddepage"/>
      <w:tabs>
        <w:tab w:val="right" w:pos="9638"/>
      </w:tabs>
      <w:rPr>
        <w:b/>
        <w:sz w:val="18"/>
      </w:rPr>
    </w:pPr>
    <w:r>
      <w:t>GE.22-05000</w:t>
    </w:r>
    <w:r>
      <w:tab/>
    </w:r>
    <w:r w:rsidRPr="00F17854">
      <w:rPr>
        <w:b/>
        <w:sz w:val="18"/>
      </w:rPr>
      <w:fldChar w:fldCharType="begin"/>
    </w:r>
    <w:r w:rsidRPr="00F17854">
      <w:rPr>
        <w:b/>
        <w:sz w:val="18"/>
      </w:rPr>
      <w:instrText xml:space="preserve"> PAGE  \* MERGEFORMAT </w:instrText>
    </w:r>
    <w:r w:rsidRPr="00F17854">
      <w:rPr>
        <w:b/>
        <w:sz w:val="18"/>
      </w:rPr>
      <w:fldChar w:fldCharType="separate"/>
    </w:r>
    <w:r w:rsidRPr="00F17854">
      <w:rPr>
        <w:b/>
        <w:noProof/>
        <w:sz w:val="18"/>
      </w:rPr>
      <w:t>3</w:t>
    </w:r>
    <w:r w:rsidRPr="00F178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3ABF" w14:textId="1699FBA3" w:rsidR="007F20FA" w:rsidRPr="00F17854" w:rsidRDefault="00F17854" w:rsidP="00F1785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D5A697D" wp14:editId="18A35E3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22-05000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E09693B" wp14:editId="09F9B83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030522    030522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4AA5" w14:textId="77777777" w:rsidR="00C246C1" w:rsidRPr="00AC3823" w:rsidRDefault="00C246C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6CE4BB" w14:textId="77777777" w:rsidR="00C246C1" w:rsidRPr="00AC3823" w:rsidRDefault="00C246C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E1A2B8" w14:textId="77777777" w:rsidR="00C246C1" w:rsidRPr="00AC3823" w:rsidRDefault="00C246C1">
      <w:pPr>
        <w:spacing w:line="240" w:lineRule="auto"/>
        <w:rPr>
          <w:sz w:val="2"/>
          <w:szCs w:val="2"/>
        </w:rPr>
      </w:pPr>
    </w:p>
  </w:footnote>
  <w:footnote w:id="2">
    <w:p w14:paraId="1CAB5ED5" w14:textId="298EF99E" w:rsidR="00A453EC" w:rsidRPr="00BA75A2" w:rsidRDefault="00A453EC" w:rsidP="00A453EC">
      <w:pPr>
        <w:pStyle w:val="Notedebasdepage"/>
      </w:pPr>
      <w:r w:rsidRPr="00BA75A2">
        <w:tab/>
      </w:r>
      <w:r w:rsidRPr="00AA3587">
        <w:rPr>
          <w:sz w:val="20"/>
        </w:rPr>
        <w:t>*</w:t>
      </w:r>
      <w:r w:rsidRPr="00BA75A2">
        <w:tab/>
        <w:t>Conformément au programme de travail du Comité des transports intérieurs pour 2022 tel qu’il figure dans le projet de budget-programme pour 2022 (A/76/6 (Sect.</w:t>
      </w:r>
      <w:r w:rsidR="00AA3587">
        <w:t> </w:t>
      </w:r>
      <w:r w:rsidRPr="00BA75A2">
        <w:t>20), par.</w:t>
      </w:r>
      <w:r w:rsidR="00AA3587">
        <w:t> </w:t>
      </w:r>
      <w:r w:rsidRPr="00BA75A2"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EBFD" w14:textId="14A334E9" w:rsidR="00F17854" w:rsidRPr="00F17854" w:rsidRDefault="00922739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F17854">
      <w:t>ECE/TRANS/WP.29/2022/85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01EB" w14:textId="5CEE6C62" w:rsidR="00F17854" w:rsidRPr="00F17854" w:rsidRDefault="00922739" w:rsidP="00F17854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17854">
      <w:t>ECE/TRANS/WP.29/2022/85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C1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55D2D"/>
    <w:rsid w:val="00477EB2"/>
    <w:rsid w:val="004837D8"/>
    <w:rsid w:val="004E2EED"/>
    <w:rsid w:val="004E468C"/>
    <w:rsid w:val="005505B7"/>
    <w:rsid w:val="00573BE5"/>
    <w:rsid w:val="00586ED3"/>
    <w:rsid w:val="00596AA9"/>
    <w:rsid w:val="006E13D8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453EC"/>
    <w:rsid w:val="00AA3587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246C1"/>
    <w:rsid w:val="00C97039"/>
    <w:rsid w:val="00D263D2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17854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C3667"/>
  <w15:docId w15:val="{F6E5B6C7-F162-4F1C-948F-04479F5C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A453EC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para">
    <w:name w:val="para"/>
    <w:basedOn w:val="Normal"/>
    <w:link w:val="paraChar"/>
    <w:qFormat/>
    <w:rsid w:val="00A453EC"/>
    <w:pPr>
      <w:spacing w:after="120"/>
      <w:ind w:left="2268" w:right="1134" w:hanging="1134"/>
      <w:jc w:val="both"/>
    </w:pPr>
    <w:rPr>
      <w:lang w:val="en-GB"/>
    </w:rPr>
  </w:style>
  <w:style w:type="character" w:customStyle="1" w:styleId="paraChar">
    <w:name w:val="para Char"/>
    <w:link w:val="para"/>
    <w:rsid w:val="00A453EC"/>
    <w:rPr>
      <w:rFonts w:ascii="Times New Roman" w:eastAsiaTheme="minorHAnsi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09476-8684-4AAF-94CD-4947803E4190}"/>
</file>

<file path=customXml/itemProps2.xml><?xml version="1.0" encoding="utf-8"?>
<ds:datastoreItem xmlns:ds="http://schemas.openxmlformats.org/officeDocument/2006/customXml" ds:itemID="{92B2F6B6-6C91-4BDD-A26D-1F08307EC55D}"/>
</file>

<file path=customXml/itemProps3.xml><?xml version="1.0" encoding="utf-8"?>
<ds:datastoreItem xmlns:ds="http://schemas.openxmlformats.org/officeDocument/2006/customXml" ds:itemID="{67009C5F-BABC-4D90-BF5F-AE206895DD0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ECE/TRANS/WP.29/2022/85</vt:lpstr>
    </vt:vector>
  </TitlesOfParts>
  <Company>DCM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ECE/TRANS/WP.29/2022/85</dc:title>
  <dc:subject/>
  <dc:creator>Nicolas MORIN</dc:creator>
  <cp:keywords/>
  <cp:lastModifiedBy>Nicolas Morin</cp:lastModifiedBy>
  <cp:revision>2</cp:revision>
  <cp:lastPrinted>2014-05-14T10:59:00Z</cp:lastPrinted>
  <dcterms:created xsi:type="dcterms:W3CDTF">2022-05-03T13:00:00Z</dcterms:created>
  <dcterms:modified xsi:type="dcterms:W3CDTF">2022-05-03T13:00:00Z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