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37C502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660F6E" w14:textId="77777777" w:rsidR="00F35BAF" w:rsidRPr="00DB58B5" w:rsidRDefault="00F35BAF" w:rsidP="00EE542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6A994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87C424" w14:textId="07CD7C47" w:rsidR="00F35BAF" w:rsidRPr="00DB58B5" w:rsidRDefault="00EE542B" w:rsidP="00EE542B">
            <w:pPr>
              <w:jc w:val="right"/>
            </w:pPr>
            <w:r w:rsidRPr="00EE542B">
              <w:rPr>
                <w:sz w:val="40"/>
              </w:rPr>
              <w:t>ECE</w:t>
            </w:r>
            <w:r>
              <w:t>/TRANS/WP.29/2022/82</w:t>
            </w:r>
          </w:p>
        </w:tc>
      </w:tr>
      <w:tr w:rsidR="00F35BAF" w:rsidRPr="00DB58B5" w14:paraId="7284525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1BAF0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24A3CE" wp14:editId="11ACFD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17591D" w14:textId="47B5559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467A08" w14:textId="77777777" w:rsidR="00F35BAF" w:rsidRDefault="00EE542B" w:rsidP="00C97039">
            <w:pPr>
              <w:spacing w:before="240"/>
            </w:pPr>
            <w:r>
              <w:t>Distr. générale</w:t>
            </w:r>
          </w:p>
          <w:p w14:paraId="14694E9F" w14:textId="77777777" w:rsidR="00EE542B" w:rsidRDefault="00EE542B" w:rsidP="00EE542B">
            <w:pPr>
              <w:spacing w:line="240" w:lineRule="exact"/>
            </w:pPr>
            <w:r>
              <w:t>11 avril 2022</w:t>
            </w:r>
          </w:p>
          <w:p w14:paraId="68C9BBA1" w14:textId="77777777" w:rsidR="00EE542B" w:rsidRDefault="00EE542B" w:rsidP="00EE542B">
            <w:pPr>
              <w:spacing w:line="240" w:lineRule="exact"/>
            </w:pPr>
            <w:r>
              <w:t>Français</w:t>
            </w:r>
          </w:p>
          <w:p w14:paraId="32C2B41C" w14:textId="2FFD02D8" w:rsidR="00EE542B" w:rsidRPr="00DB58B5" w:rsidRDefault="00EE542B" w:rsidP="00EE542B">
            <w:pPr>
              <w:spacing w:line="240" w:lineRule="exact"/>
            </w:pPr>
            <w:r>
              <w:t>Original : anglais</w:t>
            </w:r>
          </w:p>
        </w:tc>
      </w:tr>
    </w:tbl>
    <w:p w14:paraId="5957A7F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2D3E9AE" w14:textId="178E0E49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7589910" w14:textId="77777777" w:rsidR="00EE542B" w:rsidRDefault="00EE542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A6570D5" w14:textId="77777777" w:rsidR="00EE542B" w:rsidRPr="00EE542B" w:rsidRDefault="00EE542B" w:rsidP="00EE542B">
      <w:pPr>
        <w:spacing w:before="120"/>
        <w:rPr>
          <w:b/>
        </w:rPr>
      </w:pPr>
      <w:r w:rsidRPr="00EE542B">
        <w:rPr>
          <w:b/>
          <w:bCs/>
          <w:lang w:val="fr-FR"/>
        </w:rPr>
        <w:t>187</w:t>
      </w:r>
      <w:r w:rsidRPr="00EE542B">
        <w:rPr>
          <w:b/>
          <w:bCs/>
          <w:vertAlign w:val="superscript"/>
          <w:lang w:val="fr-FR"/>
        </w:rPr>
        <w:t>e</w:t>
      </w:r>
      <w:r w:rsidRPr="00EE542B">
        <w:rPr>
          <w:b/>
          <w:bCs/>
          <w:lang w:val="fr-FR"/>
        </w:rPr>
        <w:t xml:space="preserve"> session</w:t>
      </w:r>
    </w:p>
    <w:p w14:paraId="50A694C3" w14:textId="77777777" w:rsidR="00EE542B" w:rsidRPr="00EE542B" w:rsidRDefault="00EE542B" w:rsidP="00EE542B">
      <w:r w:rsidRPr="00EE542B">
        <w:rPr>
          <w:lang w:val="fr-FR"/>
        </w:rPr>
        <w:t>Genève, 21-24 juin 2022</w:t>
      </w:r>
    </w:p>
    <w:p w14:paraId="21A5E092" w14:textId="77777777" w:rsidR="00EE542B" w:rsidRPr="00EE542B" w:rsidRDefault="00EE542B" w:rsidP="00EE542B">
      <w:r w:rsidRPr="00EE542B">
        <w:rPr>
          <w:lang w:val="fr-FR"/>
        </w:rPr>
        <w:t>Point 4.8.8 de l’ordre du jour provisoire</w:t>
      </w:r>
    </w:p>
    <w:p w14:paraId="73A511CF" w14:textId="3C1AACB8" w:rsidR="00EE542B" w:rsidRPr="00EE542B" w:rsidRDefault="00EE542B" w:rsidP="00EE542B">
      <w:pPr>
        <w:rPr>
          <w:b/>
          <w:bCs/>
          <w:lang w:val="fr-FR"/>
        </w:rPr>
      </w:pPr>
      <w:r w:rsidRPr="00EE542B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EE542B">
        <w:rPr>
          <w:b/>
          <w:bCs/>
          <w:lang w:val="fr-FR"/>
        </w:rPr>
        <w:t xml:space="preserve">: </w:t>
      </w:r>
    </w:p>
    <w:p w14:paraId="1EA92B10" w14:textId="0D42867F" w:rsidR="00EE542B" w:rsidRPr="00EE542B" w:rsidRDefault="00EE542B" w:rsidP="00EE542B">
      <w:pPr>
        <w:rPr>
          <w:b/>
        </w:rPr>
      </w:pPr>
      <w:r w:rsidRPr="00EE542B"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 w:rsidRPr="00EE542B">
        <w:rPr>
          <w:b/>
          <w:bCs/>
          <w:lang w:val="fr-FR"/>
        </w:rPr>
        <w:t>existants, soumis par le GRVA</w:t>
      </w:r>
    </w:p>
    <w:p w14:paraId="5AE5B7D6" w14:textId="576888D6" w:rsidR="00EE542B" w:rsidRPr="00544403" w:rsidRDefault="00EE542B" w:rsidP="00EE542B">
      <w:pPr>
        <w:pStyle w:val="HChG"/>
      </w:pPr>
      <w:r w:rsidRPr="00544403">
        <w:rPr>
          <w:lang w:val="fr-FR"/>
        </w:rPr>
        <w:tab/>
      </w:r>
      <w:r w:rsidRPr="00544403">
        <w:rPr>
          <w:lang w:val="fr-FR"/>
        </w:rPr>
        <w:tab/>
        <w:t>Proposition de complément 9 à la série 02 d</w:t>
      </w:r>
      <w:r>
        <w:rPr>
          <w:lang w:val="fr-FR"/>
        </w:rPr>
        <w:t>’</w:t>
      </w:r>
      <w:r w:rsidRPr="00544403">
        <w:rPr>
          <w:lang w:val="fr-FR"/>
        </w:rPr>
        <w:t xml:space="preserve">amendements </w:t>
      </w:r>
      <w:r>
        <w:rPr>
          <w:lang w:val="fr-FR"/>
        </w:rPr>
        <w:br/>
      </w:r>
      <w:r w:rsidRPr="00544403">
        <w:rPr>
          <w:lang w:val="fr-FR"/>
        </w:rPr>
        <w:t>au Règlement ONU n</w:t>
      </w:r>
      <w:r w:rsidRPr="00544403">
        <w:rPr>
          <w:vertAlign w:val="superscript"/>
          <w:lang w:val="fr-FR"/>
        </w:rPr>
        <w:t>o </w:t>
      </w:r>
      <w:r w:rsidRPr="00544403">
        <w:rPr>
          <w:lang w:val="fr-FR"/>
        </w:rPr>
        <w:t>90 (Garnitures de frein de rechange)</w:t>
      </w:r>
    </w:p>
    <w:p w14:paraId="39CA8155" w14:textId="77777777" w:rsidR="00EE542B" w:rsidRPr="00544403" w:rsidRDefault="00EE542B" w:rsidP="00EE542B">
      <w:pPr>
        <w:pStyle w:val="H1G"/>
      </w:pPr>
      <w:r w:rsidRPr="00544403">
        <w:rPr>
          <w:lang w:val="fr-FR"/>
        </w:rPr>
        <w:tab/>
      </w:r>
      <w:r w:rsidRPr="00544403">
        <w:rPr>
          <w:lang w:val="fr-FR"/>
        </w:rPr>
        <w:tab/>
        <w:t>Communication du Groupe de travail des véhicules automatisés/autonomes et connectés</w:t>
      </w:r>
      <w:r w:rsidRPr="00EE542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28D065A2" w14:textId="68D1AC86" w:rsidR="00EE542B" w:rsidRDefault="00EE542B" w:rsidP="00EE542B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544403">
        <w:rPr>
          <w:lang w:val="fr-FR"/>
        </w:rPr>
        <w:t>Le texte ci-après a été adopté par le Groupe de travail des véhicules automatisés/autonomes et connectés (GRVA) à sa douzième session (voir ECE/TRANS/</w:t>
      </w:r>
      <w:r>
        <w:rPr>
          <w:lang w:val="fr-FR"/>
        </w:rPr>
        <w:br/>
      </w:r>
      <w:r w:rsidRPr="00544403">
        <w:rPr>
          <w:lang w:val="fr-FR"/>
        </w:rPr>
        <w:t>WP.29/GRVA/12, par. 90). Il est fondé sur le document ECE/TRANS/WP.29/</w:t>
      </w:r>
      <w:r>
        <w:rPr>
          <w:lang w:val="fr-FR"/>
        </w:rPr>
        <w:br/>
      </w:r>
      <w:r w:rsidRPr="00544403">
        <w:rPr>
          <w:lang w:val="fr-FR"/>
        </w:rPr>
        <w:t>GRVA/2021/29 tel que modifié par le document GRVA-12-16. Il est soumis au Forum mondial de l</w:t>
      </w:r>
      <w:r>
        <w:rPr>
          <w:lang w:val="fr-FR"/>
        </w:rPr>
        <w:t>’</w:t>
      </w:r>
      <w:r w:rsidRPr="0054440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44403">
        <w:rPr>
          <w:lang w:val="fr-FR"/>
        </w:rPr>
        <w:t>administration de l</w:t>
      </w:r>
      <w:r>
        <w:rPr>
          <w:lang w:val="fr-FR"/>
        </w:rPr>
        <w:t>’</w:t>
      </w:r>
      <w:r w:rsidRPr="00544403">
        <w:rPr>
          <w:lang w:val="fr-FR"/>
        </w:rPr>
        <w:t>Accord de 1958 (AC.1) pour examen à leurs sessions de juin 2022.</w:t>
      </w:r>
    </w:p>
    <w:p w14:paraId="5DD7C3D4" w14:textId="77777777" w:rsidR="00EE542B" w:rsidRPr="00544403" w:rsidRDefault="00EE542B" w:rsidP="00EE542B">
      <w:pPr>
        <w:suppressAutoHyphens w:val="0"/>
        <w:spacing w:line="240" w:lineRule="auto"/>
        <w:rPr>
          <w:b/>
          <w:sz w:val="24"/>
          <w:szCs w:val="24"/>
        </w:rPr>
      </w:pPr>
      <w:r w:rsidRPr="00544403">
        <w:rPr>
          <w:sz w:val="24"/>
          <w:szCs w:val="24"/>
        </w:rPr>
        <w:br w:type="page"/>
      </w:r>
    </w:p>
    <w:p w14:paraId="39807CE6" w14:textId="07004A4E" w:rsidR="00EE542B" w:rsidRPr="00544403" w:rsidRDefault="00EE542B" w:rsidP="00EE542B">
      <w:pPr>
        <w:pStyle w:val="SingleTxtG"/>
        <w:rPr>
          <w:b/>
        </w:rPr>
      </w:pPr>
      <w:r w:rsidRPr="00EE542B">
        <w:rPr>
          <w:i/>
          <w:iCs/>
          <w:lang w:val="fr-FR"/>
        </w:rPr>
        <w:lastRenderedPageBreak/>
        <w:t>Paragraphe 1 de l’annexe 7a</w:t>
      </w:r>
      <w:r w:rsidRPr="00544403">
        <w:rPr>
          <w:lang w:val="fr-FR"/>
        </w:rPr>
        <w:t>, lire</w:t>
      </w:r>
      <w:r>
        <w:rPr>
          <w:lang w:val="fr-FR"/>
        </w:rPr>
        <w:t> </w:t>
      </w:r>
      <w:r w:rsidRPr="00544403">
        <w:rPr>
          <w:lang w:val="fr-FR"/>
        </w:rPr>
        <w:t>:</w:t>
      </w:r>
    </w:p>
    <w:p w14:paraId="11445814" w14:textId="77777777" w:rsidR="00EE542B" w:rsidRPr="00544403" w:rsidRDefault="00EE542B" w:rsidP="00EE542B">
      <w:pPr>
        <w:pStyle w:val="SingleTxtG"/>
        <w:ind w:left="2268" w:hanging="1134"/>
      </w:pPr>
      <w:r w:rsidRPr="00544403">
        <w:rPr>
          <w:lang w:val="fr-FR"/>
        </w:rPr>
        <w:t>« 1.</w:t>
      </w:r>
      <w:r w:rsidRPr="00544403">
        <w:rPr>
          <w:lang w:val="fr-FR"/>
        </w:rPr>
        <w:tab/>
      </w:r>
      <w:r w:rsidRPr="00544403">
        <w:rPr>
          <w:lang w:val="fr-FR"/>
        </w:rPr>
        <w:tab/>
        <w:t>Critères de regroupement</w:t>
      </w:r>
    </w:p>
    <w:p w14:paraId="05F3A68D" w14:textId="59B8FAE1" w:rsidR="00EE542B" w:rsidRPr="00544403" w:rsidRDefault="00EE542B" w:rsidP="00EE542B">
      <w:pPr>
        <w:pStyle w:val="SingleTxtG"/>
        <w:ind w:left="2268"/>
      </w:pPr>
      <w:r w:rsidRPr="00544403">
        <w:rPr>
          <w:lang w:val="fr-FR"/>
        </w:rPr>
        <w:tab/>
        <w:t>Le regroupement se fait selon la méthode suivante</w:t>
      </w:r>
      <w:r>
        <w:rPr>
          <w:lang w:val="fr-FR"/>
        </w:rPr>
        <w:t> </w:t>
      </w:r>
      <w:r w:rsidRPr="00544403">
        <w:rPr>
          <w:lang w:val="fr-FR"/>
        </w:rPr>
        <w:t>:</w:t>
      </w:r>
    </w:p>
    <w:p w14:paraId="6F4913EF" w14:textId="77777777" w:rsidR="00EE542B" w:rsidRPr="00544403" w:rsidRDefault="00EE542B" w:rsidP="00EE542B">
      <w:pPr>
        <w:pStyle w:val="SingleTxtG"/>
        <w:ind w:left="2835" w:hanging="567"/>
      </w:pPr>
      <w:r w:rsidRPr="00544403">
        <w:rPr>
          <w:lang w:val="fr-FR"/>
        </w:rPr>
        <w:t>a)</w:t>
      </w:r>
      <w:r w:rsidRPr="00544403">
        <w:rPr>
          <w:lang w:val="fr-FR"/>
        </w:rPr>
        <w:tab/>
        <w:t>En fonction du matériau de friction de la garniture de frein</w:t>
      </w:r>
      <w:r>
        <w:rPr>
          <w:lang w:val="fr-FR"/>
        </w:rPr>
        <w:t> </w:t>
      </w:r>
      <w:r w:rsidRPr="00544403">
        <w:rPr>
          <w:lang w:val="fr-FR"/>
        </w:rPr>
        <w:t>;</w:t>
      </w:r>
    </w:p>
    <w:p w14:paraId="618EB82D" w14:textId="77777777" w:rsidR="00EE542B" w:rsidRPr="00544403" w:rsidRDefault="00EE542B" w:rsidP="00EE542B">
      <w:pPr>
        <w:pStyle w:val="SingleTxtG"/>
        <w:ind w:left="2835" w:hanging="567"/>
      </w:pPr>
      <w:r w:rsidRPr="00544403">
        <w:rPr>
          <w:lang w:val="fr-FR"/>
        </w:rPr>
        <w:t>b)</w:t>
      </w:r>
      <w:r w:rsidRPr="00544403">
        <w:rPr>
          <w:lang w:val="fr-FR"/>
        </w:rPr>
        <w:tab/>
        <w:t>En fonction de la surface du matériau de friction de la garniture de frein assemblée actionné par le ou les piston(s) d</w:t>
      </w:r>
      <w:r>
        <w:rPr>
          <w:lang w:val="fr-FR"/>
        </w:rPr>
        <w:t>’</w:t>
      </w:r>
      <w:r w:rsidRPr="00544403">
        <w:rPr>
          <w:lang w:val="fr-FR"/>
        </w:rPr>
        <w:t>un seul côté de l</w:t>
      </w:r>
      <w:r>
        <w:rPr>
          <w:lang w:val="fr-FR"/>
        </w:rPr>
        <w:t>’</w:t>
      </w:r>
      <w:r w:rsidRPr="00544403">
        <w:rPr>
          <w:lang w:val="fr-FR"/>
        </w:rPr>
        <w:t>étrier de frein ou, dans le cas de freins à tambour, d</w:t>
      </w:r>
      <w:r>
        <w:rPr>
          <w:lang w:val="fr-FR"/>
        </w:rPr>
        <w:t>’</w:t>
      </w:r>
      <w:r w:rsidRPr="00544403">
        <w:rPr>
          <w:lang w:val="fr-FR"/>
        </w:rPr>
        <w:t>une seule mâchoire de frein.</w:t>
      </w:r>
    </w:p>
    <w:p w14:paraId="3B3C7608" w14:textId="77777777" w:rsidR="00EE542B" w:rsidRPr="00EE542B" w:rsidRDefault="00EE542B" w:rsidP="00EE542B">
      <w:pPr>
        <w:pStyle w:val="SingleTxtG"/>
        <w:ind w:left="2268"/>
        <w:rPr>
          <w:b/>
        </w:rPr>
      </w:pPr>
      <w:r w:rsidRPr="00EE542B">
        <w:rPr>
          <w:lang w:val="fr-FR"/>
        </w:rPr>
        <w:t>Par “surface du matériau de friction”, on entend toute la surface située à l’intérieur du périmètre de la garniture de frein (voir la zone hachurée rouge, fig. 1 et fig. 2), ce qui exclut la présence de toute rainure et/ou chanfrein.</w:t>
      </w:r>
    </w:p>
    <w:p w14:paraId="1988E906" w14:textId="61A8C478" w:rsidR="00EE542B" w:rsidRPr="00EE542B" w:rsidRDefault="00EE542B" w:rsidP="00EE542B">
      <w:pPr>
        <w:pStyle w:val="SingleTxtG"/>
        <w:ind w:left="2268"/>
        <w:rPr>
          <w:b/>
          <w:bCs/>
        </w:rPr>
      </w:pPr>
      <w:r w:rsidRPr="00EE542B">
        <w:rPr>
          <w:b/>
          <w:bCs/>
          <w:lang w:val="fr-FR"/>
        </w:rPr>
        <w:tab/>
      </w:r>
      <w:r w:rsidRPr="00EE542B">
        <w:rPr>
          <w:b/>
          <w:bCs/>
          <w:lang w:val="fr-FR"/>
        </w:rPr>
        <w:t>Figure 1</w:t>
      </w:r>
    </w:p>
    <w:p w14:paraId="34605609" w14:textId="77777777" w:rsidR="00EE542B" w:rsidRPr="00544403" w:rsidRDefault="00EE542B" w:rsidP="00EE542B">
      <w:pPr>
        <w:pStyle w:val="Paragraphedeliste"/>
        <w:spacing w:after="120"/>
        <w:ind w:left="1395" w:right="1134"/>
        <w:jc w:val="center"/>
        <w:rPr>
          <w:b/>
          <w:sz w:val="24"/>
          <w:szCs w:val="24"/>
        </w:rPr>
      </w:pPr>
      <w:r w:rsidRPr="00544403">
        <w:rPr>
          <w:noProof/>
          <w:sz w:val="24"/>
          <w:szCs w:val="24"/>
          <w:lang w:val="it-IT" w:eastAsia="it-IT"/>
        </w:rPr>
        <w:drawing>
          <wp:inline distT="0" distB="0" distL="0" distR="0" wp14:anchorId="7DD49527" wp14:editId="5F6B013C">
            <wp:extent cx="2200275" cy="21145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5C5A" w14:textId="77777777" w:rsidR="00EE542B" w:rsidRPr="00EE542B" w:rsidRDefault="00EE542B" w:rsidP="00EE542B">
      <w:pPr>
        <w:pStyle w:val="SingleTxtG"/>
        <w:ind w:left="2268"/>
        <w:rPr>
          <w:b/>
          <w:bCs/>
          <w:lang w:val="fr-FR"/>
        </w:rPr>
      </w:pPr>
      <w:r w:rsidRPr="00EE542B">
        <w:rPr>
          <w:b/>
          <w:bCs/>
          <w:lang w:val="fr-FR"/>
        </w:rPr>
        <w:t>Figure 2</w:t>
      </w:r>
    </w:p>
    <w:p w14:paraId="70D0D4AA" w14:textId="77777777" w:rsidR="00EE542B" w:rsidRDefault="00EE542B" w:rsidP="00EE542B">
      <w:pPr>
        <w:pStyle w:val="Paragraphedeliste"/>
        <w:spacing w:after="120"/>
        <w:ind w:left="1395" w:right="1134"/>
        <w:jc w:val="center"/>
        <w:rPr>
          <w:b/>
          <w:sz w:val="24"/>
          <w:szCs w:val="24"/>
        </w:rPr>
      </w:pPr>
      <w:r w:rsidRPr="00544403">
        <w:rPr>
          <w:noProof/>
          <w:sz w:val="24"/>
          <w:szCs w:val="24"/>
          <w:lang w:val="it-IT" w:eastAsia="it-IT"/>
        </w:rPr>
        <w:drawing>
          <wp:inline distT="0" distB="0" distL="0" distR="0" wp14:anchorId="271B559B" wp14:editId="5EAFE9FB">
            <wp:extent cx="2473960" cy="2661784"/>
            <wp:effectExtent l="0" t="0" r="254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68EE" w14:textId="77777777" w:rsidR="00EE542B" w:rsidRPr="00EE542B" w:rsidRDefault="00EE542B" w:rsidP="00EE542B">
      <w:pPr>
        <w:pStyle w:val="SingleTxtG"/>
        <w:ind w:left="2268"/>
        <w:rPr>
          <w:bCs/>
        </w:rPr>
      </w:pPr>
      <w:r w:rsidRPr="00EE542B">
        <w:rPr>
          <w:lang w:val="fr-FR"/>
        </w:rPr>
        <w:t>Trois groupes de surfaces sont établis, tels que définis dans le tableau 1 (pour les plaquettes de frein) et dans le tableau 2 (pour les mâchoires de frein) :</w:t>
      </w:r>
    </w:p>
    <w:p w14:paraId="71942B1B" w14:textId="77777777" w:rsidR="00EE542B" w:rsidRPr="00EE542B" w:rsidRDefault="00EE542B" w:rsidP="00EE542B">
      <w:pPr>
        <w:pStyle w:val="SingleTxtG"/>
        <w:ind w:left="2268"/>
      </w:pPr>
      <w:r w:rsidRPr="00EE542B">
        <w:rPr>
          <w:lang w:val="fr-FR"/>
        </w:rPr>
        <w:t xml:space="preserve">... </w:t>
      </w:r>
    </w:p>
    <w:p w14:paraId="5C4690EF" w14:textId="77777777" w:rsidR="00EE542B" w:rsidRPr="00544403" w:rsidRDefault="00EE542B" w:rsidP="00EE542B">
      <w:pPr>
        <w:suppressAutoHyphens w:val="0"/>
        <w:spacing w:line="240" w:lineRule="auto"/>
        <w:rPr>
          <w:rFonts w:eastAsiaTheme="minorEastAsia"/>
          <w:b/>
          <w:bCs/>
          <w:sz w:val="24"/>
          <w:szCs w:val="24"/>
          <w:lang w:val="en-US"/>
        </w:rPr>
      </w:pPr>
      <w:r w:rsidRPr="00544403">
        <w:rPr>
          <w:b/>
          <w:bCs/>
          <w:sz w:val="24"/>
          <w:szCs w:val="24"/>
          <w:lang w:val="en-US"/>
        </w:rPr>
        <w:br w:type="page"/>
      </w:r>
    </w:p>
    <w:p w14:paraId="1A3310D8" w14:textId="77777777" w:rsidR="00EE542B" w:rsidRPr="00EE542B" w:rsidRDefault="00EE542B" w:rsidP="00EE542B">
      <w:pPr>
        <w:pStyle w:val="SingleTxtG"/>
        <w:ind w:left="2268"/>
        <w:rPr>
          <w:b/>
          <w:bCs/>
          <w:lang w:val="fr-FR"/>
        </w:rPr>
      </w:pPr>
      <w:r w:rsidRPr="00EE542B">
        <w:rPr>
          <w:b/>
          <w:bCs/>
          <w:lang w:val="fr-FR"/>
        </w:rPr>
        <w:lastRenderedPageBreak/>
        <w:t>Tableau 2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54"/>
      </w:tblGrid>
      <w:tr w:rsidR="00EE542B" w:rsidRPr="00906906" w14:paraId="0F5BACF1" w14:textId="77777777" w:rsidTr="00EE542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19F726" w14:textId="77777777" w:rsidR="00EE542B" w:rsidRPr="00EE542B" w:rsidRDefault="00EE542B" w:rsidP="00EE542B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eastAsia="SimSun"/>
                <w:bCs/>
                <w:i/>
                <w:sz w:val="16"/>
                <w:szCs w:val="16"/>
              </w:rPr>
            </w:pPr>
            <w:r w:rsidRPr="00EE542B">
              <w:rPr>
                <w:i/>
                <w:iCs/>
                <w:sz w:val="16"/>
                <w:szCs w:val="16"/>
                <w:lang w:val="fr-FR"/>
              </w:rPr>
              <w:t>Groupe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2B4DFC" w14:textId="23B0BA5E" w:rsidR="00EE542B" w:rsidRPr="00EE542B" w:rsidRDefault="00EE542B" w:rsidP="00EE542B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eastAsia="SimSun"/>
                <w:bCs/>
                <w:i/>
                <w:sz w:val="16"/>
                <w:szCs w:val="16"/>
              </w:rPr>
            </w:pPr>
            <w:r w:rsidRPr="00EE542B">
              <w:rPr>
                <w:i/>
                <w:iCs/>
                <w:sz w:val="16"/>
                <w:szCs w:val="16"/>
                <w:lang w:val="fr-FR"/>
              </w:rPr>
              <w:t xml:space="preserve">Surface de la garniture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EE542B">
              <w:rPr>
                <w:i/>
                <w:iCs/>
                <w:sz w:val="16"/>
                <w:szCs w:val="16"/>
                <w:lang w:val="fr-FR"/>
              </w:rPr>
              <w:t>de frein (en cm</w:t>
            </w:r>
            <w:r w:rsidRPr="00EE542B">
              <w:rPr>
                <w:i/>
                <w:iCs/>
                <w:sz w:val="16"/>
                <w:szCs w:val="16"/>
                <w:vertAlign w:val="superscript"/>
                <w:lang w:val="fr-FR"/>
              </w:rPr>
              <w:t>2</w:t>
            </w:r>
            <w:r w:rsidRPr="00EE542B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</w:tr>
      <w:tr w:rsidR="00EE542B" w:rsidRPr="00544403" w14:paraId="28C7D091" w14:textId="77777777" w:rsidTr="00EE542B">
        <w:trPr>
          <w:jc w:val="center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EB6" w14:textId="77777777" w:rsidR="00EE542B" w:rsidRPr="00EE542B" w:rsidRDefault="00EE542B" w:rsidP="00EE542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EE542B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38B1" w14:textId="4DEA5B8C" w:rsidR="00EE542B" w:rsidRPr="00EE542B" w:rsidRDefault="00EE542B" w:rsidP="00EE542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EE542B">
              <w:rPr>
                <w:sz w:val="18"/>
                <w:szCs w:val="18"/>
                <w:lang w:val="fr-FR"/>
              </w:rPr>
              <w:t>≤21</w:t>
            </w:r>
          </w:p>
        </w:tc>
      </w:tr>
      <w:tr w:rsidR="00EE542B" w:rsidRPr="00544403" w14:paraId="52CA1667" w14:textId="77777777" w:rsidTr="00EE542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2498" w14:textId="77777777" w:rsidR="00EE542B" w:rsidRPr="00EE542B" w:rsidRDefault="00EE542B" w:rsidP="00EE542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EE542B">
              <w:rPr>
                <w:sz w:val="18"/>
                <w:szCs w:val="18"/>
                <w:lang w:val="fr-FR"/>
              </w:rPr>
              <w:t>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8D7F" w14:textId="77777777" w:rsidR="00EE542B" w:rsidRPr="00EE542B" w:rsidRDefault="00EE542B" w:rsidP="00EE542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EE542B">
              <w:rPr>
                <w:sz w:val="18"/>
                <w:szCs w:val="18"/>
                <w:lang w:val="fr-FR"/>
              </w:rPr>
              <w:t>&gt; 21 ≤ 54</w:t>
            </w:r>
          </w:p>
        </w:tc>
      </w:tr>
      <w:tr w:rsidR="00EE542B" w:rsidRPr="00544403" w14:paraId="0411F61E" w14:textId="77777777" w:rsidTr="00EE542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A6262" w14:textId="77777777" w:rsidR="00EE542B" w:rsidRPr="00EE542B" w:rsidRDefault="00EE542B" w:rsidP="00EE542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EE542B">
              <w:rPr>
                <w:sz w:val="18"/>
                <w:szCs w:val="18"/>
                <w:lang w:val="fr-FR"/>
              </w:rPr>
              <w:t>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2D11D5" w14:textId="32C6FAED" w:rsidR="00EE542B" w:rsidRPr="00EE542B" w:rsidRDefault="00EE542B" w:rsidP="00EE542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EE542B">
              <w:rPr>
                <w:sz w:val="18"/>
                <w:szCs w:val="18"/>
                <w:lang w:val="fr-FR"/>
              </w:rPr>
              <w:t>&gt;54</w:t>
            </w:r>
          </w:p>
        </w:tc>
      </w:tr>
    </w:tbl>
    <w:p w14:paraId="401B994A" w14:textId="7FC3C27F" w:rsidR="00EE542B" w:rsidRDefault="00EE542B" w:rsidP="00EE542B">
      <w:pPr>
        <w:pStyle w:val="SingleTxtG"/>
        <w:jc w:val="right"/>
        <w:rPr>
          <w:lang w:val="fr-FR"/>
        </w:rPr>
      </w:pPr>
      <w:r>
        <w:rPr>
          <w:lang w:val="fr-FR"/>
        </w:rPr>
        <w:t>.</w:t>
      </w:r>
      <w:r w:rsidRPr="00544403">
        <w:rPr>
          <w:lang w:val="fr-FR"/>
        </w:rPr>
        <w:t> ».</w:t>
      </w:r>
    </w:p>
    <w:p w14:paraId="7D22C8FE" w14:textId="3778CCB1" w:rsidR="00EE542B" w:rsidRPr="00EE542B" w:rsidRDefault="00EE542B" w:rsidP="00EE54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578C57" w14:textId="77777777" w:rsidR="00F9573C" w:rsidRDefault="00F9573C" w:rsidP="00AF0CB5"/>
    <w:sectPr w:rsidR="00F9573C" w:rsidSect="00EE542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7CAE" w14:textId="77777777" w:rsidR="00475956" w:rsidRDefault="00475956" w:rsidP="00F95C08">
      <w:pPr>
        <w:spacing w:line="240" w:lineRule="auto"/>
      </w:pPr>
    </w:p>
  </w:endnote>
  <w:endnote w:type="continuationSeparator" w:id="0">
    <w:p w14:paraId="6B74A632" w14:textId="77777777" w:rsidR="00475956" w:rsidRPr="00AC3823" w:rsidRDefault="00475956" w:rsidP="00AC3823">
      <w:pPr>
        <w:pStyle w:val="Pieddepage"/>
      </w:pPr>
    </w:p>
  </w:endnote>
  <w:endnote w:type="continuationNotice" w:id="1">
    <w:p w14:paraId="513D1CBA" w14:textId="77777777" w:rsidR="00475956" w:rsidRDefault="004759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220F" w14:textId="3AAC4E55" w:rsidR="00EE542B" w:rsidRPr="00EE542B" w:rsidRDefault="00EE542B" w:rsidP="00EE542B">
    <w:pPr>
      <w:pStyle w:val="Pieddepage"/>
      <w:tabs>
        <w:tab w:val="right" w:pos="9638"/>
      </w:tabs>
    </w:pPr>
    <w:r w:rsidRPr="00EE542B">
      <w:rPr>
        <w:b/>
        <w:sz w:val="18"/>
      </w:rPr>
      <w:fldChar w:fldCharType="begin"/>
    </w:r>
    <w:r w:rsidRPr="00EE542B">
      <w:rPr>
        <w:b/>
        <w:sz w:val="18"/>
      </w:rPr>
      <w:instrText xml:space="preserve"> PAGE  \* MERGEFORMAT </w:instrText>
    </w:r>
    <w:r w:rsidRPr="00EE542B">
      <w:rPr>
        <w:b/>
        <w:sz w:val="18"/>
      </w:rPr>
      <w:fldChar w:fldCharType="separate"/>
    </w:r>
    <w:r w:rsidRPr="00EE542B">
      <w:rPr>
        <w:b/>
        <w:noProof/>
        <w:sz w:val="18"/>
      </w:rPr>
      <w:t>2</w:t>
    </w:r>
    <w:r w:rsidRPr="00EE542B">
      <w:rPr>
        <w:b/>
        <w:sz w:val="18"/>
      </w:rPr>
      <w:fldChar w:fldCharType="end"/>
    </w:r>
    <w:r>
      <w:rPr>
        <w:b/>
        <w:sz w:val="18"/>
      </w:rPr>
      <w:tab/>
    </w:r>
    <w:r>
      <w:t>GE.22-05348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D1DA" w14:textId="254B9012" w:rsidR="00EE542B" w:rsidRPr="00EE542B" w:rsidRDefault="00EE542B" w:rsidP="00EE542B">
    <w:pPr>
      <w:pStyle w:val="Pieddepage"/>
      <w:tabs>
        <w:tab w:val="right" w:pos="9638"/>
      </w:tabs>
      <w:rPr>
        <w:b/>
        <w:sz w:val="18"/>
      </w:rPr>
    </w:pPr>
    <w:r>
      <w:t>GE.22-05348</w:t>
    </w:r>
    <w:r>
      <w:tab/>
    </w:r>
    <w:r w:rsidRPr="00EE542B">
      <w:rPr>
        <w:b/>
        <w:sz w:val="18"/>
      </w:rPr>
      <w:fldChar w:fldCharType="begin"/>
    </w:r>
    <w:r w:rsidRPr="00EE542B">
      <w:rPr>
        <w:b/>
        <w:sz w:val="18"/>
      </w:rPr>
      <w:instrText xml:space="preserve"> PAGE  \* MERGEFORMAT </w:instrText>
    </w:r>
    <w:r w:rsidRPr="00EE542B">
      <w:rPr>
        <w:b/>
        <w:sz w:val="18"/>
      </w:rPr>
      <w:fldChar w:fldCharType="separate"/>
    </w:r>
    <w:r w:rsidRPr="00EE542B">
      <w:rPr>
        <w:b/>
        <w:noProof/>
        <w:sz w:val="18"/>
      </w:rPr>
      <w:t>3</w:t>
    </w:r>
    <w:r w:rsidRPr="00EE54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CC44" w14:textId="051926C4" w:rsidR="007F20FA" w:rsidRPr="00EE542B" w:rsidRDefault="00EE542B" w:rsidP="00EE542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985A0B" wp14:editId="15ECDE9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22-05348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AF81DD" wp14:editId="5B19274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030522    030522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DA1D" w14:textId="77777777" w:rsidR="00475956" w:rsidRPr="00AC3823" w:rsidRDefault="004759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58C6AE" w14:textId="77777777" w:rsidR="00475956" w:rsidRPr="00AC3823" w:rsidRDefault="004759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5C323B" w14:textId="77777777" w:rsidR="00475956" w:rsidRPr="00AC3823" w:rsidRDefault="00475956">
      <w:pPr>
        <w:spacing w:line="240" w:lineRule="auto"/>
        <w:rPr>
          <w:sz w:val="2"/>
          <w:szCs w:val="2"/>
        </w:rPr>
      </w:pPr>
    </w:p>
  </w:footnote>
  <w:footnote w:id="2">
    <w:p w14:paraId="1DB037C0" w14:textId="77777777" w:rsidR="00EE542B" w:rsidRPr="00BC3DE0" w:rsidRDefault="00EE542B" w:rsidP="00EE542B">
      <w:pPr>
        <w:pStyle w:val="Notedebasdepage"/>
        <w:rPr>
          <w:szCs w:val="18"/>
        </w:rPr>
      </w:pPr>
      <w:r>
        <w:rPr>
          <w:lang w:val="fr-FR"/>
        </w:rPr>
        <w:tab/>
      </w:r>
      <w:r w:rsidRPr="00EE542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B84" w14:textId="4794930F" w:rsidR="00EE542B" w:rsidRPr="00EE542B" w:rsidRDefault="00EE542B">
    <w:pPr>
      <w:pStyle w:val="En-tte"/>
    </w:pPr>
    <w:fldSimple w:instr=" TITLE  \* MERGEFORMAT ">
      <w:r>
        <w:t>ECE/TRANS/WP.29/2022/82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3A91" w14:textId="767CBC7B" w:rsidR="00EE542B" w:rsidRPr="00EE542B" w:rsidRDefault="00EE542B" w:rsidP="00EE542B">
    <w:pPr>
      <w:pStyle w:val="En-tte"/>
      <w:jc w:val="right"/>
    </w:pPr>
    <w:fldSimple w:instr=" TITLE  \* MERGEFORMAT ">
      <w:r>
        <w:t>ECE/TRANS/WP.29/2022/82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5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595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41495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542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F58FE7"/>
  <w15:docId w15:val="{296AA624-BA03-499E-8B83-5ADC1D8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-E Fußnotentext,footnote text,Fußnotentext Ursprung,Footnote Text Char Char,Footnote Text Char Char Char Char,Footnote Text1,Footnote Text Char Char Char,Fußnotentext Char1,Fußn,Fußnotentext Char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-E Fußnotentext Car,footnote text Car,Fußnotentext Ursprung Car,Footnote Text Char Char Car,Footnote Text Char Char Char Char Car,Footnote Text1 Car,Footnote Text Char Char Char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E542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E542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EE542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EE542B"/>
    <w:pPr>
      <w:kinsoku/>
      <w:overflowPunct/>
      <w:autoSpaceDE/>
      <w:autoSpaceDN/>
      <w:adjustRightInd/>
      <w:snapToGrid/>
      <w:ind w:left="720"/>
      <w:contextualSpacing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73CC9-87A1-4D91-ADC6-2ED8341E7CB4}"/>
</file>

<file path=customXml/itemProps2.xml><?xml version="1.0" encoding="utf-8"?>
<ds:datastoreItem xmlns:ds="http://schemas.openxmlformats.org/officeDocument/2006/customXml" ds:itemID="{10D784FD-7BC2-442B-9380-DE19747DF259}"/>
</file>

<file path=customXml/itemProps3.xml><?xml version="1.0" encoding="utf-8"?>
<ds:datastoreItem xmlns:ds="http://schemas.openxmlformats.org/officeDocument/2006/customXml" ds:itemID="{21A95625-8229-4140-B99B-D7FCAF5E77A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337</Words>
  <Characters>1696</Characters>
  <Application>Microsoft Office Word</Application>
  <DocSecurity>0</DocSecurity>
  <Lines>60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ECE/TRANS/WP.29/2022/82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2022-05-03T12:28:00Z</dcterms:created>
  <dcterms:modified xsi:type="dcterms:W3CDTF">2022-05-03T12:28:00Z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