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38D8D4" w14:textId="77777777" w:rsidTr="00B20551">
        <w:trPr>
          <w:cantSplit/>
          <w:trHeight w:hRule="exact" w:val="851"/>
        </w:trPr>
        <w:tc>
          <w:tcPr>
            <w:tcW w:w="1276" w:type="dxa"/>
            <w:tcBorders>
              <w:bottom w:val="single" w:sz="4" w:space="0" w:color="auto"/>
            </w:tcBorders>
            <w:vAlign w:val="bottom"/>
          </w:tcPr>
          <w:p w14:paraId="1B8C1657" w14:textId="77777777" w:rsidR="009E6CB7" w:rsidRDefault="009E6CB7" w:rsidP="00B20551">
            <w:pPr>
              <w:spacing w:after="80"/>
            </w:pPr>
          </w:p>
        </w:tc>
        <w:tc>
          <w:tcPr>
            <w:tcW w:w="2268" w:type="dxa"/>
            <w:tcBorders>
              <w:bottom w:val="single" w:sz="4" w:space="0" w:color="auto"/>
            </w:tcBorders>
            <w:vAlign w:val="bottom"/>
          </w:tcPr>
          <w:p w14:paraId="6841D83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11113FE" w14:textId="4A6EDF7B" w:rsidR="009E6CB7" w:rsidRPr="00D47EEA" w:rsidRDefault="00BE4CFA" w:rsidP="00BE4CFA">
            <w:pPr>
              <w:jc w:val="right"/>
            </w:pPr>
            <w:r w:rsidRPr="00BE4CFA">
              <w:rPr>
                <w:sz w:val="40"/>
              </w:rPr>
              <w:t>ECE</w:t>
            </w:r>
            <w:r>
              <w:t>/TRANS/WP.15/AC.2/2022/40</w:t>
            </w:r>
          </w:p>
        </w:tc>
      </w:tr>
      <w:tr w:rsidR="009E6CB7" w14:paraId="36B05962" w14:textId="77777777" w:rsidTr="00B20551">
        <w:trPr>
          <w:cantSplit/>
          <w:trHeight w:hRule="exact" w:val="2835"/>
        </w:trPr>
        <w:tc>
          <w:tcPr>
            <w:tcW w:w="1276" w:type="dxa"/>
            <w:tcBorders>
              <w:top w:val="single" w:sz="4" w:space="0" w:color="auto"/>
              <w:bottom w:val="single" w:sz="12" w:space="0" w:color="auto"/>
            </w:tcBorders>
          </w:tcPr>
          <w:p w14:paraId="6AE329E2" w14:textId="77777777" w:rsidR="009E6CB7" w:rsidRDefault="00686A48" w:rsidP="00B20551">
            <w:pPr>
              <w:spacing w:before="120"/>
            </w:pPr>
            <w:r>
              <w:rPr>
                <w:noProof/>
                <w:lang w:val="fr-CH" w:eastAsia="fr-CH"/>
              </w:rPr>
              <w:drawing>
                <wp:inline distT="0" distB="0" distL="0" distR="0" wp14:anchorId="20EFDADE" wp14:editId="2CAC34D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CAC06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1BB2FCC" w14:textId="77777777" w:rsidR="009E6CB7" w:rsidRDefault="00BE4CFA" w:rsidP="00BE4CFA">
            <w:pPr>
              <w:spacing w:before="240" w:line="240" w:lineRule="exact"/>
            </w:pPr>
            <w:r>
              <w:t>Distr.: General</w:t>
            </w:r>
          </w:p>
          <w:p w14:paraId="7B5AE8C4" w14:textId="0053ACFF" w:rsidR="00BE4CFA" w:rsidRDefault="00BE4CFA" w:rsidP="00BE4CFA">
            <w:pPr>
              <w:spacing w:line="240" w:lineRule="exact"/>
            </w:pPr>
            <w:r>
              <w:t>2</w:t>
            </w:r>
            <w:r w:rsidR="00D718C8">
              <w:t>4</w:t>
            </w:r>
            <w:r>
              <w:t xml:space="preserve"> May 2022</w:t>
            </w:r>
          </w:p>
          <w:p w14:paraId="503DD564" w14:textId="77777777" w:rsidR="00BE4CFA" w:rsidRDefault="00BE4CFA" w:rsidP="00BE4CFA">
            <w:pPr>
              <w:spacing w:line="240" w:lineRule="exact"/>
            </w:pPr>
          </w:p>
          <w:p w14:paraId="28433E0E" w14:textId="6F3040AE" w:rsidR="00BE4CFA" w:rsidRDefault="00BE4CFA" w:rsidP="00BE4CFA">
            <w:pPr>
              <w:spacing w:line="240" w:lineRule="exact"/>
            </w:pPr>
            <w:r>
              <w:t>Original: English</w:t>
            </w:r>
          </w:p>
        </w:tc>
      </w:tr>
    </w:tbl>
    <w:p w14:paraId="227E4E8D" w14:textId="53190196" w:rsidR="00891A4B" w:rsidRDefault="00891A4B" w:rsidP="00BE4CFA">
      <w:pPr>
        <w:spacing w:before="120"/>
        <w:rPr>
          <w:b/>
          <w:sz w:val="28"/>
          <w:szCs w:val="28"/>
        </w:rPr>
      </w:pPr>
      <w:r w:rsidRPr="00AB134D">
        <w:rPr>
          <w:b/>
          <w:sz w:val="28"/>
          <w:szCs w:val="28"/>
        </w:rPr>
        <w:t>Economic Commission for Europe</w:t>
      </w:r>
    </w:p>
    <w:p w14:paraId="2858A078" w14:textId="77777777" w:rsidR="00BE4CFA" w:rsidRPr="003344AF" w:rsidRDefault="00BE4CFA" w:rsidP="00BE4CFA">
      <w:pPr>
        <w:spacing w:before="120"/>
        <w:rPr>
          <w:sz w:val="28"/>
          <w:szCs w:val="28"/>
        </w:rPr>
      </w:pPr>
      <w:r w:rsidRPr="003344AF">
        <w:rPr>
          <w:sz w:val="28"/>
          <w:szCs w:val="28"/>
        </w:rPr>
        <w:t>Inland Transport Committee</w:t>
      </w:r>
    </w:p>
    <w:p w14:paraId="6B10D1C4" w14:textId="77777777" w:rsidR="00BE4CFA" w:rsidRPr="003344AF" w:rsidRDefault="00BE4CFA" w:rsidP="00BE4CFA">
      <w:pPr>
        <w:spacing w:before="120"/>
        <w:rPr>
          <w:b/>
          <w:sz w:val="24"/>
          <w:szCs w:val="24"/>
        </w:rPr>
      </w:pPr>
      <w:r w:rsidRPr="003344AF">
        <w:rPr>
          <w:b/>
          <w:sz w:val="24"/>
          <w:szCs w:val="24"/>
        </w:rPr>
        <w:t>Working Party on the Transport of Dangerous Goods</w:t>
      </w:r>
    </w:p>
    <w:p w14:paraId="7F4C3E0E" w14:textId="77777777" w:rsidR="00BE4CFA" w:rsidRPr="003344AF" w:rsidRDefault="00BE4CFA" w:rsidP="00BE4CFA">
      <w:pPr>
        <w:spacing w:before="120"/>
        <w:rPr>
          <w:b/>
        </w:rPr>
      </w:pPr>
      <w:r w:rsidRPr="003344AF">
        <w:rPr>
          <w:b/>
        </w:rPr>
        <w:t xml:space="preserve">Joint Meeting of Experts on the Regulations annexed to the </w:t>
      </w:r>
      <w:r w:rsidRPr="003344AF">
        <w:rPr>
          <w:b/>
        </w:rPr>
        <w:br/>
        <w:t xml:space="preserve">European Agreement concerning the International Carriage </w:t>
      </w:r>
      <w:r w:rsidRPr="003344AF">
        <w:rPr>
          <w:b/>
        </w:rPr>
        <w:br/>
        <w:t>of Dangerous Goods by Inland Waterways (ADN)</w:t>
      </w:r>
    </w:p>
    <w:p w14:paraId="2AF58C42" w14:textId="77777777" w:rsidR="00BE4CFA" w:rsidRPr="003344AF" w:rsidRDefault="00BE4CFA" w:rsidP="00BE4CFA">
      <w:pPr>
        <w:rPr>
          <w:b/>
        </w:rPr>
      </w:pPr>
      <w:r w:rsidRPr="003344AF">
        <w:rPr>
          <w:b/>
        </w:rPr>
        <w:t>(ADN Safety Committee)</w:t>
      </w:r>
    </w:p>
    <w:p w14:paraId="29128C7B" w14:textId="77777777" w:rsidR="00BE4CFA" w:rsidRPr="003344AF" w:rsidRDefault="00BE4CFA" w:rsidP="00BE4CFA">
      <w:pPr>
        <w:spacing w:before="120"/>
        <w:rPr>
          <w:b/>
        </w:rPr>
      </w:pPr>
      <w:r>
        <w:rPr>
          <w:b/>
        </w:rPr>
        <w:t>Fortieth</w:t>
      </w:r>
      <w:r w:rsidRPr="003344AF">
        <w:rPr>
          <w:b/>
        </w:rPr>
        <w:t xml:space="preserve"> session</w:t>
      </w:r>
    </w:p>
    <w:p w14:paraId="47A40F9E" w14:textId="77777777" w:rsidR="00BE4CFA" w:rsidRPr="003344AF" w:rsidRDefault="00BE4CFA" w:rsidP="00BE4CFA">
      <w:r w:rsidRPr="003344AF">
        <w:t>Geneva, 2</w:t>
      </w:r>
      <w:r>
        <w:t>2</w:t>
      </w:r>
      <w:r w:rsidRPr="003344AF">
        <w:t>–2</w:t>
      </w:r>
      <w:r>
        <w:t>6 August 2022</w:t>
      </w:r>
    </w:p>
    <w:p w14:paraId="7BF7FE6E" w14:textId="77777777" w:rsidR="00BE4CFA" w:rsidRPr="003344AF" w:rsidRDefault="00BE4CFA" w:rsidP="00BE4CFA">
      <w:r w:rsidRPr="003344AF">
        <w:t xml:space="preserve">Item </w:t>
      </w:r>
      <w:r>
        <w:t xml:space="preserve">4 (b) </w:t>
      </w:r>
      <w:r w:rsidRPr="003344AF">
        <w:t>of the provisional agenda</w:t>
      </w:r>
    </w:p>
    <w:p w14:paraId="73E8C096" w14:textId="5B0B4E5B" w:rsidR="00BE4CFA" w:rsidRPr="0042557C" w:rsidRDefault="00BE4CFA" w:rsidP="00BE4CFA">
      <w:pPr>
        <w:rPr>
          <w:b/>
          <w:bCs/>
        </w:rPr>
      </w:pPr>
      <w:r w:rsidRPr="0042557C">
        <w:rPr>
          <w:b/>
          <w:bCs/>
        </w:rPr>
        <w:t>Proposals for amendments to the Regulations annexed to ADN:</w:t>
      </w:r>
      <w:r w:rsidRPr="0042557C">
        <w:rPr>
          <w:b/>
          <w:bCs/>
        </w:rPr>
        <w:br/>
      </w:r>
      <w:r w:rsidR="00B102AA">
        <w:rPr>
          <w:b/>
          <w:bCs/>
        </w:rPr>
        <w:t>o</w:t>
      </w:r>
      <w:r w:rsidRPr="0042557C">
        <w:rPr>
          <w:b/>
          <w:bCs/>
        </w:rPr>
        <w:t>ther proposals</w:t>
      </w:r>
    </w:p>
    <w:p w14:paraId="4379EF2D" w14:textId="1D1CBA57" w:rsidR="00A311BA" w:rsidRPr="00DB4902" w:rsidRDefault="00A311BA" w:rsidP="00A311BA">
      <w:pPr>
        <w:pStyle w:val="HChG"/>
      </w:pPr>
      <w:r w:rsidRPr="00DB4902">
        <w:tab/>
      </w:r>
      <w:r w:rsidRPr="00DB4902">
        <w:tab/>
        <w:t xml:space="preserve">Degassing of inland waterway tank vessels at a reception facility </w:t>
      </w:r>
      <w:r w:rsidR="001608BA" w:rsidRPr="00D718C8">
        <w:t>—</w:t>
      </w:r>
      <w:r w:rsidRPr="00DB4902">
        <w:t xml:space="preserve"> spring loaded low-pressure valve </w:t>
      </w:r>
      <w:bookmarkStart w:id="0" w:name="_Hlk53046188"/>
      <w:bookmarkEnd w:id="0"/>
    </w:p>
    <w:p w14:paraId="37D95D2D" w14:textId="5CC0D01F" w:rsidR="00A311BA" w:rsidRPr="00F144B0" w:rsidRDefault="00A311BA" w:rsidP="00A311BA">
      <w:pPr>
        <w:pStyle w:val="H1G"/>
        <w:rPr>
          <w:b w:val="0"/>
          <w:bCs/>
          <w:sz w:val="20"/>
          <w:szCs w:val="16"/>
        </w:rPr>
      </w:pPr>
      <w:r w:rsidRPr="00DB4902">
        <w:tab/>
      </w:r>
      <w:r w:rsidRPr="00DB4902">
        <w:tab/>
        <w:t xml:space="preserve">Transmitted by the </w:t>
      </w:r>
      <w:r w:rsidR="004B2283">
        <w:t>g</w:t>
      </w:r>
      <w:r w:rsidR="004B2283" w:rsidRPr="00DB4902">
        <w:t>overnment</w:t>
      </w:r>
      <w:r w:rsidR="004B2283">
        <w:t>s</w:t>
      </w:r>
      <w:r w:rsidR="004B2283" w:rsidRPr="00DB4902">
        <w:t xml:space="preserve"> </w:t>
      </w:r>
      <w:r w:rsidRPr="00DB4902">
        <w:t>of Germany</w:t>
      </w:r>
      <w:r>
        <w:t xml:space="preserve"> and the Netherlands</w:t>
      </w:r>
      <w:r w:rsidRPr="00F144B0">
        <w:rPr>
          <w:b w:val="0"/>
          <w:bCs/>
          <w:sz w:val="20"/>
          <w:szCs w:val="16"/>
        </w:rPr>
        <w:footnoteReference w:customMarkFollows="1" w:id="2"/>
        <w:t>*</w:t>
      </w:r>
      <w:r w:rsidRPr="00F144B0">
        <w:rPr>
          <w:b w:val="0"/>
          <w:bCs/>
          <w:position w:val="8"/>
          <w:sz w:val="20"/>
          <w:szCs w:val="16"/>
        </w:rPr>
        <w:t>,</w:t>
      </w:r>
      <w:r w:rsidR="00F144B0" w:rsidRPr="00F144B0">
        <w:rPr>
          <w:b w:val="0"/>
          <w:bCs/>
          <w:position w:val="8"/>
          <w:sz w:val="20"/>
          <w:szCs w:val="16"/>
        </w:rPr>
        <w:t xml:space="preserve"> </w:t>
      </w:r>
      <w:r w:rsidRPr="00F144B0">
        <w:rPr>
          <w:b w:val="0"/>
          <w:bCs/>
          <w:sz w:val="20"/>
          <w:szCs w:val="16"/>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9602D" w14:paraId="7CE1453A" w14:textId="77777777" w:rsidTr="007E5C9B">
        <w:trPr>
          <w:jc w:val="center"/>
        </w:trPr>
        <w:tc>
          <w:tcPr>
            <w:tcW w:w="9629" w:type="dxa"/>
            <w:shd w:val="clear" w:color="auto" w:fill="auto"/>
          </w:tcPr>
          <w:p w14:paraId="5C748363" w14:textId="77777777" w:rsidR="0059602D" w:rsidRPr="00C6263E" w:rsidRDefault="0059602D" w:rsidP="007E5C9B">
            <w:pPr>
              <w:spacing w:before="240" w:after="120"/>
              <w:ind w:left="255"/>
              <w:rPr>
                <w:i/>
                <w:sz w:val="24"/>
              </w:rPr>
            </w:pPr>
            <w:r w:rsidRPr="00C6263E">
              <w:rPr>
                <w:i/>
                <w:sz w:val="24"/>
              </w:rPr>
              <w:t>Summary</w:t>
            </w:r>
          </w:p>
        </w:tc>
      </w:tr>
      <w:tr w:rsidR="0059602D" w14:paraId="2B90BE06" w14:textId="77777777" w:rsidTr="007E5C9B">
        <w:trPr>
          <w:jc w:val="center"/>
        </w:trPr>
        <w:tc>
          <w:tcPr>
            <w:tcW w:w="9629" w:type="dxa"/>
            <w:shd w:val="clear" w:color="auto" w:fill="auto"/>
          </w:tcPr>
          <w:p w14:paraId="6E12FBC3" w14:textId="77777777" w:rsidR="001E61C9" w:rsidRDefault="0059602D" w:rsidP="00495C0E">
            <w:pPr>
              <w:tabs>
                <w:tab w:val="left" w:pos="284"/>
              </w:tabs>
              <w:spacing w:before="120"/>
              <w:ind w:left="2835" w:right="139" w:hanging="2835"/>
            </w:pPr>
            <w:r>
              <w:rPr>
                <w:b/>
                <w:iCs/>
              </w:rPr>
              <w:tab/>
            </w:r>
            <w:r w:rsidRPr="00434FEC">
              <w:rPr>
                <w:b/>
              </w:rPr>
              <w:t>Related</w:t>
            </w:r>
            <w:r w:rsidRPr="00124693">
              <w:rPr>
                <w:b/>
                <w:iCs/>
              </w:rPr>
              <w:t xml:space="preserve"> documents</w:t>
            </w:r>
            <w:r w:rsidRPr="00124693">
              <w:rPr>
                <w:bCs/>
              </w:rPr>
              <w:t>:</w:t>
            </w:r>
            <w:r w:rsidRPr="00124693">
              <w:tab/>
            </w:r>
            <w:r w:rsidR="001E61C9" w:rsidRPr="00DB4902">
              <w:t xml:space="preserve">ECE/TRANS/WP.15/AC.2/2020/36 </w:t>
            </w:r>
            <w:r w:rsidR="001E61C9">
              <w:t>–</w:t>
            </w:r>
            <w:r w:rsidR="001E61C9" w:rsidRPr="00DB4902">
              <w:t xml:space="preserve"> (Netherlands)</w:t>
            </w:r>
          </w:p>
          <w:p w14:paraId="69516AAA" w14:textId="77777777" w:rsidR="001E61C9" w:rsidRDefault="001E61C9" w:rsidP="00495C0E">
            <w:pPr>
              <w:ind w:left="1701" w:firstLine="1145"/>
            </w:pPr>
            <w:r w:rsidRPr="00EC305C">
              <w:t>ECE</w:t>
            </w:r>
            <w:r>
              <w:t>/TRANS/WP.15/AC.2/2021/3 – (Germany)</w:t>
            </w:r>
          </w:p>
          <w:p w14:paraId="046ED93D" w14:textId="31569D04" w:rsidR="0059602D" w:rsidRDefault="001E61C9" w:rsidP="00495C0E">
            <w:pPr>
              <w:ind w:left="1701" w:firstLine="1145"/>
            </w:pPr>
            <w:r w:rsidRPr="00EC305C">
              <w:t>ECE</w:t>
            </w:r>
            <w:r>
              <w:t>/TRANS/WP.15/AC.2/76, paras</w:t>
            </w:r>
            <w:r w:rsidR="007C22B2">
              <w:t>.</w:t>
            </w:r>
            <w:r>
              <w:t xml:space="preserve"> 67-70 – Report of the </w:t>
            </w:r>
            <w:r w:rsidR="00805003">
              <w:t>t</w:t>
            </w:r>
            <w:r>
              <w:t>hirty-seventh session</w:t>
            </w:r>
          </w:p>
        </w:tc>
      </w:tr>
      <w:tr w:rsidR="0059602D" w14:paraId="49BF82CF" w14:textId="77777777" w:rsidTr="00D718C8">
        <w:trPr>
          <w:trHeight w:val="55"/>
          <w:jc w:val="center"/>
        </w:trPr>
        <w:tc>
          <w:tcPr>
            <w:tcW w:w="9629" w:type="dxa"/>
            <w:shd w:val="clear" w:color="auto" w:fill="auto"/>
          </w:tcPr>
          <w:p w14:paraId="6AD6B3E0" w14:textId="77777777" w:rsidR="0059602D" w:rsidRPr="00434FEC" w:rsidRDefault="0059602D" w:rsidP="007E5C9B">
            <w:pPr>
              <w:tabs>
                <w:tab w:val="left" w:pos="284"/>
              </w:tabs>
              <w:spacing w:before="120"/>
              <w:ind w:left="2835" w:right="139" w:hanging="2835"/>
              <w:rPr>
                <w:b/>
              </w:rPr>
            </w:pPr>
          </w:p>
        </w:tc>
      </w:tr>
    </w:tbl>
    <w:p w14:paraId="4EED230D" w14:textId="77777777" w:rsidR="00A311BA" w:rsidRPr="00DB4902" w:rsidRDefault="00A311BA" w:rsidP="00A311BA">
      <w:pPr>
        <w:pStyle w:val="HChG"/>
      </w:pPr>
      <w:r w:rsidRPr="00DB4902">
        <w:tab/>
      </w:r>
      <w:r w:rsidRPr="00DB4902">
        <w:tab/>
        <w:t>Introduction</w:t>
      </w:r>
    </w:p>
    <w:p w14:paraId="7A6677B8" w14:textId="7F42F9C3" w:rsidR="00A311BA" w:rsidRPr="00DB4902" w:rsidRDefault="00A311BA" w:rsidP="00A311BA">
      <w:pPr>
        <w:pStyle w:val="SingleTxtG"/>
      </w:pPr>
      <w:r w:rsidRPr="00DB4902">
        <w:t>1.</w:t>
      </w:r>
      <w:r w:rsidRPr="00DB4902">
        <w:tab/>
      </w:r>
      <w:r>
        <w:t xml:space="preserve">Based on documents </w:t>
      </w:r>
      <w:r w:rsidR="00A33192" w:rsidRPr="00DB4902">
        <w:t>ECE/TRANS/WP.15/AC.2</w:t>
      </w:r>
      <w:r w:rsidR="00A33192">
        <w:t>/</w:t>
      </w:r>
      <w:r>
        <w:t xml:space="preserve">2020/36 and </w:t>
      </w:r>
      <w:r w:rsidR="00A33192" w:rsidRPr="00EC305C">
        <w:t>ECE</w:t>
      </w:r>
      <w:r w:rsidR="00A33192">
        <w:t>/TRANS/WP.15/AC.2</w:t>
      </w:r>
      <w:r w:rsidR="00F25A79">
        <w:t>/</w:t>
      </w:r>
      <w:r>
        <w:t xml:space="preserve">2021/3 the Safety Committee discussed </w:t>
      </w:r>
      <w:r w:rsidR="004A6086">
        <w:t xml:space="preserve">at its thirty-seventh session </w:t>
      </w:r>
      <w:r>
        <w:t xml:space="preserve">some amendments </w:t>
      </w:r>
      <w:r w:rsidR="00146244">
        <w:t xml:space="preserve">proposed </w:t>
      </w:r>
      <w:r>
        <w:t xml:space="preserve">to improve the provisions </w:t>
      </w:r>
      <w:r w:rsidR="000152F9">
        <w:t xml:space="preserve">on </w:t>
      </w:r>
      <w:r>
        <w:t xml:space="preserve">degassing of cargo vessels at degassing facilities. </w:t>
      </w:r>
      <w:r w:rsidR="00E02F84">
        <w:t xml:space="preserve">On </w:t>
      </w:r>
      <w:r>
        <w:t xml:space="preserve">the proposals for </w:t>
      </w:r>
      <w:r w:rsidR="00E02F84">
        <w:t xml:space="preserve">an </w:t>
      </w:r>
      <w:r>
        <w:t xml:space="preserve">additional valve in the opening for intake of ambient air into a cargo tank that is being degassed, the </w:t>
      </w:r>
      <w:r w:rsidR="00C5792A" w:rsidRPr="00C5792A">
        <w:t xml:space="preserve">Safety </w:t>
      </w:r>
      <w:r>
        <w:t>Committee requested an additional document to take a decision.</w:t>
      </w:r>
    </w:p>
    <w:p w14:paraId="086DCE37" w14:textId="4622A6DD" w:rsidR="00A311BA" w:rsidRPr="00D718C8" w:rsidRDefault="00A311BA" w:rsidP="007F4942">
      <w:pPr>
        <w:pStyle w:val="SingleTxtG"/>
        <w:keepNext/>
        <w:rPr>
          <w:lang w:val="en-US"/>
        </w:rPr>
      </w:pPr>
      <w:r w:rsidRPr="00DB4902">
        <w:t>2.</w:t>
      </w:r>
      <w:r w:rsidRPr="00DB4902">
        <w:tab/>
      </w:r>
      <w:r>
        <w:t>The Safety Committee came to the following conclusions</w:t>
      </w:r>
      <w:r w:rsidR="001E7EEF">
        <w:rPr>
          <w:lang w:val="en-US"/>
        </w:rPr>
        <w:t>:</w:t>
      </w:r>
    </w:p>
    <w:p w14:paraId="6FAFBAF5" w14:textId="76BFCF78" w:rsidR="00A311BA" w:rsidRPr="00D718C8" w:rsidRDefault="005A220D" w:rsidP="00A311BA">
      <w:pPr>
        <w:pStyle w:val="SingleTxtG"/>
        <w:ind w:left="1701"/>
        <w:rPr>
          <w:iCs/>
        </w:rPr>
      </w:pPr>
      <w:r>
        <w:rPr>
          <w:iCs/>
        </w:rPr>
        <w:t>“</w:t>
      </w:r>
      <w:r w:rsidR="00A311BA" w:rsidRPr="00D718C8">
        <w:rPr>
          <w:iCs/>
        </w:rPr>
        <w:t>69.</w:t>
      </w:r>
      <w:r w:rsidR="00A311BA" w:rsidRPr="00D718C8">
        <w:rPr>
          <w:iCs/>
        </w:rPr>
        <w:tab/>
        <w:t xml:space="preserve">The Safety Committee agreed that the installation of low-pressure valves or additional vacuum valves is not a mandatory requirement. The representative of </w:t>
      </w:r>
      <w:r w:rsidR="00A311BA" w:rsidRPr="00D718C8">
        <w:rPr>
          <w:iCs/>
        </w:rPr>
        <w:lastRenderedPageBreak/>
        <w:t>Germany underlined the need to clarify the provisions on degassing of vessels at the reception facilities.</w:t>
      </w:r>
    </w:p>
    <w:p w14:paraId="43A4362D" w14:textId="58841AC7" w:rsidR="00A311BA" w:rsidRPr="00D718C8" w:rsidRDefault="00A311BA" w:rsidP="00A311BA">
      <w:pPr>
        <w:pStyle w:val="SingleTxtG"/>
        <w:ind w:left="1701"/>
        <w:rPr>
          <w:iCs/>
        </w:rPr>
      </w:pPr>
      <w:r w:rsidRPr="00D718C8">
        <w:rPr>
          <w:iCs/>
        </w:rPr>
        <w:t>70.</w:t>
      </w:r>
      <w:r w:rsidRPr="00D718C8">
        <w:rPr>
          <w:iCs/>
        </w:rPr>
        <w:tab/>
        <w:t>The Safety Committee agreed to have a final review of the proposals its next session.</w:t>
      </w:r>
      <w:r w:rsidR="005A220D">
        <w:rPr>
          <w:iCs/>
        </w:rPr>
        <w:t>”</w:t>
      </w:r>
    </w:p>
    <w:p w14:paraId="0DBF28DA" w14:textId="2395B9BC" w:rsidR="00A311BA" w:rsidRPr="00DB4902" w:rsidRDefault="00A311BA">
      <w:pPr>
        <w:pStyle w:val="SingleTxtG"/>
      </w:pPr>
      <w:r w:rsidRPr="00DB4902">
        <w:t>3.</w:t>
      </w:r>
      <w:r w:rsidRPr="00DB4902">
        <w:tab/>
        <w:t xml:space="preserve">In </w:t>
      </w:r>
      <w:r>
        <w:t xml:space="preserve">bilateral talks and with the involvement of representatives of </w:t>
      </w:r>
      <w:r w:rsidR="00C75707">
        <w:t xml:space="preserve">the </w:t>
      </w:r>
      <w:r w:rsidR="00FE438F">
        <w:t xml:space="preserve">European Barge Union (EBU) and </w:t>
      </w:r>
      <w:r w:rsidR="00A615FF" w:rsidRPr="00A615FF">
        <w:t>European Skippers Organisation (ESO)</w:t>
      </w:r>
      <w:r w:rsidR="00A615FF">
        <w:t xml:space="preserve">, </w:t>
      </w:r>
      <w:r>
        <w:t xml:space="preserve">Germany and the Netherlands reconsidered their previous documents and are asking the Safety Committee to discuss the following amended approach. The main justification given </w:t>
      </w:r>
      <w:r w:rsidR="005566C5">
        <w:t>in paragraphs 4 and 5</w:t>
      </w:r>
      <w:r w:rsidR="00EA53CB">
        <w:t xml:space="preserve"> of</w:t>
      </w:r>
      <w:r>
        <w:t xml:space="preserve"> document </w:t>
      </w:r>
      <w:r w:rsidR="00A720A2" w:rsidRPr="00EC305C">
        <w:t>ECE</w:t>
      </w:r>
      <w:r w:rsidR="00A720A2">
        <w:t>/TRANS/WP.15/AC.2/</w:t>
      </w:r>
      <w:r>
        <w:t>2021/3 (Germany) remains valid.</w:t>
      </w:r>
    </w:p>
    <w:p w14:paraId="798EF820" w14:textId="77777777" w:rsidR="00A311BA" w:rsidRPr="00DB4902" w:rsidRDefault="00A311BA" w:rsidP="00A311BA">
      <w:pPr>
        <w:pStyle w:val="HChG"/>
      </w:pPr>
      <w:r w:rsidRPr="00DB4902">
        <w:tab/>
      </w:r>
      <w:r w:rsidRPr="00DB4902">
        <w:tab/>
        <w:t>Proposals for amendments</w:t>
      </w:r>
    </w:p>
    <w:p w14:paraId="7CD1E805" w14:textId="3AFF6172" w:rsidR="00A311BA" w:rsidRDefault="003C0C77" w:rsidP="00A311BA">
      <w:pPr>
        <w:pStyle w:val="SingleTxtG"/>
        <w:rPr>
          <w:b/>
          <w:bCs/>
          <w:u w:val="single"/>
        </w:rPr>
      </w:pPr>
      <w:r w:rsidRPr="00C96CB6">
        <w:t>(</w:t>
      </w:r>
      <w:r w:rsidR="009D5160" w:rsidRPr="00C96CB6">
        <w:t>new</w:t>
      </w:r>
      <w:r w:rsidR="00A311BA" w:rsidRPr="00C96CB6">
        <w:t xml:space="preserve"> text i</w:t>
      </w:r>
      <w:r w:rsidR="009D5160" w:rsidRPr="00C96CB6">
        <w:t xml:space="preserve">n </w:t>
      </w:r>
      <w:r w:rsidR="00A311BA" w:rsidRPr="00C96CB6">
        <w:t>bold and underlined</w:t>
      </w:r>
      <w:r w:rsidR="009D5160">
        <w:t>,</w:t>
      </w:r>
      <w:r w:rsidR="00C00755" w:rsidRPr="00C00755">
        <w:t xml:space="preserve"> </w:t>
      </w:r>
      <w:r w:rsidR="00C00755" w:rsidRPr="006B5CB3">
        <w:t>deleted text i</w:t>
      </w:r>
      <w:r w:rsidR="00E212A9">
        <w:t>n</w:t>
      </w:r>
      <w:r w:rsidR="00C00755" w:rsidRPr="006B5CB3">
        <w:t xml:space="preserve"> </w:t>
      </w:r>
      <w:r w:rsidR="00E212A9" w:rsidRPr="006B5CB3">
        <w:t>strikethrough</w:t>
      </w:r>
      <w:r w:rsidRPr="00C96CB6">
        <w:t>)</w:t>
      </w:r>
    </w:p>
    <w:p w14:paraId="0A69FC27" w14:textId="7C098AFB" w:rsidR="00A311BA" w:rsidRDefault="00A311BA" w:rsidP="00A311BA">
      <w:pPr>
        <w:pStyle w:val="SingleTxtG"/>
      </w:pPr>
      <w:r w:rsidRPr="00105A2E">
        <w:t>4.</w:t>
      </w:r>
      <w:r w:rsidRPr="00105A2E">
        <w:tab/>
        <w:t xml:space="preserve">Amend 1.4.2.2.1, subparagraph (i), </w:t>
      </w:r>
      <w:r w:rsidR="00292D5F">
        <w:t xml:space="preserve">to read </w:t>
      </w:r>
      <w:r w:rsidRPr="00105A2E">
        <w:t>as follows:</w:t>
      </w:r>
    </w:p>
    <w:p w14:paraId="1EFB23DC" w14:textId="77777777" w:rsidR="00A311BA" w:rsidRDefault="00A311BA" w:rsidP="00A311BA">
      <w:pPr>
        <w:pStyle w:val="SingleTxtG"/>
        <w:ind w:left="1689"/>
      </w:pPr>
      <w:r>
        <w:t>“</w:t>
      </w:r>
      <w:r w:rsidRPr="00580830">
        <w:t>ascertain that during loading, carriage, unloading</w:t>
      </w:r>
      <w:r>
        <w:rPr>
          <w:b/>
          <w:bCs/>
          <w:u w:val="single"/>
        </w:rPr>
        <w:t>, degassing</w:t>
      </w:r>
      <w:r w:rsidRPr="00580830">
        <w:t xml:space="preserve"> and any other handling of the dangerous goods in the holds or cargo tanks, special requirements are complied wit</w:t>
      </w:r>
      <w:r w:rsidRPr="00105A2E">
        <w:t>h;”.</w:t>
      </w:r>
    </w:p>
    <w:p w14:paraId="239B7189" w14:textId="1F8230A4" w:rsidR="00A311BA" w:rsidRDefault="00A311BA" w:rsidP="00A311BA">
      <w:pPr>
        <w:pStyle w:val="SingleTxtG"/>
      </w:pPr>
      <w:r>
        <w:t>5.</w:t>
      </w:r>
      <w:r>
        <w:tab/>
        <w:t>Amend</w:t>
      </w:r>
      <w:r w:rsidRPr="00DB4902">
        <w:t xml:space="preserve"> 1.4.3.8.1</w:t>
      </w:r>
      <w:r>
        <w:t>, subparagraph (b)</w:t>
      </w:r>
      <w:r w:rsidR="00BF7FED">
        <w:t>, to read</w:t>
      </w:r>
      <w:r>
        <w:t xml:space="preserve"> </w:t>
      </w:r>
      <w:r w:rsidRPr="00DB4902">
        <w:t>as follows:</w:t>
      </w:r>
    </w:p>
    <w:p w14:paraId="1D5F5A9B" w14:textId="77777777" w:rsidR="00A311BA" w:rsidRPr="00DB4902" w:rsidRDefault="00A311BA" w:rsidP="00A311BA">
      <w:pPr>
        <w:pStyle w:val="SingleTxtG"/>
        <w:ind w:left="1701"/>
      </w:pPr>
      <w:r>
        <w:t>“</w:t>
      </w:r>
      <w:r w:rsidRPr="00580830">
        <w:t xml:space="preserve">Ascertain that, when prescribed in 7.2.3.7.2.3, there </w:t>
      </w:r>
      <w:r w:rsidRPr="005D207B">
        <w:rPr>
          <w:strike/>
        </w:rPr>
        <w:t>is a</w:t>
      </w:r>
      <w:r>
        <w:rPr>
          <w:strike/>
        </w:rPr>
        <w:t xml:space="preserve"> </w:t>
      </w:r>
      <w:r w:rsidRPr="005D207B">
        <w:rPr>
          <w:b/>
          <w:bCs/>
          <w:u w:val="single"/>
        </w:rPr>
        <w:t>are</w:t>
      </w:r>
      <w:r w:rsidRPr="00580830">
        <w:t xml:space="preserve"> flame arrester</w:t>
      </w:r>
      <w:r w:rsidRPr="00BD4964">
        <w:rPr>
          <w:b/>
          <w:bCs/>
          <w:u w:val="single"/>
        </w:rPr>
        <w:t>s</w:t>
      </w:r>
      <w:r w:rsidRPr="00580830">
        <w:t xml:space="preserve"> in </w:t>
      </w:r>
      <w:r>
        <w:rPr>
          <w:b/>
          <w:bCs/>
          <w:u w:val="single"/>
        </w:rPr>
        <w:t xml:space="preserve">all </w:t>
      </w:r>
      <w:r w:rsidRPr="00580830">
        <w:t xml:space="preserve">the piping of the reception facility which is connected to the degassing vessel, to protect the vessel against detonations and passage of flames from the side of the reception </w:t>
      </w:r>
      <w:r w:rsidRPr="00105A2E">
        <w:t>facility.”.</w:t>
      </w:r>
    </w:p>
    <w:p w14:paraId="6E23AADF" w14:textId="5DE9773F" w:rsidR="00A311BA" w:rsidRDefault="00A311BA" w:rsidP="00A311BA">
      <w:pPr>
        <w:pStyle w:val="SingleTxtG"/>
      </w:pPr>
      <w:r>
        <w:t>6.</w:t>
      </w:r>
      <w:r>
        <w:tab/>
        <w:t xml:space="preserve">Amend 7.2.3.7.2.3 </w:t>
      </w:r>
      <w:r w:rsidR="00BF7FED">
        <w:t xml:space="preserve">to read </w:t>
      </w:r>
      <w:r>
        <w:t>as follows:</w:t>
      </w:r>
    </w:p>
    <w:p w14:paraId="695F208D" w14:textId="77777777" w:rsidR="00A311BA" w:rsidRDefault="00A311BA" w:rsidP="00A311BA">
      <w:pPr>
        <w:pStyle w:val="SingleTxtG"/>
        <w:ind w:left="1701"/>
      </w:pPr>
      <w:r w:rsidRPr="00105A2E">
        <w:t>“D</w:t>
      </w:r>
      <w:r>
        <w:t xml:space="preserve">egassing to reception facilities may be carried out by using the piping for loading and unloading or the venting piping to remove the gases and vapours from the cargo tanks while using the other piping respectively to prevent exceedance of the maximum permissible overpressure or vacuum of the cargo tanks. </w:t>
      </w:r>
    </w:p>
    <w:p w14:paraId="01709EAA" w14:textId="03172DBB" w:rsidR="00A311BA" w:rsidRDefault="00A311BA" w:rsidP="00A311BA">
      <w:pPr>
        <w:pStyle w:val="SingleTxtG"/>
        <w:ind w:left="1701"/>
      </w:pPr>
      <w:r>
        <w:t xml:space="preserve">Piping shall be part of a closed system or, if used to prevent exceedance of the maximum permissible vacuum in the cargo tanks, be equipped with </w:t>
      </w:r>
      <w:r w:rsidRPr="005D207B">
        <w:rPr>
          <w:strike/>
        </w:rPr>
        <w:t>a permanently installed or portable spring-loaded low-pressure valve</w:t>
      </w:r>
      <w:r>
        <w:rPr>
          <w:strike/>
        </w:rPr>
        <w:t xml:space="preserve"> </w:t>
      </w:r>
      <w:r w:rsidRPr="005D207B">
        <w:rPr>
          <w:b/>
          <w:bCs/>
          <w:u w:val="single"/>
        </w:rPr>
        <w:t>an additional permanently installed or portable vacuum valve in accordance with 9.3.2.62 or 9.3.3.62</w:t>
      </w:r>
      <w:r>
        <w:t>, with a flame-arrester (Explosion group/subgroup according to column (16) of Table</w:t>
      </w:r>
      <w:r w:rsidR="00DD730B">
        <w:t> </w:t>
      </w:r>
      <w:r>
        <w:t>C of Chapter</w:t>
      </w:r>
      <w:r w:rsidR="00DD730B">
        <w:t> </w:t>
      </w:r>
      <w:r>
        <w:t>3.2) if explosion protection is required (column (17) of Table</w:t>
      </w:r>
      <w:r w:rsidR="00DD730B">
        <w:t> </w:t>
      </w:r>
      <w:r>
        <w:t>C of Chapter</w:t>
      </w:r>
      <w:r w:rsidR="00DD730B">
        <w:t> </w:t>
      </w:r>
      <w:r>
        <w:t xml:space="preserve">3.2). </w:t>
      </w:r>
      <w:r w:rsidRPr="005D207B">
        <w:rPr>
          <w:strike/>
        </w:rPr>
        <w:t>This low-pressure valve shall be so installed that under normal working conditions the vacuum valve is not activated.</w:t>
      </w:r>
      <w:r>
        <w:t xml:space="preserve"> A permanently installed valve or the opening to which a portable valve is connected, must remain closed with a blind flange when the vessel is not degassing to a reception facility.</w:t>
      </w:r>
    </w:p>
    <w:p w14:paraId="58838047" w14:textId="7F21D8CB" w:rsidR="00A311BA" w:rsidRDefault="00A311BA" w:rsidP="00A311BA">
      <w:pPr>
        <w:pStyle w:val="SingleTxtG"/>
        <w:ind w:left="1701"/>
      </w:pPr>
      <w:r>
        <w:t>All piping connected between the degassing vessel and the reception facility shall be equipped with an appropriate flame arrester if explosion protection is required in column (17) of Table</w:t>
      </w:r>
      <w:r w:rsidR="00DD730B">
        <w:t> </w:t>
      </w:r>
      <w:r>
        <w:t>C of Chapter</w:t>
      </w:r>
      <w:r w:rsidR="00DD730B">
        <w:t> </w:t>
      </w:r>
      <w:r>
        <w:t>3.2. The requirements for piping on board shall be: Explosion group/subgroup according to column (16) of Table</w:t>
      </w:r>
      <w:r w:rsidR="00DD730B">
        <w:t> </w:t>
      </w:r>
      <w:r>
        <w:t>C of Chapter</w:t>
      </w:r>
      <w:r w:rsidR="00DD730B">
        <w:t> </w:t>
      </w:r>
      <w:r>
        <w:t>3.2</w:t>
      </w:r>
      <w:r w:rsidRPr="00105A2E">
        <w:t>.”.</w:t>
      </w:r>
    </w:p>
    <w:p w14:paraId="47DCF730" w14:textId="77777777" w:rsidR="00A311BA" w:rsidRDefault="00A311BA" w:rsidP="00A311BA">
      <w:pPr>
        <w:spacing w:after="200" w:line="276" w:lineRule="auto"/>
      </w:pPr>
      <w:r>
        <w:br w:type="page"/>
      </w:r>
    </w:p>
    <w:p w14:paraId="0303D81D" w14:textId="22E107AB" w:rsidR="00A311BA" w:rsidRDefault="00A311BA" w:rsidP="00A311BA">
      <w:pPr>
        <w:pStyle w:val="SingleTxtG"/>
      </w:pPr>
      <w:r>
        <w:lastRenderedPageBreak/>
        <w:t>7.</w:t>
      </w:r>
      <w:r>
        <w:tab/>
        <w:t>Amend 8.6.4, question 6.2, and add footnote ***</w:t>
      </w:r>
      <w:r w:rsidR="004256FF">
        <w:t xml:space="preserve"> </w:t>
      </w:r>
      <w:r>
        <w:t>as follows:</w:t>
      </w:r>
    </w:p>
    <w:tbl>
      <w:tblPr>
        <w:tblW w:w="7461" w:type="dxa"/>
        <w:tblInd w:w="1129" w:type="dxa"/>
        <w:tblBorders>
          <w:top w:val="single" w:sz="4" w:space="0" w:color="auto"/>
          <w:left w:val="single" w:sz="4" w:space="0" w:color="auto"/>
          <w:bottom w:val="single" w:sz="4" w:space="0" w:color="auto"/>
          <w:right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5954"/>
        <w:gridCol w:w="709"/>
        <w:gridCol w:w="798"/>
      </w:tblGrid>
      <w:tr w:rsidR="00A311BA" w:rsidRPr="00D61B0C" w14:paraId="463BD8E7" w14:textId="77777777" w:rsidTr="006D3FD8">
        <w:trPr>
          <w:cantSplit/>
        </w:trPr>
        <w:tc>
          <w:tcPr>
            <w:tcW w:w="5954" w:type="dxa"/>
            <w:vAlign w:val="center"/>
          </w:tcPr>
          <w:p w14:paraId="40380096" w14:textId="1D74F8E1" w:rsidR="00A311BA" w:rsidRDefault="00A311BA" w:rsidP="006F663B">
            <w:pPr>
              <w:tabs>
                <w:tab w:val="left" w:pos="170"/>
              </w:tabs>
              <w:ind w:left="785" w:hanging="801"/>
            </w:pPr>
            <w:bookmarkStart w:id="2" w:name="_Hlk98835269"/>
            <w:r>
              <w:t>6.2</w:t>
            </w:r>
            <w:r w:rsidR="00C07964">
              <w:t xml:space="preserve"> (</w:t>
            </w:r>
            <w:r w:rsidRPr="007053A2">
              <w:rPr>
                <w:b/>
                <w:bCs/>
                <w:u w:val="single"/>
              </w:rPr>
              <w:t>a</w:t>
            </w:r>
            <w:r w:rsidR="00C07964">
              <w:rPr>
                <w:b/>
                <w:bCs/>
                <w:u w:val="single"/>
              </w:rPr>
              <w:t>)</w:t>
            </w:r>
            <w:r w:rsidR="00C07964" w:rsidRPr="007053A2">
              <w:rPr>
                <w:b/>
                <w:bCs/>
                <w:u w:val="single"/>
              </w:rPr>
              <w:tab/>
            </w:r>
            <w:r>
              <w:t xml:space="preserve">Is the air inlet </w:t>
            </w:r>
            <w:r w:rsidRPr="007053A2">
              <w:rPr>
                <w:b/>
                <w:bCs/>
                <w:u w:val="single"/>
              </w:rPr>
              <w:t>for equalization of pressure in the cargo tank</w:t>
            </w:r>
            <w:r>
              <w:t xml:space="preserve"> part of a closed system or is it equipped with an </w:t>
            </w:r>
            <w:r>
              <w:rPr>
                <w:u w:val="single"/>
              </w:rPr>
              <w:t>additional vacuum</w:t>
            </w:r>
            <w:r>
              <w:t xml:space="preserve"> </w:t>
            </w:r>
            <w:r>
              <w:rPr>
                <w:strike/>
              </w:rPr>
              <w:t>spring-loaded low-pressure</w:t>
            </w:r>
            <w:r>
              <w:t xml:space="preserve"> </w:t>
            </w:r>
            <w:r w:rsidRPr="00E70ACE">
              <w:t xml:space="preserve">valve </w:t>
            </w:r>
            <w:r w:rsidRPr="007053A2">
              <w:rPr>
                <w:b/>
                <w:bCs/>
                <w:u w:val="single"/>
              </w:rPr>
              <w:t>on board of the vessel</w:t>
            </w:r>
            <w:r w:rsidRPr="00E70ACE">
              <w:t>?</w:t>
            </w:r>
          </w:p>
          <w:p w14:paraId="549D1799" w14:textId="547C50E3" w:rsidR="00A311BA" w:rsidRPr="00483FCA" w:rsidRDefault="00A311BA" w:rsidP="00C96CB6">
            <w:pPr>
              <w:tabs>
                <w:tab w:val="left" w:pos="170"/>
              </w:tabs>
              <w:ind w:left="785" w:hanging="851"/>
            </w:pPr>
          </w:p>
        </w:tc>
        <w:tc>
          <w:tcPr>
            <w:tcW w:w="709" w:type="dxa"/>
            <w:vAlign w:val="center"/>
          </w:tcPr>
          <w:p w14:paraId="299F3A40" w14:textId="26CD03CE" w:rsidR="00A311BA" w:rsidRPr="007053A2" w:rsidRDefault="00A311BA" w:rsidP="007E7080">
            <w:pPr>
              <w:tabs>
                <w:tab w:val="left" w:pos="170"/>
              </w:tabs>
              <w:ind w:left="170"/>
              <w:rPr>
                <w:b/>
                <w:bCs/>
                <w:u w:val="single"/>
              </w:rPr>
            </w:pPr>
            <w:r w:rsidRPr="007053A2">
              <w:rPr>
                <w:b/>
                <w:bCs/>
                <w:u w:val="single"/>
              </w:rPr>
              <w:t>O</w:t>
            </w:r>
            <w:r w:rsidRPr="0070559C">
              <w:rPr>
                <w:rStyle w:val="FootnoteReference"/>
                <w:b/>
                <w:bCs/>
                <w:szCs w:val="22"/>
                <w:u w:val="single"/>
                <w:vertAlign w:val="baseline"/>
              </w:rPr>
              <w:t>**</w:t>
            </w:r>
          </w:p>
        </w:tc>
        <w:tc>
          <w:tcPr>
            <w:tcW w:w="798" w:type="dxa"/>
            <w:vAlign w:val="center"/>
          </w:tcPr>
          <w:p w14:paraId="5C8A71C7" w14:textId="77777777" w:rsidR="00A311BA" w:rsidRPr="00D61B0C" w:rsidRDefault="00A311BA" w:rsidP="007E7080">
            <w:pPr>
              <w:tabs>
                <w:tab w:val="left" w:pos="170"/>
              </w:tabs>
              <w:ind w:left="170"/>
            </w:pPr>
          </w:p>
        </w:tc>
      </w:tr>
      <w:tr w:rsidR="00A311BA" w:rsidRPr="00D61B0C" w14:paraId="20CF46F8" w14:textId="77777777" w:rsidTr="006D3FD8">
        <w:trPr>
          <w:cantSplit/>
        </w:trPr>
        <w:tc>
          <w:tcPr>
            <w:tcW w:w="5954" w:type="dxa"/>
            <w:vAlign w:val="center"/>
          </w:tcPr>
          <w:p w14:paraId="00FCE832" w14:textId="3DC792FD" w:rsidR="00A311BA" w:rsidRPr="00483FCA" w:rsidRDefault="00A311BA" w:rsidP="001C0CA8">
            <w:pPr>
              <w:tabs>
                <w:tab w:val="left" w:pos="170"/>
              </w:tabs>
              <w:ind w:left="774" w:hanging="774"/>
            </w:pPr>
            <w:r w:rsidRPr="007053A2">
              <w:rPr>
                <w:b/>
                <w:bCs/>
                <w:u w:val="single"/>
              </w:rPr>
              <w:t>6.2</w:t>
            </w:r>
            <w:r w:rsidR="00C07964">
              <w:rPr>
                <w:b/>
                <w:bCs/>
                <w:u w:val="single"/>
              </w:rPr>
              <w:t xml:space="preserve"> (</w:t>
            </w:r>
            <w:r w:rsidRPr="007053A2">
              <w:rPr>
                <w:b/>
                <w:bCs/>
                <w:u w:val="single"/>
              </w:rPr>
              <w:t>b</w:t>
            </w:r>
            <w:r w:rsidR="00C07964">
              <w:rPr>
                <w:b/>
                <w:bCs/>
                <w:u w:val="single"/>
              </w:rPr>
              <w:t>)</w:t>
            </w:r>
            <w:r w:rsidR="00C07964" w:rsidRPr="007053A2">
              <w:rPr>
                <w:b/>
                <w:bCs/>
                <w:u w:val="single"/>
              </w:rPr>
              <w:tab/>
            </w:r>
            <w:r w:rsidRPr="007053A2">
              <w:rPr>
                <w:b/>
                <w:bCs/>
                <w:u w:val="single"/>
              </w:rPr>
              <w:t xml:space="preserve">Is the </w:t>
            </w:r>
            <w:r w:rsidRPr="006778C2">
              <w:t>air</w:t>
            </w:r>
            <w:r w:rsidRPr="007053A2">
              <w:rPr>
                <w:b/>
                <w:bCs/>
                <w:u w:val="single"/>
              </w:rPr>
              <w:t xml:space="preserve"> inlet for equalization of pressure in the cargo tank part of a closed system or is it equipped with an additional vacuum</w:t>
            </w:r>
            <w:r>
              <w:rPr>
                <w:b/>
                <w:bCs/>
                <w:u w:val="single"/>
              </w:rPr>
              <w:t xml:space="preserve"> </w:t>
            </w:r>
            <w:r w:rsidRPr="007053A2">
              <w:rPr>
                <w:b/>
                <w:bCs/>
                <w:u w:val="single"/>
              </w:rPr>
              <w:t>valve on shore?</w:t>
            </w:r>
          </w:p>
          <w:p w14:paraId="01646437" w14:textId="77777777" w:rsidR="00A311BA" w:rsidRPr="00483FCA" w:rsidRDefault="00A311BA" w:rsidP="007E7080">
            <w:pPr>
              <w:tabs>
                <w:tab w:val="left" w:pos="170"/>
                <w:tab w:val="left" w:pos="567"/>
              </w:tabs>
              <w:ind w:left="567" w:hanging="397"/>
            </w:pPr>
          </w:p>
        </w:tc>
        <w:tc>
          <w:tcPr>
            <w:tcW w:w="709" w:type="dxa"/>
            <w:vAlign w:val="center"/>
          </w:tcPr>
          <w:p w14:paraId="03653F3E" w14:textId="77777777" w:rsidR="00A311BA" w:rsidRPr="00D61B0C" w:rsidRDefault="00A311BA" w:rsidP="007E7080">
            <w:pPr>
              <w:tabs>
                <w:tab w:val="left" w:pos="170"/>
              </w:tabs>
              <w:ind w:left="170"/>
              <w:rPr>
                <w:u w:val="single"/>
              </w:rPr>
            </w:pPr>
          </w:p>
        </w:tc>
        <w:tc>
          <w:tcPr>
            <w:tcW w:w="798" w:type="dxa"/>
            <w:vAlign w:val="center"/>
          </w:tcPr>
          <w:p w14:paraId="5E37E168" w14:textId="37766E5B" w:rsidR="00A311BA" w:rsidRPr="00D61B0C" w:rsidRDefault="00A311BA" w:rsidP="007E7080">
            <w:pPr>
              <w:tabs>
                <w:tab w:val="left" w:pos="170"/>
              </w:tabs>
              <w:ind w:left="170"/>
            </w:pPr>
            <w:r>
              <w:t>O</w:t>
            </w:r>
            <w:r w:rsidRPr="0070559C">
              <w:rPr>
                <w:rStyle w:val="FootnoteReference"/>
                <w:szCs w:val="22"/>
                <w:vertAlign w:val="baseline"/>
              </w:rPr>
              <w:t xml:space="preserve">**, </w:t>
            </w:r>
            <w:r w:rsidRPr="0070559C">
              <w:rPr>
                <w:rStyle w:val="FootnoteReference"/>
                <w:b/>
                <w:bCs/>
                <w:szCs w:val="22"/>
                <w:u w:val="single"/>
                <w:vertAlign w:val="baseline"/>
              </w:rPr>
              <w:t>***</w:t>
            </w:r>
          </w:p>
        </w:tc>
      </w:tr>
    </w:tbl>
    <w:bookmarkEnd w:id="2"/>
    <w:p w14:paraId="4AE25FF3" w14:textId="77777777" w:rsidR="00A311BA" w:rsidRPr="005D207B" w:rsidRDefault="00A311BA" w:rsidP="00683701">
      <w:pPr>
        <w:pStyle w:val="SingleTxtG"/>
        <w:spacing w:after="0"/>
        <w:ind w:firstLine="567"/>
        <w:rPr>
          <w:i/>
          <w:iCs/>
        </w:rPr>
      </w:pPr>
      <w:r w:rsidRPr="00B42059">
        <w:rPr>
          <w:i/>
          <w:iCs/>
        </w:rPr>
        <w:t>*</w:t>
      </w:r>
      <w:r w:rsidRPr="005D207B">
        <w:rPr>
          <w:i/>
          <w:iCs/>
        </w:rPr>
        <w:t xml:space="preserve">  </w:t>
      </w:r>
      <w:r w:rsidRPr="005D207B">
        <w:rPr>
          <w:i/>
          <w:iCs/>
        </w:rPr>
        <w:tab/>
        <w:t>Not applicable if vacuum is used to generate air flows.</w:t>
      </w:r>
    </w:p>
    <w:p w14:paraId="6987CE88" w14:textId="77777777" w:rsidR="00A311BA" w:rsidRDefault="00A311BA" w:rsidP="00683701">
      <w:pPr>
        <w:pStyle w:val="SingleTxtG"/>
        <w:spacing w:after="0"/>
        <w:ind w:firstLine="567"/>
        <w:rPr>
          <w:i/>
          <w:iCs/>
        </w:rPr>
      </w:pPr>
      <w:r w:rsidRPr="00B42059">
        <w:rPr>
          <w:i/>
          <w:iCs/>
        </w:rPr>
        <w:t xml:space="preserve">** </w:t>
      </w:r>
      <w:r w:rsidRPr="005D207B">
        <w:rPr>
          <w:i/>
          <w:iCs/>
        </w:rPr>
        <w:tab/>
        <w:t xml:space="preserve">Only </w:t>
      </w:r>
      <w:r w:rsidRPr="00105A2E">
        <w:rPr>
          <w:i/>
          <w:iCs/>
        </w:rPr>
        <w:t>applicable if vacu</w:t>
      </w:r>
      <w:r w:rsidRPr="005D207B">
        <w:rPr>
          <w:i/>
          <w:iCs/>
        </w:rPr>
        <w:t>um is used to generate air flows.</w:t>
      </w:r>
    </w:p>
    <w:p w14:paraId="1A0B2EC5" w14:textId="58570674" w:rsidR="00A311BA" w:rsidRPr="005D207B" w:rsidRDefault="00A311BA" w:rsidP="00A311BA">
      <w:pPr>
        <w:pStyle w:val="SingleTxtG"/>
        <w:ind w:firstLine="567"/>
        <w:rPr>
          <w:b/>
          <w:bCs/>
          <w:i/>
          <w:iCs/>
          <w:u w:val="single"/>
        </w:rPr>
      </w:pPr>
      <w:r w:rsidRPr="00B42059">
        <w:rPr>
          <w:rStyle w:val="FootnoteReference"/>
          <w:b/>
          <w:bCs/>
          <w:szCs w:val="22"/>
          <w:u w:val="single"/>
          <w:vertAlign w:val="baseline"/>
        </w:rPr>
        <w:t>***</w:t>
      </w:r>
      <w:r w:rsidRPr="005D207B">
        <w:rPr>
          <w:b/>
          <w:bCs/>
          <w:u w:val="single"/>
        </w:rPr>
        <w:tab/>
      </w:r>
      <w:r w:rsidRPr="005D207B">
        <w:rPr>
          <w:b/>
          <w:bCs/>
          <w:i/>
          <w:iCs/>
          <w:u w:val="single"/>
        </w:rPr>
        <w:t>Only applicable if air inlet is in piping of the shore-based reception facility.</w:t>
      </w:r>
    </w:p>
    <w:p w14:paraId="3A0DFC9B" w14:textId="77777777" w:rsidR="00A311BA" w:rsidRPr="00DB4902" w:rsidRDefault="00A311BA" w:rsidP="00A311BA">
      <w:pPr>
        <w:pStyle w:val="SingleTxtG"/>
      </w:pPr>
      <w:r>
        <w:t>8</w:t>
      </w:r>
      <w:r w:rsidRPr="00DB4902">
        <w:t>.</w:t>
      </w:r>
      <w:r w:rsidRPr="00DB4902">
        <w:tab/>
        <w:t>Delete 9.3.1.62.</w:t>
      </w:r>
    </w:p>
    <w:p w14:paraId="45A09343" w14:textId="011DDE1F" w:rsidR="00A311BA" w:rsidRPr="00DB4902" w:rsidRDefault="00A311BA" w:rsidP="00A311BA">
      <w:pPr>
        <w:pStyle w:val="SingleTxtG"/>
      </w:pPr>
      <w:r>
        <w:t>9</w:t>
      </w:r>
      <w:r w:rsidRPr="00DB4902">
        <w:t>.</w:t>
      </w:r>
      <w:r w:rsidRPr="00DB4902">
        <w:tab/>
      </w:r>
      <w:r>
        <w:t>Replace</w:t>
      </w:r>
      <w:r w:rsidRPr="00DB4902">
        <w:t xml:space="preserve"> 9.3.2.62 and 9.3.3.62 </w:t>
      </w:r>
      <w:r>
        <w:t xml:space="preserve">with the following new text </w:t>
      </w:r>
      <w:r w:rsidR="00791009">
        <w:t>(</w:t>
      </w:r>
      <w:r>
        <w:t xml:space="preserve">for </w:t>
      </w:r>
      <w:r w:rsidR="00E86A48">
        <w:t xml:space="preserve">“x” </w:t>
      </w:r>
      <w:r>
        <w:t>read 2 or 3</w:t>
      </w:r>
      <w:r w:rsidR="00791009">
        <w:t>)</w:t>
      </w:r>
      <w:r>
        <w:t>:</w:t>
      </w:r>
    </w:p>
    <w:p w14:paraId="3C3E39B9" w14:textId="71DF07CD" w:rsidR="00A311BA" w:rsidRPr="00DB4902" w:rsidRDefault="00A311BA" w:rsidP="00A311BA">
      <w:pPr>
        <w:pStyle w:val="SingleTxtG"/>
        <w:ind w:left="1701" w:hanging="567"/>
      </w:pPr>
      <w:r>
        <w:tab/>
        <w:t>“</w:t>
      </w:r>
      <w:r w:rsidRPr="00AE5E7C">
        <w:rPr>
          <w:b/>
          <w:bCs/>
        </w:rPr>
        <w:t>9.3.x.62</w:t>
      </w:r>
      <w:r w:rsidRPr="00AE5E7C">
        <w:rPr>
          <w:b/>
          <w:bCs/>
        </w:rPr>
        <w:tab/>
        <w:t>Additional vacuum valve for degassing to reception facilities</w:t>
      </w:r>
      <w:bookmarkStart w:id="3" w:name="_Hlk53046288"/>
      <w:bookmarkEnd w:id="3"/>
    </w:p>
    <w:p w14:paraId="3A393384" w14:textId="77777777" w:rsidR="00A311BA" w:rsidRPr="00C96CB6" w:rsidRDefault="00A311BA" w:rsidP="00A311BA">
      <w:pPr>
        <w:pStyle w:val="SingleTxtG"/>
        <w:ind w:left="1701" w:hanging="567"/>
        <w:rPr>
          <w:b/>
          <w:bCs/>
          <w:u w:val="single"/>
        </w:rPr>
      </w:pPr>
      <w:r>
        <w:tab/>
      </w:r>
      <w:r w:rsidRPr="00C96CB6">
        <w:rPr>
          <w:b/>
          <w:bCs/>
          <w:u w:val="single"/>
        </w:rPr>
        <w:t>An opening in the loading and unloading piping or in the venting piping, used at reception facilities to take in ambient air to prevent exceedance of the maximum permissible vacuum (see 7.2.3.7.2.3), shall be fitted with an additional portable vacuum valve or an additional permanently installed vacuum valve. When the intake of ambient air is done with a hose ending shoreside, the open end of the hose shall be equipped with such a valve in the same manner.</w:t>
      </w:r>
    </w:p>
    <w:p w14:paraId="3F7A2978" w14:textId="77777777" w:rsidR="00A311BA" w:rsidRPr="00C96CB6" w:rsidRDefault="00A311BA" w:rsidP="00A311BA">
      <w:pPr>
        <w:pStyle w:val="SingleTxtG"/>
        <w:ind w:left="1701" w:hanging="567"/>
        <w:rPr>
          <w:b/>
          <w:bCs/>
          <w:u w:val="single"/>
        </w:rPr>
      </w:pPr>
      <w:r>
        <w:tab/>
      </w:r>
      <w:r w:rsidRPr="00C96CB6">
        <w:rPr>
          <w:b/>
          <w:bCs/>
          <w:u w:val="single"/>
        </w:rPr>
        <w:t>The trigger pressure of the additional vacuum valve shall be adjusted so that under normal working conditions the vacuum valve referred to in 9.3.x.22.4 is not activated during degassing.</w:t>
      </w:r>
    </w:p>
    <w:p w14:paraId="4C95A441" w14:textId="0949C17F" w:rsidR="00A311BA" w:rsidRPr="00C96CB6" w:rsidRDefault="00A311BA" w:rsidP="00A311BA">
      <w:pPr>
        <w:pStyle w:val="SingleTxtG"/>
        <w:ind w:left="1701" w:hanging="567"/>
        <w:rPr>
          <w:b/>
          <w:bCs/>
          <w:u w:val="single"/>
        </w:rPr>
      </w:pPr>
      <w:r>
        <w:tab/>
      </w:r>
      <w:r w:rsidRPr="00C96CB6">
        <w:rPr>
          <w:b/>
          <w:bCs/>
          <w:u w:val="single"/>
        </w:rPr>
        <w:t>If the vessel’s substance list according to 1.16.1.2.5 contains substances for which explosion protection is required in column (17) of Table C of Chapter</w:t>
      </w:r>
      <w:r w:rsidR="00C77243" w:rsidRPr="00C96CB6">
        <w:rPr>
          <w:b/>
          <w:bCs/>
          <w:u w:val="single"/>
        </w:rPr>
        <w:t> </w:t>
      </w:r>
      <w:r w:rsidRPr="00C96CB6">
        <w:rPr>
          <w:b/>
          <w:bCs/>
          <w:u w:val="single"/>
        </w:rPr>
        <w:t>3.2, the valve shall be fitted with a flame arrester capable of withstanding a deflagration. When the vessel is not degassing to a reception facility, the permanently installed valve or the opening to which a portable valve is connected shall be closed with a blind flange.</w:t>
      </w:r>
    </w:p>
    <w:p w14:paraId="23CB2C47" w14:textId="143B3AB0" w:rsidR="00A311BA" w:rsidRDefault="00A311BA" w:rsidP="00A311BA">
      <w:pPr>
        <w:pStyle w:val="SingleTxtG"/>
        <w:ind w:left="1701" w:hanging="567"/>
      </w:pPr>
      <w:r>
        <w:tab/>
      </w:r>
      <w:r w:rsidRPr="00C96CB6">
        <w:rPr>
          <w:b/>
          <w:bCs/>
          <w:i/>
          <w:iCs/>
          <w:u w:val="single"/>
        </w:rPr>
        <w:t>NOTE</w:t>
      </w:r>
      <w:r w:rsidRPr="00C96CB6">
        <w:rPr>
          <w:b/>
          <w:bCs/>
          <w:u w:val="single"/>
        </w:rPr>
        <w:t>:</w:t>
      </w:r>
      <w:r>
        <w:rPr>
          <w:b/>
          <w:bCs/>
          <w:u w:val="single"/>
        </w:rPr>
        <w:t xml:space="preserve"> </w:t>
      </w:r>
      <w:r w:rsidRPr="00C96CB6">
        <w:rPr>
          <w:b/>
          <w:bCs/>
          <w:u w:val="single"/>
        </w:rPr>
        <w:t>7.2.4.22.1 applies for the opening of this opening</w:t>
      </w:r>
      <w:r w:rsidRPr="00DB4902">
        <w:t>.</w:t>
      </w:r>
      <w:r>
        <w:t>”</w:t>
      </w:r>
    </w:p>
    <w:p w14:paraId="446E7164" w14:textId="77777777" w:rsidR="00A311BA" w:rsidRDefault="00A311BA" w:rsidP="00A311BA">
      <w:pPr>
        <w:pStyle w:val="HChG"/>
      </w:pPr>
      <w:bookmarkStart w:id="4" w:name="_Hlk53050363"/>
      <w:bookmarkEnd w:id="4"/>
      <w:r>
        <w:tab/>
      </w:r>
      <w:r>
        <w:tab/>
      </w:r>
      <w:r w:rsidRPr="00DF580B">
        <w:t>Justification</w:t>
      </w:r>
    </w:p>
    <w:p w14:paraId="5C00DBBF" w14:textId="3CAFA485" w:rsidR="00A311BA" w:rsidRDefault="00A311BA" w:rsidP="00A311BA">
      <w:pPr>
        <w:pStyle w:val="SingleTxtG"/>
      </w:pPr>
      <w:r w:rsidRPr="005D207B">
        <w:t>10.</w:t>
      </w:r>
      <w:r>
        <w:tab/>
        <w:t>The proposed amendments reflect the necessity to refrain from requiring the additional vacuum valve to be “spring-loaded”, as it is not feasible in practice to have a spring-loaded low-pressure valve that is so installed that it prevents the opening of the vacuum valve under normal working conditions. Furthermore</w:t>
      </w:r>
      <w:r w:rsidR="00A82C1A">
        <w:t>,</w:t>
      </w:r>
      <w:r>
        <w:t xml:space="preserve"> the amendments aim to clarify that the additional vacuum valve shall be </w:t>
      </w:r>
      <w:r w:rsidRPr="00E70ACE">
        <w:t>used in cases no air flow is provided from shore during degassing at the opening that is used for intake of ambient air with the purpose to prevent undesirable negative internal pressure within the cargo tank. The proposed</w:t>
      </w:r>
      <w:r>
        <w:t xml:space="preserve"> amendments in paragraphs 6, 7 and 9 </w:t>
      </w:r>
      <w:r w:rsidR="008C55F1">
        <w:t xml:space="preserve">above </w:t>
      </w:r>
      <w:r>
        <w:t>reflect this.</w:t>
      </w:r>
    </w:p>
    <w:p w14:paraId="27FB2719" w14:textId="4EEC2A84" w:rsidR="00A311BA" w:rsidRDefault="00A311BA" w:rsidP="00A311BA">
      <w:pPr>
        <w:pStyle w:val="SingleTxtG"/>
      </w:pPr>
      <w:r>
        <w:t>11.</w:t>
      </w:r>
      <w:r>
        <w:tab/>
        <w:t xml:space="preserve">The amendments in paragraph 4 </w:t>
      </w:r>
      <w:r w:rsidR="0000719F">
        <w:t xml:space="preserve">above </w:t>
      </w:r>
      <w:r>
        <w:t>clarifies the responsibility of the carrier, since it is not obvious that “degassing” can be seen as part of “other handling of the cargo”.</w:t>
      </w:r>
    </w:p>
    <w:p w14:paraId="6917B575" w14:textId="5139485E" w:rsidR="00A311BA" w:rsidRPr="00A01862" w:rsidRDefault="00A311BA" w:rsidP="00A311BA">
      <w:pPr>
        <w:pStyle w:val="SingleTxtG"/>
      </w:pPr>
      <w:r>
        <w:t>12.</w:t>
      </w:r>
      <w:r>
        <w:tab/>
        <w:t xml:space="preserve">The amendment in paragraph 5 </w:t>
      </w:r>
      <w:r w:rsidR="008F02CD">
        <w:t xml:space="preserve">above </w:t>
      </w:r>
      <w:r>
        <w:t xml:space="preserve">reflects the possibility that more than one piping from </w:t>
      </w:r>
      <w:r w:rsidRPr="00A01862">
        <w:t>the reception facility can be connected to the ship during a degassing operation.</w:t>
      </w:r>
    </w:p>
    <w:p w14:paraId="4D993F5E" w14:textId="3F4730A7" w:rsidR="00A311BA" w:rsidRPr="00A01862" w:rsidRDefault="00A311BA" w:rsidP="00A311BA">
      <w:pPr>
        <w:pStyle w:val="SingleTxtG"/>
      </w:pPr>
      <w:r w:rsidRPr="00A01862">
        <w:t>14.</w:t>
      </w:r>
      <w:r w:rsidRPr="00A01862">
        <w:tab/>
        <w:t>The first amendment in 7.2.3.7.2.3 reflects the renaming of the spring-loaded low-pressure vale into the additional vacuum valve. Secondly</w:t>
      </w:r>
      <w:r w:rsidR="00624CC6">
        <w:t>,</w:t>
      </w:r>
      <w:r w:rsidRPr="00A01862">
        <w:t xml:space="preserve"> </w:t>
      </w:r>
      <w:r w:rsidR="00477B57">
        <w:t>it is</w:t>
      </w:r>
      <w:r w:rsidRPr="00A01862">
        <w:t xml:space="preserve"> propose</w:t>
      </w:r>
      <w:r w:rsidR="00477B57">
        <w:t>d</w:t>
      </w:r>
      <w:r w:rsidRPr="00A01862">
        <w:t xml:space="preserve"> to shift the requirement for the trigger pressure and the closure of the permanently installed additional vacuum valve or the opening for the portable vacuum valve with a blind flange to </w:t>
      </w:r>
      <w:r w:rsidR="00624CC6">
        <w:t>C</w:t>
      </w:r>
      <w:r w:rsidRPr="00A01862">
        <w:t>hapter</w:t>
      </w:r>
      <w:r w:rsidR="00624CC6">
        <w:t> </w:t>
      </w:r>
      <w:r w:rsidRPr="00A01862">
        <w:t>9.</w:t>
      </w:r>
    </w:p>
    <w:p w14:paraId="0B20C847" w14:textId="77777777" w:rsidR="00A311BA" w:rsidRPr="00A01862" w:rsidRDefault="00A311BA" w:rsidP="00A311BA">
      <w:pPr>
        <w:pStyle w:val="SingleTxtG"/>
      </w:pPr>
      <w:r w:rsidRPr="00A01862">
        <w:lastRenderedPageBreak/>
        <w:t>15.</w:t>
      </w:r>
      <w:r w:rsidRPr="00A01862">
        <w:tab/>
        <w:t>The proposed amendments to 8.6.4 means a clarification and consequential amendment to rewording of 9.3.x.62.</w:t>
      </w:r>
    </w:p>
    <w:p w14:paraId="03AFF814" w14:textId="01E4C65A" w:rsidR="00A311BA" w:rsidRDefault="00A311BA" w:rsidP="00A311BA">
      <w:pPr>
        <w:pStyle w:val="SingleTxtG"/>
      </w:pPr>
      <w:r w:rsidRPr="00A01862">
        <w:t>16.</w:t>
      </w:r>
      <w:r w:rsidR="00896F80">
        <w:tab/>
      </w:r>
      <w:r w:rsidRPr="00A01862">
        <w:t>The new wording</w:t>
      </w:r>
      <w:r>
        <w:t xml:space="preserve"> of para</w:t>
      </w:r>
      <w:r w:rsidR="00CC70F9">
        <w:t>graphs</w:t>
      </w:r>
      <w:r>
        <w:t xml:space="preserve"> </w:t>
      </w:r>
      <w:r w:rsidRPr="00DB4902">
        <w:t>9.3.2.62 and 9.3.3.62</w:t>
      </w:r>
      <w:r>
        <w:t xml:space="preserve"> contents the following amendments:</w:t>
      </w:r>
    </w:p>
    <w:p w14:paraId="10CCD828" w14:textId="0B9B058A" w:rsidR="00A311BA" w:rsidRPr="00C84806" w:rsidRDefault="00AB0B39" w:rsidP="00AB0B39">
      <w:pPr>
        <w:pStyle w:val="Bullet1G"/>
        <w:numPr>
          <w:ilvl w:val="0"/>
          <w:numId w:val="0"/>
        </w:numPr>
        <w:tabs>
          <w:tab w:val="left" w:pos="1701"/>
        </w:tabs>
        <w:ind w:left="1701" w:hanging="170"/>
      </w:pPr>
      <w:r w:rsidRPr="00C84806">
        <w:t>•</w:t>
      </w:r>
      <w:r w:rsidRPr="00C84806">
        <w:tab/>
      </w:r>
      <w:r w:rsidR="00A311BA" w:rsidRPr="00C84806">
        <w:t>In the English text, “aperture” is replaced by “opening”, which term is usually used in the ADN;</w:t>
      </w:r>
    </w:p>
    <w:p w14:paraId="1D8D358C" w14:textId="0B9FC6D1" w:rsidR="00A311BA" w:rsidRPr="00C84806" w:rsidRDefault="00AB0B39" w:rsidP="00AB0B39">
      <w:pPr>
        <w:pStyle w:val="Bullet1G"/>
        <w:numPr>
          <w:ilvl w:val="0"/>
          <w:numId w:val="0"/>
        </w:numPr>
        <w:tabs>
          <w:tab w:val="left" w:pos="1701"/>
        </w:tabs>
        <w:ind w:left="1701" w:hanging="170"/>
      </w:pPr>
      <w:r w:rsidRPr="00C84806">
        <w:t>•</w:t>
      </w:r>
      <w:r w:rsidRPr="00C84806">
        <w:tab/>
      </w:r>
      <w:r w:rsidR="00A311BA" w:rsidRPr="00C84806">
        <w:t>The text is clarified, as the opening on board the vessel is used for intake of ambient air and not for extraction of gas/vapours out of the cargo tank;</w:t>
      </w:r>
    </w:p>
    <w:p w14:paraId="4D4C0C7B" w14:textId="4B8A16F6" w:rsidR="00A311BA" w:rsidRPr="00C84806" w:rsidRDefault="00AB0B39" w:rsidP="00AB0B39">
      <w:pPr>
        <w:pStyle w:val="Bullet1G"/>
        <w:numPr>
          <w:ilvl w:val="0"/>
          <w:numId w:val="0"/>
        </w:numPr>
        <w:tabs>
          <w:tab w:val="left" w:pos="1701"/>
        </w:tabs>
        <w:ind w:left="1701" w:hanging="170"/>
      </w:pPr>
      <w:r w:rsidRPr="00C84806">
        <w:t>•</w:t>
      </w:r>
      <w:r w:rsidRPr="00C84806">
        <w:tab/>
      </w:r>
      <w:r w:rsidR="00A311BA" w:rsidRPr="00C84806">
        <w:t>Germany and the Netherlands are informed, that sometimes the reception facilities provide two hoses to the vessel to be connected to the cargo tank. One hose is meant for the extraction of gas/vapours out of the cargo tank, while the other hose is lead to shoreside where it is used for intake of ambient air. As the same dangers and risks appears with this procedure, it is proposed to protect the shoreside end of the hose in the same way.</w:t>
      </w:r>
    </w:p>
    <w:p w14:paraId="7987B59A" w14:textId="4BF6BB79" w:rsidR="00A311BA" w:rsidRPr="00A01862" w:rsidRDefault="00A311BA">
      <w:pPr>
        <w:pStyle w:val="SingleTxtG"/>
      </w:pPr>
      <w:r w:rsidRPr="00A01862">
        <w:t>17.</w:t>
      </w:r>
      <w:r w:rsidRPr="00A01862">
        <w:tab/>
        <w:t>Type G vessels do not degas using an additional vacuum valve to take in ambient air to prevent an exceedance of the maximum permissible vacuum. Therefore</w:t>
      </w:r>
      <w:r w:rsidR="00C32CF7">
        <w:t>,</w:t>
      </w:r>
      <w:r w:rsidRPr="00A01862">
        <w:t xml:space="preserve"> the requirements for the additional vacuum valve are not necessary to be included in </w:t>
      </w:r>
      <w:r w:rsidR="005F06BB">
        <w:t>C</w:t>
      </w:r>
      <w:r w:rsidR="005F06BB" w:rsidRPr="00A01862">
        <w:t xml:space="preserve">hapter </w:t>
      </w:r>
      <w:r w:rsidRPr="00A01862">
        <w:t>9.3.1.</w:t>
      </w:r>
    </w:p>
    <w:p w14:paraId="664EDCDD" w14:textId="476CD7E1" w:rsidR="00A311BA" w:rsidRPr="00A01862" w:rsidRDefault="00A311BA" w:rsidP="00A311BA">
      <w:pPr>
        <w:pStyle w:val="HChG"/>
        <w:ind w:left="0" w:firstLine="0"/>
      </w:pPr>
      <w:r w:rsidRPr="00A01862">
        <w:tab/>
      </w:r>
      <w:r w:rsidRPr="00A01862">
        <w:tab/>
        <w:t>Feasibility</w:t>
      </w:r>
    </w:p>
    <w:p w14:paraId="7A7BF74D" w14:textId="36249E05" w:rsidR="00A311BA" w:rsidRPr="00A01862" w:rsidRDefault="00A311BA" w:rsidP="00A311BA">
      <w:pPr>
        <w:pStyle w:val="SingleTxtG"/>
      </w:pPr>
      <w:r w:rsidRPr="00A01862">
        <w:t>18.</w:t>
      </w:r>
      <w:r w:rsidRPr="00A01862">
        <w:tab/>
        <w:t>This proposal aims to rectify the naming of the valve that shall be used during degassing at the opening in the piping used to prevent an undesirable under pressure. The valve cannot be spring-loaded and prevent the activation of the vacuum valve at the same time; without the spring (using other techniques such as weight/gravity) allows an earlier opening than the regular vacuum valves. Therefore</w:t>
      </w:r>
      <w:r w:rsidR="00C32CF7">
        <w:t>,</w:t>
      </w:r>
      <w:r w:rsidRPr="00A01862">
        <w:t xml:space="preserve"> this proposal increases the feasibility of the ADN. All other proposals are consequential </w:t>
      </w:r>
      <w:r w:rsidR="00D17235">
        <w:t xml:space="preserve">amendments </w:t>
      </w:r>
      <w:r w:rsidRPr="00A01862">
        <w:t>or clarifications.</w:t>
      </w:r>
    </w:p>
    <w:p w14:paraId="00CB5032" w14:textId="35A2B38C" w:rsidR="00A311BA" w:rsidRPr="00A01862" w:rsidRDefault="00A311BA" w:rsidP="00A311BA">
      <w:pPr>
        <w:pStyle w:val="HChG"/>
        <w:rPr>
          <w:b w:val="0"/>
          <w:sz w:val="20"/>
        </w:rPr>
      </w:pPr>
      <w:r w:rsidRPr="00A01862">
        <w:tab/>
      </w:r>
      <w:r w:rsidRPr="00A01862">
        <w:tab/>
        <w:t>Enforceability</w:t>
      </w:r>
    </w:p>
    <w:p w14:paraId="12D02E29" w14:textId="3DCECF69" w:rsidR="00A311BA" w:rsidRPr="00A01862" w:rsidRDefault="00A311BA" w:rsidP="00A311BA">
      <w:pPr>
        <w:pStyle w:val="SingleTxtG"/>
      </w:pPr>
      <w:r w:rsidRPr="00A01862">
        <w:tab/>
        <w:t>19.</w:t>
      </w:r>
      <w:r w:rsidRPr="00A01862">
        <w:tab/>
        <w:t>By no longer naming the valve a spring-loaded valve, the enforceability of ADN is increased since the impossibility of a spring-loaded low</w:t>
      </w:r>
      <w:r w:rsidR="007934D8">
        <w:t>-</w:t>
      </w:r>
      <w:r w:rsidRPr="00A01862">
        <w:t>pressure valve that prevents the activation of the vacuum valve is removed from ADN.</w:t>
      </w:r>
    </w:p>
    <w:p w14:paraId="5787A3E0" w14:textId="41F7C8E9" w:rsidR="00A311BA" w:rsidRPr="00A01862" w:rsidRDefault="00A311BA" w:rsidP="00A311BA">
      <w:pPr>
        <w:pStyle w:val="HChG"/>
      </w:pPr>
      <w:r w:rsidRPr="00A01862">
        <w:tab/>
      </w:r>
      <w:r w:rsidRPr="00A01862">
        <w:tab/>
        <w:t>Action to be taken</w:t>
      </w:r>
    </w:p>
    <w:p w14:paraId="015EAE7D" w14:textId="44458777" w:rsidR="00BE4CFA" w:rsidRDefault="00A311BA" w:rsidP="001C339B">
      <w:pPr>
        <w:pStyle w:val="SingleTxtG"/>
      </w:pPr>
      <w:r w:rsidRPr="00A01862">
        <w:tab/>
        <w:t>20.</w:t>
      </w:r>
      <w:r w:rsidRPr="00A01862">
        <w:tab/>
        <w:t>The</w:t>
      </w:r>
      <w:r>
        <w:t xml:space="preserve"> </w:t>
      </w:r>
      <w:r w:rsidR="00E67B59">
        <w:t xml:space="preserve">Safety </w:t>
      </w:r>
      <w:r>
        <w:t>Committee is invited to consider the proposed amendments in paragraphs 4 to 9</w:t>
      </w:r>
      <w:r w:rsidR="00E85DE8">
        <w:t xml:space="preserve"> above</w:t>
      </w:r>
      <w:r>
        <w:t>, and to take action as it deems appropriate.</w:t>
      </w:r>
    </w:p>
    <w:p w14:paraId="3E3DF66B" w14:textId="07A0BFB0" w:rsidR="005A220D" w:rsidRPr="00FC0286" w:rsidRDefault="00FC0286" w:rsidP="00FC0286">
      <w:pPr>
        <w:spacing w:before="240"/>
        <w:jc w:val="center"/>
        <w:rPr>
          <w:u w:val="single"/>
        </w:rPr>
      </w:pPr>
      <w:r>
        <w:rPr>
          <w:u w:val="single"/>
        </w:rPr>
        <w:tab/>
      </w:r>
      <w:r>
        <w:rPr>
          <w:u w:val="single"/>
        </w:rPr>
        <w:tab/>
      </w:r>
      <w:r>
        <w:rPr>
          <w:u w:val="single"/>
        </w:rPr>
        <w:tab/>
      </w:r>
    </w:p>
    <w:sectPr w:rsidR="005A220D" w:rsidRPr="00FC0286" w:rsidSect="00BE4CFA">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814F0" w14:textId="77777777" w:rsidR="00B3447B" w:rsidRDefault="00B3447B"/>
  </w:endnote>
  <w:endnote w:type="continuationSeparator" w:id="0">
    <w:p w14:paraId="33806D75" w14:textId="77777777" w:rsidR="00B3447B" w:rsidRDefault="00B3447B"/>
  </w:endnote>
  <w:endnote w:type="continuationNotice" w:id="1">
    <w:p w14:paraId="0ADE9211" w14:textId="77777777" w:rsidR="00B3447B" w:rsidRDefault="00B34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DB6B0" w14:textId="403E916E" w:rsidR="00BE4CFA" w:rsidRPr="00BE4CFA" w:rsidRDefault="00BE4CFA" w:rsidP="00BE4CFA">
    <w:pPr>
      <w:pStyle w:val="Footer"/>
      <w:tabs>
        <w:tab w:val="right" w:pos="9638"/>
      </w:tabs>
      <w:rPr>
        <w:sz w:val="18"/>
      </w:rPr>
    </w:pPr>
    <w:r w:rsidRPr="00BE4CFA">
      <w:rPr>
        <w:b/>
        <w:sz w:val="18"/>
      </w:rPr>
      <w:fldChar w:fldCharType="begin"/>
    </w:r>
    <w:r w:rsidRPr="00BE4CFA">
      <w:rPr>
        <w:b/>
        <w:sz w:val="18"/>
      </w:rPr>
      <w:instrText xml:space="preserve"> PAGE  \* MERGEFORMAT </w:instrText>
    </w:r>
    <w:r w:rsidRPr="00BE4CFA">
      <w:rPr>
        <w:b/>
        <w:sz w:val="18"/>
      </w:rPr>
      <w:fldChar w:fldCharType="separate"/>
    </w:r>
    <w:r w:rsidRPr="00BE4CFA">
      <w:rPr>
        <w:b/>
        <w:noProof/>
        <w:sz w:val="18"/>
      </w:rPr>
      <w:t>2</w:t>
    </w:r>
    <w:r w:rsidRPr="00BE4CF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80EA1" w14:textId="45E5D06E" w:rsidR="00BE4CFA" w:rsidRPr="00BE4CFA" w:rsidRDefault="00BE4CFA" w:rsidP="00BE4CFA">
    <w:pPr>
      <w:pStyle w:val="Footer"/>
      <w:tabs>
        <w:tab w:val="right" w:pos="9638"/>
      </w:tabs>
      <w:rPr>
        <w:b/>
        <w:sz w:val="18"/>
      </w:rPr>
    </w:pPr>
    <w:r>
      <w:tab/>
    </w:r>
    <w:r w:rsidRPr="00BE4CFA">
      <w:rPr>
        <w:b/>
        <w:sz w:val="18"/>
      </w:rPr>
      <w:fldChar w:fldCharType="begin"/>
    </w:r>
    <w:r w:rsidRPr="00BE4CFA">
      <w:rPr>
        <w:b/>
        <w:sz w:val="18"/>
      </w:rPr>
      <w:instrText xml:space="preserve"> PAGE  \* MERGEFORMAT </w:instrText>
    </w:r>
    <w:r w:rsidRPr="00BE4CFA">
      <w:rPr>
        <w:b/>
        <w:sz w:val="18"/>
      </w:rPr>
      <w:fldChar w:fldCharType="separate"/>
    </w:r>
    <w:r w:rsidRPr="00BE4CFA">
      <w:rPr>
        <w:b/>
        <w:noProof/>
        <w:sz w:val="18"/>
      </w:rPr>
      <w:t>3</w:t>
    </w:r>
    <w:r w:rsidRPr="00BE4C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09BF5" w14:textId="24B5C597" w:rsidR="0035223F" w:rsidRDefault="009D22D3" w:rsidP="009D22D3">
    <w:pPr>
      <w:pStyle w:val="Footer"/>
      <w:rPr>
        <w:sz w:val="20"/>
      </w:rPr>
    </w:pPr>
    <w:r w:rsidRPr="009D22D3">
      <w:rPr>
        <w:noProof/>
        <w:sz w:val="20"/>
        <w:lang w:val="en-US" w:eastAsia="zh-CN"/>
      </w:rPr>
      <w:drawing>
        <wp:anchor distT="0" distB="0" distL="114300" distR="114300" simplePos="0" relativeHeight="251660288" behindDoc="1" locked="1" layoutInCell="1" allowOverlap="1" wp14:anchorId="7B684068" wp14:editId="697BD75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904EDA2" w14:textId="6145553A" w:rsidR="009D22D3" w:rsidRPr="009D22D3" w:rsidRDefault="009D22D3" w:rsidP="009D22D3">
    <w:pPr>
      <w:pStyle w:val="Footer"/>
      <w:ind w:right="1134"/>
      <w:rPr>
        <w:sz w:val="20"/>
      </w:rPr>
    </w:pPr>
    <w:r>
      <w:rPr>
        <w:sz w:val="20"/>
      </w:rPr>
      <w:t>GE.22-07851(E)</w:t>
    </w:r>
    <w:r>
      <w:rPr>
        <w:noProof/>
        <w:sz w:val="20"/>
      </w:rPr>
      <w:drawing>
        <wp:anchor distT="0" distB="0" distL="114300" distR="114300" simplePos="0" relativeHeight="251661312" behindDoc="0" locked="0" layoutInCell="1" allowOverlap="1" wp14:anchorId="32457919" wp14:editId="532FD249">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5F62A" w14:textId="77777777" w:rsidR="00B3447B" w:rsidRPr="000B175B" w:rsidRDefault="00B3447B" w:rsidP="000B175B">
      <w:pPr>
        <w:tabs>
          <w:tab w:val="right" w:pos="2155"/>
        </w:tabs>
        <w:spacing w:after="80"/>
        <w:ind w:left="680"/>
        <w:rPr>
          <w:u w:val="single"/>
        </w:rPr>
      </w:pPr>
      <w:r>
        <w:rPr>
          <w:u w:val="single"/>
        </w:rPr>
        <w:tab/>
      </w:r>
    </w:p>
  </w:footnote>
  <w:footnote w:type="continuationSeparator" w:id="0">
    <w:p w14:paraId="55648612" w14:textId="77777777" w:rsidR="00B3447B" w:rsidRPr="00FC68B7" w:rsidRDefault="00B3447B" w:rsidP="00FC68B7">
      <w:pPr>
        <w:tabs>
          <w:tab w:val="left" w:pos="2155"/>
        </w:tabs>
        <w:spacing w:after="80"/>
        <w:ind w:left="680"/>
        <w:rPr>
          <w:u w:val="single"/>
        </w:rPr>
      </w:pPr>
      <w:r>
        <w:rPr>
          <w:u w:val="single"/>
        </w:rPr>
        <w:tab/>
      </w:r>
    </w:p>
  </w:footnote>
  <w:footnote w:type="continuationNotice" w:id="1">
    <w:p w14:paraId="7ECB65B9" w14:textId="77777777" w:rsidR="00B3447B" w:rsidRDefault="00B3447B"/>
  </w:footnote>
  <w:footnote w:id="2">
    <w:p w14:paraId="59EA6B45" w14:textId="5EC4594F" w:rsidR="00A311BA" w:rsidRPr="00483FCA" w:rsidRDefault="00A311BA" w:rsidP="00A311BA">
      <w:pPr>
        <w:pStyle w:val="FootnoteText"/>
      </w:pPr>
      <w:r w:rsidRPr="001A32C5">
        <w:rPr>
          <w:sz w:val="20"/>
          <w:szCs w:val="22"/>
        </w:rPr>
        <w:tab/>
        <w:t>*</w:t>
      </w:r>
      <w:r w:rsidRPr="001A32C5">
        <w:rPr>
          <w:sz w:val="20"/>
          <w:szCs w:val="22"/>
        </w:rPr>
        <w:tab/>
      </w:r>
      <w:r>
        <w:t>Distributed in German by the Central Commission for the Navigation of the Rhine under the symbol CCNR-ZKR/ADN/WP.15/AC.2/202</w:t>
      </w:r>
      <w:r w:rsidR="00FE32DF">
        <w:t>2</w:t>
      </w:r>
      <w:r>
        <w:t>/</w:t>
      </w:r>
      <w:r w:rsidR="00FE32DF">
        <w:t>40</w:t>
      </w:r>
      <w:r>
        <w:t>.</w:t>
      </w:r>
    </w:p>
  </w:footnote>
  <w:footnote w:id="3">
    <w:p w14:paraId="112213CE" w14:textId="2970B852" w:rsidR="00A311BA" w:rsidRPr="00357E8C" w:rsidRDefault="00A311BA" w:rsidP="00C5792A">
      <w:pPr>
        <w:pStyle w:val="FootnoteText"/>
      </w:pPr>
      <w:r w:rsidRPr="001A32C5">
        <w:rPr>
          <w:sz w:val="20"/>
          <w:szCs w:val="22"/>
        </w:rPr>
        <w:tab/>
        <w:t>**</w:t>
      </w:r>
      <w:r w:rsidRPr="001A32C5">
        <w:rPr>
          <w:sz w:val="20"/>
          <w:szCs w:val="22"/>
        </w:rPr>
        <w:tab/>
      </w:r>
      <w:r w:rsidR="004A1452">
        <w:t>A/76/6 (Sect.20), para. 20.76.</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A0A31" w14:textId="47D58BDB" w:rsidR="00BE4CFA" w:rsidRPr="00BE4CFA" w:rsidRDefault="00AB0B39">
    <w:pPr>
      <w:pStyle w:val="Header"/>
    </w:pPr>
    <w:r>
      <w:fldChar w:fldCharType="begin"/>
    </w:r>
    <w:r>
      <w:instrText xml:space="preserve"> TITLE  \* MERGEFORMAT </w:instrText>
    </w:r>
    <w:r>
      <w:fldChar w:fldCharType="separate"/>
    </w:r>
    <w:r w:rsidR="00BE4CFA">
      <w:t>ECE/TRANS/WP.15/AC.2/2022/40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2C378" w14:textId="7A849951" w:rsidR="00BE4CFA" w:rsidRPr="00BE4CFA" w:rsidRDefault="00AB0B39" w:rsidP="00BE4CFA">
    <w:pPr>
      <w:pStyle w:val="Header"/>
      <w:jc w:val="right"/>
    </w:pPr>
    <w:r>
      <w:fldChar w:fldCharType="begin"/>
    </w:r>
    <w:r>
      <w:instrText xml:space="preserve"> TITLE  \* MERGEFORMAT </w:instrText>
    </w:r>
    <w:r>
      <w:fldChar w:fldCharType="separate"/>
    </w:r>
    <w:r w:rsidR="00BE4CFA">
      <w:t>ECE/TRANS/WP.15/AC.2/2022/40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251679E"/>
    <w:multiLevelType w:val="hybridMultilevel"/>
    <w:tmpl w:val="D74C3CB8"/>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1"/>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FA"/>
    <w:rsid w:val="00002A7D"/>
    <w:rsid w:val="000038A8"/>
    <w:rsid w:val="00006790"/>
    <w:rsid w:val="0000719F"/>
    <w:rsid w:val="000152F9"/>
    <w:rsid w:val="000211BF"/>
    <w:rsid w:val="00027624"/>
    <w:rsid w:val="000313EF"/>
    <w:rsid w:val="00050F6B"/>
    <w:rsid w:val="00060488"/>
    <w:rsid w:val="000666E3"/>
    <w:rsid w:val="000678CD"/>
    <w:rsid w:val="00071412"/>
    <w:rsid w:val="00072C8C"/>
    <w:rsid w:val="00081CE0"/>
    <w:rsid w:val="00084D30"/>
    <w:rsid w:val="00090320"/>
    <w:rsid w:val="000931C0"/>
    <w:rsid w:val="000A2E09"/>
    <w:rsid w:val="000B175B"/>
    <w:rsid w:val="000B3A0F"/>
    <w:rsid w:val="000B7344"/>
    <w:rsid w:val="000C1E8A"/>
    <w:rsid w:val="000E0415"/>
    <w:rsid w:val="000E499D"/>
    <w:rsid w:val="000F7715"/>
    <w:rsid w:val="00111F0D"/>
    <w:rsid w:val="00132938"/>
    <w:rsid w:val="00137F17"/>
    <w:rsid w:val="00141E6D"/>
    <w:rsid w:val="00146244"/>
    <w:rsid w:val="001531A5"/>
    <w:rsid w:val="00156B99"/>
    <w:rsid w:val="001608BA"/>
    <w:rsid w:val="00166124"/>
    <w:rsid w:val="001711A9"/>
    <w:rsid w:val="00184DDA"/>
    <w:rsid w:val="0018632D"/>
    <w:rsid w:val="001900CD"/>
    <w:rsid w:val="001A0452"/>
    <w:rsid w:val="001B4B04"/>
    <w:rsid w:val="001B5875"/>
    <w:rsid w:val="001C0CA8"/>
    <w:rsid w:val="001C339B"/>
    <w:rsid w:val="001C4B9C"/>
    <w:rsid w:val="001C6663"/>
    <w:rsid w:val="001C7895"/>
    <w:rsid w:val="001D26DF"/>
    <w:rsid w:val="001E61C9"/>
    <w:rsid w:val="001E7EEF"/>
    <w:rsid w:val="001F1599"/>
    <w:rsid w:val="001F19C4"/>
    <w:rsid w:val="002043F0"/>
    <w:rsid w:val="00211E0B"/>
    <w:rsid w:val="002140A4"/>
    <w:rsid w:val="002267FF"/>
    <w:rsid w:val="00232575"/>
    <w:rsid w:val="002467D1"/>
    <w:rsid w:val="00247258"/>
    <w:rsid w:val="00257CAC"/>
    <w:rsid w:val="00261904"/>
    <w:rsid w:val="0027237A"/>
    <w:rsid w:val="002766C4"/>
    <w:rsid w:val="00292D5F"/>
    <w:rsid w:val="002974E9"/>
    <w:rsid w:val="002A7F94"/>
    <w:rsid w:val="002B109A"/>
    <w:rsid w:val="002B2F4F"/>
    <w:rsid w:val="002C6D45"/>
    <w:rsid w:val="002D6E53"/>
    <w:rsid w:val="002E4C70"/>
    <w:rsid w:val="002F046D"/>
    <w:rsid w:val="002F0C7C"/>
    <w:rsid w:val="002F3023"/>
    <w:rsid w:val="00301764"/>
    <w:rsid w:val="003229D8"/>
    <w:rsid w:val="00336C97"/>
    <w:rsid w:val="00337F88"/>
    <w:rsid w:val="00342432"/>
    <w:rsid w:val="0035223F"/>
    <w:rsid w:val="00352D4B"/>
    <w:rsid w:val="0035638C"/>
    <w:rsid w:val="003A46BB"/>
    <w:rsid w:val="003A4EC7"/>
    <w:rsid w:val="003A7295"/>
    <w:rsid w:val="003B1F60"/>
    <w:rsid w:val="003B2AC8"/>
    <w:rsid w:val="003C0C77"/>
    <w:rsid w:val="003C2CC4"/>
    <w:rsid w:val="003D4B23"/>
    <w:rsid w:val="003E278A"/>
    <w:rsid w:val="00413520"/>
    <w:rsid w:val="0042385B"/>
    <w:rsid w:val="00425382"/>
    <w:rsid w:val="004256FF"/>
    <w:rsid w:val="004325CB"/>
    <w:rsid w:val="00440A07"/>
    <w:rsid w:val="00462880"/>
    <w:rsid w:val="004739FC"/>
    <w:rsid w:val="00476F24"/>
    <w:rsid w:val="00477B57"/>
    <w:rsid w:val="0048774B"/>
    <w:rsid w:val="00495C0E"/>
    <w:rsid w:val="004A1452"/>
    <w:rsid w:val="004A6086"/>
    <w:rsid w:val="004B2283"/>
    <w:rsid w:val="004C55B0"/>
    <w:rsid w:val="004F6BA0"/>
    <w:rsid w:val="00503BEA"/>
    <w:rsid w:val="00533616"/>
    <w:rsid w:val="00535ABA"/>
    <w:rsid w:val="0053768B"/>
    <w:rsid w:val="005420F2"/>
    <w:rsid w:val="0054285C"/>
    <w:rsid w:val="005566C5"/>
    <w:rsid w:val="00584173"/>
    <w:rsid w:val="00595520"/>
    <w:rsid w:val="0059602D"/>
    <w:rsid w:val="005A220D"/>
    <w:rsid w:val="005A44B9"/>
    <w:rsid w:val="005B1BA0"/>
    <w:rsid w:val="005B3DB3"/>
    <w:rsid w:val="005D15CA"/>
    <w:rsid w:val="005F06BB"/>
    <w:rsid w:val="005F08DF"/>
    <w:rsid w:val="005F3066"/>
    <w:rsid w:val="005F3E54"/>
    <w:rsid w:val="005F3E61"/>
    <w:rsid w:val="00604DDD"/>
    <w:rsid w:val="006115CC"/>
    <w:rsid w:val="00611FC4"/>
    <w:rsid w:val="006176FB"/>
    <w:rsid w:val="00624CC6"/>
    <w:rsid w:val="00630FCB"/>
    <w:rsid w:val="006310BD"/>
    <w:rsid w:val="00640B26"/>
    <w:rsid w:val="006410D4"/>
    <w:rsid w:val="0065766B"/>
    <w:rsid w:val="006770B2"/>
    <w:rsid w:val="006778C2"/>
    <w:rsid w:val="00683701"/>
    <w:rsid w:val="00686A48"/>
    <w:rsid w:val="006940E1"/>
    <w:rsid w:val="006942C9"/>
    <w:rsid w:val="006A09FD"/>
    <w:rsid w:val="006A3C72"/>
    <w:rsid w:val="006A7392"/>
    <w:rsid w:val="006B03A1"/>
    <w:rsid w:val="006B09B1"/>
    <w:rsid w:val="006B67D9"/>
    <w:rsid w:val="006C5535"/>
    <w:rsid w:val="006D0589"/>
    <w:rsid w:val="006D3FD8"/>
    <w:rsid w:val="006E564B"/>
    <w:rsid w:val="006E7154"/>
    <w:rsid w:val="006F663B"/>
    <w:rsid w:val="007003CD"/>
    <w:rsid w:val="0070559C"/>
    <w:rsid w:val="0070701E"/>
    <w:rsid w:val="00707DA7"/>
    <w:rsid w:val="00714B48"/>
    <w:rsid w:val="0072632A"/>
    <w:rsid w:val="00733E1B"/>
    <w:rsid w:val="00734F3E"/>
    <w:rsid w:val="007358E8"/>
    <w:rsid w:val="00736ECE"/>
    <w:rsid w:val="0074533B"/>
    <w:rsid w:val="007477A0"/>
    <w:rsid w:val="007643BC"/>
    <w:rsid w:val="00774DE3"/>
    <w:rsid w:val="00780C68"/>
    <w:rsid w:val="00791009"/>
    <w:rsid w:val="007920FC"/>
    <w:rsid w:val="007934D8"/>
    <w:rsid w:val="007952CB"/>
    <w:rsid w:val="007959FE"/>
    <w:rsid w:val="007A0CF1"/>
    <w:rsid w:val="007A7FA0"/>
    <w:rsid w:val="007B6BA5"/>
    <w:rsid w:val="007C22B2"/>
    <w:rsid w:val="007C3390"/>
    <w:rsid w:val="007C42D8"/>
    <w:rsid w:val="007C4F4B"/>
    <w:rsid w:val="007D7362"/>
    <w:rsid w:val="007E5886"/>
    <w:rsid w:val="007E5C9B"/>
    <w:rsid w:val="007E7080"/>
    <w:rsid w:val="007F39B2"/>
    <w:rsid w:val="007F4942"/>
    <w:rsid w:val="007F5CE2"/>
    <w:rsid w:val="007F6611"/>
    <w:rsid w:val="00801482"/>
    <w:rsid w:val="00805003"/>
    <w:rsid w:val="00810BAC"/>
    <w:rsid w:val="00812E37"/>
    <w:rsid w:val="008175E9"/>
    <w:rsid w:val="008242D7"/>
    <w:rsid w:val="0082577B"/>
    <w:rsid w:val="0083210E"/>
    <w:rsid w:val="00844BDA"/>
    <w:rsid w:val="00866893"/>
    <w:rsid w:val="00866F02"/>
    <w:rsid w:val="00867D18"/>
    <w:rsid w:val="00871F9A"/>
    <w:rsid w:val="00871FD5"/>
    <w:rsid w:val="0087491D"/>
    <w:rsid w:val="0088172E"/>
    <w:rsid w:val="00881EFA"/>
    <w:rsid w:val="008824BB"/>
    <w:rsid w:val="008879CB"/>
    <w:rsid w:val="00891A4B"/>
    <w:rsid w:val="00896F80"/>
    <w:rsid w:val="008979B1"/>
    <w:rsid w:val="008A4C43"/>
    <w:rsid w:val="008A6B25"/>
    <w:rsid w:val="008A6C4F"/>
    <w:rsid w:val="008A76C4"/>
    <w:rsid w:val="008B0CEE"/>
    <w:rsid w:val="008B389E"/>
    <w:rsid w:val="008C0409"/>
    <w:rsid w:val="008C4835"/>
    <w:rsid w:val="008C55F1"/>
    <w:rsid w:val="008D045E"/>
    <w:rsid w:val="008D16E7"/>
    <w:rsid w:val="008D3F25"/>
    <w:rsid w:val="008D4D82"/>
    <w:rsid w:val="008E0E46"/>
    <w:rsid w:val="008E7116"/>
    <w:rsid w:val="008F02CD"/>
    <w:rsid w:val="008F143B"/>
    <w:rsid w:val="008F3882"/>
    <w:rsid w:val="008F4B7C"/>
    <w:rsid w:val="00903047"/>
    <w:rsid w:val="00913F56"/>
    <w:rsid w:val="00926E47"/>
    <w:rsid w:val="00947162"/>
    <w:rsid w:val="0095758E"/>
    <w:rsid w:val="009610D0"/>
    <w:rsid w:val="0096375C"/>
    <w:rsid w:val="009662E6"/>
    <w:rsid w:val="0097095E"/>
    <w:rsid w:val="00974C03"/>
    <w:rsid w:val="0098592B"/>
    <w:rsid w:val="00985FC4"/>
    <w:rsid w:val="00990766"/>
    <w:rsid w:val="00991261"/>
    <w:rsid w:val="009964C4"/>
    <w:rsid w:val="009A7B81"/>
    <w:rsid w:val="009D01C0"/>
    <w:rsid w:val="009D22D3"/>
    <w:rsid w:val="009D3DC5"/>
    <w:rsid w:val="009D5160"/>
    <w:rsid w:val="009D6A08"/>
    <w:rsid w:val="009E0A16"/>
    <w:rsid w:val="009E6CB7"/>
    <w:rsid w:val="009E7970"/>
    <w:rsid w:val="009F2EAC"/>
    <w:rsid w:val="009F57E3"/>
    <w:rsid w:val="00A05F17"/>
    <w:rsid w:val="00A10F4F"/>
    <w:rsid w:val="00A11067"/>
    <w:rsid w:val="00A15B3A"/>
    <w:rsid w:val="00A1704A"/>
    <w:rsid w:val="00A2550F"/>
    <w:rsid w:val="00A311BA"/>
    <w:rsid w:val="00A33192"/>
    <w:rsid w:val="00A425EB"/>
    <w:rsid w:val="00A615FF"/>
    <w:rsid w:val="00A70663"/>
    <w:rsid w:val="00A720A2"/>
    <w:rsid w:val="00A72F22"/>
    <w:rsid w:val="00A733BC"/>
    <w:rsid w:val="00A748A6"/>
    <w:rsid w:val="00A76A69"/>
    <w:rsid w:val="00A82C1A"/>
    <w:rsid w:val="00A879A4"/>
    <w:rsid w:val="00A9210A"/>
    <w:rsid w:val="00A97EAF"/>
    <w:rsid w:val="00AA0FF8"/>
    <w:rsid w:val="00AB0B39"/>
    <w:rsid w:val="00AB134D"/>
    <w:rsid w:val="00AC0F2C"/>
    <w:rsid w:val="00AC502A"/>
    <w:rsid w:val="00AD335D"/>
    <w:rsid w:val="00AD3762"/>
    <w:rsid w:val="00AD52FF"/>
    <w:rsid w:val="00AF43DF"/>
    <w:rsid w:val="00AF58C1"/>
    <w:rsid w:val="00B04A3F"/>
    <w:rsid w:val="00B06643"/>
    <w:rsid w:val="00B102AA"/>
    <w:rsid w:val="00B1430B"/>
    <w:rsid w:val="00B14CCD"/>
    <w:rsid w:val="00B15055"/>
    <w:rsid w:val="00B20551"/>
    <w:rsid w:val="00B262A7"/>
    <w:rsid w:val="00B30179"/>
    <w:rsid w:val="00B31BFF"/>
    <w:rsid w:val="00B33FC7"/>
    <w:rsid w:val="00B3447B"/>
    <w:rsid w:val="00B37B15"/>
    <w:rsid w:val="00B42059"/>
    <w:rsid w:val="00B43AD3"/>
    <w:rsid w:val="00B45C02"/>
    <w:rsid w:val="00B51174"/>
    <w:rsid w:val="00B537E1"/>
    <w:rsid w:val="00B70B63"/>
    <w:rsid w:val="00B72A1E"/>
    <w:rsid w:val="00B81E12"/>
    <w:rsid w:val="00B85439"/>
    <w:rsid w:val="00B97132"/>
    <w:rsid w:val="00BA339B"/>
    <w:rsid w:val="00BC1E7E"/>
    <w:rsid w:val="00BC74E9"/>
    <w:rsid w:val="00BE147C"/>
    <w:rsid w:val="00BE36A9"/>
    <w:rsid w:val="00BE4CFA"/>
    <w:rsid w:val="00BE618E"/>
    <w:rsid w:val="00BE7BEC"/>
    <w:rsid w:val="00BF0A5A"/>
    <w:rsid w:val="00BF0E63"/>
    <w:rsid w:val="00BF12A3"/>
    <w:rsid w:val="00BF16D7"/>
    <w:rsid w:val="00BF2373"/>
    <w:rsid w:val="00BF7FED"/>
    <w:rsid w:val="00C00755"/>
    <w:rsid w:val="00C044E2"/>
    <w:rsid w:val="00C048CB"/>
    <w:rsid w:val="00C0596A"/>
    <w:rsid w:val="00C066F3"/>
    <w:rsid w:val="00C07964"/>
    <w:rsid w:val="00C11FCE"/>
    <w:rsid w:val="00C31337"/>
    <w:rsid w:val="00C32CF7"/>
    <w:rsid w:val="00C35294"/>
    <w:rsid w:val="00C463DD"/>
    <w:rsid w:val="00C5792A"/>
    <w:rsid w:val="00C6124E"/>
    <w:rsid w:val="00C745C3"/>
    <w:rsid w:val="00C75707"/>
    <w:rsid w:val="00C77243"/>
    <w:rsid w:val="00C84806"/>
    <w:rsid w:val="00C94EE5"/>
    <w:rsid w:val="00C96CB6"/>
    <w:rsid w:val="00C978F5"/>
    <w:rsid w:val="00CA06E9"/>
    <w:rsid w:val="00CA24A4"/>
    <w:rsid w:val="00CB348D"/>
    <w:rsid w:val="00CC70F9"/>
    <w:rsid w:val="00CD46F5"/>
    <w:rsid w:val="00CE4A8F"/>
    <w:rsid w:val="00CE7D3B"/>
    <w:rsid w:val="00CF071D"/>
    <w:rsid w:val="00CF5D17"/>
    <w:rsid w:val="00D0123D"/>
    <w:rsid w:val="00D1002E"/>
    <w:rsid w:val="00D15B04"/>
    <w:rsid w:val="00D17235"/>
    <w:rsid w:val="00D2031B"/>
    <w:rsid w:val="00D25FE2"/>
    <w:rsid w:val="00D329FD"/>
    <w:rsid w:val="00D37DA9"/>
    <w:rsid w:val="00D406A7"/>
    <w:rsid w:val="00D43252"/>
    <w:rsid w:val="00D44D86"/>
    <w:rsid w:val="00D50B7D"/>
    <w:rsid w:val="00D52012"/>
    <w:rsid w:val="00D55493"/>
    <w:rsid w:val="00D57D04"/>
    <w:rsid w:val="00D704E5"/>
    <w:rsid w:val="00D718C8"/>
    <w:rsid w:val="00D72727"/>
    <w:rsid w:val="00D95676"/>
    <w:rsid w:val="00D978C6"/>
    <w:rsid w:val="00DA0956"/>
    <w:rsid w:val="00DA357F"/>
    <w:rsid w:val="00DA3E12"/>
    <w:rsid w:val="00DA4026"/>
    <w:rsid w:val="00DC18AD"/>
    <w:rsid w:val="00DD730B"/>
    <w:rsid w:val="00DF61DE"/>
    <w:rsid w:val="00DF6FFC"/>
    <w:rsid w:val="00DF7CAE"/>
    <w:rsid w:val="00E02F84"/>
    <w:rsid w:val="00E212A9"/>
    <w:rsid w:val="00E22D5B"/>
    <w:rsid w:val="00E423C0"/>
    <w:rsid w:val="00E44E0B"/>
    <w:rsid w:val="00E46CAE"/>
    <w:rsid w:val="00E635A3"/>
    <w:rsid w:val="00E6414C"/>
    <w:rsid w:val="00E67B59"/>
    <w:rsid w:val="00E7260F"/>
    <w:rsid w:val="00E7278F"/>
    <w:rsid w:val="00E85DE8"/>
    <w:rsid w:val="00E86A48"/>
    <w:rsid w:val="00E8702D"/>
    <w:rsid w:val="00E905F4"/>
    <w:rsid w:val="00E916A9"/>
    <w:rsid w:val="00E916DE"/>
    <w:rsid w:val="00E925AD"/>
    <w:rsid w:val="00E96630"/>
    <w:rsid w:val="00EA01F2"/>
    <w:rsid w:val="00EA53CB"/>
    <w:rsid w:val="00ED18DC"/>
    <w:rsid w:val="00ED6201"/>
    <w:rsid w:val="00ED7A2A"/>
    <w:rsid w:val="00EE00ED"/>
    <w:rsid w:val="00EF1D7F"/>
    <w:rsid w:val="00F0137E"/>
    <w:rsid w:val="00F144B0"/>
    <w:rsid w:val="00F21786"/>
    <w:rsid w:val="00F25A79"/>
    <w:rsid w:val="00F3742B"/>
    <w:rsid w:val="00F41FDB"/>
    <w:rsid w:val="00F5350C"/>
    <w:rsid w:val="00F557F4"/>
    <w:rsid w:val="00F56D63"/>
    <w:rsid w:val="00F609A9"/>
    <w:rsid w:val="00F738CF"/>
    <w:rsid w:val="00F80C99"/>
    <w:rsid w:val="00F867EC"/>
    <w:rsid w:val="00F91B2B"/>
    <w:rsid w:val="00FC0286"/>
    <w:rsid w:val="00FC03CD"/>
    <w:rsid w:val="00FC0646"/>
    <w:rsid w:val="00FC68B7"/>
    <w:rsid w:val="00FD5907"/>
    <w:rsid w:val="00FE32DF"/>
    <w:rsid w:val="00FE438F"/>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8A83815"/>
  <w15:docId w15:val="{7E31E3F2-7E53-4403-A347-22FE07C2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FootnoteTextChar">
    <w:name w:val="Footnote Text Char"/>
    <w:aliases w:val="5_G Char"/>
    <w:basedOn w:val="DefaultParagraphFont"/>
    <w:link w:val="FootnoteText"/>
    <w:rsid w:val="00A311BA"/>
    <w:rPr>
      <w:sz w:val="18"/>
      <w:lang w:val="en-GB"/>
    </w:rPr>
  </w:style>
  <w:style w:type="character" w:customStyle="1" w:styleId="SingleTxtGChar">
    <w:name w:val="_ Single Txt_G Char"/>
    <w:basedOn w:val="DefaultParagraphFont"/>
    <w:link w:val="SingleTxtG"/>
    <w:qFormat/>
    <w:rsid w:val="00A311BA"/>
    <w:rPr>
      <w:lang w:val="en-GB"/>
    </w:rPr>
  </w:style>
  <w:style w:type="character" w:styleId="CommentReference">
    <w:name w:val="annotation reference"/>
    <w:basedOn w:val="DefaultParagraphFont"/>
    <w:semiHidden/>
    <w:unhideWhenUsed/>
    <w:rsid w:val="006B09B1"/>
    <w:rPr>
      <w:sz w:val="16"/>
      <w:szCs w:val="16"/>
    </w:rPr>
  </w:style>
  <w:style w:type="paragraph" w:styleId="CommentText">
    <w:name w:val="annotation text"/>
    <w:basedOn w:val="Normal"/>
    <w:link w:val="CommentTextChar"/>
    <w:semiHidden/>
    <w:unhideWhenUsed/>
    <w:rsid w:val="006B09B1"/>
    <w:pPr>
      <w:spacing w:line="240" w:lineRule="auto"/>
    </w:pPr>
  </w:style>
  <w:style w:type="character" w:customStyle="1" w:styleId="CommentTextChar">
    <w:name w:val="Comment Text Char"/>
    <w:basedOn w:val="DefaultParagraphFont"/>
    <w:link w:val="CommentText"/>
    <w:semiHidden/>
    <w:rsid w:val="006B09B1"/>
    <w:rPr>
      <w:lang w:val="en-GB"/>
    </w:rPr>
  </w:style>
  <w:style w:type="paragraph" w:styleId="CommentSubject">
    <w:name w:val="annotation subject"/>
    <w:basedOn w:val="CommentText"/>
    <w:next w:val="CommentText"/>
    <w:link w:val="CommentSubjectChar"/>
    <w:semiHidden/>
    <w:unhideWhenUsed/>
    <w:rsid w:val="006B09B1"/>
    <w:rPr>
      <w:b/>
      <w:bCs/>
    </w:rPr>
  </w:style>
  <w:style w:type="character" w:customStyle="1" w:styleId="CommentSubjectChar">
    <w:name w:val="Comment Subject Char"/>
    <w:basedOn w:val="CommentTextChar"/>
    <w:link w:val="CommentSubject"/>
    <w:semiHidden/>
    <w:rsid w:val="006B09B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5A3612-F4C6-4318-BDD8-27CD1B2A8E28}"/>
</file>

<file path=customXml/itemProps2.xml><?xml version="1.0" encoding="utf-8"?>
<ds:datastoreItem xmlns:ds="http://schemas.openxmlformats.org/officeDocument/2006/customXml" ds:itemID="{56F809CE-3965-4609-AE37-C2D6BD9F3AFB}">
  <ds:schemaRefs>
    <ds:schemaRef ds:uri="http://schemas.microsoft.com/office/2006/metadata/properties"/>
    <ds:schemaRef ds:uri="http://schemas.microsoft.com/office/infopath/2007/PartnerControls"/>
    <ds:schemaRef ds:uri="4b4a1c0d-4a69-4996-a84a-fc699b9f49de"/>
  </ds:schemaRefs>
</ds:datastoreItem>
</file>

<file path=customXml/itemProps3.xml><?xml version="1.0" encoding="utf-8"?>
<ds:datastoreItem xmlns:ds="http://schemas.openxmlformats.org/officeDocument/2006/customXml" ds:itemID="{1FB1E2C4-1483-47A4-AC6D-177815C499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1542</Words>
  <Characters>8241</Characters>
  <Application>Microsoft Office Word</Application>
  <DocSecurity>0</DocSecurity>
  <Lines>165</Lines>
  <Paragraphs>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ECE/TRANS/WP.15/AC.2/2022/40</dc:title>
  <dc:subject>2207851</dc:subject>
  <dc:creator>ND</dc:creator>
  <cp:keywords/>
  <dc:description/>
  <cp:lastModifiedBy>Maria Rosario Corazon Gatmaytan</cp:lastModifiedBy>
  <cp:revision>2</cp:revision>
  <cp:lastPrinted>2009-02-18T00:36:00Z</cp:lastPrinted>
  <dcterms:created xsi:type="dcterms:W3CDTF">2022-05-24T14:20:00Z</dcterms:created>
  <dcterms:modified xsi:type="dcterms:W3CDTF">2022-05-24T14:20:00Z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