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0F89C36" w14:textId="77777777" w:rsidTr="005316B0">
        <w:trPr>
          <w:trHeight w:hRule="exact" w:val="851"/>
        </w:trPr>
        <w:tc>
          <w:tcPr>
            <w:tcW w:w="1276" w:type="dxa"/>
            <w:tcBorders>
              <w:bottom w:val="single" w:sz="4" w:space="0" w:color="auto"/>
            </w:tcBorders>
          </w:tcPr>
          <w:p w14:paraId="3CB8CC05" w14:textId="77777777" w:rsidR="001433FD" w:rsidRPr="00DB58B5" w:rsidRDefault="001433FD" w:rsidP="0001207F"/>
        </w:tc>
        <w:tc>
          <w:tcPr>
            <w:tcW w:w="2268" w:type="dxa"/>
            <w:tcBorders>
              <w:bottom w:val="single" w:sz="4" w:space="0" w:color="auto"/>
            </w:tcBorders>
            <w:vAlign w:val="bottom"/>
          </w:tcPr>
          <w:p w14:paraId="1877ABC5"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0550C6" w14:textId="5C2F77E7" w:rsidR="001433FD" w:rsidRPr="000017F5" w:rsidRDefault="000017F5" w:rsidP="000017F5">
            <w:pPr>
              <w:jc w:val="right"/>
            </w:pPr>
            <w:r w:rsidRPr="000017F5">
              <w:rPr>
                <w:sz w:val="40"/>
              </w:rPr>
              <w:t>ECE</w:t>
            </w:r>
            <w:r>
              <w:t>/TRANS/WP.15/AC.2/2022/37</w:t>
            </w:r>
          </w:p>
        </w:tc>
      </w:tr>
      <w:tr w:rsidR="001433FD" w:rsidRPr="00DB58B5" w14:paraId="2B5058F4" w14:textId="77777777" w:rsidTr="007D3236">
        <w:trPr>
          <w:trHeight w:hRule="exact" w:val="2835"/>
        </w:trPr>
        <w:tc>
          <w:tcPr>
            <w:tcW w:w="1276" w:type="dxa"/>
            <w:tcBorders>
              <w:top w:val="single" w:sz="4" w:space="0" w:color="auto"/>
              <w:bottom w:val="single" w:sz="12" w:space="0" w:color="auto"/>
            </w:tcBorders>
          </w:tcPr>
          <w:p w14:paraId="3C8DAD1E" w14:textId="77777777" w:rsidR="001433FD" w:rsidRPr="00DB58B5" w:rsidRDefault="001433FD" w:rsidP="007D3236">
            <w:pPr>
              <w:spacing w:before="120"/>
              <w:jc w:val="center"/>
            </w:pPr>
            <w:r>
              <w:rPr>
                <w:noProof/>
                <w:lang w:eastAsia="fr-CH"/>
              </w:rPr>
              <w:drawing>
                <wp:inline distT="0" distB="0" distL="0" distR="0" wp14:anchorId="4C7A1EC1" wp14:editId="03FA9E2B">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372826"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0C01E3" w14:textId="77777777" w:rsidR="0001207F" w:rsidRDefault="007F2C1E" w:rsidP="007F2C1E">
            <w:pPr>
              <w:spacing w:before="240" w:line="240" w:lineRule="exact"/>
            </w:pPr>
            <w:proofErr w:type="spellStart"/>
            <w:r>
              <w:t>Distr</w:t>
            </w:r>
            <w:proofErr w:type="spellEnd"/>
            <w:r>
              <w:t>. générale</w:t>
            </w:r>
          </w:p>
          <w:p w14:paraId="1CB13144" w14:textId="3B2CAF62" w:rsidR="007F2C1E" w:rsidRDefault="002C42C4" w:rsidP="007F2C1E">
            <w:pPr>
              <w:spacing w:line="240" w:lineRule="exact"/>
            </w:pPr>
            <w:r>
              <w:t>23</w:t>
            </w:r>
            <w:r w:rsidR="007F2C1E">
              <w:t xml:space="preserve"> mai 2022</w:t>
            </w:r>
          </w:p>
          <w:p w14:paraId="54BBC256" w14:textId="77777777" w:rsidR="007F2C1E" w:rsidRDefault="007F2C1E" w:rsidP="007F2C1E">
            <w:pPr>
              <w:spacing w:line="240" w:lineRule="exact"/>
            </w:pPr>
          </w:p>
          <w:p w14:paraId="421B45C4" w14:textId="77777777" w:rsidR="007F2C1E" w:rsidRPr="00DB58B5" w:rsidRDefault="007F2C1E" w:rsidP="007F2C1E">
            <w:pPr>
              <w:spacing w:line="240" w:lineRule="exact"/>
            </w:pPr>
            <w:r>
              <w:t>Original : français</w:t>
            </w:r>
          </w:p>
        </w:tc>
      </w:tr>
    </w:tbl>
    <w:p w14:paraId="44715FEF" w14:textId="5F785186" w:rsidR="00564657" w:rsidRDefault="00564657" w:rsidP="007F2C1E">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15D19F66" w14:textId="77777777" w:rsidR="007F2C1E" w:rsidRDefault="007F2C1E" w:rsidP="007F2C1E">
      <w:pPr>
        <w:spacing w:before="120"/>
        <w:rPr>
          <w:b/>
          <w:sz w:val="24"/>
          <w:szCs w:val="24"/>
        </w:rPr>
      </w:pPr>
      <w:r w:rsidRPr="00685843">
        <w:rPr>
          <w:sz w:val="28"/>
          <w:szCs w:val="28"/>
        </w:rPr>
        <w:t>Comité des transports intérieurs</w:t>
      </w:r>
      <w:r w:rsidRPr="00673C2A">
        <w:rPr>
          <w:b/>
          <w:sz w:val="24"/>
          <w:szCs w:val="24"/>
        </w:rPr>
        <w:t xml:space="preserve"> </w:t>
      </w:r>
    </w:p>
    <w:p w14:paraId="25DCD111" w14:textId="77777777" w:rsidR="007F2C1E" w:rsidRPr="00B128F0" w:rsidRDefault="007F2C1E" w:rsidP="007F2C1E">
      <w:pPr>
        <w:spacing w:before="120"/>
        <w:rPr>
          <w:b/>
          <w:sz w:val="24"/>
          <w:szCs w:val="24"/>
        </w:rPr>
      </w:pPr>
      <w:r w:rsidRPr="00B128F0">
        <w:rPr>
          <w:b/>
          <w:sz w:val="24"/>
          <w:szCs w:val="24"/>
        </w:rPr>
        <w:t>Groupe de travail des transports de marchandises dangereuses</w:t>
      </w:r>
    </w:p>
    <w:p w14:paraId="234D37D1" w14:textId="77777777" w:rsidR="007F2C1E" w:rsidRDefault="007F2C1E" w:rsidP="007F2C1E">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64632111" w14:textId="77777777" w:rsidR="007F2C1E" w:rsidRPr="003D48C7" w:rsidRDefault="007F2C1E" w:rsidP="007F2C1E">
      <w:pPr>
        <w:spacing w:before="120"/>
        <w:rPr>
          <w:b/>
        </w:rPr>
      </w:pPr>
      <w:r>
        <w:rPr>
          <w:b/>
        </w:rPr>
        <w:t xml:space="preserve">Quarantième </w:t>
      </w:r>
      <w:r w:rsidRPr="00484AB5">
        <w:rPr>
          <w:b/>
        </w:rPr>
        <w:t>session</w:t>
      </w:r>
    </w:p>
    <w:p w14:paraId="49F888B4" w14:textId="77777777" w:rsidR="007F2C1E" w:rsidRPr="003D48C7" w:rsidRDefault="007F2C1E" w:rsidP="007F2C1E">
      <w:r w:rsidRPr="003D48C7">
        <w:t>Genève, 2</w:t>
      </w:r>
      <w:r>
        <w:t>2-</w:t>
      </w:r>
      <w:r w:rsidRPr="003D48C7">
        <w:t>2</w:t>
      </w:r>
      <w:r>
        <w:t>6</w:t>
      </w:r>
      <w:r w:rsidRPr="003D48C7">
        <w:t xml:space="preserve"> </w:t>
      </w:r>
      <w:r w:rsidRPr="000D70F9">
        <w:t>août</w:t>
      </w:r>
      <w:r w:rsidRPr="003D48C7">
        <w:t xml:space="preserve"> 202</w:t>
      </w:r>
      <w:r>
        <w:t>2</w:t>
      </w:r>
    </w:p>
    <w:p w14:paraId="5EA14113" w14:textId="77777777" w:rsidR="007F2C1E" w:rsidRDefault="007F2C1E" w:rsidP="007F2C1E">
      <w:r w:rsidRPr="00501791">
        <w:t xml:space="preserve">Point </w:t>
      </w:r>
      <w:r>
        <w:t>4 b)</w:t>
      </w:r>
      <w:r w:rsidRPr="00501791">
        <w:t xml:space="preserve"> de l’ordre du jour provisoire</w:t>
      </w:r>
    </w:p>
    <w:p w14:paraId="6B4A4E04" w14:textId="77777777" w:rsidR="007F2C1E" w:rsidRPr="000F37A8" w:rsidRDefault="007F2C1E" w:rsidP="007F2C1E">
      <w:pPr>
        <w:rPr>
          <w:b/>
          <w:lang w:val="fr-FR"/>
        </w:rPr>
      </w:pPr>
      <w:r w:rsidRPr="000F37A8">
        <w:rPr>
          <w:b/>
          <w:lang w:val="fr-FR"/>
        </w:rPr>
        <w:t xml:space="preserve">Propositions d’amendements au Règlement annexé à l’ADN : </w:t>
      </w:r>
    </w:p>
    <w:p w14:paraId="1C9FE0AC" w14:textId="77777777" w:rsidR="007F2C1E" w:rsidRPr="000F37A8" w:rsidRDefault="007F2C1E" w:rsidP="007F2C1E">
      <w:pPr>
        <w:rPr>
          <w:b/>
          <w:lang w:val="fr-FR"/>
        </w:rPr>
      </w:pPr>
      <w:r w:rsidRPr="000F37A8">
        <w:rPr>
          <w:b/>
          <w:lang w:val="fr-FR"/>
        </w:rPr>
        <w:t>autres propositions</w:t>
      </w:r>
    </w:p>
    <w:p w14:paraId="73AE9388" w14:textId="77777777" w:rsidR="007F2C1E" w:rsidRPr="00A36397" w:rsidRDefault="007F2C1E" w:rsidP="007F2C1E">
      <w:pPr>
        <w:pStyle w:val="HChG"/>
        <w:rPr>
          <w:lang w:val="fr-FR"/>
        </w:rPr>
      </w:pPr>
      <w:r w:rsidRPr="00A36397">
        <w:rPr>
          <w:lang w:val="fr-FR"/>
        </w:rPr>
        <w:tab/>
      </w:r>
      <w:r w:rsidRPr="00A36397">
        <w:rPr>
          <w:lang w:val="fr-FR"/>
        </w:rPr>
        <w:tab/>
        <w:t>Incohérence des versions linguistiques aux 9.1.0.40.2.5 c) et 9.3.X.40.2.5 c) de l’ADN concernant les dispositifs de déclenchement</w:t>
      </w:r>
    </w:p>
    <w:p w14:paraId="0B5EC16B" w14:textId="5B26CAD0" w:rsidR="007F2C1E" w:rsidRPr="00A36397" w:rsidRDefault="007F2C1E" w:rsidP="007F2C1E">
      <w:pPr>
        <w:pStyle w:val="H1G"/>
        <w:rPr>
          <w:rFonts w:eastAsia="Calibri"/>
          <w:lang w:val="fr-FR"/>
        </w:rPr>
      </w:pPr>
      <w:r w:rsidRPr="00A36397">
        <w:rPr>
          <w:rFonts w:eastAsia="Calibri"/>
          <w:lang w:val="fr-FR"/>
        </w:rPr>
        <w:tab/>
      </w:r>
      <w:r>
        <w:rPr>
          <w:rFonts w:eastAsia="Calibri"/>
          <w:lang w:val="fr-FR"/>
        </w:rPr>
        <w:tab/>
      </w:r>
      <w:r>
        <w:rPr>
          <w:rFonts w:eastAsia="Calibri"/>
          <w:lang w:val="fr-FR"/>
        </w:rPr>
        <w:tab/>
      </w:r>
      <w:r w:rsidRPr="00A36397">
        <w:rPr>
          <w:rFonts w:eastAsia="Calibri"/>
          <w:lang w:val="fr-FR"/>
        </w:rPr>
        <w:t>Communication de la Commission centrale pour la navigation</w:t>
      </w:r>
      <w:r w:rsidRPr="00A36397">
        <w:rPr>
          <w:rFonts w:eastAsia="Calibri"/>
          <w:lang w:val="fr-FR"/>
        </w:rPr>
        <w:br/>
        <w:t>du Rhin (CCNR)</w:t>
      </w:r>
      <w:r w:rsidRPr="00A36397">
        <w:rPr>
          <w:rFonts w:eastAsia="Calibri"/>
          <w:lang w:val="fr-FR"/>
        </w:rPr>
        <w:footnoteReference w:customMarkFollows="1" w:id="2"/>
        <w:t>*</w:t>
      </w:r>
      <w:r w:rsidRPr="00A36397">
        <w:rPr>
          <w:rFonts w:eastAsia="Calibri"/>
          <w:vertAlign w:val="superscript"/>
          <w:lang w:val="fr-FR"/>
        </w:rPr>
        <w:t xml:space="preserve">, </w:t>
      </w:r>
      <w:r w:rsidRPr="00A36397">
        <w:rPr>
          <w:rFonts w:eastAsia="Calibri"/>
          <w:lang w:val="fr-FR"/>
        </w:rPr>
        <w:footnoteReference w:customMarkFollows="1" w:id="3"/>
        <w:t>**</w:t>
      </w:r>
    </w:p>
    <w:p w14:paraId="1B5A65BA" w14:textId="77777777" w:rsidR="007F2C1E" w:rsidRPr="00A36397" w:rsidRDefault="007F2C1E" w:rsidP="007F2C1E">
      <w:pPr>
        <w:pStyle w:val="HChG"/>
        <w:rPr>
          <w:lang w:val="fr-FR"/>
        </w:rPr>
      </w:pPr>
      <w:r w:rsidRPr="00A36397">
        <w:rPr>
          <w:lang w:val="fr-FR"/>
        </w:rPr>
        <w:tab/>
      </w:r>
      <w:bookmarkStart w:id="1" w:name="_Hlk83902369"/>
      <w:r w:rsidRPr="00A36397">
        <w:rPr>
          <w:lang w:val="fr-FR"/>
        </w:rPr>
        <w:tab/>
      </w:r>
      <w:bookmarkEnd w:id="1"/>
      <w:r w:rsidRPr="00A36397">
        <w:rPr>
          <w:lang w:val="fr-FR"/>
        </w:rPr>
        <w:t>Introduction</w:t>
      </w:r>
    </w:p>
    <w:p w14:paraId="13E866D7" w14:textId="77777777" w:rsidR="007F2C1E" w:rsidRPr="00A36397" w:rsidRDefault="007F2C1E" w:rsidP="007F2C1E">
      <w:pPr>
        <w:pStyle w:val="SingleTxtG"/>
        <w:rPr>
          <w:lang w:val="fr-FR"/>
        </w:rPr>
      </w:pPr>
      <w:r w:rsidRPr="00A36397">
        <w:rPr>
          <w:rFonts w:eastAsia="SimSun"/>
          <w:lang w:val="fr-FR"/>
        </w:rPr>
        <w:t>1.</w:t>
      </w:r>
      <w:r w:rsidRPr="00A36397">
        <w:rPr>
          <w:rFonts w:eastAsia="SimSun"/>
          <w:lang w:val="fr-FR"/>
        </w:rPr>
        <w:tab/>
        <w:t>Le Secrétariat de la CCNR souhaite attirer l’attention du Comité de sécurité de l’ADN sur l’incohérence des versions linguistiques aux 9.1.0.40.2.5 c) et 9.3.X.40.2.5 c) de l’ADN 2021.</w:t>
      </w:r>
    </w:p>
    <w:p w14:paraId="74BD938E" w14:textId="42BF2936" w:rsidR="007F2C1E" w:rsidRPr="00A36397" w:rsidRDefault="007F2C1E" w:rsidP="007F2C1E">
      <w:pPr>
        <w:pStyle w:val="SingleTxtG"/>
        <w:rPr>
          <w:lang w:val="fr-FR"/>
        </w:rPr>
      </w:pPr>
      <w:r w:rsidRPr="00A36397">
        <w:rPr>
          <w:lang w:val="fr-FR"/>
        </w:rPr>
        <w:t>2.</w:t>
      </w:r>
      <w:r w:rsidRPr="00A36397">
        <w:rPr>
          <w:lang w:val="fr-FR"/>
        </w:rPr>
        <w:tab/>
        <w:t>L'harmonisation de l'utilisation des installations d'extinction d'incendie fixées à demeure dans les prescriptions d</w:t>
      </w:r>
      <w:r w:rsidR="009E653E">
        <w:rPr>
          <w:lang w:val="fr-FR"/>
        </w:rPr>
        <w:t xml:space="preserve">u </w:t>
      </w:r>
      <w:r w:rsidR="009E653E" w:rsidRPr="008F3F91">
        <w:rPr>
          <w:lang w:val="fr-FR"/>
        </w:rPr>
        <w:t>Standard européen</w:t>
      </w:r>
      <w:r w:rsidR="009E653E">
        <w:rPr>
          <w:lang w:val="fr-FR"/>
        </w:rPr>
        <w:t xml:space="preserve"> </w:t>
      </w:r>
      <w:r w:rsidR="009E653E" w:rsidRPr="008F3F91">
        <w:rPr>
          <w:lang w:val="fr-FR"/>
        </w:rPr>
        <w:t>établissant les</w:t>
      </w:r>
      <w:r w:rsidR="009E653E">
        <w:rPr>
          <w:lang w:val="fr-FR"/>
        </w:rPr>
        <w:t xml:space="preserve"> </w:t>
      </w:r>
      <w:r w:rsidR="009E653E" w:rsidRPr="008F3F91">
        <w:rPr>
          <w:lang w:val="fr-FR"/>
        </w:rPr>
        <w:t>prescriptions techniques</w:t>
      </w:r>
      <w:r w:rsidR="009E653E">
        <w:rPr>
          <w:lang w:val="fr-FR"/>
        </w:rPr>
        <w:t xml:space="preserve"> </w:t>
      </w:r>
      <w:r w:rsidR="009E653E" w:rsidRPr="008F3F91">
        <w:rPr>
          <w:lang w:val="fr-FR"/>
        </w:rPr>
        <w:t>des</w:t>
      </w:r>
      <w:r w:rsidR="009E653E">
        <w:rPr>
          <w:lang w:val="fr-FR"/>
        </w:rPr>
        <w:t xml:space="preserve"> </w:t>
      </w:r>
      <w:r w:rsidR="009E653E" w:rsidRPr="008F3F91">
        <w:rPr>
          <w:lang w:val="fr-FR"/>
        </w:rPr>
        <w:t>bateaux de navigation intérieure</w:t>
      </w:r>
      <w:r w:rsidR="009E653E">
        <w:rPr>
          <w:lang w:val="fr-FR"/>
        </w:rPr>
        <w:t xml:space="preserve"> (</w:t>
      </w:r>
      <w:r w:rsidRPr="00A36397">
        <w:rPr>
          <w:lang w:val="fr-FR"/>
        </w:rPr>
        <w:t>ES-TRIN</w:t>
      </w:r>
      <w:r w:rsidR="009E653E">
        <w:rPr>
          <w:lang w:val="fr-FR"/>
        </w:rPr>
        <w:t>)</w:t>
      </w:r>
      <w:r w:rsidRPr="00A36397">
        <w:rPr>
          <w:lang w:val="fr-FR"/>
        </w:rPr>
        <w:t xml:space="preserve"> a fait l'objet d'un examen par le groupe de travail des prescriptions techniques et les prescriptions seront adaptées dans l'ES-TRIN 2023 afin que la rédaction soit identique dans toutes les versions linguistiques.</w:t>
      </w:r>
    </w:p>
    <w:p w14:paraId="58600EF0" w14:textId="77777777" w:rsidR="007F2C1E" w:rsidRPr="00A36397" w:rsidRDefault="007F2C1E" w:rsidP="007F2C1E">
      <w:pPr>
        <w:pStyle w:val="SingleTxtG"/>
        <w:rPr>
          <w:lang w:val="fr-FR"/>
        </w:rPr>
      </w:pPr>
      <w:r w:rsidRPr="00A36397">
        <w:rPr>
          <w:lang w:val="fr-FR"/>
        </w:rPr>
        <w:t>3.</w:t>
      </w:r>
      <w:r w:rsidRPr="00A36397">
        <w:rPr>
          <w:lang w:val="fr-FR"/>
        </w:rPr>
        <w:tab/>
        <w:t>Comme indiqué dans le rapport de la réunion du Comité de sécurité de l’ADN en janvier 2022 (ECE/TRANS/WP.15/AC.2/</w:t>
      </w:r>
      <w:r>
        <w:rPr>
          <w:lang w:val="fr-FR"/>
        </w:rPr>
        <w:t>80</w:t>
      </w:r>
      <w:r w:rsidRPr="00A36397">
        <w:rPr>
          <w:lang w:val="fr-FR"/>
        </w:rPr>
        <w:t>), le Secrétariat de la CCNR a adapté la proposition ECE/TRANS/WP.15/AC.2/2022/2/Rev.1.</w:t>
      </w:r>
    </w:p>
    <w:p w14:paraId="7E707C98" w14:textId="77777777" w:rsidR="007F2C1E" w:rsidRPr="00A36397" w:rsidRDefault="007F2C1E" w:rsidP="007F2C1E">
      <w:pPr>
        <w:pStyle w:val="SingleTxtG"/>
        <w:rPr>
          <w:lang w:val="fr-FR"/>
        </w:rPr>
      </w:pPr>
      <w:r w:rsidRPr="00A36397">
        <w:rPr>
          <w:lang w:val="fr-FR"/>
        </w:rPr>
        <w:lastRenderedPageBreak/>
        <w:t>4.</w:t>
      </w:r>
      <w:r w:rsidRPr="00A36397">
        <w:rPr>
          <w:lang w:val="fr-FR"/>
        </w:rPr>
        <w:tab/>
        <w:t xml:space="preserve">La proposition de modification du texte de l’ADN est </w:t>
      </w:r>
      <w:r>
        <w:rPr>
          <w:lang w:val="fr-FR"/>
        </w:rPr>
        <w:t>présentée</w:t>
      </w:r>
      <w:r w:rsidRPr="00A36397">
        <w:rPr>
          <w:lang w:val="fr-FR"/>
        </w:rPr>
        <w:t xml:space="preserve"> dans l’annexe I. Des ajustements sont nécessaires dans les versions française et anglaise de l’ADN.</w:t>
      </w:r>
    </w:p>
    <w:p w14:paraId="1C1C2CA4" w14:textId="19A753E9" w:rsidR="007F2C1E" w:rsidRPr="00A36397" w:rsidRDefault="007F2C1E" w:rsidP="007F2C1E">
      <w:pPr>
        <w:pStyle w:val="HChG"/>
        <w:rPr>
          <w:lang w:val="fr-FR"/>
        </w:rPr>
      </w:pPr>
      <w:r>
        <w:rPr>
          <w:lang w:val="fr-FR"/>
        </w:rPr>
        <w:tab/>
      </w:r>
      <w:r>
        <w:rPr>
          <w:lang w:val="fr-FR"/>
        </w:rPr>
        <w:tab/>
      </w:r>
      <w:r w:rsidRPr="00A36397">
        <w:rPr>
          <w:lang w:val="fr-FR"/>
        </w:rPr>
        <w:t>Proposition</w:t>
      </w:r>
    </w:p>
    <w:p w14:paraId="32F4DF4D" w14:textId="77777777" w:rsidR="007F2C1E" w:rsidRPr="00A36397" w:rsidRDefault="007F2C1E" w:rsidP="007F2C1E">
      <w:pPr>
        <w:pStyle w:val="SingleTxtG"/>
        <w:rPr>
          <w:lang w:val="fr-FR"/>
        </w:rPr>
      </w:pPr>
      <w:r w:rsidRPr="00A36397">
        <w:rPr>
          <w:lang w:val="fr-FR"/>
        </w:rPr>
        <w:t>5.</w:t>
      </w:r>
      <w:r w:rsidRPr="00A36397">
        <w:rPr>
          <w:lang w:val="fr-FR"/>
        </w:rPr>
        <w:tab/>
        <w:t>La proposition visant à compléter le premier alinéa des 9.1.0.40.2.5 c) et 9.3.X.40.2.5 c) de la version française est rédigée comme suit :</w:t>
      </w:r>
    </w:p>
    <w:p w14:paraId="3D554E99" w14:textId="77777777" w:rsidR="007F2C1E" w:rsidRDefault="007F2C1E" w:rsidP="007F2C1E">
      <w:pPr>
        <w:pStyle w:val="SingleTxtG"/>
        <w:ind w:left="1701"/>
        <w:rPr>
          <w:lang w:val="fr-FR"/>
        </w:rPr>
      </w:pPr>
      <w:r w:rsidRPr="00A36397">
        <w:rPr>
          <w:lang w:val="fr-FR"/>
        </w:rPr>
        <w:t>« c)</w:t>
      </w:r>
      <w:r w:rsidRPr="00A36397">
        <w:rPr>
          <w:lang w:val="fr-FR"/>
        </w:rPr>
        <w:tab/>
      </w:r>
      <w:bookmarkStart w:id="2" w:name="_Hlk100047650"/>
      <w:r w:rsidRPr="00A36397">
        <w:rPr>
          <w:lang w:val="fr-FR"/>
        </w:rPr>
        <w:t xml:space="preserve">Les dispositifs de déclenchement doivent être installés de manière à pouvoir être actionnés </w:t>
      </w:r>
      <w:r w:rsidRPr="00A36397">
        <w:rPr>
          <w:b/>
          <w:bCs/>
          <w:u w:val="single"/>
          <w:lang w:val="fr-FR"/>
        </w:rPr>
        <w:t>aussi</w:t>
      </w:r>
      <w:r w:rsidRPr="00A36397">
        <w:rPr>
          <w:lang w:val="fr-FR"/>
        </w:rPr>
        <w:t xml:space="preserve"> en cas d’incendie</w:t>
      </w:r>
      <w:r w:rsidRPr="008C7FAA">
        <w:rPr>
          <w:b/>
          <w:bCs/>
          <w:u w:val="single"/>
          <w:lang w:val="fr-FR"/>
        </w:rPr>
        <w:t>,</w:t>
      </w:r>
      <w:r w:rsidRPr="00A36397">
        <w:rPr>
          <w:lang w:val="fr-FR"/>
        </w:rPr>
        <w:t xml:space="preserve"> et de manière </w:t>
      </w:r>
      <w:r w:rsidRPr="00A36397">
        <w:rPr>
          <w:b/>
          <w:bCs/>
          <w:u w:val="single"/>
          <w:lang w:val="fr-FR"/>
        </w:rPr>
        <w:t>à ce que la quantité d'agent extincteur requise puisse être fournie dans le local à protéger en cas d'incendie ou d'endommagement par un incendie ou une explosion.</w:t>
      </w:r>
      <w:r w:rsidRPr="00A36397">
        <w:rPr>
          <w:strike/>
          <w:lang w:val="fr-FR"/>
        </w:rPr>
        <w:t xml:space="preserve"> </w:t>
      </w:r>
      <w:bookmarkEnd w:id="2"/>
      <w:r w:rsidRPr="00A36397">
        <w:rPr>
          <w:strike/>
          <w:lang w:val="fr-FR"/>
        </w:rPr>
        <w:t>à réduire autant que possible le risque de panne de ces dispositifs en cas d’incendie ou d’explosion dans le local à protéger </w:t>
      </w:r>
      <w:r w:rsidRPr="00A36397">
        <w:rPr>
          <w:lang w:val="fr-FR"/>
        </w:rPr>
        <w:t>».</w:t>
      </w:r>
    </w:p>
    <w:p w14:paraId="41591181" w14:textId="77777777" w:rsidR="008E35A3" w:rsidRDefault="008E35A3" w:rsidP="007F2C1E">
      <w:pPr>
        <w:pStyle w:val="SingleTxtG"/>
        <w:ind w:left="1701"/>
        <w:rPr>
          <w:strike/>
          <w:lang w:val="fr-FR"/>
        </w:rPr>
        <w:sectPr w:rsidR="008E35A3" w:rsidSect="007F2C1E">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14:paraId="56901446" w14:textId="75EE297C" w:rsidR="00FA7283" w:rsidRDefault="008E35A3" w:rsidP="008E35A3">
      <w:pPr>
        <w:pStyle w:val="HChG"/>
        <w:rPr>
          <w:lang w:val="fr-FR"/>
        </w:rPr>
      </w:pPr>
      <w:r>
        <w:rPr>
          <w:lang w:val="fr-FR"/>
        </w:rPr>
        <w:lastRenderedPageBreak/>
        <w:t>Annexe 1</w:t>
      </w:r>
    </w:p>
    <w:p w14:paraId="7348A20E" w14:textId="1600DCDF" w:rsidR="00723366" w:rsidRDefault="00C340BE" w:rsidP="00723366">
      <w:pPr>
        <w:spacing w:after="200" w:line="276" w:lineRule="auto"/>
        <w:rPr>
          <w:lang w:val="fr-FR"/>
        </w:rPr>
      </w:pPr>
      <w:bookmarkStart w:id="4" w:name="_Hlk98837383"/>
      <w:r>
        <w:rPr>
          <w:lang w:val="fr-FR"/>
        </w:rPr>
        <w:t>P</w:t>
      </w:r>
      <w:r w:rsidR="00723366" w:rsidRPr="00A36397">
        <w:rPr>
          <w:lang w:val="fr-FR"/>
        </w:rPr>
        <w:t>our le premier alinéa des 9.1.0.40.2.5, lettre c) et 9.3.</w:t>
      </w:r>
      <w:r w:rsidR="00723366">
        <w:rPr>
          <w:lang w:val="fr-FR"/>
        </w:rPr>
        <w:t>X.</w:t>
      </w:r>
      <w:r w:rsidR="00723366" w:rsidRPr="00A36397">
        <w:rPr>
          <w:lang w:val="fr-FR"/>
        </w:rPr>
        <w:t>40.2.5, lettre c)</w:t>
      </w:r>
      <w:r>
        <w:rPr>
          <w:lang w:val="fr-FR"/>
        </w:rPr>
        <w:t xml:space="preserve"> pourrait </w:t>
      </w:r>
      <w:r>
        <w:t>être repris le texte suivant</w:t>
      </w:r>
      <w:r w:rsidR="00723366" w:rsidRPr="00A36397">
        <w:rPr>
          <w:lang w:val="fr-FR"/>
        </w:rPr>
        <w:t> :</w:t>
      </w:r>
    </w:p>
    <w:tbl>
      <w:tblPr>
        <w:tblStyle w:val="Grilledutableau"/>
        <w:tblW w:w="13408" w:type="dxa"/>
        <w:tblLook w:val="04A0" w:firstRow="1" w:lastRow="0" w:firstColumn="1" w:lastColumn="0" w:noHBand="0" w:noVBand="1"/>
      </w:tblPr>
      <w:tblGrid>
        <w:gridCol w:w="3352"/>
        <w:gridCol w:w="3352"/>
        <w:gridCol w:w="3352"/>
        <w:gridCol w:w="3352"/>
      </w:tblGrid>
      <w:tr w:rsidR="00723366" w:rsidRPr="003B238A" w14:paraId="07B8A48D" w14:textId="77777777" w:rsidTr="00A61223">
        <w:trPr>
          <w:trHeight w:val="273"/>
        </w:trPr>
        <w:tc>
          <w:tcPr>
            <w:tcW w:w="3352" w:type="dxa"/>
          </w:tcPr>
          <w:bookmarkEnd w:id="4"/>
          <w:p w14:paraId="447DDB89" w14:textId="77777777" w:rsidR="00723366" w:rsidRPr="00A36397" w:rsidRDefault="00723366" w:rsidP="00A61223">
            <w:pPr>
              <w:spacing w:before="60" w:after="60"/>
              <w:ind w:left="2155" w:hanging="2268"/>
              <w:jc w:val="center"/>
              <w:rPr>
                <w:b/>
                <w:bCs/>
                <w:lang w:val="fr-FR"/>
              </w:rPr>
            </w:pPr>
            <w:r w:rsidRPr="00A36397">
              <w:rPr>
                <w:b/>
                <w:bCs/>
                <w:lang w:val="fr-FR"/>
              </w:rPr>
              <w:t>Texte actuel de l’ES-TRIN - FR</w:t>
            </w:r>
          </w:p>
        </w:tc>
        <w:tc>
          <w:tcPr>
            <w:tcW w:w="3352" w:type="dxa"/>
          </w:tcPr>
          <w:p w14:paraId="2B5BF8B4" w14:textId="77777777" w:rsidR="00723366" w:rsidRPr="00A36397" w:rsidRDefault="00723366" w:rsidP="00A61223">
            <w:pPr>
              <w:spacing w:before="60" w:after="60"/>
              <w:jc w:val="center"/>
              <w:rPr>
                <w:b/>
                <w:bCs/>
                <w:lang w:val="fr-FR"/>
              </w:rPr>
            </w:pPr>
            <w:r w:rsidRPr="00A36397">
              <w:rPr>
                <w:b/>
                <w:bCs/>
                <w:lang w:val="fr-FR"/>
              </w:rPr>
              <w:t>Texte actuel de l’ADN - FR</w:t>
            </w:r>
          </w:p>
        </w:tc>
        <w:tc>
          <w:tcPr>
            <w:tcW w:w="3352" w:type="dxa"/>
          </w:tcPr>
          <w:p w14:paraId="0260D461" w14:textId="77777777" w:rsidR="00723366" w:rsidRPr="00A36397" w:rsidRDefault="00723366" w:rsidP="00A61223">
            <w:pPr>
              <w:spacing w:before="60" w:after="60"/>
              <w:jc w:val="center"/>
              <w:rPr>
                <w:b/>
                <w:bCs/>
                <w:lang w:val="fr-FR"/>
              </w:rPr>
            </w:pPr>
            <w:r w:rsidRPr="00A36397">
              <w:rPr>
                <w:b/>
                <w:bCs/>
                <w:lang w:val="fr-FR"/>
              </w:rPr>
              <w:t>Nouveau texte de l’ES-TRIN - FR</w:t>
            </w:r>
          </w:p>
        </w:tc>
        <w:tc>
          <w:tcPr>
            <w:tcW w:w="3352" w:type="dxa"/>
          </w:tcPr>
          <w:p w14:paraId="57C04F8C" w14:textId="77777777" w:rsidR="00723366" w:rsidRPr="00A36397" w:rsidRDefault="00723366" w:rsidP="00A61223">
            <w:pPr>
              <w:spacing w:before="60" w:after="60"/>
              <w:jc w:val="center"/>
              <w:rPr>
                <w:b/>
                <w:bCs/>
                <w:lang w:val="fr-FR"/>
              </w:rPr>
            </w:pPr>
            <w:r w:rsidRPr="00A36397">
              <w:rPr>
                <w:b/>
                <w:bCs/>
                <w:lang w:val="fr-FR"/>
              </w:rPr>
              <w:t>Nouveau texte de l’ADN - FR</w:t>
            </w:r>
          </w:p>
        </w:tc>
      </w:tr>
      <w:tr w:rsidR="00723366" w:rsidRPr="003B238A" w14:paraId="0A2FEEFC" w14:textId="77777777" w:rsidTr="00A61223">
        <w:trPr>
          <w:trHeight w:val="273"/>
        </w:trPr>
        <w:tc>
          <w:tcPr>
            <w:tcW w:w="3352" w:type="dxa"/>
          </w:tcPr>
          <w:p w14:paraId="518D74E9" w14:textId="77777777" w:rsidR="00723366" w:rsidRPr="00A36397" w:rsidRDefault="00723366" w:rsidP="00A61223">
            <w:pPr>
              <w:spacing w:after="200" w:line="276" w:lineRule="auto"/>
              <w:ind w:left="29"/>
              <w:rPr>
                <w:lang w:val="fr-FR"/>
              </w:rPr>
            </w:pPr>
            <w:r w:rsidRPr="00A36397">
              <w:rPr>
                <w:lang w:val="fr-FR"/>
              </w:rPr>
              <w:t>Les dispositifs de déclenchement doivent être installés de manière à pouvoir être actionnés en cas d’incendie et de manière à réduire autant que possible le risque de panne de ces dispositifs en cas d’incendie ou d’explosion dans le local à protéger.</w:t>
            </w:r>
          </w:p>
        </w:tc>
        <w:tc>
          <w:tcPr>
            <w:tcW w:w="3352" w:type="dxa"/>
          </w:tcPr>
          <w:p w14:paraId="3ACAF79F" w14:textId="77777777" w:rsidR="00723366" w:rsidRPr="00A36397" w:rsidRDefault="00723366" w:rsidP="00A61223">
            <w:pPr>
              <w:spacing w:after="200" w:line="276" w:lineRule="auto"/>
              <w:ind w:left="34"/>
              <w:rPr>
                <w:lang w:val="fr-FR"/>
              </w:rPr>
            </w:pPr>
            <w:r w:rsidRPr="00A36397">
              <w:rPr>
                <w:lang w:val="fr-FR"/>
              </w:rPr>
              <w:t>Les dispositifs de déclenchement doivent être installés de manière à pouvoir être actionnés en cas d’incendie et de manière à réduire autant que possible le risque de panne de ces dispositifs en cas d’incendie ou d’explosion dans le local à protéger.</w:t>
            </w:r>
          </w:p>
        </w:tc>
        <w:tc>
          <w:tcPr>
            <w:tcW w:w="3352" w:type="dxa"/>
          </w:tcPr>
          <w:p w14:paraId="178A5499" w14:textId="77777777" w:rsidR="00723366" w:rsidRPr="00A36397" w:rsidRDefault="00723366" w:rsidP="00A61223">
            <w:pPr>
              <w:spacing w:after="200" w:line="276" w:lineRule="auto"/>
              <w:ind w:left="36" w:hanging="1"/>
              <w:rPr>
                <w:lang w:val="fr-FR"/>
              </w:rPr>
            </w:pPr>
            <w:bookmarkStart w:id="5" w:name="_Hlk98837741"/>
            <w:r w:rsidRPr="00A36397">
              <w:rPr>
                <w:lang w:val="fr-FR"/>
              </w:rPr>
              <w:t xml:space="preserve">Les dispositifs de déclenchement doivent être installés de manière à pouvoir être actionnés </w:t>
            </w:r>
            <w:r w:rsidRPr="00A36397">
              <w:rPr>
                <w:b/>
                <w:bCs/>
                <w:u w:val="single"/>
                <w:lang w:val="fr-FR"/>
              </w:rPr>
              <w:t>aussi</w:t>
            </w:r>
            <w:r w:rsidRPr="00A36397">
              <w:rPr>
                <w:lang w:val="fr-FR"/>
              </w:rPr>
              <w:t xml:space="preserve"> en cas d’incendie</w:t>
            </w:r>
            <w:r w:rsidRPr="008C7FAA">
              <w:rPr>
                <w:b/>
                <w:bCs/>
                <w:u w:val="single"/>
                <w:lang w:val="fr-FR"/>
              </w:rPr>
              <w:t xml:space="preserve">, </w:t>
            </w:r>
            <w:r w:rsidRPr="00A36397">
              <w:rPr>
                <w:lang w:val="fr-FR"/>
              </w:rPr>
              <w:t xml:space="preserve">et de manière </w:t>
            </w:r>
            <w:r w:rsidRPr="00A36397">
              <w:rPr>
                <w:b/>
                <w:bCs/>
                <w:u w:val="single"/>
                <w:lang w:val="fr-FR"/>
              </w:rPr>
              <w:t xml:space="preserve">à ce que la quantité d'agent extincteur requise puisse être fournie dans le local à protéger en cas d'incendie ou d'endommagement par un incendie ou une explosion. </w:t>
            </w:r>
            <w:r w:rsidRPr="00A36397">
              <w:rPr>
                <w:strike/>
                <w:lang w:val="fr-FR"/>
              </w:rPr>
              <w:t xml:space="preserve"> à réduire autant que possible le risque de panne de ces dispositifs en cas d’incendie ou d’explosion dans le local à protéger</w:t>
            </w:r>
            <w:bookmarkEnd w:id="5"/>
            <w:r w:rsidRPr="00A36397">
              <w:rPr>
                <w:strike/>
                <w:lang w:val="fr-FR"/>
              </w:rPr>
              <w:t>.</w:t>
            </w:r>
          </w:p>
        </w:tc>
        <w:tc>
          <w:tcPr>
            <w:tcW w:w="3352" w:type="dxa"/>
          </w:tcPr>
          <w:p w14:paraId="30DC3026" w14:textId="77777777" w:rsidR="00723366" w:rsidRPr="00A36397" w:rsidRDefault="00723366" w:rsidP="00A61223">
            <w:pPr>
              <w:spacing w:after="200" w:line="276" w:lineRule="auto"/>
              <w:ind w:left="34" w:firstLine="5"/>
              <w:rPr>
                <w:lang w:val="fr-FR"/>
              </w:rPr>
            </w:pPr>
            <w:r w:rsidRPr="00A36397">
              <w:rPr>
                <w:lang w:val="fr-FR"/>
              </w:rPr>
              <w:t xml:space="preserve">Les dispositifs de déclenchement doivent être installés de manière à pouvoir être actionnés </w:t>
            </w:r>
            <w:r w:rsidRPr="00A36397">
              <w:rPr>
                <w:b/>
                <w:bCs/>
                <w:u w:val="single"/>
                <w:lang w:val="fr-FR"/>
              </w:rPr>
              <w:t>aussi</w:t>
            </w:r>
            <w:r w:rsidRPr="00A36397">
              <w:rPr>
                <w:lang w:val="fr-FR"/>
              </w:rPr>
              <w:t xml:space="preserve"> en cas d’incendie</w:t>
            </w:r>
            <w:r w:rsidRPr="008C7FAA">
              <w:rPr>
                <w:b/>
                <w:bCs/>
                <w:u w:val="single"/>
                <w:lang w:val="fr-FR"/>
              </w:rPr>
              <w:t>,</w:t>
            </w:r>
            <w:r w:rsidRPr="00A36397">
              <w:rPr>
                <w:lang w:val="fr-FR"/>
              </w:rPr>
              <w:t xml:space="preserve"> et de manière </w:t>
            </w:r>
            <w:r w:rsidRPr="00A36397">
              <w:rPr>
                <w:b/>
                <w:bCs/>
                <w:u w:val="single"/>
                <w:lang w:val="fr-FR"/>
              </w:rPr>
              <w:t xml:space="preserve">à ce que la quantité d'agent extincteur requise puisse être fournie dans le local à protéger en cas d'incendie ou d'endommagement par un incendie ou une explosion. </w:t>
            </w:r>
            <w:r w:rsidRPr="00A36397">
              <w:rPr>
                <w:strike/>
                <w:lang w:val="fr-FR"/>
              </w:rPr>
              <w:t xml:space="preserve"> à réduire autant que possible le risque de panne de ces dispositifs en cas d’incendie ou d’explosion dans le local à protéger.</w:t>
            </w:r>
          </w:p>
        </w:tc>
      </w:tr>
    </w:tbl>
    <w:p w14:paraId="294CB6DC" w14:textId="77777777" w:rsidR="008E35A3" w:rsidRDefault="008E35A3" w:rsidP="002C42C4">
      <w:pPr>
        <w:overflowPunct/>
        <w:autoSpaceDE/>
        <w:autoSpaceDN/>
        <w:adjustRightInd/>
        <w:rPr>
          <w:lang w:val="fr-FR"/>
        </w:rPr>
      </w:pPr>
    </w:p>
    <w:p w14:paraId="3B38382D" w14:textId="471C395F" w:rsidR="00CC7511" w:rsidRPr="00CC7511" w:rsidRDefault="00CC7511" w:rsidP="00CC7511">
      <w:pPr>
        <w:spacing w:before="240"/>
        <w:jc w:val="center"/>
        <w:rPr>
          <w:u w:val="single"/>
          <w:lang w:val="fr-FR"/>
        </w:rPr>
      </w:pPr>
      <w:r>
        <w:rPr>
          <w:u w:val="single"/>
          <w:lang w:val="fr-FR"/>
        </w:rPr>
        <w:tab/>
      </w:r>
      <w:r>
        <w:rPr>
          <w:u w:val="single"/>
          <w:lang w:val="fr-FR"/>
        </w:rPr>
        <w:tab/>
      </w:r>
      <w:r>
        <w:rPr>
          <w:u w:val="single"/>
          <w:lang w:val="fr-FR"/>
        </w:rPr>
        <w:tab/>
      </w:r>
    </w:p>
    <w:sectPr w:rsidR="00CC7511" w:rsidRPr="00CC7511" w:rsidSect="008E35A3">
      <w:headerReference w:type="even" r:id="rId17"/>
      <w:headerReference w:type="default" r:id="rId18"/>
      <w:footerReference w:type="even" r:id="rId19"/>
      <w:footerReference w:type="default" r:id="rId20"/>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2259" w14:textId="77777777" w:rsidR="00AF0DFB" w:rsidRDefault="00AF0DFB" w:rsidP="00F95C08">
      <w:pPr>
        <w:spacing w:line="240" w:lineRule="auto"/>
      </w:pPr>
    </w:p>
  </w:endnote>
  <w:endnote w:type="continuationSeparator" w:id="0">
    <w:p w14:paraId="0B3D01C6" w14:textId="77777777" w:rsidR="00AF0DFB" w:rsidRPr="00AC3823" w:rsidRDefault="00AF0DFB" w:rsidP="00AC3823">
      <w:pPr>
        <w:pStyle w:val="Pieddepage"/>
      </w:pPr>
    </w:p>
  </w:endnote>
  <w:endnote w:type="continuationNotice" w:id="1">
    <w:p w14:paraId="614BBBC9" w14:textId="77777777" w:rsidR="00AF0DFB" w:rsidRDefault="00AF0D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E1EE" w14:textId="77777777" w:rsidR="007F2C1E" w:rsidRPr="007F2C1E" w:rsidRDefault="007F2C1E" w:rsidP="007F2C1E">
    <w:pPr>
      <w:pStyle w:val="Pieddepage"/>
      <w:tabs>
        <w:tab w:val="right" w:pos="9638"/>
      </w:tabs>
      <w:rPr>
        <w:sz w:val="18"/>
      </w:rPr>
    </w:pPr>
    <w:r w:rsidRPr="007F2C1E">
      <w:rPr>
        <w:b/>
        <w:sz w:val="18"/>
      </w:rPr>
      <w:fldChar w:fldCharType="begin"/>
    </w:r>
    <w:r w:rsidRPr="007F2C1E">
      <w:rPr>
        <w:b/>
        <w:sz w:val="18"/>
      </w:rPr>
      <w:instrText xml:space="preserve"> PAGE  \* MERGEFORMAT </w:instrText>
    </w:r>
    <w:r w:rsidRPr="007F2C1E">
      <w:rPr>
        <w:b/>
        <w:sz w:val="18"/>
      </w:rPr>
      <w:fldChar w:fldCharType="separate"/>
    </w:r>
    <w:r w:rsidRPr="007F2C1E">
      <w:rPr>
        <w:b/>
        <w:noProof/>
        <w:sz w:val="18"/>
      </w:rPr>
      <w:t>2</w:t>
    </w:r>
    <w:r w:rsidRPr="007F2C1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8D02" w14:textId="77777777" w:rsidR="007F2C1E" w:rsidRPr="007F2C1E" w:rsidRDefault="007F2C1E" w:rsidP="007F2C1E">
    <w:pPr>
      <w:pStyle w:val="Pieddepage"/>
      <w:tabs>
        <w:tab w:val="right" w:pos="9638"/>
      </w:tabs>
      <w:rPr>
        <w:b/>
        <w:sz w:val="18"/>
      </w:rPr>
    </w:pPr>
    <w:r>
      <w:tab/>
    </w:r>
    <w:r w:rsidRPr="007F2C1E">
      <w:rPr>
        <w:b/>
        <w:sz w:val="18"/>
      </w:rPr>
      <w:fldChar w:fldCharType="begin"/>
    </w:r>
    <w:r w:rsidRPr="007F2C1E">
      <w:rPr>
        <w:b/>
        <w:sz w:val="18"/>
      </w:rPr>
      <w:instrText xml:space="preserve"> PAGE  \* MERGEFORMAT </w:instrText>
    </w:r>
    <w:r w:rsidRPr="007F2C1E">
      <w:rPr>
        <w:b/>
        <w:sz w:val="18"/>
      </w:rPr>
      <w:fldChar w:fldCharType="separate"/>
    </w:r>
    <w:r w:rsidRPr="007F2C1E">
      <w:rPr>
        <w:b/>
        <w:noProof/>
        <w:sz w:val="18"/>
      </w:rPr>
      <w:t>3</w:t>
    </w:r>
    <w:r w:rsidRPr="007F2C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03FE" w14:textId="22A30E6A" w:rsidR="000D3EE9" w:rsidRPr="000017F5" w:rsidRDefault="000017F5" w:rsidP="000017F5">
    <w:pPr>
      <w:pStyle w:val="Pieddepage"/>
      <w:tabs>
        <w:tab w:val="left" w:pos="6520"/>
        <w:tab w:val="right" w:pos="9638"/>
      </w:tabs>
      <w:spacing w:before="120"/>
      <w:rPr>
        <w:sz w:val="20"/>
      </w:rPr>
    </w:pPr>
    <w:r>
      <w:rPr>
        <w:sz w:val="20"/>
      </w:rPr>
      <w:t>GE.22-07711  (F)</w:t>
    </w:r>
    <w:bookmarkStart w:id="3" w:name="_GoBack"/>
    <w:bookmarkEnd w:id="3"/>
    <w:r>
      <w:rPr>
        <w:sz w:val="20"/>
      </w:rPr>
      <w:tab/>
    </w:r>
    <w:r w:rsidRPr="000017F5">
      <w:rPr>
        <w:noProof/>
        <w:sz w:val="20"/>
        <w:lang w:eastAsia="fr-CH"/>
      </w:rPr>
      <w:drawing>
        <wp:inline distT="0" distB="0" distL="0" distR="0" wp14:anchorId="142E3209" wp14:editId="4B42315A">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F33F6BC" wp14:editId="4F60B95A">
          <wp:extent cx="640715" cy="640715"/>
          <wp:effectExtent l="0" t="0" r="6985"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4C58" w14:textId="3DCA6093" w:rsidR="008E35A3" w:rsidRPr="008E35A3" w:rsidRDefault="008E35A3" w:rsidP="008E35A3">
    <w:pPr>
      <w:pStyle w:val="Pieddepage"/>
    </w:pPr>
    <w:r>
      <w:rPr>
        <w:noProof/>
      </w:rPr>
      <mc:AlternateContent>
        <mc:Choice Requires="wps">
          <w:drawing>
            <wp:anchor distT="0" distB="0" distL="114300" distR="114300" simplePos="0" relativeHeight="251662848" behindDoc="0" locked="0" layoutInCell="1" allowOverlap="1" wp14:anchorId="17E7AD03" wp14:editId="28027119">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70CC854" w14:textId="77777777" w:rsidR="008E35A3" w:rsidRPr="007F2C1E" w:rsidRDefault="008E35A3" w:rsidP="008E35A3">
                          <w:pPr>
                            <w:pStyle w:val="Pieddepage"/>
                            <w:tabs>
                              <w:tab w:val="right" w:pos="9638"/>
                            </w:tabs>
                            <w:rPr>
                              <w:sz w:val="18"/>
                            </w:rPr>
                          </w:pPr>
                          <w:r w:rsidRPr="007F2C1E">
                            <w:rPr>
                              <w:b/>
                              <w:sz w:val="18"/>
                            </w:rPr>
                            <w:fldChar w:fldCharType="begin"/>
                          </w:r>
                          <w:r w:rsidRPr="007F2C1E">
                            <w:rPr>
                              <w:b/>
                              <w:sz w:val="18"/>
                            </w:rPr>
                            <w:instrText xml:space="preserve"> PAGE  \* MERGEFORMAT </w:instrText>
                          </w:r>
                          <w:r w:rsidRPr="007F2C1E">
                            <w:rPr>
                              <w:b/>
                              <w:sz w:val="18"/>
                            </w:rPr>
                            <w:fldChar w:fldCharType="separate"/>
                          </w:r>
                          <w:r>
                            <w:rPr>
                              <w:b/>
                              <w:sz w:val="18"/>
                            </w:rPr>
                            <w:t>4</w:t>
                          </w:r>
                          <w:r w:rsidRPr="007F2C1E">
                            <w:rPr>
                              <w:b/>
                              <w:sz w:val="18"/>
                            </w:rPr>
                            <w:fldChar w:fldCharType="end"/>
                          </w:r>
                          <w:r>
                            <w:rPr>
                              <w:sz w:val="18"/>
                            </w:rPr>
                            <w:tab/>
                          </w:r>
                        </w:p>
                        <w:p w14:paraId="1049DB11" w14:textId="77777777" w:rsidR="008E35A3" w:rsidRDefault="008E35A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E7AD03" id="_x0000_t202" coordsize="21600,21600" o:spt="202" path="m,l,21600r21600,l21600,xe">
              <v:stroke joinstyle="miter"/>
              <v:path gradientshapeok="t" o:connecttype="rect"/>
            </v:shapetype>
            <v:shape id="Text Box 7" o:spid="_x0000_s1028"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u5dGg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370CC854" w14:textId="77777777" w:rsidR="008E35A3" w:rsidRPr="007F2C1E" w:rsidRDefault="008E35A3" w:rsidP="008E35A3">
                    <w:pPr>
                      <w:pStyle w:val="Pieddepage"/>
                      <w:tabs>
                        <w:tab w:val="right" w:pos="9638"/>
                      </w:tabs>
                      <w:rPr>
                        <w:sz w:val="18"/>
                      </w:rPr>
                    </w:pPr>
                    <w:r w:rsidRPr="007F2C1E">
                      <w:rPr>
                        <w:b/>
                        <w:sz w:val="18"/>
                      </w:rPr>
                      <w:fldChar w:fldCharType="begin"/>
                    </w:r>
                    <w:r w:rsidRPr="007F2C1E">
                      <w:rPr>
                        <w:b/>
                        <w:sz w:val="18"/>
                      </w:rPr>
                      <w:instrText xml:space="preserve"> PAGE  \* MERGEFORMAT </w:instrText>
                    </w:r>
                    <w:r w:rsidRPr="007F2C1E">
                      <w:rPr>
                        <w:b/>
                        <w:sz w:val="18"/>
                      </w:rPr>
                      <w:fldChar w:fldCharType="separate"/>
                    </w:r>
                    <w:r>
                      <w:rPr>
                        <w:b/>
                        <w:sz w:val="18"/>
                      </w:rPr>
                      <w:t>4</w:t>
                    </w:r>
                    <w:r w:rsidRPr="007F2C1E">
                      <w:rPr>
                        <w:b/>
                        <w:sz w:val="18"/>
                      </w:rPr>
                      <w:fldChar w:fldCharType="end"/>
                    </w:r>
                    <w:r>
                      <w:rPr>
                        <w:sz w:val="18"/>
                      </w:rPr>
                      <w:tab/>
                    </w:r>
                  </w:p>
                  <w:p w14:paraId="1049DB11" w14:textId="77777777" w:rsidR="008E35A3" w:rsidRDefault="008E35A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D9E4" w14:textId="7C5CEEB5" w:rsidR="008E35A3" w:rsidRPr="008E35A3" w:rsidRDefault="008E35A3" w:rsidP="008E35A3">
    <w:pPr>
      <w:pStyle w:val="Pieddepage"/>
    </w:pPr>
    <w:r>
      <w:rPr>
        <w:noProof/>
      </w:rPr>
      <mc:AlternateContent>
        <mc:Choice Requires="wps">
          <w:drawing>
            <wp:anchor distT="0" distB="0" distL="114300" distR="114300" simplePos="0" relativeHeight="251660800" behindDoc="0" locked="0" layoutInCell="1" allowOverlap="1" wp14:anchorId="143EA326" wp14:editId="6AA583D7">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4010867" w14:textId="77777777" w:rsidR="008E35A3" w:rsidRPr="007F2C1E" w:rsidRDefault="008E35A3" w:rsidP="008E35A3">
                          <w:pPr>
                            <w:pStyle w:val="Pieddepage"/>
                            <w:tabs>
                              <w:tab w:val="right" w:pos="9638"/>
                            </w:tabs>
                            <w:rPr>
                              <w:b/>
                              <w:sz w:val="18"/>
                            </w:rPr>
                          </w:pPr>
                          <w:r>
                            <w:tab/>
                          </w:r>
                          <w:r w:rsidRPr="007F2C1E">
                            <w:rPr>
                              <w:b/>
                              <w:sz w:val="18"/>
                            </w:rPr>
                            <w:fldChar w:fldCharType="begin"/>
                          </w:r>
                          <w:r w:rsidRPr="007F2C1E">
                            <w:rPr>
                              <w:b/>
                              <w:sz w:val="18"/>
                            </w:rPr>
                            <w:instrText xml:space="preserve"> PAGE  \* MERGEFORMAT </w:instrText>
                          </w:r>
                          <w:r w:rsidRPr="007F2C1E">
                            <w:rPr>
                              <w:b/>
                              <w:sz w:val="18"/>
                            </w:rPr>
                            <w:fldChar w:fldCharType="separate"/>
                          </w:r>
                          <w:r>
                            <w:rPr>
                              <w:b/>
                              <w:sz w:val="18"/>
                            </w:rPr>
                            <w:t>3</w:t>
                          </w:r>
                          <w:r w:rsidRPr="007F2C1E">
                            <w:rPr>
                              <w:b/>
                              <w:sz w:val="18"/>
                            </w:rPr>
                            <w:fldChar w:fldCharType="end"/>
                          </w:r>
                        </w:p>
                        <w:p w14:paraId="683A1EF6" w14:textId="77777777" w:rsidR="008E35A3" w:rsidRDefault="008E35A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3EA326" id="_x0000_t202" coordsize="21600,21600" o:spt="202" path="m,l,21600r21600,l21600,xe">
              <v:stroke joinstyle="miter"/>
              <v:path gradientshapeok="t" o:connecttype="rect"/>
            </v:shapetype>
            <v:shape id="Text Box 5" o:spid="_x0000_s1029" type="#_x0000_t202" style="position:absolute;margin-left:-34pt;margin-top:0;width:17pt;height:481.9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4010867" w14:textId="77777777" w:rsidR="008E35A3" w:rsidRPr="007F2C1E" w:rsidRDefault="008E35A3" w:rsidP="008E35A3">
                    <w:pPr>
                      <w:pStyle w:val="Pieddepage"/>
                      <w:tabs>
                        <w:tab w:val="right" w:pos="9638"/>
                      </w:tabs>
                      <w:rPr>
                        <w:b/>
                        <w:sz w:val="18"/>
                      </w:rPr>
                    </w:pPr>
                    <w:r>
                      <w:tab/>
                    </w:r>
                    <w:r w:rsidRPr="007F2C1E">
                      <w:rPr>
                        <w:b/>
                        <w:sz w:val="18"/>
                      </w:rPr>
                      <w:fldChar w:fldCharType="begin"/>
                    </w:r>
                    <w:r w:rsidRPr="007F2C1E">
                      <w:rPr>
                        <w:b/>
                        <w:sz w:val="18"/>
                      </w:rPr>
                      <w:instrText xml:space="preserve"> PAGE  \* MERGEFORMAT </w:instrText>
                    </w:r>
                    <w:r w:rsidRPr="007F2C1E">
                      <w:rPr>
                        <w:b/>
                        <w:sz w:val="18"/>
                      </w:rPr>
                      <w:fldChar w:fldCharType="separate"/>
                    </w:r>
                    <w:r>
                      <w:rPr>
                        <w:b/>
                        <w:sz w:val="18"/>
                      </w:rPr>
                      <w:t>3</w:t>
                    </w:r>
                    <w:r w:rsidRPr="007F2C1E">
                      <w:rPr>
                        <w:b/>
                        <w:sz w:val="18"/>
                      </w:rPr>
                      <w:fldChar w:fldCharType="end"/>
                    </w:r>
                  </w:p>
                  <w:p w14:paraId="683A1EF6" w14:textId="77777777" w:rsidR="008E35A3" w:rsidRDefault="008E35A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8106" w14:textId="77777777" w:rsidR="00AF0DFB" w:rsidRPr="00AC3823" w:rsidRDefault="00AF0DFB" w:rsidP="00AC3823">
      <w:pPr>
        <w:pStyle w:val="Pieddepage"/>
        <w:tabs>
          <w:tab w:val="right" w:pos="2155"/>
        </w:tabs>
        <w:spacing w:after="80" w:line="240" w:lineRule="atLeast"/>
        <w:ind w:left="680"/>
        <w:rPr>
          <w:u w:val="single"/>
        </w:rPr>
      </w:pPr>
      <w:r>
        <w:rPr>
          <w:u w:val="single"/>
        </w:rPr>
        <w:tab/>
      </w:r>
    </w:p>
  </w:footnote>
  <w:footnote w:type="continuationSeparator" w:id="0">
    <w:p w14:paraId="74453E1F" w14:textId="77777777" w:rsidR="00AF0DFB" w:rsidRPr="00AC3823" w:rsidRDefault="00AF0DFB" w:rsidP="00AC3823">
      <w:pPr>
        <w:pStyle w:val="Pieddepage"/>
        <w:tabs>
          <w:tab w:val="right" w:pos="2155"/>
        </w:tabs>
        <w:spacing w:after="80" w:line="240" w:lineRule="atLeast"/>
        <w:ind w:left="680"/>
        <w:rPr>
          <w:u w:val="single"/>
        </w:rPr>
      </w:pPr>
      <w:r>
        <w:rPr>
          <w:u w:val="single"/>
        </w:rPr>
        <w:tab/>
      </w:r>
    </w:p>
  </w:footnote>
  <w:footnote w:type="continuationNotice" w:id="1">
    <w:p w14:paraId="3B235ACD" w14:textId="77777777" w:rsidR="00AF0DFB" w:rsidRPr="00AC3823" w:rsidRDefault="00AF0DFB">
      <w:pPr>
        <w:spacing w:line="240" w:lineRule="auto"/>
        <w:rPr>
          <w:sz w:val="2"/>
          <w:szCs w:val="2"/>
        </w:rPr>
      </w:pPr>
    </w:p>
  </w:footnote>
  <w:footnote w:id="2">
    <w:p w14:paraId="19F49865" w14:textId="2F4EAE20" w:rsidR="007F2C1E" w:rsidRPr="00A36397" w:rsidRDefault="007F2C1E" w:rsidP="007F2C1E">
      <w:pPr>
        <w:pStyle w:val="Notedebasdepage"/>
        <w:rPr>
          <w:sz w:val="16"/>
          <w:szCs w:val="16"/>
          <w:lang w:val="fr-FR"/>
        </w:rPr>
      </w:pPr>
      <w:r w:rsidRPr="00A36397">
        <w:rPr>
          <w:rStyle w:val="Appelnotedebasdep"/>
          <w:szCs w:val="16"/>
          <w:lang w:val="fr-FR"/>
        </w:rPr>
        <w:tab/>
        <w:t>*</w:t>
      </w:r>
      <w:r w:rsidRPr="00A36397">
        <w:rPr>
          <w:rStyle w:val="Appelnotedebasdep"/>
          <w:szCs w:val="16"/>
          <w:lang w:val="fr-FR"/>
        </w:rPr>
        <w:tab/>
      </w:r>
      <w:r w:rsidRPr="00A36397">
        <w:rPr>
          <w:sz w:val="16"/>
          <w:szCs w:val="16"/>
          <w:lang w:val="fr-FR"/>
        </w:rPr>
        <w:t>Diffusée en langue allemande par la Commission centrale pour la navigation du Rhin sous la cote CCNR-ZKR/ADN/WP.15/AC.2/2022/</w:t>
      </w:r>
      <w:r>
        <w:rPr>
          <w:sz w:val="16"/>
          <w:szCs w:val="16"/>
          <w:lang w:val="fr-FR"/>
        </w:rPr>
        <w:t>37</w:t>
      </w:r>
    </w:p>
  </w:footnote>
  <w:footnote w:id="3">
    <w:p w14:paraId="57870EEA" w14:textId="6301EB8D" w:rsidR="007F2C1E" w:rsidRPr="00A36397" w:rsidRDefault="007F2C1E" w:rsidP="007F2C1E">
      <w:pPr>
        <w:pStyle w:val="Notedebasdepage"/>
        <w:rPr>
          <w:sz w:val="16"/>
          <w:szCs w:val="16"/>
          <w:lang w:val="fr-FR"/>
        </w:rPr>
      </w:pPr>
      <w:r w:rsidRPr="00A36397">
        <w:rPr>
          <w:rStyle w:val="Appelnotedebasdep"/>
          <w:szCs w:val="16"/>
          <w:lang w:val="fr-FR"/>
        </w:rPr>
        <w:tab/>
        <w:t>**</w:t>
      </w:r>
      <w:r w:rsidRPr="00A36397">
        <w:rPr>
          <w:rStyle w:val="Appelnotedebasdep"/>
          <w:szCs w:val="16"/>
          <w:lang w:val="fr-FR"/>
        </w:rPr>
        <w:tab/>
      </w:r>
      <w:r w:rsidR="00AC0820" w:rsidRPr="00AC0820">
        <w:rPr>
          <w:sz w:val="16"/>
          <w:szCs w:val="16"/>
          <w:lang w:val="fr-FR"/>
        </w:rPr>
        <w:t>A/76/6 (Sect.20),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BCBB" w14:textId="6B093311" w:rsidR="007F2C1E" w:rsidRPr="007F2C1E" w:rsidRDefault="004627D7">
    <w:pPr>
      <w:pStyle w:val="En-tte"/>
    </w:pPr>
    <w:r>
      <w:fldChar w:fldCharType="begin"/>
    </w:r>
    <w:r>
      <w:instrText xml:space="preserve"> TITLE  \* MERGEFORMAT </w:instrText>
    </w:r>
    <w:r>
      <w:fldChar w:fldCharType="separate"/>
    </w:r>
    <w:r>
      <w:t>ECE/TRANS/WP.15/AC.2/2022/37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8851" w14:textId="1C2D92D1" w:rsidR="007F2C1E" w:rsidRPr="007F2C1E" w:rsidRDefault="004627D7" w:rsidP="007F2C1E">
    <w:pPr>
      <w:pStyle w:val="En-tte"/>
      <w:jc w:val="right"/>
    </w:pPr>
    <w:r>
      <w:fldChar w:fldCharType="begin"/>
    </w:r>
    <w:r>
      <w:instrText xml:space="preserve"> TITLE  \* MERGEFORMAT </w:instrText>
    </w:r>
    <w:r>
      <w:fldChar w:fldCharType="separate"/>
    </w:r>
    <w:r>
      <w:t>ECE/TRANS/WP.15/AC.2/2022/37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59B9" w14:textId="2574815D" w:rsidR="008E35A3" w:rsidRPr="008E35A3" w:rsidRDefault="008E35A3" w:rsidP="008E35A3">
    <w:r>
      <w:rPr>
        <w:noProof/>
      </w:rPr>
      <mc:AlternateContent>
        <mc:Choice Requires="wps">
          <w:drawing>
            <wp:anchor distT="0" distB="0" distL="114300" distR="114300" simplePos="0" relativeHeight="251661824" behindDoc="0" locked="0" layoutInCell="1" allowOverlap="1" wp14:anchorId="01939D1D" wp14:editId="4E77CEB4">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9C8BA89" w14:textId="3A4C1BD5" w:rsidR="008E35A3" w:rsidRPr="007F2C1E" w:rsidRDefault="00AF0DFB" w:rsidP="008E35A3">
                          <w:pPr>
                            <w:pStyle w:val="En-tte"/>
                          </w:pPr>
                          <w:fldSimple w:instr=" TITLE  \* MERGEFORMAT ">
                            <w:r w:rsidR="004627D7">
                              <w:t>ECE/TRANS/WP.15/AC.2/2022/37</w:t>
                            </w:r>
                          </w:fldSimple>
                        </w:p>
                        <w:p w14:paraId="6B40BE79" w14:textId="77777777" w:rsidR="008E35A3" w:rsidRDefault="008E35A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1939D1D" id="_x0000_t202" coordsize="21600,21600" o:spt="202" path="m,l,21600r21600,l21600,xe">
              <v:stroke joinstyle="miter"/>
              <v:path gradientshapeok="t" o:connecttype="rect"/>
            </v:shapetype>
            <v:shape id="Text Box 6" o:spid="_x0000_s1026" type="#_x0000_t202" style="position:absolute;margin-left:782.35pt;margin-top:0;width:17pt;height:481.9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XSTwIAAKU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0OiV0k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79C8BA89" w14:textId="3A4C1BD5" w:rsidR="008E35A3" w:rsidRPr="007F2C1E" w:rsidRDefault="00AF0DFB" w:rsidP="008E35A3">
                    <w:pPr>
                      <w:pStyle w:val="En-tte"/>
                    </w:pPr>
                    <w:fldSimple w:instr=" TITLE  \* MERGEFORMAT ">
                      <w:r w:rsidR="004627D7">
                        <w:t>ECE/TRANS/WP.15/AC.2/2022/37</w:t>
                      </w:r>
                    </w:fldSimple>
                  </w:p>
                  <w:p w14:paraId="6B40BE79" w14:textId="77777777" w:rsidR="008E35A3" w:rsidRDefault="008E35A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9C7A" w14:textId="3452CF1B" w:rsidR="008E35A3" w:rsidRPr="008E35A3" w:rsidRDefault="008E35A3" w:rsidP="008E35A3">
    <w:r>
      <w:rPr>
        <w:noProof/>
      </w:rPr>
      <mc:AlternateContent>
        <mc:Choice Requires="wps">
          <w:drawing>
            <wp:anchor distT="0" distB="0" distL="114300" distR="114300" simplePos="0" relativeHeight="251659776" behindDoc="0" locked="0" layoutInCell="1" allowOverlap="1" wp14:anchorId="67E000E5" wp14:editId="759C6A88">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60EE7B" w14:textId="3BC548D1" w:rsidR="008E35A3" w:rsidRPr="007F2C1E" w:rsidRDefault="00AF0DFB" w:rsidP="008E35A3">
                          <w:pPr>
                            <w:pStyle w:val="En-tte"/>
                            <w:jc w:val="right"/>
                          </w:pPr>
                          <w:fldSimple w:instr=" TITLE  \* MERGEFORMAT ">
                            <w:r w:rsidR="004627D7">
                              <w:t>ECE/TRANS/WP.15/AC.2/2022/37</w:t>
                            </w:r>
                          </w:fldSimple>
                        </w:p>
                        <w:p w14:paraId="5AC88853" w14:textId="77777777" w:rsidR="008E35A3" w:rsidRDefault="008E35A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E000E5" id="_x0000_t202" coordsize="21600,21600" o:spt="202" path="m,l,21600r21600,l21600,xe">
              <v:stroke joinstyle="miter"/>
              <v:path gradientshapeok="t" o:connecttype="rect"/>
            </v:shapetype>
            <v:shape id="Text Box 4" o:spid="_x0000_s1027" type="#_x0000_t202" style="position:absolute;margin-left:782.35pt;margin-top:0;width:17pt;height:481.9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VBXoJI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6160EE7B" w14:textId="3BC548D1" w:rsidR="008E35A3" w:rsidRPr="007F2C1E" w:rsidRDefault="00AF0DFB" w:rsidP="008E35A3">
                    <w:pPr>
                      <w:pStyle w:val="En-tte"/>
                      <w:jc w:val="right"/>
                    </w:pPr>
                    <w:fldSimple w:instr=" TITLE  \* MERGEFORMAT ">
                      <w:r w:rsidR="004627D7">
                        <w:t>ECE/TRANS/WP.15/AC.2/2022/37</w:t>
                      </w:r>
                    </w:fldSimple>
                  </w:p>
                  <w:p w14:paraId="5AC88853" w14:textId="77777777" w:rsidR="008E35A3" w:rsidRDefault="008E35A3"/>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1E"/>
    <w:rsid w:val="000017F5"/>
    <w:rsid w:val="0001207F"/>
    <w:rsid w:val="00017F94"/>
    <w:rsid w:val="00023842"/>
    <w:rsid w:val="000334F9"/>
    <w:rsid w:val="0003389B"/>
    <w:rsid w:val="0007796D"/>
    <w:rsid w:val="000942EE"/>
    <w:rsid w:val="000A52BF"/>
    <w:rsid w:val="000B7790"/>
    <w:rsid w:val="000D3EE9"/>
    <w:rsid w:val="000D62F3"/>
    <w:rsid w:val="00111F2F"/>
    <w:rsid w:val="001433FD"/>
    <w:rsid w:val="0014365E"/>
    <w:rsid w:val="001541D3"/>
    <w:rsid w:val="00176178"/>
    <w:rsid w:val="001A064B"/>
    <w:rsid w:val="001D400F"/>
    <w:rsid w:val="001F525A"/>
    <w:rsid w:val="00223272"/>
    <w:rsid w:val="00240333"/>
    <w:rsid w:val="002434F4"/>
    <w:rsid w:val="0024779E"/>
    <w:rsid w:val="002832AC"/>
    <w:rsid w:val="002834A0"/>
    <w:rsid w:val="002C42C4"/>
    <w:rsid w:val="002D7C93"/>
    <w:rsid w:val="00343829"/>
    <w:rsid w:val="0037241C"/>
    <w:rsid w:val="003D61C6"/>
    <w:rsid w:val="00441C3B"/>
    <w:rsid w:val="00446B0A"/>
    <w:rsid w:val="00446FE5"/>
    <w:rsid w:val="00452396"/>
    <w:rsid w:val="004627D7"/>
    <w:rsid w:val="004E468C"/>
    <w:rsid w:val="004F2920"/>
    <w:rsid w:val="005316B0"/>
    <w:rsid w:val="005505B7"/>
    <w:rsid w:val="00564657"/>
    <w:rsid w:val="00573BE5"/>
    <w:rsid w:val="00586ED3"/>
    <w:rsid w:val="00596AA9"/>
    <w:rsid w:val="005C2830"/>
    <w:rsid w:val="00677513"/>
    <w:rsid w:val="006E2F73"/>
    <w:rsid w:val="006E5523"/>
    <w:rsid w:val="00701198"/>
    <w:rsid w:val="00703D0F"/>
    <w:rsid w:val="00706363"/>
    <w:rsid w:val="0071601D"/>
    <w:rsid w:val="00723366"/>
    <w:rsid w:val="007A62E6"/>
    <w:rsid w:val="007F2C1E"/>
    <w:rsid w:val="0080684C"/>
    <w:rsid w:val="008204DA"/>
    <w:rsid w:val="0083123A"/>
    <w:rsid w:val="00871C75"/>
    <w:rsid w:val="008767E8"/>
    <w:rsid w:val="008776DC"/>
    <w:rsid w:val="008C25E8"/>
    <w:rsid w:val="008E35A3"/>
    <w:rsid w:val="008F3F91"/>
    <w:rsid w:val="00915979"/>
    <w:rsid w:val="009705C8"/>
    <w:rsid w:val="009C1CF4"/>
    <w:rsid w:val="009E653E"/>
    <w:rsid w:val="009F02C9"/>
    <w:rsid w:val="00A30353"/>
    <w:rsid w:val="00A62D91"/>
    <w:rsid w:val="00A90D54"/>
    <w:rsid w:val="00AA113A"/>
    <w:rsid w:val="00AC0820"/>
    <w:rsid w:val="00AC3823"/>
    <w:rsid w:val="00AE323C"/>
    <w:rsid w:val="00AF0DFB"/>
    <w:rsid w:val="00B00181"/>
    <w:rsid w:val="00B00B0D"/>
    <w:rsid w:val="00B07F65"/>
    <w:rsid w:val="00B30069"/>
    <w:rsid w:val="00B50E25"/>
    <w:rsid w:val="00B64918"/>
    <w:rsid w:val="00B765F7"/>
    <w:rsid w:val="00BA0CA9"/>
    <w:rsid w:val="00C02897"/>
    <w:rsid w:val="00C340BE"/>
    <w:rsid w:val="00C46B41"/>
    <w:rsid w:val="00C7616F"/>
    <w:rsid w:val="00CB16B5"/>
    <w:rsid w:val="00CC7511"/>
    <w:rsid w:val="00CE0608"/>
    <w:rsid w:val="00D3439C"/>
    <w:rsid w:val="00D44CF3"/>
    <w:rsid w:val="00D70306"/>
    <w:rsid w:val="00DA6C5E"/>
    <w:rsid w:val="00DB1831"/>
    <w:rsid w:val="00DD3BFD"/>
    <w:rsid w:val="00DF431C"/>
    <w:rsid w:val="00DF6678"/>
    <w:rsid w:val="00E939CE"/>
    <w:rsid w:val="00EF2E22"/>
    <w:rsid w:val="00F0592C"/>
    <w:rsid w:val="00F43289"/>
    <w:rsid w:val="00F660DF"/>
    <w:rsid w:val="00F95C08"/>
    <w:rsid w:val="00FA728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0F12D"/>
  <w15:docId w15:val="{D829D9AA-CF84-4CC0-820D-15470F57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uiPriority w:val="3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ntext Zchn1 Zchn,Fußnotentext Zchn Zchn Zchn, Car Car Car Zchn Zchn Zchn, Car Car Car Car Car Car Car Car Car Zchn Zchn Zchn, Car Car Car Zchn1 Zchn, Car Car Car Car Car Car Car Car Car Zchn1 Zchn,5_GR,Fußnotentext Zch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ntext Zchn1 Zchn Car,Fußnotentext Zchn Zchn Zchn Car, Car Car Car Zchn Zchn Zchn Car, Car Car Car Car Car Car Car Car Car Zchn Zchn Zchn Car, Car Car Car Zchn1 Zchn Car,5_GR Car,Fußnotentext Zch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Paragraphedeliste">
    <w:name w:val="List Paragraph"/>
    <w:basedOn w:val="Normal"/>
    <w:uiPriority w:val="34"/>
    <w:qFormat/>
    <w:rsid w:val="007F2C1E"/>
    <w:pPr>
      <w:widowControl w:val="0"/>
      <w:suppressAutoHyphens w:val="0"/>
      <w:kinsoku/>
      <w:snapToGrid/>
      <w:spacing w:line="240" w:lineRule="auto"/>
      <w:ind w:left="720" w:hanging="1134"/>
      <w:contextualSpacing/>
      <w:jc w:val="both"/>
      <w:textAlignment w:val="baseline"/>
    </w:pPr>
    <w:rPr>
      <w:lang w:val="de-DE" w:eastAsia="fr-FR"/>
    </w:rPr>
  </w:style>
  <w:style w:type="character" w:styleId="Marquedecommentaire">
    <w:name w:val="annotation reference"/>
    <w:basedOn w:val="Policepardfaut"/>
    <w:uiPriority w:val="99"/>
    <w:semiHidden/>
    <w:unhideWhenUsed/>
    <w:rsid w:val="00701198"/>
    <w:rPr>
      <w:sz w:val="16"/>
      <w:szCs w:val="16"/>
    </w:rPr>
  </w:style>
  <w:style w:type="paragraph" w:styleId="Commentaire">
    <w:name w:val="annotation text"/>
    <w:basedOn w:val="Normal"/>
    <w:link w:val="CommentaireCar"/>
    <w:uiPriority w:val="99"/>
    <w:semiHidden/>
    <w:unhideWhenUsed/>
    <w:rsid w:val="00701198"/>
    <w:pPr>
      <w:spacing w:line="240" w:lineRule="auto"/>
    </w:pPr>
  </w:style>
  <w:style w:type="character" w:customStyle="1" w:styleId="CommentaireCar">
    <w:name w:val="Commentaire Car"/>
    <w:basedOn w:val="Policepardfaut"/>
    <w:link w:val="Commentaire"/>
    <w:uiPriority w:val="99"/>
    <w:semiHidden/>
    <w:rsid w:val="00701198"/>
  </w:style>
  <w:style w:type="paragraph" w:styleId="Objetducommentaire">
    <w:name w:val="annotation subject"/>
    <w:basedOn w:val="Commentaire"/>
    <w:next w:val="Commentaire"/>
    <w:link w:val="ObjetducommentaireCar"/>
    <w:uiPriority w:val="99"/>
    <w:semiHidden/>
    <w:unhideWhenUsed/>
    <w:rsid w:val="00701198"/>
    <w:rPr>
      <w:b/>
      <w:bCs/>
    </w:rPr>
  </w:style>
  <w:style w:type="character" w:customStyle="1" w:styleId="ObjetducommentaireCar">
    <w:name w:val="Objet du commentaire Car"/>
    <w:basedOn w:val="CommentaireCar"/>
    <w:link w:val="Objetducommentaire"/>
    <w:uiPriority w:val="99"/>
    <w:semiHidden/>
    <w:rsid w:val="00701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3A9C4-C769-4529-9509-113F0DCE40DE}"/>
</file>

<file path=customXml/itemProps2.xml><?xml version="1.0" encoding="utf-8"?>
<ds:datastoreItem xmlns:ds="http://schemas.openxmlformats.org/officeDocument/2006/customXml" ds:itemID="{7A8A91BE-E93D-40B2-B9E8-1AC02B4B5D0A}">
  <ds:schemaRefs>
    <ds:schemaRef ds:uri="http://schemas.openxmlformats.org/officeDocument/2006/bibliography"/>
  </ds:schemaRefs>
</ds:datastoreItem>
</file>

<file path=customXml/itemProps3.xml><?xml version="1.0" encoding="utf-8"?>
<ds:datastoreItem xmlns:ds="http://schemas.openxmlformats.org/officeDocument/2006/customXml" ds:itemID="{CC4B226A-9323-4D8D-A259-28BF651BE355}">
  <ds:schemaRefs>
    <ds:schemaRef ds:uri="http://schemas.microsoft.com/office/2006/metadata/properties"/>
    <ds:schemaRef ds:uri="http://schemas.microsoft.com/office/infopath/2007/PartnerControls"/>
    <ds:schemaRef ds:uri="4b4a1c0d-4a69-4996-a84a-fc699b9f49de"/>
  </ds:schemaRefs>
</ds:datastoreItem>
</file>

<file path=customXml/itemProps4.xml><?xml version="1.0" encoding="utf-8"?>
<ds:datastoreItem xmlns:ds="http://schemas.openxmlformats.org/officeDocument/2006/customXml" ds:itemID="{78E8250C-9C20-4190-9AED-B1E1D5655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3422</Characters>
  <Application>Microsoft Office Word</Application>
  <DocSecurity>0</DocSecurity>
  <Lines>97</Lines>
  <Paragraphs>41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ECE/TRANS/WP.15/AC.2/2022/37</dc:title>
  <dc:subject>FINAL</dc:subject>
  <dc:creator>ND</dc:creator>
  <cp:keywords/>
  <dc:description/>
  <cp:lastModifiedBy>Corinne Robert</cp:lastModifiedBy>
  <cp:revision>3</cp:revision>
  <cp:lastPrinted>2022-05-24T08:47:00Z</cp:lastPrinted>
  <dcterms:created xsi:type="dcterms:W3CDTF">2022-05-24T08:47:00Z</dcterms:created>
  <dcterms:modified xsi:type="dcterms:W3CDTF">2022-05-24T08:47:00Z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