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A962" w14:textId="77777777" w:rsidR="00B84D47" w:rsidRPr="00B84D47" w:rsidRDefault="00B84D47" w:rsidP="00B84D47">
      <w:pPr>
        <w:keepNext/>
        <w:spacing w:before="120" w:after="0" w:line="240" w:lineRule="auto"/>
        <w:rPr>
          <w:rFonts w:asciiTheme="majorBidi" w:hAnsiTheme="majorBidi" w:cstheme="majorBidi"/>
          <w:b/>
          <w:sz w:val="28"/>
          <w:szCs w:val="28"/>
          <w:lang w:val="en-GB"/>
        </w:rPr>
      </w:pPr>
      <w:r w:rsidRPr="00B84D47">
        <w:rPr>
          <w:rFonts w:asciiTheme="majorBidi" w:eastAsia="Times New Roman" w:hAnsiTheme="majorBidi" w:cstheme="majorBidi"/>
          <w:b/>
          <w:sz w:val="28"/>
          <w:szCs w:val="28"/>
          <w:lang w:val="en-GB" w:eastAsia="es-ES_tradnl"/>
        </w:rPr>
        <w:t>Economic</w:t>
      </w:r>
      <w:r w:rsidRPr="00B84D47">
        <w:rPr>
          <w:rFonts w:asciiTheme="majorBidi" w:hAnsiTheme="majorBidi" w:cstheme="majorBidi"/>
          <w:b/>
          <w:sz w:val="28"/>
          <w:szCs w:val="28"/>
          <w:lang w:val="en-GB"/>
        </w:rPr>
        <w:t xml:space="preserve"> Commission for Europe</w:t>
      </w:r>
    </w:p>
    <w:p w14:paraId="4EA71601" w14:textId="77777777" w:rsidR="00B84D47" w:rsidRPr="00B84D47" w:rsidRDefault="00B84D47" w:rsidP="00B84D47">
      <w:pPr>
        <w:keepNext/>
        <w:suppressAutoHyphens/>
        <w:spacing w:before="120"/>
        <w:rPr>
          <w:rFonts w:asciiTheme="majorBidi" w:hAnsiTheme="majorBidi" w:cstheme="majorBidi"/>
          <w:bCs/>
          <w:sz w:val="28"/>
          <w:szCs w:val="28"/>
          <w:lang w:val="en-GB"/>
        </w:rPr>
      </w:pPr>
      <w:r w:rsidRPr="00B84D47">
        <w:rPr>
          <w:rFonts w:asciiTheme="majorBidi" w:hAnsiTheme="majorBidi" w:cstheme="majorBidi"/>
          <w:bCs/>
          <w:sz w:val="28"/>
          <w:szCs w:val="28"/>
          <w:lang w:val="en-GB"/>
        </w:rPr>
        <w:t>Committee on Environmental Policy</w:t>
      </w:r>
    </w:p>
    <w:p w14:paraId="7B03F283" w14:textId="77777777" w:rsidR="00B84D47" w:rsidRPr="00B84D47" w:rsidRDefault="00B84D47" w:rsidP="00B84D47">
      <w:pPr>
        <w:tabs>
          <w:tab w:val="left" w:pos="3261"/>
        </w:tabs>
        <w:spacing w:before="120" w:after="0"/>
        <w:rPr>
          <w:rFonts w:asciiTheme="majorBidi" w:hAnsiTheme="majorBidi" w:cstheme="majorBidi"/>
          <w:b/>
          <w:lang w:val="en-GB"/>
        </w:rPr>
      </w:pPr>
      <w:r w:rsidRPr="00B84D47">
        <w:rPr>
          <w:rFonts w:asciiTheme="majorBidi" w:hAnsiTheme="majorBidi" w:cstheme="majorBidi"/>
          <w:b/>
          <w:lang w:val="en-GB"/>
        </w:rPr>
        <w:t>Special session</w:t>
      </w:r>
    </w:p>
    <w:p w14:paraId="617B76BC" w14:textId="77777777" w:rsidR="00B84D47" w:rsidRPr="00B84D47" w:rsidRDefault="00B84D47" w:rsidP="00B84D47">
      <w:pPr>
        <w:spacing w:after="0"/>
        <w:rPr>
          <w:rFonts w:asciiTheme="majorBidi" w:hAnsiTheme="majorBidi" w:cstheme="majorBidi"/>
          <w:sz w:val="20"/>
          <w:szCs w:val="20"/>
          <w:lang w:val="en-GB"/>
        </w:rPr>
      </w:pPr>
      <w:r w:rsidRPr="00B84D47">
        <w:rPr>
          <w:rFonts w:asciiTheme="majorBidi" w:hAnsiTheme="majorBidi" w:cstheme="majorBidi"/>
          <w:sz w:val="20"/>
          <w:szCs w:val="20"/>
          <w:lang w:val="en-GB"/>
        </w:rPr>
        <w:t>Geneva, 9–12 May 2022</w:t>
      </w:r>
    </w:p>
    <w:p w14:paraId="588700E8" w14:textId="3FD6FD1A" w:rsidR="00B84D47" w:rsidRPr="00B84D47" w:rsidRDefault="00B84D47" w:rsidP="00B84D47">
      <w:pPr>
        <w:keepNext/>
        <w:suppressAutoHyphens/>
        <w:spacing w:after="0" w:line="240" w:lineRule="atLeast"/>
        <w:rPr>
          <w:rFonts w:asciiTheme="majorBidi" w:hAnsiTheme="majorBidi" w:cstheme="majorBidi"/>
          <w:sz w:val="20"/>
          <w:szCs w:val="20"/>
          <w:lang w:val="en-GB"/>
        </w:rPr>
      </w:pPr>
      <w:r w:rsidRPr="00B84D47">
        <w:rPr>
          <w:rFonts w:asciiTheme="majorBidi" w:hAnsiTheme="majorBidi" w:cstheme="majorBidi"/>
          <w:sz w:val="20"/>
          <w:szCs w:val="20"/>
          <w:lang w:val="en-GB"/>
        </w:rPr>
        <w:t>Item 3 (</w:t>
      </w:r>
      <w:r>
        <w:rPr>
          <w:rFonts w:asciiTheme="majorBidi" w:hAnsiTheme="majorBidi" w:cstheme="majorBidi"/>
          <w:sz w:val="20"/>
          <w:szCs w:val="20"/>
          <w:lang w:val="en-GB"/>
        </w:rPr>
        <w:t>e</w:t>
      </w:r>
      <w:r w:rsidRPr="00B84D47">
        <w:rPr>
          <w:rFonts w:asciiTheme="majorBidi" w:hAnsiTheme="majorBidi" w:cstheme="majorBidi"/>
          <w:sz w:val="20"/>
          <w:szCs w:val="20"/>
          <w:lang w:val="en-GB"/>
        </w:rPr>
        <w:t>) of the provisional agenda</w:t>
      </w:r>
    </w:p>
    <w:p w14:paraId="4E3AB2BA" w14:textId="77777777" w:rsidR="00B84D47" w:rsidRPr="00B84D47" w:rsidRDefault="00B84D47" w:rsidP="00B84D47">
      <w:pPr>
        <w:pStyle w:val="BodyText2"/>
        <w:keepNext/>
        <w:spacing w:after="0" w:line="240" w:lineRule="auto"/>
        <w:rPr>
          <w:rFonts w:asciiTheme="majorBidi" w:hAnsiTheme="majorBidi" w:cstheme="majorBidi"/>
          <w:b/>
          <w:sz w:val="20"/>
          <w:szCs w:val="20"/>
          <w:lang w:val="en-GB" w:eastAsia="es-ES_tradnl"/>
        </w:rPr>
      </w:pPr>
      <w:r w:rsidRPr="00B84D47">
        <w:rPr>
          <w:rFonts w:asciiTheme="majorBidi" w:hAnsiTheme="majorBidi" w:cstheme="majorBidi"/>
          <w:b/>
          <w:sz w:val="20"/>
          <w:szCs w:val="20"/>
          <w:lang w:val="en-GB" w:eastAsia="es-ES_tradnl"/>
        </w:rPr>
        <w:t>The Ninth Environment for Europe Ministerial Conference:</w:t>
      </w:r>
    </w:p>
    <w:p w14:paraId="3CE7595F" w14:textId="1F5924F1" w:rsidR="00B84D47" w:rsidRPr="00B84D47" w:rsidRDefault="00B84D47" w:rsidP="00B84D47">
      <w:pPr>
        <w:pStyle w:val="BodyText2"/>
        <w:keepNext/>
        <w:spacing w:after="0" w:line="240" w:lineRule="auto"/>
        <w:rPr>
          <w:rFonts w:asciiTheme="majorBidi" w:eastAsia="SimSun" w:hAnsiTheme="majorBidi" w:cstheme="majorBidi"/>
          <w:b/>
          <w:bCs/>
          <w:sz w:val="20"/>
          <w:szCs w:val="20"/>
          <w:lang w:val="en-GB" w:eastAsia="fr-FR"/>
        </w:rPr>
      </w:pPr>
      <w:r w:rsidRPr="00B84D47">
        <w:rPr>
          <w:rFonts w:asciiTheme="majorBidi" w:eastAsia="SimSun" w:hAnsiTheme="majorBidi" w:cstheme="majorBidi"/>
          <w:b/>
          <w:bCs/>
          <w:sz w:val="20"/>
          <w:szCs w:val="20"/>
          <w:lang w:val="en-GB" w:eastAsia="fr-FR"/>
        </w:rPr>
        <w:t xml:space="preserve"> Final report on the implementation of the Batumi Action for Cleaner Air</w:t>
      </w:r>
    </w:p>
    <w:p w14:paraId="125C5626" w14:textId="77777777" w:rsidR="00B84D47" w:rsidRPr="00B84D47" w:rsidRDefault="00B84D47" w:rsidP="00B84D47">
      <w:pPr>
        <w:pStyle w:val="BodyText2"/>
        <w:keepNext/>
        <w:spacing w:after="0" w:line="240" w:lineRule="auto"/>
        <w:rPr>
          <w:rFonts w:asciiTheme="majorBidi" w:eastAsia="SimSun" w:hAnsiTheme="majorBidi" w:cstheme="majorBidi"/>
          <w:sz w:val="20"/>
          <w:szCs w:val="20"/>
          <w:lang w:val="en-GB" w:eastAsia="fr-FR"/>
        </w:rPr>
      </w:pPr>
    </w:p>
    <w:p w14:paraId="7B61B1F7" w14:textId="708F5C2E" w:rsidR="00B84D47" w:rsidRPr="00B84D47" w:rsidRDefault="00B84D47" w:rsidP="00B84D47">
      <w:pPr>
        <w:pStyle w:val="BodyText2"/>
        <w:keepNext/>
        <w:spacing w:after="0" w:line="240" w:lineRule="auto"/>
        <w:rPr>
          <w:rFonts w:asciiTheme="majorBidi" w:eastAsia="SimSun" w:hAnsiTheme="majorBidi" w:cstheme="majorBidi"/>
          <w:sz w:val="20"/>
          <w:szCs w:val="20"/>
          <w:lang w:val="en-GB" w:eastAsia="fr-FR"/>
        </w:rPr>
      </w:pPr>
      <w:r w:rsidRPr="00B84D47">
        <w:rPr>
          <w:rFonts w:asciiTheme="majorBidi" w:eastAsia="SimSun" w:hAnsiTheme="majorBidi" w:cstheme="majorBidi"/>
          <w:sz w:val="20"/>
          <w:szCs w:val="20"/>
          <w:lang w:val="en-GB" w:eastAsia="fr-FR"/>
        </w:rPr>
        <w:t>Information paper No.</w:t>
      </w:r>
      <w:r>
        <w:rPr>
          <w:rFonts w:asciiTheme="majorBidi" w:eastAsia="SimSun" w:hAnsiTheme="majorBidi" w:cstheme="majorBidi"/>
          <w:sz w:val="20"/>
          <w:szCs w:val="20"/>
          <w:lang w:val="en-GB" w:eastAsia="fr-FR"/>
        </w:rPr>
        <w:t>7</w:t>
      </w:r>
    </w:p>
    <w:p w14:paraId="6DF5397A" w14:textId="77777777" w:rsidR="00B84D47" w:rsidRPr="00B84D47" w:rsidRDefault="00B84D47" w:rsidP="00B84D47">
      <w:pPr>
        <w:pStyle w:val="BodyText2"/>
        <w:keepNext/>
        <w:spacing w:after="0" w:line="240" w:lineRule="auto"/>
        <w:rPr>
          <w:rFonts w:asciiTheme="majorBidi" w:eastAsia="SimSun" w:hAnsiTheme="majorBidi" w:cstheme="majorBidi"/>
          <w:sz w:val="20"/>
          <w:szCs w:val="20"/>
          <w:lang w:val="en-GB" w:eastAsia="fr-FR"/>
        </w:rPr>
      </w:pPr>
      <w:r w:rsidRPr="00B84D47">
        <w:rPr>
          <w:rFonts w:asciiTheme="majorBidi" w:eastAsia="SimSun" w:hAnsiTheme="majorBidi" w:cstheme="majorBidi"/>
          <w:sz w:val="20"/>
          <w:szCs w:val="20"/>
          <w:lang w:val="en-GB" w:eastAsia="fr-FR"/>
        </w:rPr>
        <w:t>5 May 2022</w:t>
      </w:r>
    </w:p>
    <w:p w14:paraId="73AAFB1F" w14:textId="77777777" w:rsidR="00B84D47" w:rsidRPr="00B84D47" w:rsidRDefault="00B84D47" w:rsidP="00B84D47">
      <w:pPr>
        <w:ind w:left="1134"/>
        <w:rPr>
          <w:rFonts w:asciiTheme="majorBidi" w:hAnsiTheme="majorBidi" w:cstheme="majorBidi"/>
          <w:b/>
          <w:bCs/>
          <w:sz w:val="28"/>
          <w:szCs w:val="28"/>
          <w:lang w:val="en-GB"/>
        </w:rPr>
      </w:pPr>
    </w:p>
    <w:p w14:paraId="0170D392" w14:textId="0A435F3B" w:rsidR="00B84D47" w:rsidRPr="00B84D47" w:rsidRDefault="00B84D47" w:rsidP="00B84D47">
      <w:pPr>
        <w:pStyle w:val="HMG"/>
        <w:rPr>
          <w:rFonts w:asciiTheme="majorBidi" w:hAnsiTheme="majorBidi" w:cstheme="majorBidi"/>
        </w:rPr>
      </w:pPr>
      <w:r w:rsidRPr="00B84D47">
        <w:rPr>
          <w:rFonts w:asciiTheme="majorBidi" w:hAnsiTheme="majorBidi" w:cstheme="majorBidi"/>
        </w:rPr>
        <w:tab/>
      </w:r>
      <w:r w:rsidRPr="00B84D47">
        <w:rPr>
          <w:rFonts w:asciiTheme="majorBidi" w:hAnsiTheme="majorBidi" w:cstheme="majorBidi"/>
        </w:rPr>
        <w:tab/>
        <w:t>Final report on the implementation of the Batumi Action for Cleaner Air</w:t>
      </w:r>
    </w:p>
    <w:p w14:paraId="70C6227D" w14:textId="2C5D1BD3" w:rsidR="00B84D47" w:rsidRPr="00B84D47" w:rsidRDefault="00B84D47" w:rsidP="00B84D47">
      <w:pPr>
        <w:pStyle w:val="HChG"/>
        <w:rPr>
          <w:rFonts w:asciiTheme="majorBidi" w:hAnsiTheme="majorBidi" w:cstheme="majorBidi"/>
        </w:rPr>
      </w:pPr>
      <w:r w:rsidRPr="00B84D47">
        <w:rPr>
          <w:rFonts w:asciiTheme="majorBidi" w:hAnsiTheme="majorBidi" w:cstheme="majorBidi"/>
          <w:lang w:eastAsia="zh-TW"/>
        </w:rPr>
        <w:tab/>
      </w:r>
      <w:r w:rsidRPr="00B84D47">
        <w:rPr>
          <w:rFonts w:asciiTheme="majorBidi" w:hAnsiTheme="majorBidi" w:cstheme="majorBidi"/>
          <w:lang w:eastAsia="zh-TW"/>
        </w:rPr>
        <w:tab/>
      </w:r>
      <w:r w:rsidRPr="00B84D47">
        <w:rPr>
          <w:rFonts w:asciiTheme="majorBidi" w:hAnsiTheme="majorBidi" w:cstheme="majorBidi"/>
        </w:rPr>
        <w:t>Note</w:t>
      </w:r>
      <w:r w:rsidRPr="00B84D47">
        <w:rPr>
          <w:rFonts w:asciiTheme="majorBidi" w:hAnsiTheme="majorBidi" w:cstheme="majorBidi"/>
          <w:spacing w:val="-3"/>
        </w:rPr>
        <w:t xml:space="preserve"> </w:t>
      </w:r>
      <w:r w:rsidRPr="00B84D47">
        <w:rPr>
          <w:rFonts w:asciiTheme="majorBidi" w:hAnsiTheme="majorBidi" w:cstheme="majorBidi"/>
        </w:rPr>
        <w:t>by</w:t>
      </w:r>
      <w:r w:rsidRPr="00B84D47">
        <w:rPr>
          <w:rFonts w:asciiTheme="majorBidi" w:hAnsiTheme="majorBidi" w:cstheme="majorBidi"/>
          <w:spacing w:val="-1"/>
        </w:rPr>
        <w:t xml:space="preserve"> </w:t>
      </w:r>
      <w:r w:rsidRPr="00B84D47">
        <w:rPr>
          <w:rFonts w:asciiTheme="majorBidi" w:hAnsiTheme="majorBidi" w:cstheme="majorBidi"/>
        </w:rPr>
        <w:t>the</w:t>
      </w:r>
      <w:r w:rsidRPr="00B84D47">
        <w:rPr>
          <w:rFonts w:asciiTheme="majorBidi" w:hAnsiTheme="majorBidi" w:cstheme="majorBidi"/>
          <w:spacing w:val="-2"/>
        </w:rPr>
        <w:t xml:space="preserve"> s</w:t>
      </w:r>
      <w:r w:rsidRPr="00B84D47">
        <w:rPr>
          <w:rFonts w:asciiTheme="majorBidi" w:hAnsiTheme="majorBidi" w:cstheme="majorBidi"/>
        </w:rPr>
        <w:t xml:space="preserve">ecretariat </w:t>
      </w:r>
    </w:p>
    <w:tbl>
      <w:tblPr>
        <w:tblStyle w:val="TableGrid"/>
        <w:tblW w:w="0" w:type="auto"/>
        <w:jc w:val="center"/>
        <w:tblBorders>
          <w:insideH w:val="none" w:sz="0" w:space="0" w:color="auto"/>
        </w:tblBorders>
        <w:tblLook w:val="05E0" w:firstRow="1" w:lastRow="1" w:firstColumn="1" w:lastColumn="1" w:noHBand="0" w:noVBand="1"/>
      </w:tblPr>
      <w:tblGrid>
        <w:gridCol w:w="9350"/>
      </w:tblGrid>
      <w:tr w:rsidR="00B84D47" w:rsidRPr="00B84D47" w14:paraId="5AC7A8FD" w14:textId="77777777" w:rsidTr="00F31D4E">
        <w:trPr>
          <w:jc w:val="center"/>
        </w:trPr>
        <w:tc>
          <w:tcPr>
            <w:tcW w:w="9629" w:type="dxa"/>
            <w:shd w:val="clear" w:color="auto" w:fill="auto"/>
          </w:tcPr>
          <w:p w14:paraId="7C260CD8" w14:textId="77777777" w:rsidR="00B84D47" w:rsidRPr="00B84D47" w:rsidRDefault="00B84D47" w:rsidP="00F31D4E">
            <w:pPr>
              <w:spacing w:before="240" w:after="120"/>
              <w:ind w:left="255"/>
              <w:rPr>
                <w:rFonts w:asciiTheme="majorBidi" w:hAnsiTheme="majorBidi" w:cstheme="majorBidi"/>
                <w:i/>
                <w:lang w:eastAsia="zh-TW"/>
              </w:rPr>
            </w:pPr>
            <w:r w:rsidRPr="00B84D47">
              <w:rPr>
                <w:rFonts w:asciiTheme="majorBidi" w:hAnsiTheme="majorBidi" w:cstheme="majorBidi"/>
                <w:i/>
                <w:lang w:eastAsia="zh-TW"/>
              </w:rPr>
              <w:t>Summary</w:t>
            </w:r>
          </w:p>
        </w:tc>
      </w:tr>
      <w:tr w:rsidR="00B84D47" w:rsidRPr="00B84D47" w14:paraId="7965DE68" w14:textId="77777777" w:rsidTr="00F31D4E">
        <w:trPr>
          <w:jc w:val="center"/>
        </w:trPr>
        <w:tc>
          <w:tcPr>
            <w:tcW w:w="9629" w:type="dxa"/>
            <w:shd w:val="clear" w:color="auto" w:fill="auto"/>
          </w:tcPr>
          <w:p w14:paraId="6E626EFA" w14:textId="37369D31" w:rsidR="00B84D47" w:rsidRDefault="00B84D47" w:rsidP="00F31D4E">
            <w:pPr>
              <w:pStyle w:val="SingleTxtG"/>
              <w:rPr>
                <w:rFonts w:asciiTheme="majorBidi" w:hAnsiTheme="majorBidi" w:cstheme="majorBidi"/>
                <w:lang w:eastAsia="zh-TW"/>
              </w:rPr>
            </w:pPr>
            <w:r w:rsidRPr="00B84D47">
              <w:rPr>
                <w:rFonts w:asciiTheme="majorBidi" w:hAnsiTheme="majorBidi" w:cstheme="majorBidi"/>
                <w:lang w:eastAsia="zh-TW"/>
              </w:rPr>
              <w:t xml:space="preserve">The Batumi Action for Cleaner Air (ECE/BATUMI.CONF/2016/7) is a collection of possible actions for improving air quality within the United Nations Economic Commission for Europe (ECE) region. It provides Governments and other stakeholders with suggestions for concrete actions to address local, </w:t>
            </w:r>
            <w:proofErr w:type="gramStart"/>
            <w:r w:rsidRPr="00B84D47">
              <w:rPr>
                <w:rFonts w:asciiTheme="majorBidi" w:hAnsiTheme="majorBidi" w:cstheme="majorBidi"/>
                <w:lang w:eastAsia="zh-TW"/>
              </w:rPr>
              <w:t>national</w:t>
            </w:r>
            <w:proofErr w:type="gramEnd"/>
            <w:r w:rsidRPr="00B84D47">
              <w:rPr>
                <w:rFonts w:asciiTheme="majorBidi" w:hAnsiTheme="majorBidi" w:cstheme="majorBidi"/>
                <w:lang w:eastAsia="zh-TW"/>
              </w:rPr>
              <w:t xml:space="preserve"> and regional air pollution problems, including those that are currently not being addressed. It also seeks to aid the further implementation of the commitments under the ECE Convention on Long-range Transboundary Air Pollution (Air Convention) and its protocols and to invite stakeholders to support actions that improve air quality, </w:t>
            </w:r>
            <w:proofErr w:type="gramStart"/>
            <w:r w:rsidRPr="00B84D47">
              <w:rPr>
                <w:rFonts w:asciiTheme="majorBidi" w:hAnsiTheme="majorBidi" w:cstheme="majorBidi"/>
                <w:lang w:eastAsia="zh-TW"/>
              </w:rPr>
              <w:t>in particular capacity-building</w:t>
            </w:r>
            <w:proofErr w:type="gramEnd"/>
            <w:r w:rsidRPr="00B84D47">
              <w:rPr>
                <w:rFonts w:asciiTheme="majorBidi" w:hAnsiTheme="majorBidi" w:cstheme="majorBidi"/>
                <w:lang w:eastAsia="zh-TW"/>
              </w:rPr>
              <w:t xml:space="preserve"> and technical assistance actions. The time frame for the Batumi Action for Cleaner Air is 2016–2021. Twenty-seven countries and four organizations have committed to 108 actions in the framework of the Batumi Action for Cleaner Air.</w:t>
            </w:r>
          </w:p>
          <w:p w14:paraId="259D8BA1" w14:textId="77777777" w:rsidR="00B84D47" w:rsidRPr="00B84D47" w:rsidRDefault="00B84D47" w:rsidP="00B84D47">
            <w:pPr>
              <w:pStyle w:val="SingleTxtG"/>
              <w:rPr>
                <w:rFonts w:asciiTheme="majorBidi" w:hAnsiTheme="majorBidi" w:cstheme="majorBidi"/>
                <w:lang w:eastAsia="zh-TW"/>
              </w:rPr>
            </w:pPr>
            <w:r w:rsidRPr="00B84D47">
              <w:rPr>
                <w:rFonts w:asciiTheme="majorBidi" w:hAnsiTheme="majorBidi" w:cstheme="majorBidi"/>
                <w:lang w:eastAsia="zh-TW"/>
              </w:rPr>
              <w:t xml:space="preserve">At its twenty-third session (14–17 November 2017), the Committee on Environmental Policy invited stakeholders to report on progress achieved in implementing the commitments under the Batumi Action for Cleaner Air, </w:t>
            </w:r>
            <w:proofErr w:type="gramStart"/>
            <w:r w:rsidRPr="00B84D47">
              <w:rPr>
                <w:rFonts w:asciiTheme="majorBidi" w:hAnsiTheme="majorBidi" w:cstheme="majorBidi"/>
                <w:lang w:eastAsia="zh-TW"/>
              </w:rPr>
              <w:t>on the basis of</w:t>
            </w:r>
            <w:proofErr w:type="gramEnd"/>
            <w:r w:rsidRPr="00B84D47">
              <w:rPr>
                <w:rFonts w:asciiTheme="majorBidi" w:hAnsiTheme="majorBidi" w:cstheme="majorBidi"/>
                <w:lang w:eastAsia="zh-TW"/>
              </w:rPr>
              <w:t xml:space="preserve"> a survey template prepared by the secretariat in consultation with the Bureaux of the Committee and of the Air Convention. At its twenty-fourth session (29-31 January 2019), the Committee welcomed the document “Implementation of the Batumi Action for Cleaner Air: fostering progress towards improved air quality” (ECE/CEP/2019/6) and the progress achieved in implementing voluntary commitments by the member States and organizations participating in the Batumi Action for Cleaner Air. The Committee also called upon the member States and other stakeholders to continue active participation in this Batumi initiative.</w:t>
            </w:r>
          </w:p>
          <w:p w14:paraId="45393B50" w14:textId="28026240" w:rsidR="00B84D47" w:rsidRDefault="00B84D47" w:rsidP="00B84D47">
            <w:pPr>
              <w:pStyle w:val="SingleTxtG"/>
              <w:rPr>
                <w:rFonts w:asciiTheme="majorBidi" w:hAnsiTheme="majorBidi" w:cstheme="majorBidi"/>
                <w:lang w:eastAsia="zh-TW"/>
              </w:rPr>
            </w:pPr>
            <w:r w:rsidRPr="00B84D47">
              <w:rPr>
                <w:rFonts w:asciiTheme="majorBidi" w:hAnsiTheme="majorBidi" w:cstheme="majorBidi"/>
                <w:lang w:eastAsia="zh-TW"/>
              </w:rPr>
              <w:t xml:space="preserve">At its twenty-seventh session (3-5 November 2021), the Committee on Environmental Policy took note of the draft list of documents to be prepared for the Ninth Environment for Europe Ministerial Conference. The list includes the final report on the implementation of the Batumi Action for Cleaner Air.   </w:t>
            </w:r>
          </w:p>
          <w:p w14:paraId="2DA12180" w14:textId="7E800504" w:rsidR="00B84D47" w:rsidRPr="00B84D47" w:rsidRDefault="00B84D47" w:rsidP="00F31D4E">
            <w:pPr>
              <w:pStyle w:val="SingleTxtG"/>
              <w:rPr>
                <w:rFonts w:asciiTheme="majorBidi" w:hAnsiTheme="majorBidi" w:cstheme="majorBidi"/>
                <w:lang w:eastAsia="zh-TW"/>
              </w:rPr>
            </w:pPr>
            <w:r w:rsidRPr="00B84D47">
              <w:rPr>
                <w:rFonts w:asciiTheme="majorBidi" w:hAnsiTheme="majorBidi" w:cstheme="majorBidi"/>
                <w:lang w:eastAsia="zh-TW"/>
              </w:rPr>
              <w:tab/>
            </w:r>
          </w:p>
          <w:p w14:paraId="198EE7D2" w14:textId="25036CAE" w:rsidR="00B84D47" w:rsidRPr="00B84D47" w:rsidRDefault="006301A8" w:rsidP="00F31D4E">
            <w:pPr>
              <w:pStyle w:val="SingleTxtG"/>
              <w:rPr>
                <w:rFonts w:asciiTheme="majorBidi" w:hAnsiTheme="majorBidi" w:cstheme="majorBidi"/>
                <w:lang w:eastAsia="zh-TW"/>
              </w:rPr>
            </w:pPr>
            <w:r>
              <w:rPr>
                <w:rFonts w:asciiTheme="majorBidi" w:hAnsiTheme="majorBidi" w:cstheme="majorBidi"/>
                <w:lang w:eastAsia="zh-TW"/>
              </w:rPr>
              <w:lastRenderedPageBreak/>
              <w:t>T</w:t>
            </w:r>
            <w:r w:rsidRPr="006301A8">
              <w:rPr>
                <w:rFonts w:asciiTheme="majorBidi" w:hAnsiTheme="majorBidi" w:cstheme="majorBidi"/>
                <w:lang w:eastAsia="zh-TW"/>
              </w:rPr>
              <w:t>he online reporting tool "EfE Final report of the Batumi Action for Cleaner Air (BACA)" has been launched by the secretariat on 28 February 2022.</w:t>
            </w:r>
          </w:p>
          <w:p w14:paraId="1A601F3C" w14:textId="5F55AEB8" w:rsidR="00B84D47" w:rsidRPr="00B84D47" w:rsidRDefault="00B84D47" w:rsidP="00F31D4E">
            <w:pPr>
              <w:pStyle w:val="SingleTxtG"/>
              <w:rPr>
                <w:rFonts w:asciiTheme="majorBidi" w:hAnsiTheme="majorBidi" w:cstheme="majorBidi"/>
                <w:lang w:eastAsia="zh-TW"/>
              </w:rPr>
            </w:pPr>
            <w:r w:rsidRPr="00B84D47">
              <w:rPr>
                <w:rFonts w:asciiTheme="majorBidi" w:hAnsiTheme="majorBidi" w:cstheme="majorBidi"/>
                <w:lang w:eastAsia="zh-TW"/>
              </w:rPr>
              <w:t xml:space="preserve">A consultant was contracted by the UNECE to assist the secretariat to </w:t>
            </w:r>
            <w:r w:rsidR="006301A8">
              <w:rPr>
                <w:rFonts w:asciiTheme="majorBidi" w:hAnsiTheme="majorBidi" w:cstheme="majorBidi"/>
                <w:lang w:eastAsia="zh-TW"/>
              </w:rPr>
              <w:t>prepare the report</w:t>
            </w:r>
            <w:r w:rsidRPr="00B84D47">
              <w:rPr>
                <w:rFonts w:asciiTheme="majorBidi" w:hAnsiTheme="majorBidi" w:cstheme="majorBidi"/>
                <w:lang w:eastAsia="zh-TW"/>
              </w:rPr>
              <w:t xml:space="preserve">. </w:t>
            </w:r>
          </w:p>
          <w:p w14:paraId="749B0042" w14:textId="77777777" w:rsidR="00B84D47" w:rsidRPr="00B84D47" w:rsidRDefault="00B84D47" w:rsidP="00F31D4E">
            <w:pPr>
              <w:pStyle w:val="SingleTxtG"/>
              <w:rPr>
                <w:rFonts w:asciiTheme="majorBidi" w:hAnsiTheme="majorBidi" w:cstheme="majorBidi"/>
                <w:lang w:eastAsia="zh-TW"/>
              </w:rPr>
            </w:pPr>
            <w:r w:rsidRPr="00B84D47">
              <w:rPr>
                <w:rFonts w:asciiTheme="majorBidi" w:hAnsiTheme="majorBidi" w:cstheme="majorBidi"/>
                <w:lang w:eastAsia="zh-TW"/>
              </w:rPr>
              <w:t xml:space="preserve">The Committee will be invited to consider the paper, as appropriate, and guide the secretariat to finalize it and process as an official document of the Ninth Environment for Europe Ministerial Conference (5-7 October, Nicosia, Cyprus). </w:t>
            </w:r>
          </w:p>
        </w:tc>
      </w:tr>
    </w:tbl>
    <w:p w14:paraId="7EEBFFC2" w14:textId="77777777" w:rsidR="00B84D47" w:rsidRPr="00B84D47" w:rsidRDefault="00B84D47" w:rsidP="00B84D47">
      <w:pPr>
        <w:rPr>
          <w:rFonts w:asciiTheme="majorBidi" w:hAnsiTheme="majorBidi" w:cstheme="majorBidi"/>
          <w:b/>
          <w:sz w:val="28"/>
        </w:rPr>
      </w:pPr>
    </w:p>
    <w:p w14:paraId="0604FB64" w14:textId="77777777" w:rsidR="008A094E" w:rsidRPr="00B84D47" w:rsidRDefault="008A094E" w:rsidP="001C35CF">
      <w:pPr>
        <w:rPr>
          <w:rFonts w:asciiTheme="majorBidi" w:hAnsiTheme="majorBidi" w:cstheme="majorBidi"/>
          <w:b/>
        </w:rPr>
      </w:pPr>
    </w:p>
    <w:p w14:paraId="38E786C1" w14:textId="77777777" w:rsidR="006301A8" w:rsidRDefault="006301A8">
      <w:pPr>
        <w:rPr>
          <w:rFonts w:asciiTheme="majorBidi" w:hAnsiTheme="majorBidi" w:cstheme="majorBidi"/>
          <w:b/>
          <w:sz w:val="24"/>
        </w:rPr>
      </w:pPr>
      <w:r>
        <w:rPr>
          <w:rFonts w:asciiTheme="majorBidi" w:hAnsiTheme="majorBidi" w:cstheme="majorBidi"/>
          <w:b/>
          <w:sz w:val="24"/>
        </w:rPr>
        <w:br w:type="page"/>
      </w:r>
    </w:p>
    <w:p w14:paraId="082CD451" w14:textId="5CB222A2" w:rsidR="001C35CF" w:rsidRPr="00B84D47" w:rsidRDefault="001C35CF" w:rsidP="001C35CF">
      <w:pPr>
        <w:rPr>
          <w:rFonts w:asciiTheme="majorBidi" w:hAnsiTheme="majorBidi" w:cstheme="majorBidi"/>
          <w:b/>
          <w:sz w:val="24"/>
        </w:rPr>
      </w:pPr>
      <w:r w:rsidRPr="00B84D47">
        <w:rPr>
          <w:rFonts w:asciiTheme="majorBidi" w:hAnsiTheme="majorBidi" w:cstheme="majorBidi"/>
          <w:b/>
          <w:sz w:val="24"/>
        </w:rPr>
        <w:lastRenderedPageBreak/>
        <w:t>Int</w:t>
      </w:r>
      <w:r w:rsidR="0016208C" w:rsidRPr="00B84D47">
        <w:rPr>
          <w:rFonts w:asciiTheme="majorBidi" w:hAnsiTheme="majorBidi" w:cstheme="majorBidi"/>
          <w:b/>
          <w:sz w:val="24"/>
        </w:rPr>
        <w:t>r</w:t>
      </w:r>
      <w:r w:rsidRPr="00B84D47">
        <w:rPr>
          <w:rFonts w:asciiTheme="majorBidi" w:hAnsiTheme="majorBidi" w:cstheme="majorBidi"/>
          <w:b/>
          <w:sz w:val="24"/>
        </w:rPr>
        <w:t>o</w:t>
      </w:r>
      <w:r w:rsidR="0016208C" w:rsidRPr="00B84D47">
        <w:rPr>
          <w:rFonts w:asciiTheme="majorBidi" w:hAnsiTheme="majorBidi" w:cstheme="majorBidi"/>
          <w:b/>
          <w:sz w:val="24"/>
        </w:rPr>
        <w:t>d</w:t>
      </w:r>
      <w:r w:rsidRPr="00B84D47">
        <w:rPr>
          <w:rFonts w:asciiTheme="majorBidi" w:hAnsiTheme="majorBidi" w:cstheme="majorBidi"/>
          <w:b/>
          <w:sz w:val="24"/>
        </w:rPr>
        <w:t>uction</w:t>
      </w:r>
    </w:p>
    <w:p w14:paraId="3AD9E89D" w14:textId="77777777" w:rsidR="009C1B3A" w:rsidRPr="00B84D47" w:rsidRDefault="00843023" w:rsidP="009C1B3A">
      <w:pPr>
        <w:jc w:val="both"/>
        <w:rPr>
          <w:rFonts w:asciiTheme="majorBidi" w:hAnsiTheme="majorBidi" w:cstheme="majorBidi"/>
        </w:rPr>
      </w:pPr>
      <w:r w:rsidRPr="00B84D47">
        <w:rPr>
          <w:rFonts w:asciiTheme="majorBidi" w:hAnsiTheme="majorBidi" w:cstheme="majorBidi"/>
        </w:rPr>
        <w:t xml:space="preserve">1. </w:t>
      </w:r>
      <w:r w:rsidRPr="00B84D47">
        <w:rPr>
          <w:rFonts w:asciiTheme="majorBidi" w:hAnsiTheme="majorBidi" w:cstheme="majorBidi"/>
          <w:sz w:val="20"/>
          <w:szCs w:val="20"/>
        </w:rPr>
        <w:t xml:space="preserve">At the Eighth Environment for Europe Ministerial Conference (Batumi, 8–10 June 2016) launched </w:t>
      </w:r>
      <w:hyperlink r:id="rId7" w:history="1">
        <w:r w:rsidRPr="00B84D47">
          <w:rPr>
            <w:rStyle w:val="Hyperlink"/>
            <w:rFonts w:asciiTheme="majorBidi" w:hAnsiTheme="majorBidi" w:cstheme="majorBidi"/>
          </w:rPr>
          <w:t>t</w:t>
        </w:r>
        <w:r w:rsidR="00D36B85" w:rsidRPr="00B84D47">
          <w:rPr>
            <w:rStyle w:val="Hyperlink"/>
            <w:rFonts w:asciiTheme="majorBidi" w:hAnsiTheme="majorBidi" w:cstheme="majorBidi"/>
          </w:rPr>
          <w:t>he Batumi Action for Cleaner Air</w:t>
        </w:r>
      </w:hyperlink>
      <w:r w:rsidR="001C35CF" w:rsidRPr="00B84D47">
        <w:rPr>
          <w:rFonts w:asciiTheme="majorBidi" w:hAnsiTheme="majorBidi" w:cstheme="majorBidi"/>
        </w:rPr>
        <w:t xml:space="preserve"> (BACA)</w:t>
      </w:r>
      <w:r w:rsidRPr="00B84D47">
        <w:rPr>
          <w:rFonts w:asciiTheme="majorBidi" w:hAnsiTheme="majorBidi" w:cstheme="majorBidi"/>
        </w:rPr>
        <w:t xml:space="preserve"> which </w:t>
      </w:r>
      <w:r w:rsidR="00D36B85" w:rsidRPr="00B84D47">
        <w:rPr>
          <w:rFonts w:asciiTheme="majorBidi" w:hAnsiTheme="majorBidi" w:cstheme="majorBidi"/>
        </w:rPr>
        <w:t xml:space="preserve">is </w:t>
      </w:r>
      <w:r w:rsidR="00E566E9" w:rsidRPr="00B84D47">
        <w:rPr>
          <w:rFonts w:asciiTheme="majorBidi" w:hAnsiTheme="majorBidi" w:cstheme="majorBidi"/>
        </w:rPr>
        <w:t xml:space="preserve">a </w:t>
      </w:r>
      <w:r w:rsidR="006F3314" w:rsidRPr="00B84D47">
        <w:rPr>
          <w:rFonts w:asciiTheme="majorBidi" w:hAnsiTheme="majorBidi" w:cstheme="majorBidi"/>
        </w:rPr>
        <w:t>set</w:t>
      </w:r>
      <w:r w:rsidR="00E566E9" w:rsidRPr="00B84D47">
        <w:rPr>
          <w:rFonts w:asciiTheme="majorBidi" w:hAnsiTheme="majorBidi" w:cstheme="majorBidi"/>
        </w:rPr>
        <w:t xml:space="preserve"> of voluntary commitments </w:t>
      </w:r>
      <w:r w:rsidR="006F3314" w:rsidRPr="00B84D47">
        <w:rPr>
          <w:rFonts w:asciiTheme="majorBidi" w:hAnsiTheme="majorBidi" w:cstheme="majorBidi"/>
        </w:rPr>
        <w:t>taken</w:t>
      </w:r>
      <w:r w:rsidR="00E566E9" w:rsidRPr="00B84D47">
        <w:rPr>
          <w:rFonts w:asciiTheme="majorBidi" w:hAnsiTheme="majorBidi" w:cstheme="majorBidi"/>
        </w:rPr>
        <w:t xml:space="preserve"> by countries to improve air quality</w:t>
      </w:r>
      <w:r w:rsidR="00AA44A2" w:rsidRPr="00B84D47">
        <w:rPr>
          <w:rFonts w:asciiTheme="majorBidi" w:hAnsiTheme="majorBidi" w:cstheme="majorBidi"/>
        </w:rPr>
        <w:t xml:space="preserve"> and protect</w:t>
      </w:r>
      <w:r w:rsidR="00E566E9" w:rsidRPr="00B84D47">
        <w:rPr>
          <w:rFonts w:asciiTheme="majorBidi" w:hAnsiTheme="majorBidi" w:cstheme="majorBidi"/>
        </w:rPr>
        <w:t xml:space="preserve"> </w:t>
      </w:r>
      <w:r w:rsidR="00AA44A2" w:rsidRPr="00B84D47">
        <w:rPr>
          <w:rFonts w:asciiTheme="majorBidi" w:hAnsiTheme="majorBidi" w:cstheme="majorBidi"/>
        </w:rPr>
        <w:t xml:space="preserve">human health and </w:t>
      </w:r>
      <w:r w:rsidR="00E566E9" w:rsidRPr="00B84D47">
        <w:rPr>
          <w:rFonts w:asciiTheme="majorBidi" w:hAnsiTheme="majorBidi" w:cstheme="majorBidi"/>
        </w:rPr>
        <w:t>ecosystems</w:t>
      </w:r>
      <w:r w:rsidR="006F3314" w:rsidRPr="00B84D47">
        <w:rPr>
          <w:rFonts w:asciiTheme="majorBidi" w:hAnsiTheme="majorBidi" w:cstheme="majorBidi"/>
        </w:rPr>
        <w:t xml:space="preserve">. It is a unique </w:t>
      </w:r>
      <w:r w:rsidRPr="00B84D47">
        <w:rPr>
          <w:rFonts w:asciiTheme="majorBidi" w:hAnsiTheme="majorBidi" w:cstheme="majorBidi"/>
        </w:rPr>
        <w:t>tool that</w:t>
      </w:r>
      <w:r w:rsidR="006F3314" w:rsidRPr="00B84D47">
        <w:rPr>
          <w:rFonts w:asciiTheme="majorBidi" w:hAnsiTheme="majorBidi" w:cstheme="majorBidi"/>
        </w:rPr>
        <w:t xml:space="preserve"> </w:t>
      </w:r>
      <w:r w:rsidRPr="00B84D47">
        <w:rPr>
          <w:rFonts w:asciiTheme="majorBidi" w:hAnsiTheme="majorBidi" w:cstheme="majorBidi"/>
        </w:rPr>
        <w:t>gives an opportunity to</w:t>
      </w:r>
      <w:r w:rsidR="006F3314" w:rsidRPr="00B84D47">
        <w:rPr>
          <w:rFonts w:asciiTheme="majorBidi" w:hAnsiTheme="majorBidi" w:cstheme="majorBidi"/>
        </w:rPr>
        <w:t xml:space="preserve"> countries </w:t>
      </w:r>
      <w:r w:rsidR="001C35CF" w:rsidRPr="00B84D47">
        <w:rPr>
          <w:rFonts w:asciiTheme="majorBidi" w:hAnsiTheme="majorBidi" w:cstheme="majorBidi"/>
        </w:rPr>
        <w:t xml:space="preserve">and other stakeholders </w:t>
      </w:r>
      <w:r w:rsidR="006F3314" w:rsidRPr="00B84D47">
        <w:rPr>
          <w:rFonts w:asciiTheme="majorBidi" w:hAnsiTheme="majorBidi" w:cstheme="majorBidi"/>
        </w:rPr>
        <w:t>to set realistic goals based on their priorities and specific actions to achieve them.</w:t>
      </w:r>
      <w:r w:rsidR="009C1B3A" w:rsidRPr="00B84D47">
        <w:rPr>
          <w:rFonts w:asciiTheme="majorBidi" w:hAnsiTheme="majorBidi" w:cstheme="majorBidi"/>
        </w:rPr>
        <w:t xml:space="preserve"> More specifically, the Batumi Action for Cleaner Air has the following objectives: </w:t>
      </w:r>
    </w:p>
    <w:p w14:paraId="54BDA9EC" w14:textId="77777777" w:rsidR="009C1B3A" w:rsidRPr="00B84D47" w:rsidRDefault="009C1B3A" w:rsidP="009C1B3A">
      <w:pPr>
        <w:ind w:left="540"/>
        <w:jc w:val="both"/>
        <w:rPr>
          <w:rFonts w:asciiTheme="majorBidi" w:hAnsiTheme="majorBidi" w:cstheme="majorBidi"/>
        </w:rPr>
      </w:pPr>
      <w:r w:rsidRPr="00B84D47">
        <w:rPr>
          <w:rFonts w:asciiTheme="majorBidi" w:hAnsiTheme="majorBidi" w:cstheme="majorBidi"/>
        </w:rPr>
        <w:t xml:space="preserve">(a) To provide Governments and other stakeholders with a list of possible concrete actions to address local, national and regional air pollution problems for their consideration; </w:t>
      </w:r>
    </w:p>
    <w:p w14:paraId="0B2CA93D" w14:textId="77777777" w:rsidR="009C1B3A" w:rsidRPr="00B84D47" w:rsidRDefault="009C1B3A" w:rsidP="009C1B3A">
      <w:pPr>
        <w:ind w:left="540"/>
        <w:jc w:val="both"/>
        <w:rPr>
          <w:rFonts w:asciiTheme="majorBidi" w:hAnsiTheme="majorBidi" w:cstheme="majorBidi"/>
        </w:rPr>
      </w:pPr>
      <w:r w:rsidRPr="00B84D47">
        <w:rPr>
          <w:rFonts w:asciiTheme="majorBidi" w:hAnsiTheme="majorBidi" w:cstheme="majorBidi"/>
        </w:rPr>
        <w:t xml:space="preserve">(b) To inspire action on air pollution issues that are not currently being addressed; </w:t>
      </w:r>
    </w:p>
    <w:p w14:paraId="4B654F38" w14:textId="77777777" w:rsidR="009C1B3A" w:rsidRPr="00B84D47" w:rsidRDefault="009C1B3A" w:rsidP="009C1B3A">
      <w:pPr>
        <w:ind w:left="540"/>
        <w:jc w:val="both"/>
        <w:rPr>
          <w:rFonts w:asciiTheme="majorBidi" w:hAnsiTheme="majorBidi" w:cstheme="majorBidi"/>
        </w:rPr>
      </w:pPr>
      <w:r w:rsidRPr="00B84D47">
        <w:rPr>
          <w:rFonts w:asciiTheme="majorBidi" w:hAnsiTheme="majorBidi" w:cstheme="majorBidi"/>
        </w:rPr>
        <w:t xml:space="preserve">(c) To aid the further implementation of the commitments under the ECE Convention on Long-range Transboundary Air Pollution (Air Convention) and its protocols; </w:t>
      </w:r>
    </w:p>
    <w:p w14:paraId="089CEAD1" w14:textId="77777777" w:rsidR="009C1B3A" w:rsidRPr="00B84D47" w:rsidRDefault="009C1B3A" w:rsidP="009C1B3A">
      <w:pPr>
        <w:ind w:left="540"/>
        <w:jc w:val="both"/>
        <w:rPr>
          <w:rFonts w:asciiTheme="majorBidi" w:hAnsiTheme="majorBidi" w:cstheme="majorBidi"/>
        </w:rPr>
      </w:pPr>
      <w:r w:rsidRPr="00B84D47">
        <w:rPr>
          <w:rFonts w:asciiTheme="majorBidi" w:hAnsiTheme="majorBidi" w:cstheme="majorBidi"/>
        </w:rPr>
        <w:t xml:space="preserve">(d) To invite stakeholders (international organizations, donors and non-governmental organizations (NGOs)) to support actions that improve air quality, in particular capacity-building and technical assistance actions; </w:t>
      </w:r>
    </w:p>
    <w:p w14:paraId="06E914BE" w14:textId="77777777" w:rsidR="009C1B3A" w:rsidRPr="00B84D47" w:rsidRDefault="009C1B3A" w:rsidP="009C1B3A">
      <w:pPr>
        <w:ind w:left="540"/>
        <w:jc w:val="both"/>
        <w:rPr>
          <w:rFonts w:asciiTheme="majorBidi" w:hAnsiTheme="majorBidi" w:cstheme="majorBidi"/>
        </w:rPr>
      </w:pPr>
      <w:r w:rsidRPr="00B84D47">
        <w:rPr>
          <w:rFonts w:asciiTheme="majorBidi" w:hAnsiTheme="majorBidi" w:cstheme="majorBidi"/>
        </w:rPr>
        <w:t>(e) To invite Governments to voluntarily commit to implementing specific actions and to share their successes and further challenges at future meetings of the ECE Committee on Environmental Policy.</w:t>
      </w:r>
    </w:p>
    <w:p w14:paraId="36CD7512" w14:textId="77777777" w:rsidR="006F3314" w:rsidRPr="00B84D47" w:rsidRDefault="009C1B3A" w:rsidP="006F3314">
      <w:pPr>
        <w:jc w:val="both"/>
        <w:rPr>
          <w:rFonts w:asciiTheme="majorBidi" w:hAnsiTheme="majorBidi" w:cstheme="majorBidi"/>
        </w:rPr>
      </w:pPr>
      <w:r w:rsidRPr="00B84D47">
        <w:rPr>
          <w:rFonts w:asciiTheme="majorBidi" w:hAnsiTheme="majorBidi" w:cstheme="majorBidi"/>
        </w:rPr>
        <w:t>2.</w:t>
      </w:r>
      <w:r w:rsidR="006F3314" w:rsidRPr="00B84D47">
        <w:rPr>
          <w:rFonts w:asciiTheme="majorBidi" w:hAnsiTheme="majorBidi" w:cstheme="majorBidi"/>
        </w:rPr>
        <w:t xml:space="preserve"> </w:t>
      </w:r>
      <w:r w:rsidRPr="00B84D47">
        <w:rPr>
          <w:rFonts w:asciiTheme="majorBidi" w:hAnsiTheme="majorBidi" w:cstheme="majorBidi"/>
        </w:rPr>
        <w:t>V</w:t>
      </w:r>
      <w:r w:rsidR="001C35CF" w:rsidRPr="00B84D47">
        <w:rPr>
          <w:rFonts w:asciiTheme="majorBidi" w:hAnsiTheme="majorBidi" w:cstheme="majorBidi"/>
        </w:rPr>
        <w:t>oluntary commitments</w:t>
      </w:r>
      <w:r w:rsidRPr="00B84D47">
        <w:rPr>
          <w:rFonts w:asciiTheme="majorBidi" w:hAnsiTheme="majorBidi" w:cstheme="majorBidi"/>
        </w:rPr>
        <w:t xml:space="preserve"> of the Batumi Action for Cleaner Air</w:t>
      </w:r>
      <w:r w:rsidR="001C35CF" w:rsidRPr="00B84D47">
        <w:rPr>
          <w:rFonts w:asciiTheme="majorBidi" w:hAnsiTheme="majorBidi" w:cstheme="majorBidi"/>
        </w:rPr>
        <w:t xml:space="preserve"> cover all key aspects of air quality management, from air quality monitoring and assessment, through emission reduction policies and capacity building, to information sharing and awareness raising. </w:t>
      </w:r>
      <w:r w:rsidR="00AA44A2" w:rsidRPr="00B84D47">
        <w:rPr>
          <w:rFonts w:asciiTheme="majorBidi" w:hAnsiTheme="majorBidi" w:cstheme="majorBidi"/>
        </w:rPr>
        <w:t>BACA activities are taken at city, national and regional levels.</w:t>
      </w:r>
      <w:r w:rsidR="001C35CF" w:rsidRPr="00B84D47">
        <w:rPr>
          <w:rFonts w:asciiTheme="majorBidi" w:hAnsiTheme="majorBidi" w:cstheme="majorBidi"/>
        </w:rPr>
        <w:t xml:space="preserve"> </w:t>
      </w:r>
      <w:r w:rsidR="004E5379" w:rsidRPr="00B84D47">
        <w:rPr>
          <w:rFonts w:asciiTheme="majorBidi" w:hAnsiTheme="majorBidi" w:cstheme="majorBidi"/>
        </w:rPr>
        <w:t>The time frame for the BACA was five years and half (June 2016- December 2021) during which many very important acti</w:t>
      </w:r>
      <w:r w:rsidR="00CD5998" w:rsidRPr="00B84D47">
        <w:rPr>
          <w:rFonts w:asciiTheme="majorBidi" w:hAnsiTheme="majorBidi" w:cstheme="majorBidi"/>
        </w:rPr>
        <w:t>vities have been implemented by several</w:t>
      </w:r>
      <w:r w:rsidR="004E5379" w:rsidRPr="00B84D47">
        <w:rPr>
          <w:rFonts w:asciiTheme="majorBidi" w:hAnsiTheme="majorBidi" w:cstheme="majorBidi"/>
        </w:rPr>
        <w:t xml:space="preserve"> countries and </w:t>
      </w:r>
      <w:r w:rsidR="00D018A0" w:rsidRPr="00B84D47">
        <w:rPr>
          <w:rFonts w:asciiTheme="majorBidi" w:hAnsiTheme="majorBidi" w:cstheme="majorBidi"/>
        </w:rPr>
        <w:t>organizations</w:t>
      </w:r>
      <w:r w:rsidR="004E5379" w:rsidRPr="00B84D47">
        <w:rPr>
          <w:rFonts w:asciiTheme="majorBidi" w:hAnsiTheme="majorBidi" w:cstheme="majorBidi"/>
        </w:rPr>
        <w:t>.</w:t>
      </w:r>
    </w:p>
    <w:p w14:paraId="03110849" w14:textId="77777777" w:rsidR="00CE01F7" w:rsidRPr="00B84D47" w:rsidRDefault="009C1B3A" w:rsidP="0083514E">
      <w:pPr>
        <w:jc w:val="both"/>
        <w:rPr>
          <w:rFonts w:asciiTheme="majorBidi" w:hAnsiTheme="majorBidi" w:cstheme="majorBidi"/>
          <w:lang w:val="ka-GE"/>
        </w:rPr>
      </w:pPr>
      <w:r w:rsidRPr="00B84D47">
        <w:rPr>
          <w:rFonts w:asciiTheme="majorBidi" w:hAnsiTheme="majorBidi" w:cstheme="majorBidi"/>
        </w:rPr>
        <w:t>3</w:t>
      </w:r>
      <w:r w:rsidR="00843023" w:rsidRPr="00B84D47">
        <w:rPr>
          <w:rFonts w:asciiTheme="majorBidi" w:hAnsiTheme="majorBidi" w:cstheme="majorBidi"/>
        </w:rPr>
        <w:t xml:space="preserve">. </w:t>
      </w:r>
      <w:r w:rsidR="0083514E" w:rsidRPr="00B84D47">
        <w:rPr>
          <w:rFonts w:asciiTheme="majorBidi" w:hAnsiTheme="majorBidi" w:cstheme="majorBidi"/>
        </w:rPr>
        <w:t xml:space="preserve">In total, twenty-seven countries and four organizations have taken 110 voluntary commitments under the BASA initiative. </w:t>
      </w:r>
      <w:r w:rsidR="00CE01F7" w:rsidRPr="00B84D47">
        <w:rPr>
          <w:rFonts w:asciiTheme="majorBidi" w:hAnsiTheme="majorBidi" w:cstheme="majorBidi"/>
        </w:rPr>
        <w:t xml:space="preserve">The committing countries are Armenia, Austria, Azerbaijan, Belarus, Belgium, Canada, Croatia, Czech Republic, Estonia, France, Georgia, Germany, Hungary, Italy, Latvia, Lithuania, the Netherlands, Poland, Portugal, the Republic of Moldova, Romania, Slovenia, Spain, Sweden, Switzerland, the United States of America and Uzbekistan. Following organizations took commitments: the Nordic Council of Ministers; the Regional Environmental Centre for Central and Eastern Europe; UNECE; the World Health Organization.  </w:t>
      </w:r>
      <w:r w:rsidR="0016208C" w:rsidRPr="00B84D47">
        <w:rPr>
          <w:rFonts w:asciiTheme="majorBidi" w:hAnsiTheme="majorBidi" w:cstheme="majorBidi"/>
        </w:rPr>
        <w:t>Voluntary commitments made by countries and organizations are available on the ECE website</w:t>
      </w:r>
      <w:r w:rsidR="0016208C" w:rsidRPr="00B84D47">
        <w:rPr>
          <w:rStyle w:val="FootnoteReference"/>
          <w:rFonts w:asciiTheme="majorBidi" w:hAnsiTheme="majorBidi" w:cstheme="majorBidi"/>
        </w:rPr>
        <w:footnoteReference w:id="1"/>
      </w:r>
      <w:r w:rsidR="0016208C" w:rsidRPr="00B84D47">
        <w:rPr>
          <w:rFonts w:asciiTheme="majorBidi" w:hAnsiTheme="majorBidi" w:cstheme="majorBidi"/>
          <w:lang w:val="ka-GE"/>
        </w:rPr>
        <w:t>.</w:t>
      </w:r>
    </w:p>
    <w:p w14:paraId="3F779CB4" w14:textId="0466C3BB" w:rsidR="001C35CF" w:rsidRPr="00B84D47" w:rsidRDefault="009C1B3A" w:rsidP="0083514E">
      <w:pPr>
        <w:jc w:val="both"/>
        <w:rPr>
          <w:rFonts w:asciiTheme="majorBidi" w:hAnsiTheme="majorBidi" w:cstheme="majorBidi"/>
        </w:rPr>
      </w:pPr>
      <w:r w:rsidRPr="00B84D47">
        <w:rPr>
          <w:rFonts w:asciiTheme="majorBidi" w:hAnsiTheme="majorBidi" w:cstheme="majorBidi"/>
        </w:rPr>
        <w:t>4</w:t>
      </w:r>
      <w:r w:rsidR="00CE01F7" w:rsidRPr="00B84D47">
        <w:rPr>
          <w:rFonts w:asciiTheme="majorBidi" w:hAnsiTheme="majorBidi" w:cstheme="majorBidi"/>
        </w:rPr>
        <w:t xml:space="preserve">. </w:t>
      </w:r>
      <w:r w:rsidR="00D018A0" w:rsidRPr="00B84D47">
        <w:rPr>
          <w:rFonts w:asciiTheme="majorBidi" w:hAnsiTheme="majorBidi" w:cstheme="majorBidi"/>
        </w:rPr>
        <w:t xml:space="preserve">Different countries and organizations took different </w:t>
      </w:r>
      <w:r w:rsidR="004B698E" w:rsidRPr="00B84D47">
        <w:rPr>
          <w:rFonts w:asciiTheme="majorBidi" w:hAnsiTheme="majorBidi" w:cstheme="majorBidi"/>
        </w:rPr>
        <w:t>number</w:t>
      </w:r>
      <w:r w:rsidR="00D018A0" w:rsidRPr="00B84D47">
        <w:rPr>
          <w:rFonts w:asciiTheme="majorBidi" w:hAnsiTheme="majorBidi" w:cstheme="majorBidi"/>
        </w:rPr>
        <w:t xml:space="preserve"> of voluntary commitments. In particular: 7 countries</w:t>
      </w:r>
      <w:r w:rsidR="005B42F8" w:rsidRPr="00B84D47">
        <w:rPr>
          <w:rStyle w:val="FootnoteReference"/>
          <w:rFonts w:asciiTheme="majorBidi" w:hAnsiTheme="majorBidi" w:cstheme="majorBidi"/>
        </w:rPr>
        <w:footnoteReference w:id="2"/>
      </w:r>
      <w:r w:rsidR="00D018A0" w:rsidRPr="00B84D47">
        <w:rPr>
          <w:rFonts w:asciiTheme="majorBidi" w:hAnsiTheme="majorBidi" w:cstheme="majorBidi"/>
        </w:rPr>
        <w:t xml:space="preserve"> and one organization</w:t>
      </w:r>
      <w:r w:rsidR="008803DA" w:rsidRPr="00B84D47">
        <w:rPr>
          <w:rStyle w:val="FootnoteReference"/>
          <w:rFonts w:asciiTheme="majorBidi" w:hAnsiTheme="majorBidi" w:cstheme="majorBidi"/>
        </w:rPr>
        <w:footnoteReference w:id="3"/>
      </w:r>
      <w:r w:rsidR="00D018A0" w:rsidRPr="00B84D47">
        <w:rPr>
          <w:rFonts w:asciiTheme="majorBidi" w:hAnsiTheme="majorBidi" w:cstheme="majorBidi"/>
        </w:rPr>
        <w:t xml:space="preserve"> took one commitment; </w:t>
      </w:r>
      <w:r w:rsidR="007D661A" w:rsidRPr="00B84D47">
        <w:rPr>
          <w:rFonts w:asciiTheme="majorBidi" w:hAnsiTheme="majorBidi" w:cstheme="majorBidi"/>
        </w:rPr>
        <w:t>4 countries</w:t>
      </w:r>
      <w:r w:rsidR="008803DA" w:rsidRPr="00B84D47">
        <w:rPr>
          <w:rStyle w:val="FootnoteReference"/>
          <w:rFonts w:asciiTheme="majorBidi" w:hAnsiTheme="majorBidi" w:cstheme="majorBidi"/>
        </w:rPr>
        <w:footnoteReference w:id="4"/>
      </w:r>
      <w:r w:rsidR="007D661A" w:rsidRPr="00B84D47">
        <w:rPr>
          <w:rFonts w:asciiTheme="majorBidi" w:hAnsiTheme="majorBidi" w:cstheme="majorBidi"/>
        </w:rPr>
        <w:t xml:space="preserve"> and one organization</w:t>
      </w:r>
      <w:r w:rsidR="008803DA" w:rsidRPr="00B84D47">
        <w:rPr>
          <w:rStyle w:val="FootnoteReference"/>
          <w:rFonts w:asciiTheme="majorBidi" w:hAnsiTheme="majorBidi" w:cstheme="majorBidi"/>
        </w:rPr>
        <w:footnoteReference w:id="5"/>
      </w:r>
      <w:r w:rsidR="007D661A" w:rsidRPr="00B84D47">
        <w:rPr>
          <w:rFonts w:asciiTheme="majorBidi" w:hAnsiTheme="majorBidi" w:cstheme="majorBidi"/>
        </w:rPr>
        <w:t xml:space="preserve"> committed to implement two commitments; 3</w:t>
      </w:r>
      <w:r w:rsidR="005B42F8" w:rsidRPr="00B84D47">
        <w:rPr>
          <w:rFonts w:asciiTheme="majorBidi" w:hAnsiTheme="majorBidi" w:cstheme="majorBidi"/>
        </w:rPr>
        <w:t xml:space="preserve"> </w:t>
      </w:r>
      <w:r w:rsidR="007D661A" w:rsidRPr="00B84D47">
        <w:rPr>
          <w:rFonts w:asciiTheme="majorBidi" w:hAnsiTheme="majorBidi" w:cstheme="majorBidi"/>
        </w:rPr>
        <w:t>countries</w:t>
      </w:r>
      <w:r w:rsidR="005B42F8" w:rsidRPr="00B84D47">
        <w:rPr>
          <w:rStyle w:val="FootnoteReference"/>
          <w:rFonts w:asciiTheme="majorBidi" w:hAnsiTheme="majorBidi" w:cstheme="majorBidi"/>
        </w:rPr>
        <w:footnoteReference w:id="6"/>
      </w:r>
      <w:r w:rsidR="007D661A" w:rsidRPr="00B84D47">
        <w:rPr>
          <w:rFonts w:asciiTheme="majorBidi" w:hAnsiTheme="majorBidi" w:cstheme="majorBidi"/>
        </w:rPr>
        <w:t xml:space="preserve"> and one organization</w:t>
      </w:r>
      <w:r w:rsidR="008803DA" w:rsidRPr="00B84D47">
        <w:rPr>
          <w:rStyle w:val="FootnoteReference"/>
          <w:rFonts w:asciiTheme="majorBidi" w:hAnsiTheme="majorBidi" w:cstheme="majorBidi"/>
        </w:rPr>
        <w:footnoteReference w:id="7"/>
      </w:r>
      <w:r w:rsidR="007D661A" w:rsidRPr="00B84D47">
        <w:rPr>
          <w:rFonts w:asciiTheme="majorBidi" w:hAnsiTheme="majorBidi" w:cstheme="majorBidi"/>
        </w:rPr>
        <w:t xml:space="preserve"> made three voluntary commitments; 4</w:t>
      </w:r>
      <w:r w:rsidR="005B42F8" w:rsidRPr="00B84D47">
        <w:rPr>
          <w:rFonts w:asciiTheme="majorBidi" w:hAnsiTheme="majorBidi" w:cstheme="majorBidi"/>
        </w:rPr>
        <w:t xml:space="preserve"> </w:t>
      </w:r>
      <w:r w:rsidR="007D661A" w:rsidRPr="00B84D47">
        <w:rPr>
          <w:rFonts w:asciiTheme="majorBidi" w:hAnsiTheme="majorBidi" w:cstheme="majorBidi"/>
        </w:rPr>
        <w:lastRenderedPageBreak/>
        <w:t>countr</w:t>
      </w:r>
      <w:r w:rsidR="005B42F8" w:rsidRPr="00B84D47">
        <w:rPr>
          <w:rFonts w:asciiTheme="majorBidi" w:hAnsiTheme="majorBidi" w:cstheme="majorBidi"/>
        </w:rPr>
        <w:t>ies</w:t>
      </w:r>
      <w:r w:rsidR="005B42F8" w:rsidRPr="00B84D47">
        <w:rPr>
          <w:rStyle w:val="FootnoteReference"/>
          <w:rFonts w:asciiTheme="majorBidi" w:hAnsiTheme="majorBidi" w:cstheme="majorBidi"/>
        </w:rPr>
        <w:footnoteReference w:id="8"/>
      </w:r>
      <w:r w:rsidR="007D661A" w:rsidRPr="00B84D47">
        <w:rPr>
          <w:rFonts w:asciiTheme="majorBidi" w:hAnsiTheme="majorBidi" w:cstheme="majorBidi"/>
        </w:rPr>
        <w:t xml:space="preserve"> and one organization</w:t>
      </w:r>
      <w:r w:rsidR="008803DA" w:rsidRPr="00B84D47">
        <w:rPr>
          <w:rStyle w:val="FootnoteReference"/>
          <w:rFonts w:asciiTheme="majorBidi" w:hAnsiTheme="majorBidi" w:cstheme="majorBidi"/>
        </w:rPr>
        <w:footnoteReference w:id="9"/>
      </w:r>
      <w:r w:rsidR="007D661A" w:rsidRPr="00B84D47">
        <w:rPr>
          <w:rFonts w:asciiTheme="majorBidi" w:hAnsiTheme="majorBidi" w:cstheme="majorBidi"/>
        </w:rPr>
        <w:t xml:space="preserve"> took four commitments; 6 countries</w:t>
      </w:r>
      <w:r w:rsidR="005B42F8" w:rsidRPr="00B84D47">
        <w:rPr>
          <w:rStyle w:val="FootnoteReference"/>
          <w:rFonts w:asciiTheme="majorBidi" w:hAnsiTheme="majorBidi" w:cstheme="majorBidi"/>
        </w:rPr>
        <w:footnoteReference w:id="10"/>
      </w:r>
      <w:r w:rsidR="007D661A" w:rsidRPr="00B84D47">
        <w:rPr>
          <w:rFonts w:asciiTheme="majorBidi" w:hAnsiTheme="majorBidi" w:cstheme="majorBidi"/>
        </w:rPr>
        <w:t xml:space="preserve"> </w:t>
      </w:r>
      <w:r w:rsidR="009E5525" w:rsidRPr="00B84D47">
        <w:rPr>
          <w:rFonts w:asciiTheme="majorBidi" w:hAnsiTheme="majorBidi" w:cstheme="majorBidi"/>
        </w:rPr>
        <w:t xml:space="preserve">pledged to fulfill five commitments; the United States of America took </w:t>
      </w:r>
      <w:r w:rsidR="008803DA" w:rsidRPr="00B84D47">
        <w:rPr>
          <w:rFonts w:asciiTheme="majorBidi" w:hAnsiTheme="majorBidi" w:cstheme="majorBidi"/>
        </w:rPr>
        <w:t>six</w:t>
      </w:r>
      <w:r w:rsidR="009E5525" w:rsidRPr="00B84D47">
        <w:rPr>
          <w:rFonts w:asciiTheme="majorBidi" w:hAnsiTheme="majorBidi" w:cstheme="majorBidi"/>
        </w:rPr>
        <w:t xml:space="preserve"> commitment; Georgia committed to implement seven commitments; Canada made commitment to accomplish </w:t>
      </w:r>
      <w:r w:rsidR="008803DA" w:rsidRPr="00B84D47">
        <w:rPr>
          <w:rFonts w:asciiTheme="majorBidi" w:hAnsiTheme="majorBidi" w:cstheme="majorBidi"/>
        </w:rPr>
        <w:t>seventeen</w:t>
      </w:r>
      <w:r w:rsidR="009E5525" w:rsidRPr="00B84D47">
        <w:rPr>
          <w:rFonts w:asciiTheme="majorBidi" w:hAnsiTheme="majorBidi" w:cstheme="majorBidi"/>
        </w:rPr>
        <w:t xml:space="preserve"> voluntary commitments</w:t>
      </w:r>
      <w:r w:rsidR="00351B38" w:rsidRPr="00B84D47">
        <w:rPr>
          <w:rFonts w:asciiTheme="majorBidi" w:hAnsiTheme="majorBidi" w:cstheme="majorBidi"/>
        </w:rPr>
        <w:t xml:space="preserve"> (annex, figure I)</w:t>
      </w:r>
      <w:r w:rsidR="009E5525" w:rsidRPr="00B84D47">
        <w:rPr>
          <w:rFonts w:asciiTheme="majorBidi" w:hAnsiTheme="majorBidi" w:cstheme="majorBidi"/>
        </w:rPr>
        <w:t>.</w:t>
      </w:r>
    </w:p>
    <w:p w14:paraId="6AC38A78" w14:textId="77777777" w:rsidR="00FF3CD4" w:rsidRPr="00B84D47" w:rsidRDefault="009C1B3A" w:rsidP="0083514E">
      <w:pPr>
        <w:jc w:val="both"/>
        <w:rPr>
          <w:rFonts w:asciiTheme="majorBidi" w:hAnsiTheme="majorBidi" w:cstheme="majorBidi"/>
        </w:rPr>
      </w:pPr>
      <w:r w:rsidRPr="00B84D47">
        <w:rPr>
          <w:rFonts w:asciiTheme="majorBidi" w:hAnsiTheme="majorBidi" w:cstheme="majorBidi"/>
        </w:rPr>
        <w:t>5</w:t>
      </w:r>
      <w:r w:rsidR="00E65C7C" w:rsidRPr="00B84D47">
        <w:rPr>
          <w:rFonts w:asciiTheme="majorBidi" w:hAnsiTheme="majorBidi" w:cstheme="majorBidi"/>
        </w:rPr>
        <w:t>. With the aim to prepare the “Final report on the implementation of the Batumi Action for Cleaner Air”, to be submitted to the 9th EfE Ministerial Conference (Nicosia, Cyprus, 05-07 October 2022)</w:t>
      </w:r>
      <w:r w:rsidR="008A094E" w:rsidRPr="00B84D47">
        <w:rPr>
          <w:rFonts w:asciiTheme="majorBidi" w:hAnsiTheme="majorBidi" w:cstheme="majorBidi"/>
        </w:rPr>
        <w:t xml:space="preserve"> a survey template was prepared by the secretariat in consultation with the </w:t>
      </w:r>
      <w:proofErr w:type="spellStart"/>
      <w:r w:rsidR="008A094E" w:rsidRPr="00B84D47">
        <w:rPr>
          <w:rFonts w:asciiTheme="majorBidi" w:hAnsiTheme="majorBidi" w:cstheme="majorBidi"/>
        </w:rPr>
        <w:t>Bureaux</w:t>
      </w:r>
      <w:proofErr w:type="spellEnd"/>
      <w:r w:rsidR="008A094E" w:rsidRPr="00B84D47">
        <w:rPr>
          <w:rFonts w:asciiTheme="majorBidi" w:hAnsiTheme="majorBidi" w:cstheme="majorBidi"/>
        </w:rPr>
        <w:t xml:space="preserve"> of the Committee and of the Air Convention. To collect information </w:t>
      </w:r>
      <w:r w:rsidR="00883B60" w:rsidRPr="00B84D47">
        <w:rPr>
          <w:rFonts w:asciiTheme="majorBidi" w:hAnsiTheme="majorBidi" w:cstheme="majorBidi"/>
        </w:rPr>
        <w:t xml:space="preserve">on </w:t>
      </w:r>
      <w:r w:rsidR="008A094E" w:rsidRPr="00B84D47">
        <w:rPr>
          <w:rFonts w:asciiTheme="majorBidi" w:hAnsiTheme="majorBidi" w:cstheme="majorBidi"/>
        </w:rPr>
        <w:t>implementation of the BACA</w:t>
      </w:r>
      <w:r w:rsidR="00883B60" w:rsidRPr="00B84D47">
        <w:rPr>
          <w:rFonts w:asciiTheme="majorBidi" w:hAnsiTheme="majorBidi" w:cstheme="majorBidi"/>
        </w:rPr>
        <w:t>,</w:t>
      </w:r>
      <w:r w:rsidR="008A094E" w:rsidRPr="00B84D47">
        <w:rPr>
          <w:rFonts w:asciiTheme="majorBidi" w:hAnsiTheme="majorBidi" w:cstheme="majorBidi"/>
        </w:rPr>
        <w:t xml:space="preserve"> based on the survey template</w:t>
      </w:r>
      <w:r w:rsidR="00883B60" w:rsidRPr="00B84D47">
        <w:rPr>
          <w:rFonts w:asciiTheme="majorBidi" w:hAnsiTheme="majorBidi" w:cstheme="majorBidi"/>
        </w:rPr>
        <w:t>,</w:t>
      </w:r>
      <w:r w:rsidR="008A094E" w:rsidRPr="00B84D47">
        <w:rPr>
          <w:rFonts w:asciiTheme="majorBidi" w:hAnsiTheme="majorBidi" w:cstheme="majorBidi"/>
        </w:rPr>
        <w:t xml:space="preserve"> the online reporting tool "EfE Final report of the Batumi Action for Cleaner Air (BACA)" was launched in 28 February 2022.</w:t>
      </w:r>
    </w:p>
    <w:p w14:paraId="6AA40FB5" w14:textId="29082688" w:rsidR="000138BC" w:rsidRPr="00B84D47" w:rsidRDefault="009C1B3A" w:rsidP="00883B60">
      <w:pPr>
        <w:jc w:val="both"/>
        <w:rPr>
          <w:rFonts w:asciiTheme="majorBidi" w:hAnsiTheme="majorBidi" w:cstheme="majorBidi"/>
        </w:rPr>
      </w:pPr>
      <w:r w:rsidRPr="00B84D47">
        <w:rPr>
          <w:rFonts w:asciiTheme="majorBidi" w:hAnsiTheme="majorBidi" w:cstheme="majorBidi"/>
        </w:rPr>
        <w:t>6</w:t>
      </w:r>
      <w:r w:rsidR="000138BC" w:rsidRPr="00B84D47">
        <w:rPr>
          <w:rFonts w:asciiTheme="majorBidi" w:hAnsiTheme="majorBidi" w:cstheme="majorBidi"/>
        </w:rPr>
        <w:t xml:space="preserve">. The present report </w:t>
      </w:r>
      <w:r w:rsidR="002937A8" w:rsidRPr="00B84D47">
        <w:rPr>
          <w:rFonts w:asciiTheme="majorBidi" w:hAnsiTheme="majorBidi" w:cstheme="majorBidi"/>
        </w:rPr>
        <w:t>has been</w:t>
      </w:r>
      <w:r w:rsidR="000138BC" w:rsidRPr="00B84D47">
        <w:rPr>
          <w:rFonts w:asciiTheme="majorBidi" w:hAnsiTheme="majorBidi" w:cstheme="majorBidi"/>
        </w:rPr>
        <w:t xml:space="preserve"> developed based on </w:t>
      </w:r>
      <w:r w:rsidR="002937A8" w:rsidRPr="00B84D47">
        <w:rPr>
          <w:rFonts w:asciiTheme="majorBidi" w:hAnsiTheme="majorBidi" w:cstheme="majorBidi"/>
        </w:rPr>
        <w:t xml:space="preserve">the </w:t>
      </w:r>
      <w:r w:rsidR="000138BC" w:rsidRPr="00B84D47">
        <w:rPr>
          <w:rFonts w:asciiTheme="majorBidi" w:hAnsiTheme="majorBidi" w:cstheme="majorBidi"/>
        </w:rPr>
        <w:t xml:space="preserve">responses received </w:t>
      </w:r>
      <w:r w:rsidR="002937A8" w:rsidRPr="00B84D47">
        <w:rPr>
          <w:rFonts w:asciiTheme="majorBidi" w:hAnsiTheme="majorBidi" w:cstheme="majorBidi"/>
        </w:rPr>
        <w:t xml:space="preserve">by the online reporting tool, as well as through individual communication via e-mail with contact </w:t>
      </w:r>
      <w:r w:rsidR="000138BC" w:rsidRPr="00B84D47">
        <w:rPr>
          <w:rFonts w:asciiTheme="majorBidi" w:hAnsiTheme="majorBidi" w:cstheme="majorBidi"/>
        </w:rPr>
        <w:t>points</w:t>
      </w:r>
      <w:r w:rsidR="002937A8" w:rsidRPr="00B84D47">
        <w:rPr>
          <w:rFonts w:asciiTheme="majorBidi" w:hAnsiTheme="majorBidi" w:cstheme="majorBidi"/>
        </w:rPr>
        <w:t>. Responses were received</w:t>
      </w:r>
      <w:r w:rsidR="002937A8" w:rsidRPr="00B84D47">
        <w:rPr>
          <w:rStyle w:val="FootnoteReference"/>
          <w:rFonts w:asciiTheme="majorBidi" w:hAnsiTheme="majorBidi" w:cstheme="majorBidi"/>
        </w:rPr>
        <w:footnoteReference w:id="11"/>
      </w:r>
      <w:r w:rsidR="002937A8" w:rsidRPr="00B84D47">
        <w:rPr>
          <w:rFonts w:asciiTheme="majorBidi" w:hAnsiTheme="majorBidi" w:cstheme="majorBidi"/>
        </w:rPr>
        <w:t xml:space="preserve"> from </w:t>
      </w:r>
      <w:r w:rsidR="002937A8" w:rsidRPr="00B84D47">
        <w:rPr>
          <w:rFonts w:asciiTheme="majorBidi" w:hAnsiTheme="majorBidi" w:cstheme="majorBidi"/>
          <w:highlight w:val="yellow"/>
        </w:rPr>
        <w:t>1</w:t>
      </w:r>
      <w:r w:rsidR="00EA13C1" w:rsidRPr="00B84D47">
        <w:rPr>
          <w:rFonts w:asciiTheme="majorBidi" w:hAnsiTheme="majorBidi" w:cstheme="majorBidi"/>
          <w:highlight w:val="yellow"/>
        </w:rPr>
        <w:t>6</w:t>
      </w:r>
      <w:r w:rsidR="002937A8" w:rsidRPr="00B84D47">
        <w:rPr>
          <w:rFonts w:asciiTheme="majorBidi" w:hAnsiTheme="majorBidi" w:cstheme="majorBidi"/>
        </w:rPr>
        <w:t xml:space="preserve"> countries and </w:t>
      </w:r>
      <w:r w:rsidR="004D6E3C" w:rsidRPr="00B84D47">
        <w:rPr>
          <w:rFonts w:asciiTheme="majorBidi" w:hAnsiTheme="majorBidi" w:cstheme="majorBidi"/>
          <w:highlight w:val="yellow"/>
        </w:rPr>
        <w:t>1</w:t>
      </w:r>
      <w:r w:rsidR="002937A8" w:rsidRPr="00B84D47">
        <w:rPr>
          <w:rFonts w:asciiTheme="majorBidi" w:hAnsiTheme="majorBidi" w:cstheme="majorBidi"/>
        </w:rPr>
        <w:t xml:space="preserve"> organization.</w:t>
      </w:r>
      <w:r w:rsidR="00D22C50" w:rsidRPr="00B84D47">
        <w:rPr>
          <w:rFonts w:asciiTheme="majorBidi" w:hAnsiTheme="majorBidi" w:cstheme="majorBidi"/>
        </w:rPr>
        <w:t xml:space="preserve"> This </w:t>
      </w:r>
      <w:r w:rsidR="006C57B5" w:rsidRPr="00B84D47">
        <w:rPr>
          <w:rFonts w:asciiTheme="majorBidi" w:hAnsiTheme="majorBidi" w:cstheme="majorBidi"/>
        </w:rPr>
        <w:t>document</w:t>
      </w:r>
      <w:r w:rsidR="00D22C50" w:rsidRPr="00B84D47">
        <w:rPr>
          <w:rFonts w:asciiTheme="majorBidi" w:hAnsiTheme="majorBidi" w:cstheme="majorBidi"/>
        </w:rPr>
        <w:t xml:space="preserve"> provides information based on these responses, as well as information collected during the m</w:t>
      </w:r>
      <w:r w:rsidR="002C415F" w:rsidRPr="00B84D47">
        <w:rPr>
          <w:rFonts w:asciiTheme="majorBidi" w:hAnsiTheme="majorBidi" w:cstheme="majorBidi"/>
        </w:rPr>
        <w:t xml:space="preserve">id-term review </w:t>
      </w:r>
      <w:r w:rsidR="00D22C50" w:rsidRPr="00B84D47">
        <w:rPr>
          <w:rFonts w:asciiTheme="majorBidi" w:hAnsiTheme="majorBidi" w:cstheme="majorBidi"/>
        </w:rPr>
        <w:t xml:space="preserve">conducted in </w:t>
      </w:r>
      <w:r w:rsidR="002C415F" w:rsidRPr="00B84D47">
        <w:rPr>
          <w:rFonts w:asciiTheme="majorBidi" w:hAnsiTheme="majorBidi" w:cstheme="majorBidi"/>
        </w:rPr>
        <w:t>2018</w:t>
      </w:r>
      <w:r w:rsidR="00D22C50" w:rsidRPr="00B84D47">
        <w:rPr>
          <w:rFonts w:asciiTheme="majorBidi" w:hAnsiTheme="majorBidi" w:cstheme="majorBidi"/>
        </w:rPr>
        <w:t xml:space="preserve"> </w:t>
      </w:r>
      <w:r w:rsidR="00BB04F4" w:rsidRPr="00B84D47">
        <w:rPr>
          <w:rFonts w:asciiTheme="majorBidi" w:hAnsiTheme="majorBidi" w:cstheme="majorBidi"/>
        </w:rPr>
        <w:t>for countries</w:t>
      </w:r>
      <w:r w:rsidR="00D04B9C" w:rsidRPr="00B84D47">
        <w:rPr>
          <w:rStyle w:val="FootnoteReference"/>
          <w:rFonts w:asciiTheme="majorBidi" w:hAnsiTheme="majorBidi" w:cstheme="majorBidi"/>
        </w:rPr>
        <w:footnoteReference w:id="12"/>
      </w:r>
      <w:r w:rsidR="00BB04F4" w:rsidRPr="00B84D47">
        <w:rPr>
          <w:rFonts w:asciiTheme="majorBidi" w:hAnsiTheme="majorBidi" w:cstheme="majorBidi"/>
        </w:rPr>
        <w:t xml:space="preserve"> where data could not be collected.</w:t>
      </w:r>
      <w:r w:rsidR="00883B60" w:rsidRPr="00B84D47">
        <w:rPr>
          <w:rFonts w:asciiTheme="majorBidi" w:hAnsiTheme="majorBidi" w:cstheme="majorBidi"/>
        </w:rPr>
        <w:t xml:space="preserve"> Following countries and organizations submitted information in 2022: </w:t>
      </w:r>
      <w:r w:rsidR="00883B60" w:rsidRPr="00B84D47">
        <w:rPr>
          <w:rFonts w:asciiTheme="majorBidi" w:hAnsiTheme="majorBidi" w:cstheme="majorBidi"/>
          <w:highlight w:val="yellow"/>
        </w:rPr>
        <w:t xml:space="preserve">Canada, Croatia, Czech Republic, Estonia, Georgia, Germany, Hungary, Italy, Latvia, Lithuania, Poland, Republic of Moldova, Romania, </w:t>
      </w:r>
      <w:r w:rsidR="00EA13C1" w:rsidRPr="00B84D47">
        <w:rPr>
          <w:rFonts w:asciiTheme="majorBidi" w:hAnsiTheme="majorBidi" w:cstheme="majorBidi"/>
          <w:highlight w:val="yellow"/>
        </w:rPr>
        <w:t xml:space="preserve">Spain, </w:t>
      </w:r>
      <w:r w:rsidR="00883B60" w:rsidRPr="00B84D47">
        <w:rPr>
          <w:rFonts w:asciiTheme="majorBidi" w:hAnsiTheme="majorBidi" w:cstheme="majorBidi"/>
          <w:highlight w:val="yellow"/>
        </w:rPr>
        <w:t>Sweden, Switzerland</w:t>
      </w:r>
      <w:r w:rsidR="00A749AB" w:rsidRPr="00B84D47">
        <w:rPr>
          <w:rFonts w:asciiTheme="majorBidi" w:hAnsiTheme="majorBidi" w:cstheme="majorBidi"/>
          <w:highlight w:val="yellow"/>
        </w:rPr>
        <w:t>, UNECE</w:t>
      </w:r>
      <w:r w:rsidR="00A749AB" w:rsidRPr="00B84D47">
        <w:rPr>
          <w:rFonts w:asciiTheme="majorBidi" w:hAnsiTheme="majorBidi" w:cstheme="majorBidi"/>
        </w:rPr>
        <w:t>.</w:t>
      </w:r>
      <w:r w:rsidR="00EA13C1" w:rsidRPr="00B84D47">
        <w:rPr>
          <w:rFonts w:asciiTheme="majorBidi" w:hAnsiTheme="majorBidi" w:cstheme="majorBidi"/>
        </w:rPr>
        <w:t xml:space="preserve"> </w:t>
      </w:r>
      <w:r w:rsidR="006C57B5" w:rsidRPr="00B84D47">
        <w:rPr>
          <w:rFonts w:asciiTheme="majorBidi" w:hAnsiTheme="majorBidi" w:cstheme="majorBidi"/>
        </w:rPr>
        <w:t xml:space="preserve">This report reflects the progress made on </w:t>
      </w:r>
      <w:r w:rsidR="00EF7F22" w:rsidRPr="00B84D47">
        <w:rPr>
          <w:rFonts w:asciiTheme="majorBidi" w:hAnsiTheme="majorBidi" w:cstheme="majorBidi"/>
          <w:highlight w:val="yellow"/>
        </w:rPr>
        <w:t>81</w:t>
      </w:r>
      <w:r w:rsidR="006C57B5" w:rsidRPr="00B84D47">
        <w:rPr>
          <w:rStyle w:val="FootnoteReference"/>
          <w:rFonts w:asciiTheme="majorBidi" w:hAnsiTheme="majorBidi" w:cstheme="majorBidi"/>
          <w:highlight w:val="yellow"/>
        </w:rPr>
        <w:footnoteReference w:id="13"/>
      </w:r>
      <w:r w:rsidR="006C57B5" w:rsidRPr="00B84D47">
        <w:rPr>
          <w:rFonts w:asciiTheme="majorBidi" w:hAnsiTheme="majorBidi" w:cstheme="majorBidi"/>
          <w:highlight w:val="yellow"/>
        </w:rPr>
        <w:t xml:space="preserve"> (7</w:t>
      </w:r>
      <w:r w:rsidR="00EF7F22" w:rsidRPr="00B84D47">
        <w:rPr>
          <w:rFonts w:asciiTheme="majorBidi" w:hAnsiTheme="majorBidi" w:cstheme="majorBidi"/>
          <w:highlight w:val="yellow"/>
        </w:rPr>
        <w:t>4</w:t>
      </w:r>
      <w:r w:rsidR="006C57B5" w:rsidRPr="00B84D47">
        <w:rPr>
          <w:rFonts w:asciiTheme="majorBidi" w:hAnsiTheme="majorBidi" w:cstheme="majorBidi"/>
          <w:highlight w:val="yellow"/>
        </w:rPr>
        <w:t>%</w:t>
      </w:r>
      <w:r w:rsidR="006C57B5" w:rsidRPr="00B84D47">
        <w:rPr>
          <w:rFonts w:asciiTheme="majorBidi" w:hAnsiTheme="majorBidi" w:cstheme="majorBidi"/>
        </w:rPr>
        <w:t>) of 110 commitments taken under the Batumi Action for Cleaner Air initiative.</w:t>
      </w:r>
    </w:p>
    <w:p w14:paraId="32FB8518" w14:textId="5D74D083" w:rsidR="0022095F" w:rsidRPr="00B84D47" w:rsidRDefault="009C1B3A" w:rsidP="0083514E">
      <w:pPr>
        <w:jc w:val="both"/>
        <w:rPr>
          <w:rFonts w:asciiTheme="majorBidi" w:hAnsiTheme="majorBidi" w:cstheme="majorBidi"/>
        </w:rPr>
      </w:pPr>
      <w:r w:rsidRPr="00B84D47">
        <w:rPr>
          <w:rFonts w:asciiTheme="majorBidi" w:hAnsiTheme="majorBidi" w:cstheme="majorBidi"/>
        </w:rPr>
        <w:t>7</w:t>
      </w:r>
      <w:r w:rsidR="00EA13C1" w:rsidRPr="00B84D47">
        <w:rPr>
          <w:rFonts w:asciiTheme="majorBidi" w:hAnsiTheme="majorBidi" w:cstheme="majorBidi"/>
        </w:rPr>
        <w:t xml:space="preserve">. </w:t>
      </w:r>
      <w:r w:rsidR="0022095F" w:rsidRPr="00B84D47">
        <w:rPr>
          <w:rFonts w:asciiTheme="majorBidi" w:hAnsiTheme="majorBidi" w:cstheme="majorBidi"/>
        </w:rPr>
        <w:t xml:space="preserve">The report provides information </w:t>
      </w:r>
      <w:r w:rsidR="00EE253B" w:rsidRPr="00B84D47">
        <w:rPr>
          <w:rFonts w:asciiTheme="majorBidi" w:hAnsiTheme="majorBidi" w:cstheme="majorBidi"/>
        </w:rPr>
        <w:t>on</w:t>
      </w:r>
      <w:r w:rsidR="0022095F" w:rsidRPr="00B84D47">
        <w:rPr>
          <w:rFonts w:asciiTheme="majorBidi" w:hAnsiTheme="majorBidi" w:cstheme="majorBidi"/>
        </w:rPr>
        <w:t xml:space="preserve"> the overall </w:t>
      </w:r>
      <w:r w:rsidR="00EE253B" w:rsidRPr="00B84D47">
        <w:rPr>
          <w:rFonts w:asciiTheme="majorBidi" w:hAnsiTheme="majorBidi" w:cstheme="majorBidi"/>
        </w:rPr>
        <w:t>prog</w:t>
      </w:r>
      <w:r w:rsidR="0022095F" w:rsidRPr="00B84D47">
        <w:rPr>
          <w:rFonts w:asciiTheme="majorBidi" w:hAnsiTheme="majorBidi" w:cstheme="majorBidi"/>
        </w:rPr>
        <w:t xml:space="preserve">ress </w:t>
      </w:r>
      <w:r w:rsidR="00EE253B" w:rsidRPr="00B84D47">
        <w:rPr>
          <w:rFonts w:asciiTheme="majorBidi" w:hAnsiTheme="majorBidi" w:cstheme="majorBidi"/>
        </w:rPr>
        <w:t xml:space="preserve">in the implementation of BACA commitments, key achievements of countries and organizations grouped within </w:t>
      </w:r>
      <w:r w:rsidR="009E2B60" w:rsidRPr="00B84D47">
        <w:rPr>
          <w:rFonts w:asciiTheme="majorBidi" w:hAnsiTheme="majorBidi" w:cstheme="majorBidi"/>
        </w:rPr>
        <w:t>each</w:t>
      </w:r>
      <w:r w:rsidR="00EE253B" w:rsidRPr="00B84D47">
        <w:rPr>
          <w:rFonts w:asciiTheme="majorBidi" w:hAnsiTheme="majorBidi" w:cstheme="majorBidi"/>
        </w:rPr>
        <w:t xml:space="preserve"> section of the BACA. Moreover, the document </w:t>
      </w:r>
      <w:r w:rsidR="00905475" w:rsidRPr="00B84D47">
        <w:rPr>
          <w:rFonts w:asciiTheme="majorBidi" w:hAnsiTheme="majorBidi" w:cstheme="majorBidi"/>
        </w:rPr>
        <w:t>summarizes challenges and future steps, as well as the views of the countries on usefulness of the BACA.  In an annex are presented tables and charts about the implementation status of commitments and some other findings.</w:t>
      </w:r>
    </w:p>
    <w:p w14:paraId="55C24A77" w14:textId="77777777" w:rsidR="00EC76C6" w:rsidRPr="00B84D47" w:rsidRDefault="00EC76C6" w:rsidP="0083514E">
      <w:pPr>
        <w:jc w:val="both"/>
        <w:rPr>
          <w:rFonts w:asciiTheme="majorBidi" w:hAnsiTheme="majorBidi" w:cstheme="majorBidi"/>
          <w:b/>
          <w:bCs/>
          <w:sz w:val="28"/>
          <w:szCs w:val="28"/>
        </w:rPr>
      </w:pPr>
    </w:p>
    <w:p w14:paraId="19AF8CE0" w14:textId="77777777" w:rsidR="008803DA" w:rsidRPr="00B84D47" w:rsidRDefault="00905475" w:rsidP="0083514E">
      <w:pPr>
        <w:jc w:val="both"/>
        <w:rPr>
          <w:rFonts w:asciiTheme="majorBidi" w:hAnsiTheme="majorBidi" w:cstheme="majorBidi"/>
          <w:b/>
          <w:bCs/>
          <w:sz w:val="28"/>
          <w:szCs w:val="28"/>
        </w:rPr>
      </w:pPr>
      <w:r w:rsidRPr="00B84D47">
        <w:rPr>
          <w:rFonts w:asciiTheme="majorBidi" w:hAnsiTheme="majorBidi" w:cstheme="majorBidi"/>
          <w:b/>
          <w:bCs/>
          <w:sz w:val="28"/>
          <w:szCs w:val="28"/>
        </w:rPr>
        <w:t xml:space="preserve">I. </w:t>
      </w:r>
      <w:r w:rsidR="009C1B3A" w:rsidRPr="00B84D47">
        <w:rPr>
          <w:rFonts w:asciiTheme="majorBidi" w:hAnsiTheme="majorBidi" w:cstheme="majorBidi"/>
          <w:b/>
          <w:bCs/>
          <w:sz w:val="28"/>
          <w:szCs w:val="28"/>
        </w:rPr>
        <w:t>Overview of p</w:t>
      </w:r>
      <w:r w:rsidRPr="00B84D47">
        <w:rPr>
          <w:rFonts w:asciiTheme="majorBidi" w:hAnsiTheme="majorBidi" w:cstheme="majorBidi"/>
          <w:b/>
          <w:bCs/>
          <w:sz w:val="28"/>
          <w:szCs w:val="28"/>
        </w:rPr>
        <w:t>rogress made in the implementation of commitments in the framework of the Batumi Action for Cleaner Air</w:t>
      </w:r>
    </w:p>
    <w:p w14:paraId="7EBC3873" w14:textId="77777777" w:rsidR="009C1B3A" w:rsidRPr="00B84D47" w:rsidRDefault="009C1B3A" w:rsidP="0083514E">
      <w:pPr>
        <w:jc w:val="both"/>
        <w:rPr>
          <w:rFonts w:asciiTheme="majorBidi" w:hAnsiTheme="majorBidi" w:cstheme="majorBidi"/>
          <w:b/>
          <w:sz w:val="24"/>
        </w:rPr>
      </w:pPr>
      <w:r w:rsidRPr="00B84D47">
        <w:rPr>
          <w:rFonts w:asciiTheme="majorBidi" w:hAnsiTheme="majorBidi" w:cstheme="majorBidi"/>
          <w:b/>
          <w:sz w:val="24"/>
        </w:rPr>
        <w:t>A. General overview</w:t>
      </w:r>
    </w:p>
    <w:p w14:paraId="15CE9422" w14:textId="77777777" w:rsidR="00A43881" w:rsidRPr="00B84D47" w:rsidRDefault="009C1B3A" w:rsidP="0083514E">
      <w:pPr>
        <w:jc w:val="both"/>
        <w:rPr>
          <w:rFonts w:asciiTheme="majorBidi" w:hAnsiTheme="majorBidi" w:cstheme="majorBidi"/>
        </w:rPr>
      </w:pPr>
      <w:r w:rsidRPr="00B84D47">
        <w:rPr>
          <w:rFonts w:asciiTheme="majorBidi" w:hAnsiTheme="majorBidi" w:cstheme="majorBidi"/>
        </w:rPr>
        <w:t>8.</w:t>
      </w:r>
      <w:r w:rsidR="00A43881" w:rsidRPr="00B84D47">
        <w:rPr>
          <w:rFonts w:asciiTheme="majorBidi" w:hAnsiTheme="majorBidi" w:cstheme="majorBidi"/>
        </w:rPr>
        <w:t xml:space="preserve"> This report analyzes the 110 commitments taken by the 27 countries and 4 organizations with the aim to reduce air pollution and its negative impact on human health and ecosystems.</w:t>
      </w:r>
      <w:r w:rsidR="00F621A1" w:rsidRPr="00B84D47">
        <w:rPr>
          <w:rFonts w:asciiTheme="majorBidi" w:hAnsiTheme="majorBidi" w:cstheme="majorBidi"/>
        </w:rPr>
        <w:t xml:space="preserve"> Under the BACA commitments were grouped in five following sections: I. Establishment of systematic, comparable and transparent monitoring activities and emissions inventories; II. Establishment of national action </w:t>
      </w:r>
      <w:proofErr w:type="spellStart"/>
      <w:r w:rsidR="00F621A1" w:rsidRPr="00B84D47">
        <w:rPr>
          <w:rFonts w:asciiTheme="majorBidi" w:hAnsiTheme="majorBidi" w:cstheme="majorBidi"/>
        </w:rPr>
        <w:t>programmes</w:t>
      </w:r>
      <w:proofErr w:type="spellEnd"/>
      <w:r w:rsidR="00F621A1" w:rsidRPr="00B84D47">
        <w:rPr>
          <w:rFonts w:asciiTheme="majorBidi" w:hAnsiTheme="majorBidi" w:cstheme="majorBidi"/>
        </w:rPr>
        <w:t xml:space="preserve"> that reduce air pollution; III. Improvement of public awareness; IV. Capacity-building and technical support; V. Policy</w:t>
      </w:r>
      <w:r w:rsidR="00155671" w:rsidRPr="00B84D47">
        <w:rPr>
          <w:rFonts w:asciiTheme="majorBidi" w:hAnsiTheme="majorBidi" w:cstheme="majorBidi"/>
        </w:rPr>
        <w:t xml:space="preserve"> (annex, figure </w:t>
      </w:r>
      <w:r w:rsidR="00351B38" w:rsidRPr="00B84D47">
        <w:rPr>
          <w:rFonts w:asciiTheme="majorBidi" w:hAnsiTheme="majorBidi" w:cstheme="majorBidi"/>
        </w:rPr>
        <w:t>I</w:t>
      </w:r>
      <w:r w:rsidR="00155671" w:rsidRPr="00B84D47">
        <w:rPr>
          <w:rFonts w:asciiTheme="majorBidi" w:hAnsiTheme="majorBidi" w:cstheme="majorBidi"/>
        </w:rPr>
        <w:t>I)</w:t>
      </w:r>
      <w:r w:rsidR="00F621A1" w:rsidRPr="00B84D47">
        <w:rPr>
          <w:rFonts w:asciiTheme="majorBidi" w:hAnsiTheme="majorBidi" w:cstheme="majorBidi"/>
        </w:rPr>
        <w:t>. Information on</w:t>
      </w:r>
      <w:r w:rsidR="00D129C0" w:rsidRPr="00B84D47">
        <w:rPr>
          <w:rFonts w:asciiTheme="majorBidi" w:hAnsiTheme="majorBidi" w:cstheme="majorBidi"/>
        </w:rPr>
        <w:t xml:space="preserve"> progress made in fulfilling the commitments of BACA is presented by these sect</w:t>
      </w:r>
      <w:r w:rsidR="00784D66" w:rsidRPr="00B84D47">
        <w:rPr>
          <w:rFonts w:asciiTheme="majorBidi" w:hAnsiTheme="majorBidi" w:cstheme="majorBidi"/>
        </w:rPr>
        <w:t>i</w:t>
      </w:r>
      <w:r w:rsidR="00D129C0" w:rsidRPr="00B84D47">
        <w:rPr>
          <w:rFonts w:asciiTheme="majorBidi" w:hAnsiTheme="majorBidi" w:cstheme="majorBidi"/>
        </w:rPr>
        <w:t>ons.</w:t>
      </w:r>
    </w:p>
    <w:p w14:paraId="311595AC" w14:textId="77777777" w:rsidR="006C7D0D" w:rsidRPr="00B84D47" w:rsidRDefault="006C7D0D" w:rsidP="0083514E">
      <w:pPr>
        <w:jc w:val="both"/>
        <w:rPr>
          <w:rFonts w:asciiTheme="majorBidi" w:hAnsiTheme="majorBidi" w:cstheme="majorBidi"/>
        </w:rPr>
      </w:pPr>
      <w:r w:rsidRPr="00B84D47">
        <w:rPr>
          <w:rFonts w:asciiTheme="majorBidi" w:hAnsiTheme="majorBidi" w:cstheme="majorBidi"/>
        </w:rPr>
        <w:t xml:space="preserve">9. </w:t>
      </w:r>
      <w:r w:rsidR="00200453" w:rsidRPr="00B84D47">
        <w:rPr>
          <w:rFonts w:asciiTheme="majorBidi" w:hAnsiTheme="majorBidi" w:cstheme="majorBidi"/>
        </w:rPr>
        <w:t xml:space="preserve">In terms of geographical distribution </w:t>
      </w:r>
      <w:r w:rsidRPr="00B84D47">
        <w:rPr>
          <w:rFonts w:asciiTheme="majorBidi" w:hAnsiTheme="majorBidi" w:cstheme="majorBidi"/>
        </w:rPr>
        <w:t xml:space="preserve">of the participating </w:t>
      </w:r>
      <w:r w:rsidR="00200453" w:rsidRPr="00B84D47">
        <w:rPr>
          <w:rFonts w:asciiTheme="majorBidi" w:hAnsiTheme="majorBidi" w:cstheme="majorBidi"/>
        </w:rPr>
        <w:t>countries</w:t>
      </w:r>
      <w:r w:rsidRPr="00B84D47">
        <w:rPr>
          <w:rFonts w:asciiTheme="majorBidi" w:hAnsiTheme="majorBidi" w:cstheme="majorBidi"/>
        </w:rPr>
        <w:t>,</w:t>
      </w:r>
      <w:r w:rsidR="00155671" w:rsidRPr="00B84D47">
        <w:rPr>
          <w:rFonts w:asciiTheme="majorBidi" w:hAnsiTheme="majorBidi" w:cstheme="majorBidi"/>
        </w:rPr>
        <w:t xml:space="preserve"> the following picture is observed:</w:t>
      </w:r>
      <w:r w:rsidRPr="00B84D47">
        <w:rPr>
          <w:rFonts w:asciiTheme="majorBidi" w:hAnsiTheme="majorBidi" w:cstheme="majorBidi"/>
        </w:rPr>
        <w:t xml:space="preserve"> 18 European Union member States, 1 non-European Union country from Western Europe, </w:t>
      </w:r>
      <w:r w:rsidR="00155671" w:rsidRPr="00B84D47">
        <w:rPr>
          <w:rFonts w:asciiTheme="majorBidi" w:hAnsiTheme="majorBidi" w:cstheme="majorBidi"/>
        </w:rPr>
        <w:t>2</w:t>
      </w:r>
      <w:r w:rsidRPr="00B84D47">
        <w:rPr>
          <w:rFonts w:asciiTheme="majorBidi" w:hAnsiTheme="majorBidi" w:cstheme="majorBidi"/>
        </w:rPr>
        <w:t xml:space="preserve"> countries from </w:t>
      </w:r>
      <w:r w:rsidRPr="00B84D47">
        <w:rPr>
          <w:rFonts w:asciiTheme="majorBidi" w:hAnsiTheme="majorBidi" w:cstheme="majorBidi"/>
        </w:rPr>
        <w:lastRenderedPageBreak/>
        <w:t xml:space="preserve">the Eastern Europe (non-European Union), </w:t>
      </w:r>
      <w:r w:rsidR="00155671" w:rsidRPr="00B84D47">
        <w:rPr>
          <w:rFonts w:asciiTheme="majorBidi" w:hAnsiTheme="majorBidi" w:cstheme="majorBidi"/>
        </w:rPr>
        <w:t>all 3</w:t>
      </w:r>
      <w:r w:rsidRPr="00B84D47">
        <w:rPr>
          <w:rFonts w:asciiTheme="majorBidi" w:hAnsiTheme="majorBidi" w:cstheme="majorBidi"/>
        </w:rPr>
        <w:t xml:space="preserve"> </w:t>
      </w:r>
      <w:r w:rsidR="00155671" w:rsidRPr="00B84D47">
        <w:rPr>
          <w:rFonts w:asciiTheme="majorBidi" w:hAnsiTheme="majorBidi" w:cstheme="majorBidi"/>
        </w:rPr>
        <w:t xml:space="preserve">states </w:t>
      </w:r>
      <w:r w:rsidRPr="00B84D47">
        <w:rPr>
          <w:rFonts w:asciiTheme="majorBidi" w:hAnsiTheme="majorBidi" w:cstheme="majorBidi"/>
        </w:rPr>
        <w:t xml:space="preserve">of the Caucasus and </w:t>
      </w:r>
      <w:r w:rsidR="00155671" w:rsidRPr="00B84D47">
        <w:rPr>
          <w:rFonts w:asciiTheme="majorBidi" w:hAnsiTheme="majorBidi" w:cstheme="majorBidi"/>
        </w:rPr>
        <w:t>1</w:t>
      </w:r>
      <w:r w:rsidRPr="00B84D47">
        <w:rPr>
          <w:rFonts w:asciiTheme="majorBidi" w:hAnsiTheme="majorBidi" w:cstheme="majorBidi"/>
        </w:rPr>
        <w:t xml:space="preserve"> Central </w:t>
      </w:r>
      <w:r w:rsidR="00200453" w:rsidRPr="00B84D47">
        <w:rPr>
          <w:rFonts w:asciiTheme="majorBidi" w:hAnsiTheme="majorBidi" w:cstheme="majorBidi"/>
        </w:rPr>
        <w:t xml:space="preserve">Asian States (annex, figure </w:t>
      </w:r>
      <w:r w:rsidR="00155671" w:rsidRPr="00B84D47">
        <w:rPr>
          <w:rFonts w:asciiTheme="majorBidi" w:hAnsiTheme="majorBidi" w:cstheme="majorBidi"/>
        </w:rPr>
        <w:t>I</w:t>
      </w:r>
      <w:r w:rsidR="00351B38" w:rsidRPr="00B84D47">
        <w:rPr>
          <w:rFonts w:asciiTheme="majorBidi" w:hAnsiTheme="majorBidi" w:cstheme="majorBidi"/>
        </w:rPr>
        <w:t>I</w:t>
      </w:r>
      <w:r w:rsidR="00200453" w:rsidRPr="00B84D47">
        <w:rPr>
          <w:rFonts w:asciiTheme="majorBidi" w:hAnsiTheme="majorBidi" w:cstheme="majorBidi"/>
        </w:rPr>
        <w:t>I). South-Eastern Europe (non-European Union) is the only</w:t>
      </w:r>
      <w:r w:rsidRPr="00B84D47">
        <w:rPr>
          <w:rFonts w:asciiTheme="majorBidi" w:hAnsiTheme="majorBidi" w:cstheme="majorBidi"/>
        </w:rPr>
        <w:t xml:space="preserve"> sub</w:t>
      </w:r>
      <w:r w:rsidR="00200453" w:rsidRPr="00B84D47">
        <w:rPr>
          <w:rFonts w:asciiTheme="majorBidi" w:hAnsiTheme="majorBidi" w:cstheme="majorBidi"/>
        </w:rPr>
        <w:t>-</w:t>
      </w:r>
      <w:r w:rsidRPr="00B84D47">
        <w:rPr>
          <w:rFonts w:asciiTheme="majorBidi" w:hAnsiTheme="majorBidi" w:cstheme="majorBidi"/>
        </w:rPr>
        <w:t xml:space="preserve">region </w:t>
      </w:r>
      <w:r w:rsidR="00200453" w:rsidRPr="00B84D47">
        <w:rPr>
          <w:rFonts w:asciiTheme="majorBidi" w:hAnsiTheme="majorBidi" w:cstheme="majorBidi"/>
        </w:rPr>
        <w:t xml:space="preserve">that is </w:t>
      </w:r>
      <w:r w:rsidRPr="00B84D47">
        <w:rPr>
          <w:rFonts w:asciiTheme="majorBidi" w:hAnsiTheme="majorBidi" w:cstheme="majorBidi"/>
        </w:rPr>
        <w:t>absent.</w:t>
      </w:r>
    </w:p>
    <w:p w14:paraId="241BBF9A" w14:textId="75CE43DF" w:rsidR="00D129C0" w:rsidRPr="00B84D47" w:rsidRDefault="006C7D0D" w:rsidP="00D129C0">
      <w:pPr>
        <w:jc w:val="both"/>
        <w:rPr>
          <w:rFonts w:asciiTheme="majorBidi" w:hAnsiTheme="majorBidi" w:cstheme="majorBidi"/>
        </w:rPr>
      </w:pPr>
      <w:r w:rsidRPr="00B84D47">
        <w:rPr>
          <w:rFonts w:asciiTheme="majorBidi" w:hAnsiTheme="majorBidi" w:cstheme="majorBidi"/>
        </w:rPr>
        <w:t>10</w:t>
      </w:r>
      <w:r w:rsidR="00D129C0" w:rsidRPr="00B84D47">
        <w:rPr>
          <w:rFonts w:asciiTheme="majorBidi" w:hAnsiTheme="majorBidi" w:cstheme="majorBidi"/>
        </w:rPr>
        <w:t>. Almost half (4</w:t>
      </w:r>
      <w:r w:rsidR="00021707" w:rsidRPr="00B84D47">
        <w:rPr>
          <w:rFonts w:asciiTheme="majorBidi" w:hAnsiTheme="majorBidi" w:cstheme="majorBidi"/>
        </w:rPr>
        <w:t>8</w:t>
      </w:r>
      <w:r w:rsidR="00D129C0" w:rsidRPr="00B84D47">
        <w:rPr>
          <w:rFonts w:asciiTheme="majorBidi" w:hAnsiTheme="majorBidi" w:cstheme="majorBidi"/>
        </w:rPr>
        <w:t xml:space="preserve">%) of the commitments are dedicated to measures that reduce air pollution (section II). The other half of the commitments are more or less evenly distributed among </w:t>
      </w:r>
      <w:r w:rsidR="00784D66" w:rsidRPr="00B84D47">
        <w:rPr>
          <w:rFonts w:asciiTheme="majorBidi" w:hAnsiTheme="majorBidi" w:cstheme="majorBidi"/>
        </w:rPr>
        <w:t>further</w:t>
      </w:r>
      <w:r w:rsidR="00D129C0" w:rsidRPr="00B84D47">
        <w:rPr>
          <w:rFonts w:asciiTheme="majorBidi" w:hAnsiTheme="majorBidi" w:cstheme="majorBidi"/>
        </w:rPr>
        <w:t xml:space="preserve"> four sections: I. Establishment of systematic, comparable and transparent monitoring activities and emissions inventories (1</w:t>
      </w:r>
      <w:r w:rsidR="00282693" w:rsidRPr="00B84D47">
        <w:rPr>
          <w:rFonts w:asciiTheme="majorBidi" w:hAnsiTheme="majorBidi" w:cstheme="majorBidi"/>
        </w:rPr>
        <w:t>4</w:t>
      </w:r>
      <w:r w:rsidR="00D129C0" w:rsidRPr="00B84D47">
        <w:rPr>
          <w:rFonts w:asciiTheme="majorBidi" w:hAnsiTheme="majorBidi" w:cstheme="majorBidi"/>
        </w:rPr>
        <w:t>%); III. Improvement of public awareness (1</w:t>
      </w:r>
      <w:r w:rsidR="00021707" w:rsidRPr="00B84D47">
        <w:rPr>
          <w:rFonts w:asciiTheme="majorBidi" w:hAnsiTheme="majorBidi" w:cstheme="majorBidi"/>
        </w:rPr>
        <w:t>2</w:t>
      </w:r>
      <w:r w:rsidR="00D129C0" w:rsidRPr="00B84D47">
        <w:rPr>
          <w:rFonts w:asciiTheme="majorBidi" w:hAnsiTheme="majorBidi" w:cstheme="majorBidi"/>
        </w:rPr>
        <w:t>%); IV. Capacity-building and technical support (1</w:t>
      </w:r>
      <w:r w:rsidR="00054239" w:rsidRPr="00B84D47">
        <w:rPr>
          <w:rFonts w:asciiTheme="majorBidi" w:hAnsiTheme="majorBidi" w:cstheme="majorBidi"/>
        </w:rPr>
        <w:t>2</w:t>
      </w:r>
      <w:r w:rsidR="00D129C0" w:rsidRPr="00B84D47">
        <w:rPr>
          <w:rFonts w:asciiTheme="majorBidi" w:hAnsiTheme="majorBidi" w:cstheme="majorBidi"/>
        </w:rPr>
        <w:t xml:space="preserve">); and V. </w:t>
      </w:r>
      <w:r w:rsidR="00423412" w:rsidRPr="00B84D47">
        <w:rPr>
          <w:rFonts w:asciiTheme="majorBidi" w:hAnsiTheme="majorBidi" w:cstheme="majorBidi"/>
        </w:rPr>
        <w:t>P</w:t>
      </w:r>
      <w:r w:rsidR="00D129C0" w:rsidRPr="00B84D47">
        <w:rPr>
          <w:rFonts w:asciiTheme="majorBidi" w:hAnsiTheme="majorBidi" w:cstheme="majorBidi"/>
        </w:rPr>
        <w:t>olicy (1</w:t>
      </w:r>
      <w:r w:rsidR="00CB5800" w:rsidRPr="00B84D47">
        <w:rPr>
          <w:rFonts w:asciiTheme="majorBidi" w:hAnsiTheme="majorBidi" w:cstheme="majorBidi"/>
        </w:rPr>
        <w:t>4</w:t>
      </w:r>
      <w:r w:rsidR="00D129C0" w:rsidRPr="00B84D47">
        <w:rPr>
          <w:rFonts w:asciiTheme="majorBidi" w:hAnsiTheme="majorBidi" w:cstheme="majorBidi"/>
        </w:rPr>
        <w:t>%).</w:t>
      </w:r>
    </w:p>
    <w:p w14:paraId="579241CC" w14:textId="77777777" w:rsidR="00935A62" w:rsidRPr="00B84D47" w:rsidRDefault="00D129C0" w:rsidP="00D129C0">
      <w:pPr>
        <w:jc w:val="both"/>
        <w:rPr>
          <w:rFonts w:asciiTheme="majorBidi" w:hAnsiTheme="majorBidi" w:cstheme="majorBidi"/>
          <w:sz w:val="20"/>
          <w:szCs w:val="20"/>
        </w:rPr>
      </w:pPr>
      <w:r w:rsidRPr="00B84D47">
        <w:rPr>
          <w:rFonts w:asciiTheme="majorBidi" w:hAnsiTheme="majorBidi" w:cstheme="majorBidi"/>
        </w:rPr>
        <w:t>1</w:t>
      </w:r>
      <w:r w:rsidR="006C7D0D" w:rsidRPr="00B84D47">
        <w:rPr>
          <w:rFonts w:asciiTheme="majorBidi" w:hAnsiTheme="majorBidi" w:cstheme="majorBidi"/>
        </w:rPr>
        <w:t>1</w:t>
      </w:r>
      <w:r w:rsidRPr="00B84D47">
        <w:rPr>
          <w:rFonts w:asciiTheme="majorBidi" w:hAnsiTheme="majorBidi" w:cstheme="majorBidi"/>
        </w:rPr>
        <w:t xml:space="preserve">. </w:t>
      </w:r>
      <w:r w:rsidR="004563E4" w:rsidRPr="00B84D47">
        <w:rPr>
          <w:rFonts w:asciiTheme="majorBidi" w:hAnsiTheme="majorBidi" w:cstheme="majorBidi"/>
        </w:rPr>
        <w:t>In total,</w:t>
      </w:r>
      <w:r w:rsidR="007F53B9" w:rsidRPr="00B84D47">
        <w:rPr>
          <w:rFonts w:asciiTheme="majorBidi" w:hAnsiTheme="majorBidi" w:cstheme="majorBidi"/>
        </w:rPr>
        <w:t xml:space="preserve"> progress on</w:t>
      </w:r>
      <w:r w:rsidR="004563E4" w:rsidRPr="00B84D47">
        <w:rPr>
          <w:rFonts w:asciiTheme="majorBidi" w:hAnsiTheme="majorBidi" w:cstheme="majorBidi"/>
        </w:rPr>
        <w:t xml:space="preserve"> </w:t>
      </w:r>
      <w:r w:rsidR="00EF7F22" w:rsidRPr="00B84D47">
        <w:rPr>
          <w:rFonts w:asciiTheme="majorBidi" w:hAnsiTheme="majorBidi" w:cstheme="majorBidi"/>
          <w:highlight w:val="yellow"/>
        </w:rPr>
        <w:t>81</w:t>
      </w:r>
      <w:r w:rsidR="004563E4" w:rsidRPr="00B84D47">
        <w:rPr>
          <w:rFonts w:asciiTheme="majorBidi" w:hAnsiTheme="majorBidi" w:cstheme="majorBidi"/>
        </w:rPr>
        <w:t xml:space="preserve"> commitments were reported within the </w:t>
      </w:r>
      <w:r w:rsidR="00A20748" w:rsidRPr="00B84D47">
        <w:rPr>
          <w:rFonts w:asciiTheme="majorBidi" w:hAnsiTheme="majorBidi" w:cstheme="majorBidi"/>
        </w:rPr>
        <w:t>final and mid-term</w:t>
      </w:r>
      <w:r w:rsidR="00EF7F22" w:rsidRPr="00B84D47">
        <w:rPr>
          <w:rStyle w:val="FootnoteReference"/>
          <w:rFonts w:asciiTheme="majorBidi" w:hAnsiTheme="majorBidi" w:cstheme="majorBidi"/>
        </w:rPr>
        <w:footnoteReference w:id="14"/>
      </w:r>
      <w:r w:rsidR="00A20748" w:rsidRPr="00B84D47">
        <w:rPr>
          <w:rFonts w:asciiTheme="majorBidi" w:hAnsiTheme="majorBidi" w:cstheme="majorBidi"/>
        </w:rPr>
        <w:t xml:space="preserve"> s</w:t>
      </w:r>
      <w:r w:rsidR="00EF7F22" w:rsidRPr="00B84D47">
        <w:rPr>
          <w:rFonts w:asciiTheme="majorBidi" w:hAnsiTheme="majorBidi" w:cstheme="majorBidi"/>
        </w:rPr>
        <w:t>urvey, indicating</w:t>
      </w:r>
      <w:r w:rsidRPr="00B84D47">
        <w:rPr>
          <w:rFonts w:asciiTheme="majorBidi" w:hAnsiTheme="majorBidi" w:cstheme="majorBidi"/>
          <w:sz w:val="20"/>
          <w:szCs w:val="20"/>
        </w:rPr>
        <w:t xml:space="preserve"> </w:t>
      </w:r>
      <w:r w:rsidRPr="00B84D47">
        <w:rPr>
          <w:rFonts w:asciiTheme="majorBidi" w:hAnsiTheme="majorBidi" w:cstheme="majorBidi"/>
          <w:szCs w:val="20"/>
        </w:rPr>
        <w:t xml:space="preserve">significant </w:t>
      </w:r>
      <w:r w:rsidR="00EF7F22" w:rsidRPr="00B84D47">
        <w:rPr>
          <w:rFonts w:asciiTheme="majorBidi" w:hAnsiTheme="majorBidi" w:cstheme="majorBidi"/>
          <w:szCs w:val="20"/>
        </w:rPr>
        <w:t xml:space="preserve">overall </w:t>
      </w:r>
      <w:r w:rsidRPr="00B84D47">
        <w:rPr>
          <w:rFonts w:asciiTheme="majorBidi" w:hAnsiTheme="majorBidi" w:cstheme="majorBidi"/>
          <w:szCs w:val="20"/>
        </w:rPr>
        <w:t>progress in the implementation of the Batumi Action for Cleaner Air</w:t>
      </w:r>
      <w:r w:rsidR="00935A62" w:rsidRPr="00B84D47">
        <w:rPr>
          <w:rFonts w:asciiTheme="majorBidi" w:hAnsiTheme="majorBidi" w:cstheme="majorBidi"/>
          <w:szCs w:val="20"/>
        </w:rPr>
        <w:t xml:space="preserve">. </w:t>
      </w:r>
      <w:r w:rsidR="00EF7F22" w:rsidRPr="00B84D47">
        <w:rPr>
          <w:rFonts w:asciiTheme="majorBidi" w:hAnsiTheme="majorBidi" w:cstheme="majorBidi"/>
          <w:szCs w:val="20"/>
        </w:rPr>
        <w:t xml:space="preserve">Of those </w:t>
      </w:r>
      <w:r w:rsidR="00EF7F22" w:rsidRPr="00B84D47">
        <w:rPr>
          <w:rFonts w:asciiTheme="majorBidi" w:hAnsiTheme="majorBidi" w:cstheme="majorBidi"/>
          <w:szCs w:val="20"/>
          <w:highlight w:val="yellow"/>
        </w:rPr>
        <w:t>81</w:t>
      </w:r>
      <w:r w:rsidR="00EF7F22" w:rsidRPr="00B84D47">
        <w:rPr>
          <w:rFonts w:asciiTheme="majorBidi" w:hAnsiTheme="majorBidi" w:cstheme="majorBidi"/>
          <w:szCs w:val="20"/>
        </w:rPr>
        <w:t xml:space="preserve"> actions, </w:t>
      </w:r>
      <w:r w:rsidR="00EF7F22" w:rsidRPr="00B84D47">
        <w:rPr>
          <w:rFonts w:asciiTheme="majorBidi" w:hAnsiTheme="majorBidi" w:cstheme="majorBidi"/>
          <w:szCs w:val="20"/>
          <w:highlight w:val="yellow"/>
        </w:rPr>
        <w:t>61</w:t>
      </w:r>
      <w:r w:rsidR="00EF7F22" w:rsidRPr="00B84D47">
        <w:rPr>
          <w:rFonts w:asciiTheme="majorBidi" w:hAnsiTheme="majorBidi" w:cstheme="majorBidi"/>
          <w:szCs w:val="20"/>
        </w:rPr>
        <w:t xml:space="preserve"> have been completed, </w:t>
      </w:r>
      <w:r w:rsidR="00EF7F22" w:rsidRPr="00B84D47">
        <w:rPr>
          <w:rFonts w:asciiTheme="majorBidi" w:hAnsiTheme="majorBidi" w:cstheme="majorBidi"/>
          <w:szCs w:val="20"/>
          <w:highlight w:val="yellow"/>
        </w:rPr>
        <w:t>19</w:t>
      </w:r>
      <w:r w:rsidR="00EF7F22" w:rsidRPr="00B84D47">
        <w:rPr>
          <w:rFonts w:asciiTheme="majorBidi" w:hAnsiTheme="majorBidi" w:cstheme="majorBidi"/>
          <w:szCs w:val="20"/>
        </w:rPr>
        <w:t xml:space="preserve"> are in </w:t>
      </w:r>
      <w:r w:rsidR="00453E80" w:rsidRPr="00B84D47">
        <w:rPr>
          <w:rFonts w:asciiTheme="majorBidi" w:hAnsiTheme="majorBidi" w:cstheme="majorBidi"/>
          <w:szCs w:val="20"/>
        </w:rPr>
        <w:t>progress and only one</w:t>
      </w:r>
      <w:r w:rsidR="00EF7F22" w:rsidRPr="00B84D47">
        <w:rPr>
          <w:rFonts w:asciiTheme="majorBidi" w:hAnsiTheme="majorBidi" w:cstheme="majorBidi"/>
          <w:szCs w:val="20"/>
        </w:rPr>
        <w:t xml:space="preserve"> commitme</w:t>
      </w:r>
      <w:r w:rsidR="00453E80" w:rsidRPr="00B84D47">
        <w:rPr>
          <w:rFonts w:asciiTheme="majorBidi" w:hAnsiTheme="majorBidi" w:cstheme="majorBidi"/>
          <w:szCs w:val="20"/>
        </w:rPr>
        <w:t xml:space="preserve">nt has not been implemented. For </w:t>
      </w:r>
      <w:r w:rsidR="00453E80" w:rsidRPr="00B84D47">
        <w:rPr>
          <w:rFonts w:asciiTheme="majorBidi" w:hAnsiTheme="majorBidi" w:cstheme="majorBidi"/>
          <w:szCs w:val="20"/>
          <w:highlight w:val="yellow"/>
        </w:rPr>
        <w:t>29</w:t>
      </w:r>
      <w:r w:rsidR="00453E80" w:rsidRPr="00B84D47">
        <w:rPr>
          <w:rFonts w:asciiTheme="majorBidi" w:hAnsiTheme="majorBidi" w:cstheme="majorBidi"/>
          <w:szCs w:val="20"/>
        </w:rPr>
        <w:t xml:space="preserve"> commitments no information has been submitted.</w:t>
      </w:r>
    </w:p>
    <w:p w14:paraId="20F31A8F" w14:textId="77777777" w:rsidR="00511C2E" w:rsidRPr="00B84D47" w:rsidRDefault="00511C2E" w:rsidP="00D129C0">
      <w:pPr>
        <w:jc w:val="both"/>
        <w:rPr>
          <w:rFonts w:asciiTheme="majorBidi" w:hAnsiTheme="majorBidi" w:cstheme="majorBidi"/>
          <w:b/>
          <w:bCs/>
          <w:sz w:val="23"/>
          <w:szCs w:val="23"/>
        </w:rPr>
      </w:pPr>
    </w:p>
    <w:p w14:paraId="294EA58F" w14:textId="77777777" w:rsidR="00511C2E" w:rsidRPr="00B84D47" w:rsidRDefault="00511C2E" w:rsidP="00D129C0">
      <w:pPr>
        <w:jc w:val="both"/>
        <w:rPr>
          <w:rFonts w:asciiTheme="majorBidi" w:hAnsiTheme="majorBidi" w:cstheme="majorBidi"/>
          <w:sz w:val="20"/>
          <w:szCs w:val="20"/>
        </w:rPr>
      </w:pPr>
      <w:r w:rsidRPr="00B84D47">
        <w:rPr>
          <w:rFonts w:asciiTheme="majorBidi" w:hAnsiTheme="majorBidi" w:cstheme="majorBidi"/>
          <w:b/>
          <w:bCs/>
          <w:sz w:val="23"/>
          <w:szCs w:val="23"/>
        </w:rPr>
        <w:t>B. Establishment of systematic, comparable and transparent monitoring activities and emissions inventories</w:t>
      </w:r>
    </w:p>
    <w:p w14:paraId="49322EF9" w14:textId="24D53611" w:rsidR="00D129C0" w:rsidRPr="00B84D47" w:rsidRDefault="00453E80" w:rsidP="00D129C0">
      <w:pPr>
        <w:jc w:val="both"/>
        <w:rPr>
          <w:rFonts w:asciiTheme="majorBidi" w:hAnsiTheme="majorBidi" w:cstheme="majorBidi"/>
        </w:rPr>
      </w:pPr>
      <w:r w:rsidRPr="00B84D47">
        <w:rPr>
          <w:rFonts w:asciiTheme="majorBidi" w:hAnsiTheme="majorBidi" w:cstheme="majorBidi"/>
        </w:rPr>
        <w:t>1</w:t>
      </w:r>
      <w:r w:rsidR="000F5DA8" w:rsidRPr="00B84D47">
        <w:rPr>
          <w:rFonts w:asciiTheme="majorBidi" w:hAnsiTheme="majorBidi" w:cstheme="majorBidi"/>
        </w:rPr>
        <w:t>2</w:t>
      </w:r>
      <w:r w:rsidRPr="00B84D47">
        <w:rPr>
          <w:rFonts w:asciiTheme="majorBidi" w:hAnsiTheme="majorBidi" w:cstheme="majorBidi"/>
        </w:rPr>
        <w:t xml:space="preserve">. </w:t>
      </w:r>
      <w:r w:rsidR="00511C2E" w:rsidRPr="00B84D47">
        <w:rPr>
          <w:rFonts w:asciiTheme="majorBidi" w:hAnsiTheme="majorBidi" w:cstheme="majorBidi"/>
        </w:rPr>
        <w:t xml:space="preserve">Air quality monitoring and assessment is the basis for ambient air quality management. Air quality monitoring is necessary to assess the current situation, and together with emissions inventory, to identify the key sources of pollution. </w:t>
      </w:r>
      <w:r w:rsidR="0032752E" w:rsidRPr="00B84D47">
        <w:rPr>
          <w:rFonts w:asciiTheme="majorBidi" w:hAnsiTheme="majorBidi" w:cstheme="majorBidi"/>
        </w:rPr>
        <w:t xml:space="preserve">This makes it possible to develop the most effective and targeted air protection policy. It is essential to have </w:t>
      </w:r>
      <w:r w:rsidR="00E655AF" w:rsidRPr="00B84D47">
        <w:rPr>
          <w:rFonts w:asciiTheme="majorBidi" w:hAnsiTheme="majorBidi" w:cstheme="majorBidi"/>
        </w:rPr>
        <w:t>reliable</w:t>
      </w:r>
      <w:r w:rsidR="0032752E" w:rsidRPr="00B84D47">
        <w:rPr>
          <w:rFonts w:asciiTheme="majorBidi" w:hAnsiTheme="majorBidi" w:cstheme="majorBidi"/>
        </w:rPr>
        <w:t xml:space="preserve"> data on the quality of ambient air. To ensure high quality and comparable data, a standardized monitoring system is needed.</w:t>
      </w:r>
      <w:r w:rsidR="00E655AF" w:rsidRPr="00B84D47">
        <w:rPr>
          <w:rFonts w:asciiTheme="majorBidi" w:hAnsiTheme="majorBidi" w:cstheme="majorBidi"/>
        </w:rPr>
        <w:t xml:space="preserve"> </w:t>
      </w:r>
      <w:r w:rsidR="00282693" w:rsidRPr="00B84D47">
        <w:rPr>
          <w:rFonts w:asciiTheme="majorBidi" w:hAnsiTheme="majorBidi" w:cstheme="majorBidi"/>
        </w:rPr>
        <w:t>10</w:t>
      </w:r>
      <w:r w:rsidR="00E655AF" w:rsidRPr="00B84D47">
        <w:rPr>
          <w:rFonts w:asciiTheme="majorBidi" w:hAnsiTheme="majorBidi" w:cstheme="majorBidi"/>
        </w:rPr>
        <w:t xml:space="preserve"> countries</w:t>
      </w:r>
      <w:r w:rsidR="00E655AF" w:rsidRPr="00B84D47">
        <w:rPr>
          <w:rStyle w:val="FootnoteReference"/>
          <w:rFonts w:asciiTheme="majorBidi" w:hAnsiTheme="majorBidi" w:cstheme="majorBidi"/>
        </w:rPr>
        <w:footnoteReference w:id="15"/>
      </w:r>
      <w:r w:rsidR="00E655AF" w:rsidRPr="00B84D47">
        <w:rPr>
          <w:rFonts w:asciiTheme="majorBidi" w:hAnsiTheme="majorBidi" w:cstheme="majorBidi"/>
        </w:rPr>
        <w:t xml:space="preserve"> and 1 organization</w:t>
      </w:r>
      <w:r w:rsidR="00E655AF" w:rsidRPr="00B84D47">
        <w:rPr>
          <w:rStyle w:val="FootnoteReference"/>
          <w:rFonts w:asciiTheme="majorBidi" w:hAnsiTheme="majorBidi" w:cstheme="majorBidi"/>
        </w:rPr>
        <w:footnoteReference w:id="16"/>
      </w:r>
      <w:r w:rsidR="00E655AF" w:rsidRPr="00B84D47">
        <w:rPr>
          <w:rFonts w:asciiTheme="majorBidi" w:hAnsiTheme="majorBidi" w:cstheme="majorBidi"/>
        </w:rPr>
        <w:t xml:space="preserve"> made 1</w:t>
      </w:r>
      <w:r w:rsidR="00282693" w:rsidRPr="00B84D47">
        <w:rPr>
          <w:rFonts w:asciiTheme="majorBidi" w:hAnsiTheme="majorBidi" w:cstheme="majorBidi"/>
        </w:rPr>
        <w:t>5</w:t>
      </w:r>
      <w:r w:rsidR="00E655AF" w:rsidRPr="00B84D47">
        <w:rPr>
          <w:rFonts w:asciiTheme="majorBidi" w:hAnsiTheme="majorBidi" w:cstheme="majorBidi"/>
        </w:rPr>
        <w:t xml:space="preserve"> commitments to establish or improve systematic, comparable and transparent monitoring activities and emissions inventories</w:t>
      </w:r>
      <w:r w:rsidR="00983894" w:rsidRPr="00B84D47">
        <w:rPr>
          <w:rFonts w:asciiTheme="majorBidi" w:hAnsiTheme="majorBidi" w:cstheme="majorBidi"/>
        </w:rPr>
        <w:t>.</w:t>
      </w:r>
    </w:p>
    <w:p w14:paraId="2540E000" w14:textId="77777777" w:rsidR="00F429D8" w:rsidRPr="00B84D47" w:rsidRDefault="00F429D8" w:rsidP="00D129C0">
      <w:pPr>
        <w:jc w:val="both"/>
        <w:rPr>
          <w:rFonts w:asciiTheme="majorBidi" w:hAnsiTheme="majorBidi" w:cstheme="majorBidi"/>
          <w:sz w:val="20"/>
        </w:rPr>
      </w:pPr>
      <w:r w:rsidRPr="00B84D47">
        <w:rPr>
          <w:rFonts w:asciiTheme="majorBidi" w:hAnsiTheme="majorBidi" w:cstheme="majorBidi"/>
          <w:b/>
          <w:bCs/>
          <w:szCs w:val="23"/>
        </w:rPr>
        <w:t>Monitoring activities</w:t>
      </w:r>
    </w:p>
    <w:p w14:paraId="44DE15CC" w14:textId="77777777" w:rsidR="00983894" w:rsidRPr="00B84D47" w:rsidRDefault="00983894" w:rsidP="00D129C0">
      <w:pPr>
        <w:jc w:val="both"/>
        <w:rPr>
          <w:rFonts w:asciiTheme="majorBidi" w:hAnsiTheme="majorBidi" w:cstheme="majorBidi"/>
          <w:color w:val="000000"/>
        </w:rPr>
      </w:pPr>
      <w:r w:rsidRPr="00B84D47">
        <w:rPr>
          <w:rFonts w:asciiTheme="majorBidi" w:hAnsiTheme="majorBidi" w:cstheme="majorBidi"/>
        </w:rPr>
        <w:t>1</w:t>
      </w:r>
      <w:r w:rsidR="00F2492D" w:rsidRPr="00B84D47">
        <w:rPr>
          <w:rFonts w:asciiTheme="majorBidi" w:hAnsiTheme="majorBidi" w:cstheme="majorBidi"/>
        </w:rPr>
        <w:t>3</w:t>
      </w:r>
      <w:r w:rsidRPr="00B84D47">
        <w:rPr>
          <w:rFonts w:asciiTheme="majorBidi" w:hAnsiTheme="majorBidi" w:cstheme="majorBidi"/>
        </w:rPr>
        <w:t xml:space="preserve">. </w:t>
      </w:r>
      <w:r w:rsidR="005376AA" w:rsidRPr="00B84D47">
        <w:rPr>
          <w:rFonts w:asciiTheme="majorBidi" w:hAnsiTheme="majorBidi" w:cstheme="majorBidi"/>
        </w:rPr>
        <w:t>Canada highlighted t</w:t>
      </w:r>
      <w:r w:rsidR="005376AA" w:rsidRPr="00B84D47">
        <w:rPr>
          <w:rFonts w:asciiTheme="majorBidi" w:hAnsiTheme="majorBidi" w:cstheme="majorBidi"/>
          <w:color w:val="000000"/>
        </w:rPr>
        <w:t xml:space="preserve">he National Air Pollution Surveillance (NAPS) system that is operational in every province and territory of the country. In particular, currently there are 286 sites in 203 communities. </w:t>
      </w:r>
      <w:r w:rsidR="001112B4" w:rsidRPr="00B84D47">
        <w:rPr>
          <w:rFonts w:asciiTheme="majorBidi" w:hAnsiTheme="majorBidi" w:cstheme="majorBidi"/>
          <w:color w:val="000000"/>
        </w:rPr>
        <w:t>Also</w:t>
      </w:r>
      <w:r w:rsidR="005376AA" w:rsidRPr="00B84D47">
        <w:rPr>
          <w:rFonts w:asciiTheme="majorBidi" w:hAnsiTheme="majorBidi" w:cstheme="majorBidi"/>
          <w:color w:val="000000"/>
        </w:rPr>
        <w:t xml:space="preserve">, it was reported that air quality standards for </w:t>
      </w:r>
      <w:proofErr w:type="spellStart"/>
      <w:r w:rsidR="005376AA" w:rsidRPr="00B84D47">
        <w:rPr>
          <w:rFonts w:asciiTheme="majorBidi" w:hAnsiTheme="majorBidi" w:cstheme="majorBidi"/>
          <w:color w:val="000000"/>
        </w:rPr>
        <w:t>sulphur</w:t>
      </w:r>
      <w:proofErr w:type="spellEnd"/>
      <w:r w:rsidR="005376AA" w:rsidRPr="00B84D47">
        <w:rPr>
          <w:rFonts w:asciiTheme="majorBidi" w:hAnsiTheme="majorBidi" w:cstheme="majorBidi"/>
          <w:color w:val="000000"/>
        </w:rPr>
        <w:t xml:space="preserve"> dioxide and nitrogen dioxide for the years 2020 and 2025 </w:t>
      </w:r>
      <w:r w:rsidR="00B77A3B" w:rsidRPr="00B84D47">
        <w:rPr>
          <w:rFonts w:asciiTheme="majorBidi" w:hAnsiTheme="majorBidi" w:cstheme="majorBidi"/>
          <w:color w:val="000000"/>
        </w:rPr>
        <w:t xml:space="preserve">were established in 2017, </w:t>
      </w:r>
      <w:r w:rsidR="005376AA" w:rsidRPr="00B84D47">
        <w:rPr>
          <w:rFonts w:asciiTheme="majorBidi" w:hAnsiTheme="majorBidi" w:cstheme="majorBidi"/>
          <w:color w:val="000000"/>
        </w:rPr>
        <w:t xml:space="preserve">and </w:t>
      </w:r>
      <w:r w:rsidR="00B77A3B" w:rsidRPr="00B84D47">
        <w:rPr>
          <w:rFonts w:asciiTheme="majorBidi" w:hAnsiTheme="majorBidi" w:cstheme="majorBidi"/>
          <w:color w:val="000000"/>
        </w:rPr>
        <w:t>for 2025</w:t>
      </w:r>
      <w:r w:rsidR="007B6C8D" w:rsidRPr="00B84D47">
        <w:rPr>
          <w:rFonts w:asciiTheme="majorBidi" w:hAnsiTheme="majorBidi" w:cstheme="majorBidi"/>
          <w:color w:val="000000"/>
        </w:rPr>
        <w:t>,</w:t>
      </w:r>
      <w:r w:rsidR="00B77A3B" w:rsidRPr="00B84D47">
        <w:rPr>
          <w:rFonts w:asciiTheme="majorBidi" w:hAnsiTheme="majorBidi" w:cstheme="majorBidi"/>
          <w:color w:val="000000"/>
        </w:rPr>
        <w:t xml:space="preserve"> </w:t>
      </w:r>
      <w:r w:rsidR="005376AA" w:rsidRPr="00B84D47">
        <w:rPr>
          <w:rFonts w:asciiTheme="majorBidi" w:hAnsiTheme="majorBidi" w:cstheme="majorBidi"/>
          <w:color w:val="000000"/>
        </w:rPr>
        <w:t xml:space="preserve">more stringent standard </w:t>
      </w:r>
      <w:r w:rsidR="00B77A3B" w:rsidRPr="00B84D47">
        <w:rPr>
          <w:rFonts w:asciiTheme="majorBidi" w:hAnsiTheme="majorBidi" w:cstheme="majorBidi"/>
          <w:color w:val="000000"/>
        </w:rPr>
        <w:t xml:space="preserve">for ozone </w:t>
      </w:r>
      <w:r w:rsidR="005376AA" w:rsidRPr="00B84D47">
        <w:rPr>
          <w:rFonts w:asciiTheme="majorBidi" w:hAnsiTheme="majorBidi" w:cstheme="majorBidi"/>
          <w:color w:val="000000"/>
        </w:rPr>
        <w:t xml:space="preserve">was </w:t>
      </w:r>
      <w:r w:rsidR="00B77A3B" w:rsidRPr="00B84D47">
        <w:rPr>
          <w:rFonts w:asciiTheme="majorBidi" w:hAnsiTheme="majorBidi" w:cstheme="majorBidi"/>
          <w:color w:val="000000"/>
        </w:rPr>
        <w:t>set</w:t>
      </w:r>
      <w:r w:rsidR="005376AA" w:rsidRPr="00B84D47">
        <w:rPr>
          <w:rFonts w:asciiTheme="majorBidi" w:hAnsiTheme="majorBidi" w:cstheme="majorBidi"/>
          <w:color w:val="000000"/>
        </w:rPr>
        <w:t xml:space="preserve"> in 2019.</w:t>
      </w:r>
    </w:p>
    <w:p w14:paraId="16F71CFC" w14:textId="77777777" w:rsidR="00AE578F" w:rsidRPr="00B84D47" w:rsidRDefault="00F429D8" w:rsidP="00D129C0">
      <w:pPr>
        <w:jc w:val="both"/>
        <w:rPr>
          <w:rFonts w:asciiTheme="majorBidi" w:hAnsiTheme="majorBidi" w:cstheme="majorBidi"/>
          <w:color w:val="000000"/>
        </w:rPr>
      </w:pPr>
      <w:r w:rsidRPr="00B84D47">
        <w:rPr>
          <w:rFonts w:asciiTheme="majorBidi" w:hAnsiTheme="majorBidi" w:cstheme="majorBidi"/>
          <w:color w:val="000000"/>
        </w:rPr>
        <w:t>14.</w:t>
      </w:r>
      <w:r w:rsidR="00AE578F" w:rsidRPr="00B84D47">
        <w:rPr>
          <w:rFonts w:asciiTheme="majorBidi" w:hAnsiTheme="majorBidi" w:cstheme="majorBidi"/>
          <w:color w:val="000000"/>
        </w:rPr>
        <w:t xml:space="preserve"> France established national platform for forecasting air quality. Thanks to this now, it is possible to view 3 days forecasts on the PREVAIR site</w:t>
      </w:r>
      <w:r w:rsidR="00AE578F" w:rsidRPr="00B84D47">
        <w:rPr>
          <w:rStyle w:val="FootnoteReference"/>
          <w:rFonts w:asciiTheme="majorBidi" w:hAnsiTheme="majorBidi" w:cstheme="majorBidi"/>
          <w:color w:val="000000"/>
        </w:rPr>
        <w:footnoteReference w:id="17"/>
      </w:r>
      <w:r w:rsidR="00AE578F" w:rsidRPr="00B84D47">
        <w:rPr>
          <w:rFonts w:asciiTheme="majorBidi" w:hAnsiTheme="majorBidi" w:cstheme="majorBidi"/>
          <w:color w:val="000000"/>
        </w:rPr>
        <w:t>.</w:t>
      </w:r>
    </w:p>
    <w:p w14:paraId="211FBC47" w14:textId="7ACC14B5" w:rsidR="00C57900" w:rsidRPr="00B84D47" w:rsidRDefault="00AE578F" w:rsidP="00C4661D">
      <w:pPr>
        <w:jc w:val="both"/>
        <w:rPr>
          <w:rFonts w:asciiTheme="majorBidi" w:hAnsiTheme="majorBidi" w:cstheme="majorBidi"/>
          <w:color w:val="000000"/>
        </w:rPr>
      </w:pPr>
      <w:r w:rsidRPr="00B84D47">
        <w:rPr>
          <w:rFonts w:asciiTheme="majorBidi" w:hAnsiTheme="majorBidi" w:cstheme="majorBidi"/>
          <w:color w:val="000000"/>
        </w:rPr>
        <w:t>15. Georgia switched to European air quality standards from</w:t>
      </w:r>
      <w:r w:rsidR="00C57900" w:rsidRPr="00B84D47">
        <w:rPr>
          <w:rFonts w:asciiTheme="majorBidi" w:hAnsiTheme="majorBidi" w:cstheme="majorBidi"/>
          <w:color w:val="000000"/>
        </w:rPr>
        <w:t xml:space="preserve"> 1 August 2018. The country has significantly improved its air quality monitoring system by increasing the number of automatic monitoring stations from one to 8 and establishing passive sampling in 25 municipalities. Furthermore, monitoring network was enhanced by 3 gravimetric air quality monitoring equipment that allowed to start monitoring of heavy metals (Pb, As, Cd, Ni) and </w:t>
      </w:r>
      <w:proofErr w:type="spellStart"/>
      <w:r w:rsidR="00C57900" w:rsidRPr="00B84D47">
        <w:rPr>
          <w:rFonts w:asciiTheme="majorBidi" w:hAnsiTheme="majorBidi" w:cstheme="majorBidi"/>
          <w:color w:val="000000"/>
        </w:rPr>
        <w:t>benz</w:t>
      </w:r>
      <w:proofErr w:type="spellEnd"/>
      <w:r w:rsidR="00C57900" w:rsidRPr="00B84D47">
        <w:rPr>
          <w:rFonts w:asciiTheme="majorBidi" w:hAnsiTheme="majorBidi" w:cstheme="majorBidi"/>
          <w:color w:val="000000"/>
        </w:rPr>
        <w:t>(a)pyrene in line with European methodology. In addition,</w:t>
      </w:r>
      <w:r w:rsidR="00C4661D" w:rsidRPr="00B84D47">
        <w:rPr>
          <w:rFonts w:asciiTheme="majorBidi" w:hAnsiTheme="majorBidi" w:cstheme="majorBidi"/>
          <w:color w:val="000000"/>
        </w:rPr>
        <w:t xml:space="preserve"> to improve air quality monitoring system several important activities where conducted such as: establishment of </w:t>
      </w:r>
      <w:r w:rsidR="00C57900" w:rsidRPr="00B84D47">
        <w:rPr>
          <w:rFonts w:asciiTheme="majorBidi" w:hAnsiTheme="majorBidi" w:cstheme="majorBidi"/>
          <w:color w:val="000000"/>
        </w:rPr>
        <w:t xml:space="preserve">air quality modeling, </w:t>
      </w:r>
      <w:r w:rsidR="00C4661D" w:rsidRPr="00B84D47">
        <w:rPr>
          <w:rFonts w:asciiTheme="majorBidi" w:hAnsiTheme="majorBidi" w:cstheme="majorBidi"/>
          <w:color w:val="000000"/>
        </w:rPr>
        <w:t xml:space="preserve">improvement of </w:t>
      </w:r>
      <w:r w:rsidR="00C57900" w:rsidRPr="00B84D47">
        <w:rPr>
          <w:rFonts w:asciiTheme="majorBidi" w:hAnsiTheme="majorBidi" w:cstheme="majorBidi"/>
          <w:color w:val="000000"/>
        </w:rPr>
        <w:t xml:space="preserve">QA/QC, </w:t>
      </w:r>
      <w:r w:rsidR="00C4661D" w:rsidRPr="00B84D47">
        <w:rPr>
          <w:rFonts w:asciiTheme="majorBidi" w:hAnsiTheme="majorBidi" w:cstheme="majorBidi"/>
          <w:color w:val="000000"/>
        </w:rPr>
        <w:t xml:space="preserve">setting up </w:t>
      </w:r>
      <w:r w:rsidR="00C57900" w:rsidRPr="00B84D47">
        <w:rPr>
          <w:rFonts w:asciiTheme="majorBidi" w:hAnsiTheme="majorBidi" w:cstheme="majorBidi"/>
          <w:color w:val="000000"/>
        </w:rPr>
        <w:t xml:space="preserve">air quality monitoring criteria based on the relevant EU </w:t>
      </w:r>
      <w:r w:rsidR="00C57900" w:rsidRPr="00B84D47">
        <w:rPr>
          <w:rFonts w:asciiTheme="majorBidi" w:hAnsiTheme="majorBidi" w:cstheme="majorBidi"/>
          <w:color w:val="000000"/>
        </w:rPr>
        <w:lastRenderedPageBreak/>
        <w:t>Directives</w:t>
      </w:r>
      <w:r w:rsidR="00C4661D" w:rsidRPr="00B84D47">
        <w:rPr>
          <w:rFonts w:asciiTheme="majorBidi" w:hAnsiTheme="majorBidi" w:cstheme="majorBidi"/>
          <w:color w:val="000000"/>
        </w:rPr>
        <w:t xml:space="preserve"> and development of </w:t>
      </w:r>
      <w:r w:rsidR="00C57900" w:rsidRPr="00B84D47">
        <w:rPr>
          <w:rFonts w:asciiTheme="majorBidi" w:hAnsiTheme="majorBidi" w:cstheme="majorBidi"/>
          <w:color w:val="000000"/>
        </w:rPr>
        <w:t>Air Quality Monitoring Network Development Plan</w:t>
      </w:r>
      <w:r w:rsidR="00C4661D" w:rsidRPr="00B84D47">
        <w:rPr>
          <w:rFonts w:asciiTheme="majorBidi" w:hAnsiTheme="majorBidi" w:cstheme="majorBidi"/>
          <w:color w:val="000000"/>
        </w:rPr>
        <w:t>.</w:t>
      </w:r>
      <w:r w:rsidR="00993389" w:rsidRPr="00B84D47">
        <w:rPr>
          <w:rFonts w:asciiTheme="majorBidi" w:hAnsiTheme="majorBidi" w:cstheme="majorBidi"/>
          <w:color w:val="000000"/>
        </w:rPr>
        <w:t xml:space="preserve"> Air quality data is available on the Georgian Ambient Air Quality Portal</w:t>
      </w:r>
      <w:r w:rsidR="00993389" w:rsidRPr="00B84D47">
        <w:rPr>
          <w:rStyle w:val="FootnoteReference"/>
          <w:rFonts w:asciiTheme="majorBidi" w:hAnsiTheme="majorBidi" w:cstheme="majorBidi"/>
          <w:color w:val="000000"/>
        </w:rPr>
        <w:footnoteReference w:id="18"/>
      </w:r>
      <w:r w:rsidR="00993389" w:rsidRPr="00B84D47">
        <w:rPr>
          <w:rFonts w:asciiTheme="majorBidi" w:hAnsiTheme="majorBidi" w:cstheme="majorBidi"/>
          <w:color w:val="000000"/>
        </w:rPr>
        <w:t>.</w:t>
      </w:r>
    </w:p>
    <w:p w14:paraId="02435739" w14:textId="21FCF5D5" w:rsidR="001E61D5" w:rsidRPr="00B84D47" w:rsidRDefault="001E61D5" w:rsidP="00C4661D">
      <w:pPr>
        <w:jc w:val="both"/>
        <w:rPr>
          <w:rFonts w:asciiTheme="majorBidi" w:hAnsiTheme="majorBidi" w:cstheme="majorBidi"/>
          <w:color w:val="000000"/>
        </w:rPr>
      </w:pPr>
      <w:r w:rsidRPr="00B84D47">
        <w:rPr>
          <w:rFonts w:asciiTheme="majorBidi" w:hAnsiTheme="majorBidi" w:cstheme="majorBidi"/>
          <w:color w:val="000000"/>
        </w:rPr>
        <w:t xml:space="preserve">16. </w:t>
      </w:r>
      <w:r w:rsidR="00AA477A" w:rsidRPr="00B84D47">
        <w:rPr>
          <w:rFonts w:asciiTheme="majorBidi" w:hAnsiTheme="majorBidi" w:cstheme="majorBidi"/>
          <w:color w:val="000000"/>
        </w:rPr>
        <w:t xml:space="preserve">The Hungarian Meteorological Service </w:t>
      </w:r>
      <w:r w:rsidR="0095284F" w:rsidRPr="00B84D47">
        <w:rPr>
          <w:rFonts w:asciiTheme="majorBidi" w:hAnsiTheme="majorBidi" w:cstheme="majorBidi"/>
          <w:color w:val="000000"/>
        </w:rPr>
        <w:t xml:space="preserve">developed air quality modeling and forecasting </w:t>
      </w:r>
      <w:r w:rsidR="0069590A" w:rsidRPr="00B84D47">
        <w:rPr>
          <w:rFonts w:asciiTheme="majorBidi" w:hAnsiTheme="majorBidi" w:cstheme="majorBidi"/>
          <w:color w:val="000000"/>
        </w:rPr>
        <w:t>system</w:t>
      </w:r>
      <w:r w:rsidR="00AA477A" w:rsidRPr="00B84D47">
        <w:rPr>
          <w:rFonts w:asciiTheme="majorBidi" w:hAnsiTheme="majorBidi" w:cstheme="majorBidi"/>
          <w:color w:val="000000"/>
        </w:rPr>
        <w:t>. Results of the modeling are available on the webpage</w:t>
      </w:r>
      <w:r w:rsidR="00C844A5" w:rsidRPr="00B84D47">
        <w:rPr>
          <w:rStyle w:val="FootnoteReference"/>
          <w:rFonts w:asciiTheme="majorBidi" w:hAnsiTheme="majorBidi" w:cstheme="majorBidi"/>
          <w:color w:val="000000"/>
        </w:rPr>
        <w:footnoteReference w:id="19"/>
      </w:r>
      <w:r w:rsidR="00C844A5" w:rsidRPr="00B84D47">
        <w:rPr>
          <w:rFonts w:asciiTheme="majorBidi" w:hAnsiTheme="majorBidi" w:cstheme="majorBidi"/>
          <w:color w:val="000000"/>
        </w:rPr>
        <w:t xml:space="preserve">. Also, modelling tool </w:t>
      </w:r>
      <w:r w:rsidR="00AA477A" w:rsidRPr="00B84D47">
        <w:rPr>
          <w:rFonts w:asciiTheme="majorBidi" w:hAnsiTheme="majorBidi" w:cstheme="majorBidi"/>
          <w:color w:val="000000"/>
        </w:rPr>
        <w:t>is used to estimates the effect of the emission reduction measures during the planning of activities.</w:t>
      </w:r>
    </w:p>
    <w:p w14:paraId="5986A344" w14:textId="69905934" w:rsidR="00F83F25" w:rsidRPr="00B84D47" w:rsidRDefault="00F83F25" w:rsidP="00C4661D">
      <w:pPr>
        <w:jc w:val="both"/>
        <w:rPr>
          <w:rFonts w:asciiTheme="majorBidi" w:hAnsiTheme="majorBidi" w:cstheme="majorBidi"/>
          <w:color w:val="000000"/>
        </w:rPr>
      </w:pPr>
      <w:r w:rsidRPr="00B84D47">
        <w:rPr>
          <w:rFonts w:asciiTheme="majorBidi" w:hAnsiTheme="majorBidi" w:cstheme="majorBidi"/>
          <w:color w:val="000000"/>
        </w:rPr>
        <w:t>1</w:t>
      </w:r>
      <w:r w:rsidR="001E61D5" w:rsidRPr="00B84D47">
        <w:rPr>
          <w:rFonts w:asciiTheme="majorBidi" w:hAnsiTheme="majorBidi" w:cstheme="majorBidi"/>
          <w:color w:val="000000"/>
        </w:rPr>
        <w:t>7</w:t>
      </w:r>
      <w:r w:rsidRPr="00B84D47">
        <w:rPr>
          <w:rFonts w:asciiTheme="majorBidi" w:hAnsiTheme="majorBidi" w:cstheme="majorBidi"/>
          <w:color w:val="000000"/>
        </w:rPr>
        <w:t>. Latvia finalized the modernization of national air pollution monitoring network. Three new air quality stations have been installed</w:t>
      </w:r>
      <w:r w:rsidR="00C91667" w:rsidRPr="00B84D47">
        <w:rPr>
          <w:rFonts w:asciiTheme="majorBidi" w:hAnsiTheme="majorBidi" w:cstheme="majorBidi"/>
          <w:color w:val="000000"/>
        </w:rPr>
        <w:t xml:space="preserve"> and </w:t>
      </w:r>
      <w:r w:rsidRPr="00B84D47">
        <w:rPr>
          <w:rFonts w:asciiTheme="majorBidi" w:hAnsiTheme="majorBidi" w:cstheme="majorBidi"/>
          <w:color w:val="000000"/>
        </w:rPr>
        <w:t>five existing ones have been upgraded</w:t>
      </w:r>
      <w:r w:rsidR="00C91667" w:rsidRPr="00B84D47">
        <w:rPr>
          <w:rFonts w:asciiTheme="majorBidi" w:hAnsiTheme="majorBidi" w:cstheme="majorBidi"/>
          <w:color w:val="000000"/>
        </w:rPr>
        <w:t>. Moreover,</w:t>
      </w:r>
      <w:r w:rsidRPr="00B84D47">
        <w:rPr>
          <w:rFonts w:asciiTheme="majorBidi" w:hAnsiTheme="majorBidi" w:cstheme="majorBidi"/>
          <w:color w:val="000000"/>
        </w:rPr>
        <w:t xml:space="preserve"> a new data collection system has been introduced and real time data using Air Quality Index has been made available to the public.  Pollutant measurement programs have been improved as planned and expanded to include automatic hourly CO measurements on all traffic stations and BTX range expanded to include ethylbenzene, </w:t>
      </w:r>
      <w:proofErr w:type="spellStart"/>
      <w:proofErr w:type="gramStart"/>
      <w:r w:rsidRPr="00B84D47">
        <w:rPr>
          <w:rFonts w:asciiTheme="majorBidi" w:hAnsiTheme="majorBidi" w:cstheme="majorBidi"/>
          <w:color w:val="000000"/>
        </w:rPr>
        <w:t>m,p</w:t>
      </w:r>
      <w:proofErr w:type="spellEnd"/>
      <w:proofErr w:type="gramEnd"/>
      <w:r w:rsidRPr="00B84D47">
        <w:rPr>
          <w:rFonts w:asciiTheme="majorBidi" w:hAnsiTheme="majorBidi" w:cstheme="majorBidi"/>
          <w:color w:val="000000"/>
        </w:rPr>
        <w:t>-xylenes and o-xylene in urban stations. In addition, automatic</w:t>
      </w:r>
      <w:r w:rsidR="00C91667" w:rsidRPr="00B84D47">
        <w:rPr>
          <w:rFonts w:asciiTheme="majorBidi" w:hAnsiTheme="majorBidi" w:cstheme="majorBidi"/>
          <w:color w:val="000000"/>
        </w:rPr>
        <w:t xml:space="preserve"> and </w:t>
      </w:r>
      <w:proofErr w:type="gramStart"/>
      <w:r w:rsidR="009A303A" w:rsidRPr="00B84D47">
        <w:rPr>
          <w:rFonts w:asciiTheme="majorBidi" w:hAnsiTheme="majorBidi" w:cstheme="majorBidi"/>
          <w:color w:val="000000"/>
        </w:rPr>
        <w:t>h</w:t>
      </w:r>
      <w:r w:rsidR="00C91667" w:rsidRPr="00B84D47">
        <w:rPr>
          <w:rFonts w:asciiTheme="majorBidi" w:hAnsiTheme="majorBidi" w:cstheme="majorBidi"/>
          <w:color w:val="000000"/>
        </w:rPr>
        <w:t>igh volume</w:t>
      </w:r>
      <w:proofErr w:type="gramEnd"/>
      <w:r w:rsidR="00C91667" w:rsidRPr="00B84D47">
        <w:rPr>
          <w:rFonts w:asciiTheme="majorBidi" w:hAnsiTheme="majorBidi" w:cstheme="majorBidi"/>
          <w:color w:val="000000"/>
        </w:rPr>
        <w:t xml:space="preserve"> samplers have been installed</w:t>
      </w:r>
      <w:r w:rsidR="009A303A" w:rsidRPr="00B84D47">
        <w:rPr>
          <w:rFonts w:asciiTheme="majorBidi" w:hAnsiTheme="majorBidi" w:cstheme="majorBidi"/>
          <w:color w:val="000000"/>
        </w:rPr>
        <w:t xml:space="preserve"> in </w:t>
      </w:r>
      <w:proofErr w:type="spellStart"/>
      <w:r w:rsidR="009A303A" w:rsidRPr="00B84D47">
        <w:rPr>
          <w:rFonts w:asciiTheme="majorBidi" w:hAnsiTheme="majorBidi" w:cstheme="majorBidi"/>
          <w:color w:val="000000"/>
        </w:rPr>
        <w:t>Rucava</w:t>
      </w:r>
      <w:proofErr w:type="spellEnd"/>
      <w:r w:rsidR="009A303A" w:rsidRPr="00B84D47">
        <w:rPr>
          <w:rFonts w:asciiTheme="majorBidi" w:hAnsiTheme="majorBidi" w:cstheme="majorBidi"/>
          <w:color w:val="000000"/>
        </w:rPr>
        <w:t xml:space="preserve"> to measure heavy metals, PAHs, </w:t>
      </w:r>
      <w:r w:rsidRPr="00B84D47">
        <w:rPr>
          <w:rFonts w:asciiTheme="majorBidi" w:hAnsiTheme="majorBidi" w:cstheme="majorBidi"/>
          <w:color w:val="000000"/>
        </w:rPr>
        <w:t>cations</w:t>
      </w:r>
      <w:r w:rsidR="009A303A" w:rsidRPr="00B84D47">
        <w:rPr>
          <w:rFonts w:asciiTheme="majorBidi" w:hAnsiTheme="majorBidi" w:cstheme="majorBidi"/>
          <w:color w:val="000000"/>
        </w:rPr>
        <w:t>,</w:t>
      </w:r>
      <w:r w:rsidRPr="00B84D47">
        <w:rPr>
          <w:rFonts w:asciiTheme="majorBidi" w:hAnsiTheme="majorBidi" w:cstheme="majorBidi"/>
          <w:color w:val="000000"/>
        </w:rPr>
        <w:t xml:space="preserve"> </w:t>
      </w:r>
      <w:r w:rsidR="009A303A" w:rsidRPr="00B84D47">
        <w:rPr>
          <w:rFonts w:asciiTheme="majorBidi" w:hAnsiTheme="majorBidi" w:cstheme="majorBidi"/>
          <w:color w:val="000000"/>
        </w:rPr>
        <w:t>anions, and OC/EC.</w:t>
      </w:r>
    </w:p>
    <w:p w14:paraId="1D325FBE" w14:textId="04D1FE47" w:rsidR="00997EAE" w:rsidRPr="00B84D47" w:rsidRDefault="00997EAE" w:rsidP="00C4661D">
      <w:pPr>
        <w:jc w:val="both"/>
        <w:rPr>
          <w:rFonts w:asciiTheme="majorBidi" w:hAnsiTheme="majorBidi" w:cstheme="majorBidi"/>
        </w:rPr>
      </w:pPr>
      <w:r w:rsidRPr="00B84D47">
        <w:rPr>
          <w:rFonts w:asciiTheme="majorBidi" w:hAnsiTheme="majorBidi" w:cstheme="majorBidi"/>
          <w:color w:val="000000"/>
        </w:rPr>
        <w:t>1</w:t>
      </w:r>
      <w:r w:rsidR="001E61D5" w:rsidRPr="00B84D47">
        <w:rPr>
          <w:rFonts w:asciiTheme="majorBidi" w:hAnsiTheme="majorBidi" w:cstheme="majorBidi"/>
          <w:color w:val="000000"/>
        </w:rPr>
        <w:t>8</w:t>
      </w:r>
      <w:r w:rsidRPr="00B84D47">
        <w:rPr>
          <w:rFonts w:asciiTheme="majorBidi" w:hAnsiTheme="majorBidi" w:cstheme="majorBidi"/>
          <w:color w:val="000000"/>
        </w:rPr>
        <w:t>. Romania extended its air quality monitoring network by 18 new sampling points for continuous measurement of the following pollutants:  nitrogen dioxide (NO</w:t>
      </w:r>
      <w:r w:rsidRPr="00B84D47">
        <w:rPr>
          <w:rFonts w:asciiTheme="majorBidi" w:hAnsiTheme="majorBidi" w:cstheme="majorBidi"/>
          <w:color w:val="000000"/>
          <w:vertAlign w:val="subscript"/>
        </w:rPr>
        <w:t>2</w:t>
      </w:r>
      <w:r w:rsidRPr="00B84D47">
        <w:rPr>
          <w:rFonts w:asciiTheme="majorBidi" w:hAnsiTheme="majorBidi" w:cstheme="majorBidi"/>
          <w:color w:val="000000"/>
        </w:rPr>
        <w:t xml:space="preserve">) and oxides of nitrogen (NOx) in one </w:t>
      </w:r>
      <w:r w:rsidR="009E2B60" w:rsidRPr="00B84D47">
        <w:rPr>
          <w:rFonts w:asciiTheme="majorBidi" w:hAnsiTheme="majorBidi" w:cstheme="majorBidi"/>
          <w:color w:val="000000"/>
        </w:rPr>
        <w:t>zone; ozone</w:t>
      </w:r>
      <w:r w:rsidRPr="00B84D47">
        <w:rPr>
          <w:rFonts w:asciiTheme="majorBidi" w:hAnsiTheme="majorBidi" w:cstheme="majorBidi"/>
          <w:color w:val="000000"/>
        </w:rPr>
        <w:t xml:space="preserve"> (O</w:t>
      </w:r>
      <w:r w:rsidRPr="00B84D47">
        <w:rPr>
          <w:rFonts w:asciiTheme="majorBidi" w:hAnsiTheme="majorBidi" w:cstheme="majorBidi"/>
          <w:color w:val="000000"/>
          <w:vertAlign w:val="subscript"/>
        </w:rPr>
        <w:t>3</w:t>
      </w:r>
      <w:r w:rsidRPr="00B84D47">
        <w:rPr>
          <w:rFonts w:asciiTheme="majorBidi" w:hAnsiTheme="majorBidi" w:cstheme="majorBidi"/>
          <w:color w:val="000000"/>
        </w:rPr>
        <w:t xml:space="preserve">) in six </w:t>
      </w:r>
      <w:r w:rsidR="009E2B60" w:rsidRPr="00B84D47">
        <w:rPr>
          <w:rFonts w:asciiTheme="majorBidi" w:hAnsiTheme="majorBidi" w:cstheme="majorBidi"/>
          <w:color w:val="000000"/>
        </w:rPr>
        <w:t>zones; volatile</w:t>
      </w:r>
      <w:r w:rsidRPr="00B84D47">
        <w:rPr>
          <w:rFonts w:asciiTheme="majorBidi" w:hAnsiTheme="majorBidi" w:cstheme="majorBidi"/>
          <w:color w:val="000000"/>
        </w:rPr>
        <w:t xml:space="preserve"> organic compounds (Benzene, Toluene, Ethylbenzene, Xylene) in four </w:t>
      </w:r>
      <w:r w:rsidR="009E2B60" w:rsidRPr="00B84D47">
        <w:rPr>
          <w:rFonts w:asciiTheme="majorBidi" w:hAnsiTheme="majorBidi" w:cstheme="majorBidi"/>
          <w:color w:val="000000"/>
        </w:rPr>
        <w:t>zones; −</w:t>
      </w:r>
      <w:r w:rsidRPr="00B84D47">
        <w:rPr>
          <w:rFonts w:asciiTheme="majorBidi" w:hAnsiTheme="majorBidi" w:cstheme="majorBidi"/>
          <w:color w:val="000000"/>
        </w:rPr>
        <w:t xml:space="preserve"> particulate matter (PM</w:t>
      </w:r>
      <w:r w:rsidRPr="00B84D47">
        <w:rPr>
          <w:rFonts w:asciiTheme="majorBidi" w:hAnsiTheme="majorBidi" w:cstheme="majorBidi"/>
          <w:color w:val="000000"/>
          <w:vertAlign w:val="subscript"/>
        </w:rPr>
        <w:t>10</w:t>
      </w:r>
      <w:r w:rsidRPr="00B84D47">
        <w:rPr>
          <w:rFonts w:asciiTheme="majorBidi" w:hAnsiTheme="majorBidi" w:cstheme="majorBidi"/>
          <w:color w:val="000000"/>
        </w:rPr>
        <w:t xml:space="preserve">) in five </w:t>
      </w:r>
      <w:r w:rsidR="009E2B60" w:rsidRPr="00B84D47">
        <w:rPr>
          <w:rFonts w:asciiTheme="majorBidi" w:hAnsiTheme="majorBidi" w:cstheme="majorBidi"/>
          <w:color w:val="000000"/>
        </w:rPr>
        <w:t>zones; −</w:t>
      </w:r>
      <w:r w:rsidRPr="00B84D47">
        <w:rPr>
          <w:rFonts w:asciiTheme="majorBidi" w:hAnsiTheme="majorBidi" w:cstheme="majorBidi"/>
          <w:color w:val="000000"/>
        </w:rPr>
        <w:t xml:space="preserve"> particulate matter (PM</w:t>
      </w:r>
      <w:r w:rsidRPr="00B84D47">
        <w:rPr>
          <w:rFonts w:asciiTheme="majorBidi" w:hAnsiTheme="majorBidi" w:cstheme="majorBidi"/>
          <w:color w:val="000000"/>
          <w:vertAlign w:val="subscript"/>
        </w:rPr>
        <w:t>2</w:t>
      </w:r>
      <w:r w:rsidR="00106707" w:rsidRPr="00B84D47">
        <w:rPr>
          <w:rFonts w:asciiTheme="majorBidi" w:hAnsiTheme="majorBidi" w:cstheme="majorBidi"/>
          <w:color w:val="000000"/>
          <w:vertAlign w:val="subscript"/>
        </w:rPr>
        <w:t>.</w:t>
      </w:r>
      <w:r w:rsidRPr="00B84D47">
        <w:rPr>
          <w:rFonts w:asciiTheme="majorBidi" w:hAnsiTheme="majorBidi" w:cstheme="majorBidi"/>
          <w:color w:val="000000"/>
          <w:vertAlign w:val="subscript"/>
        </w:rPr>
        <w:t>5</w:t>
      </w:r>
      <w:r w:rsidRPr="00B84D47">
        <w:rPr>
          <w:rFonts w:asciiTheme="majorBidi" w:hAnsiTheme="majorBidi" w:cstheme="majorBidi"/>
          <w:color w:val="000000"/>
        </w:rPr>
        <w:t>) in two zones.</w:t>
      </w:r>
    </w:p>
    <w:p w14:paraId="308FAF0D" w14:textId="77777777" w:rsidR="00F429D8" w:rsidRPr="00B84D47" w:rsidRDefault="00F429D8" w:rsidP="00D129C0">
      <w:pPr>
        <w:jc w:val="both"/>
        <w:rPr>
          <w:rFonts w:asciiTheme="majorBidi" w:hAnsiTheme="majorBidi" w:cstheme="majorBidi"/>
          <w:color w:val="000000"/>
          <w:sz w:val="20"/>
        </w:rPr>
      </w:pPr>
      <w:r w:rsidRPr="00B84D47">
        <w:rPr>
          <w:rFonts w:asciiTheme="majorBidi" w:hAnsiTheme="majorBidi" w:cstheme="majorBidi"/>
          <w:b/>
          <w:bCs/>
          <w:szCs w:val="23"/>
        </w:rPr>
        <w:t>Emissions inventories</w:t>
      </w:r>
    </w:p>
    <w:p w14:paraId="133B53F3" w14:textId="5A666A93" w:rsidR="0091569B" w:rsidRPr="00B84D47" w:rsidRDefault="0091569B" w:rsidP="00D129C0">
      <w:pPr>
        <w:jc w:val="both"/>
        <w:rPr>
          <w:rFonts w:asciiTheme="majorBidi" w:hAnsiTheme="majorBidi" w:cstheme="majorBidi"/>
          <w:color w:val="000000"/>
        </w:rPr>
      </w:pPr>
      <w:r w:rsidRPr="00B84D47">
        <w:rPr>
          <w:rFonts w:asciiTheme="majorBidi" w:hAnsiTheme="majorBidi" w:cstheme="majorBidi"/>
          <w:color w:val="000000"/>
        </w:rPr>
        <w:t>1</w:t>
      </w:r>
      <w:r w:rsidR="001E61D5" w:rsidRPr="00B84D47">
        <w:rPr>
          <w:rFonts w:asciiTheme="majorBidi" w:hAnsiTheme="majorBidi" w:cstheme="majorBidi"/>
          <w:color w:val="000000"/>
        </w:rPr>
        <w:t>9</w:t>
      </w:r>
      <w:r w:rsidRPr="00B84D47">
        <w:rPr>
          <w:rFonts w:asciiTheme="majorBidi" w:hAnsiTheme="majorBidi" w:cstheme="majorBidi"/>
          <w:color w:val="000000"/>
        </w:rPr>
        <w:t xml:space="preserve">. The latest </w:t>
      </w:r>
      <w:r w:rsidRPr="00B84D47">
        <w:rPr>
          <w:rFonts w:asciiTheme="majorBidi" w:hAnsiTheme="majorBidi" w:cstheme="majorBidi"/>
        </w:rPr>
        <w:t>air pollutants emission inventory</w:t>
      </w:r>
      <w:r w:rsidRPr="00B84D47">
        <w:rPr>
          <w:rStyle w:val="FootnoteReference"/>
          <w:rFonts w:asciiTheme="majorBidi" w:hAnsiTheme="majorBidi" w:cstheme="majorBidi"/>
          <w:color w:val="000000"/>
        </w:rPr>
        <w:footnoteReference w:id="20"/>
      </w:r>
      <w:r w:rsidRPr="00B84D47">
        <w:rPr>
          <w:rFonts w:asciiTheme="majorBidi" w:hAnsiTheme="majorBidi" w:cstheme="majorBidi"/>
          <w:color w:val="000000"/>
        </w:rPr>
        <w:t xml:space="preserve"> of Canada developed and published at the national, provincial and territorial level. Inventory covers period for 1990 to 2020 and emissions of 17 air pollutants.</w:t>
      </w:r>
    </w:p>
    <w:p w14:paraId="66105D07" w14:textId="30BCA297" w:rsidR="005376AA" w:rsidRPr="00B84D47" w:rsidRDefault="001E61D5" w:rsidP="00D129C0">
      <w:pPr>
        <w:jc w:val="both"/>
        <w:rPr>
          <w:rFonts w:asciiTheme="majorBidi" w:hAnsiTheme="majorBidi" w:cstheme="majorBidi"/>
        </w:rPr>
      </w:pPr>
      <w:r w:rsidRPr="00B84D47">
        <w:rPr>
          <w:rFonts w:asciiTheme="majorBidi" w:hAnsiTheme="majorBidi" w:cstheme="majorBidi"/>
          <w:color w:val="000000"/>
        </w:rPr>
        <w:t>20</w:t>
      </w:r>
      <w:r w:rsidR="005376AA" w:rsidRPr="00B84D47">
        <w:rPr>
          <w:rFonts w:asciiTheme="majorBidi" w:hAnsiTheme="majorBidi" w:cstheme="majorBidi"/>
          <w:color w:val="000000"/>
        </w:rPr>
        <w:t xml:space="preserve">. </w:t>
      </w:r>
      <w:r w:rsidR="00F2492D" w:rsidRPr="00B84D47">
        <w:rPr>
          <w:rFonts w:asciiTheme="majorBidi" w:hAnsiTheme="majorBidi" w:cstheme="majorBidi"/>
          <w:color w:val="000000"/>
        </w:rPr>
        <w:t xml:space="preserve"> France reported about the development and annual update of its national </w:t>
      </w:r>
      <w:r w:rsidR="00F2492D" w:rsidRPr="00B84D47">
        <w:rPr>
          <w:rFonts w:asciiTheme="majorBidi" w:hAnsiTheme="majorBidi" w:cstheme="majorBidi"/>
        </w:rPr>
        <w:t>air pollutants emission inventories which is publicly available on the webpage</w:t>
      </w:r>
      <w:r w:rsidR="00F2492D" w:rsidRPr="00B84D47">
        <w:rPr>
          <w:rStyle w:val="FootnoteReference"/>
          <w:rFonts w:asciiTheme="majorBidi" w:hAnsiTheme="majorBidi" w:cstheme="majorBidi"/>
        </w:rPr>
        <w:footnoteReference w:id="21"/>
      </w:r>
      <w:r w:rsidR="00F429D8" w:rsidRPr="00B84D47">
        <w:rPr>
          <w:rFonts w:asciiTheme="majorBidi" w:hAnsiTheme="majorBidi" w:cstheme="majorBidi"/>
        </w:rPr>
        <w:t>.</w:t>
      </w:r>
    </w:p>
    <w:p w14:paraId="1CCDC7E3" w14:textId="21911A31" w:rsidR="00694A9C" w:rsidRPr="00B84D47" w:rsidRDefault="0091569B" w:rsidP="00D129C0">
      <w:pPr>
        <w:jc w:val="both"/>
        <w:rPr>
          <w:rFonts w:asciiTheme="majorBidi" w:hAnsiTheme="majorBidi" w:cstheme="majorBidi"/>
        </w:rPr>
      </w:pPr>
      <w:r w:rsidRPr="00B84D47">
        <w:rPr>
          <w:rFonts w:asciiTheme="majorBidi" w:hAnsiTheme="majorBidi" w:cstheme="majorBidi"/>
        </w:rPr>
        <w:t>2</w:t>
      </w:r>
      <w:r w:rsidR="001E61D5" w:rsidRPr="00B84D47">
        <w:rPr>
          <w:rFonts w:asciiTheme="majorBidi" w:hAnsiTheme="majorBidi" w:cstheme="majorBidi"/>
        </w:rPr>
        <w:t>1</w:t>
      </w:r>
      <w:r w:rsidR="00694A9C" w:rsidRPr="00B84D47">
        <w:rPr>
          <w:rFonts w:asciiTheme="majorBidi" w:hAnsiTheme="majorBidi" w:cstheme="majorBidi"/>
        </w:rPr>
        <w:t xml:space="preserve">. Georgia </w:t>
      </w:r>
      <w:r w:rsidR="007D584C" w:rsidRPr="00B84D47">
        <w:rPr>
          <w:rFonts w:asciiTheme="majorBidi" w:hAnsiTheme="majorBidi" w:cstheme="majorBidi"/>
        </w:rPr>
        <w:t xml:space="preserve">has </w:t>
      </w:r>
      <w:r w:rsidR="00694A9C" w:rsidRPr="00B84D47">
        <w:rPr>
          <w:rFonts w:asciiTheme="majorBidi" w:hAnsiTheme="majorBidi" w:cstheme="majorBidi"/>
        </w:rPr>
        <w:t>established an electronic reporting system</w:t>
      </w:r>
      <w:r w:rsidR="007D584C" w:rsidRPr="00B84D47">
        <w:rPr>
          <w:rStyle w:val="FootnoteReference"/>
          <w:rFonts w:asciiTheme="majorBidi" w:hAnsiTheme="majorBidi" w:cstheme="majorBidi"/>
        </w:rPr>
        <w:footnoteReference w:id="22"/>
      </w:r>
      <w:r w:rsidR="00694A9C" w:rsidRPr="00B84D47">
        <w:rPr>
          <w:rFonts w:asciiTheme="majorBidi" w:hAnsiTheme="majorBidi" w:cstheme="majorBidi"/>
        </w:rPr>
        <w:t xml:space="preserve"> for the annual inventory of emission from stationary sources.</w:t>
      </w:r>
      <w:r w:rsidR="007D584C" w:rsidRPr="00B84D47">
        <w:rPr>
          <w:rFonts w:asciiTheme="majorBidi" w:hAnsiTheme="majorBidi" w:cstheme="majorBidi"/>
        </w:rPr>
        <w:t xml:space="preserve"> The system that is operational since 2017, significantly reduced time for reporting and analysis and increased amount and quality of received data.</w:t>
      </w:r>
      <w:r w:rsidR="0089379D" w:rsidRPr="00B84D47">
        <w:rPr>
          <w:rFonts w:asciiTheme="majorBidi" w:hAnsiTheme="majorBidi" w:cstheme="majorBidi"/>
        </w:rPr>
        <w:t xml:space="preserve"> Information about the point sources and their emissions is openly available on the webpage</w:t>
      </w:r>
      <w:r w:rsidR="0089379D" w:rsidRPr="00B84D47">
        <w:rPr>
          <w:rStyle w:val="FootnoteReference"/>
          <w:rFonts w:asciiTheme="majorBidi" w:hAnsiTheme="majorBidi" w:cstheme="majorBidi"/>
        </w:rPr>
        <w:footnoteReference w:id="23"/>
      </w:r>
      <w:r w:rsidR="0089379D" w:rsidRPr="00B84D47">
        <w:rPr>
          <w:rFonts w:asciiTheme="majorBidi" w:hAnsiTheme="majorBidi" w:cstheme="majorBidi"/>
        </w:rPr>
        <w:t>.</w:t>
      </w:r>
      <w:r w:rsidR="001800D0" w:rsidRPr="00B84D47">
        <w:rPr>
          <w:rFonts w:asciiTheme="majorBidi" w:hAnsiTheme="majorBidi" w:cstheme="majorBidi"/>
        </w:rPr>
        <w:t xml:space="preserve"> </w:t>
      </w:r>
      <w:r w:rsidR="00C81E3F" w:rsidRPr="00B84D47">
        <w:rPr>
          <w:rFonts w:asciiTheme="majorBidi" w:hAnsiTheme="majorBidi" w:cstheme="majorBidi"/>
        </w:rPr>
        <w:t>In addition</w:t>
      </w:r>
      <w:r w:rsidR="001800D0" w:rsidRPr="00B84D47">
        <w:rPr>
          <w:rFonts w:asciiTheme="majorBidi" w:hAnsiTheme="majorBidi" w:cstheme="majorBidi"/>
        </w:rPr>
        <w:t>, the county improved its emission inventory covering full time series (from 1990 to 2020)</w:t>
      </w:r>
      <w:r w:rsidR="00C81E3F" w:rsidRPr="00B84D47">
        <w:rPr>
          <w:rFonts w:asciiTheme="majorBidi" w:hAnsiTheme="majorBidi" w:cstheme="majorBidi"/>
        </w:rPr>
        <w:t xml:space="preserve"> and using the </w:t>
      </w:r>
      <w:r w:rsidR="007E3997" w:rsidRPr="00B84D47">
        <w:rPr>
          <w:rFonts w:asciiTheme="majorBidi" w:hAnsiTheme="majorBidi" w:cstheme="majorBidi"/>
        </w:rPr>
        <w:t>latest version</w:t>
      </w:r>
      <w:r w:rsidR="0044669D" w:rsidRPr="00B84D47">
        <w:rPr>
          <w:rFonts w:asciiTheme="majorBidi" w:hAnsiTheme="majorBidi" w:cstheme="majorBidi"/>
        </w:rPr>
        <w:t xml:space="preserve"> of </w:t>
      </w:r>
      <w:r w:rsidR="00C81E3F" w:rsidRPr="00B84D47">
        <w:rPr>
          <w:rFonts w:asciiTheme="majorBidi" w:hAnsiTheme="majorBidi" w:cstheme="majorBidi"/>
        </w:rPr>
        <w:t xml:space="preserve">EMEP/EEA Guidebook </w:t>
      </w:r>
      <w:r w:rsidR="0044669D" w:rsidRPr="00B84D47">
        <w:rPr>
          <w:rFonts w:asciiTheme="majorBidi" w:hAnsiTheme="majorBidi" w:cstheme="majorBidi"/>
        </w:rPr>
        <w:t>(</w:t>
      </w:r>
      <w:r w:rsidR="00C81E3F" w:rsidRPr="00B84D47">
        <w:rPr>
          <w:rFonts w:asciiTheme="majorBidi" w:hAnsiTheme="majorBidi" w:cstheme="majorBidi"/>
        </w:rPr>
        <w:t>2019). Emission projection for the years 2020, 2025, and 2030 have been developed as well.</w:t>
      </w:r>
    </w:p>
    <w:p w14:paraId="1D7A09FC" w14:textId="6B0C876E" w:rsidR="00597258" w:rsidRPr="00B84D47" w:rsidRDefault="00D45487" w:rsidP="00D129C0">
      <w:pPr>
        <w:jc w:val="both"/>
        <w:rPr>
          <w:rFonts w:asciiTheme="majorBidi" w:hAnsiTheme="majorBidi" w:cstheme="majorBidi"/>
        </w:rPr>
      </w:pPr>
      <w:r w:rsidRPr="00B84D47">
        <w:rPr>
          <w:rFonts w:asciiTheme="majorBidi" w:hAnsiTheme="majorBidi" w:cstheme="majorBidi"/>
        </w:rPr>
        <w:t>2</w:t>
      </w:r>
      <w:r w:rsidR="001E61D5" w:rsidRPr="00B84D47">
        <w:rPr>
          <w:rFonts w:asciiTheme="majorBidi" w:hAnsiTheme="majorBidi" w:cstheme="majorBidi"/>
        </w:rPr>
        <w:t>2</w:t>
      </w:r>
      <w:r w:rsidR="00597258" w:rsidRPr="00B84D47">
        <w:rPr>
          <w:rFonts w:asciiTheme="majorBidi" w:hAnsiTheme="majorBidi" w:cstheme="majorBidi"/>
        </w:rPr>
        <w:t xml:space="preserve">. </w:t>
      </w:r>
      <w:r w:rsidR="00FB5E5D" w:rsidRPr="00B84D47">
        <w:rPr>
          <w:rFonts w:asciiTheme="majorBidi" w:hAnsiTheme="majorBidi" w:cstheme="majorBidi"/>
          <w:color w:val="000000"/>
        </w:rPr>
        <w:t>Lithuania developed a plan for improvement of the national air pollutant emission inventory for 2015-2022. Several activities were carried out to identify and obtain more detailed activity data, which allowed improving emission inventory process by switching to Tier 2 methodologies.</w:t>
      </w:r>
    </w:p>
    <w:p w14:paraId="6DDDDD10" w14:textId="4B36BF3D" w:rsidR="00B54FD1" w:rsidRPr="00B84D47" w:rsidRDefault="00D45487" w:rsidP="00D129C0">
      <w:pPr>
        <w:jc w:val="both"/>
        <w:rPr>
          <w:rFonts w:asciiTheme="majorBidi" w:hAnsiTheme="majorBidi" w:cstheme="majorBidi"/>
          <w:color w:val="000000"/>
        </w:rPr>
      </w:pPr>
      <w:r w:rsidRPr="00B84D47">
        <w:rPr>
          <w:rFonts w:asciiTheme="majorBidi" w:hAnsiTheme="majorBidi" w:cstheme="majorBidi"/>
          <w:color w:val="000000"/>
        </w:rPr>
        <w:t>2</w:t>
      </w:r>
      <w:r w:rsidR="001E61D5" w:rsidRPr="00B84D47">
        <w:rPr>
          <w:rFonts w:asciiTheme="majorBidi" w:hAnsiTheme="majorBidi" w:cstheme="majorBidi"/>
          <w:color w:val="000000"/>
        </w:rPr>
        <w:t>3</w:t>
      </w:r>
      <w:r w:rsidR="00B54FD1" w:rsidRPr="00B84D47">
        <w:rPr>
          <w:rFonts w:asciiTheme="majorBidi" w:hAnsiTheme="majorBidi" w:cstheme="majorBidi"/>
          <w:color w:val="000000"/>
        </w:rPr>
        <w:t xml:space="preserve">. </w:t>
      </w:r>
      <w:r w:rsidR="00FB5E5D" w:rsidRPr="00B84D47">
        <w:rPr>
          <w:rFonts w:asciiTheme="majorBidi" w:hAnsiTheme="majorBidi" w:cstheme="majorBidi"/>
          <w:color w:val="000000"/>
        </w:rPr>
        <w:t>In 2017, Republic of Moldova established the Pollutant Release and Transfer Register. Since then, the number of registered and reporting operators has more than doubled from 75 in 2017 to 192 in 2020.</w:t>
      </w:r>
    </w:p>
    <w:p w14:paraId="7376AAD1" w14:textId="6E2CE414" w:rsidR="00D64EB8" w:rsidRPr="00B84D47" w:rsidRDefault="00D45487" w:rsidP="00D129C0">
      <w:pPr>
        <w:jc w:val="both"/>
        <w:rPr>
          <w:rFonts w:asciiTheme="majorBidi" w:hAnsiTheme="majorBidi" w:cstheme="majorBidi"/>
          <w:color w:val="000000"/>
        </w:rPr>
      </w:pPr>
      <w:r w:rsidRPr="00B84D47">
        <w:rPr>
          <w:rFonts w:asciiTheme="majorBidi" w:hAnsiTheme="majorBidi" w:cstheme="majorBidi"/>
          <w:color w:val="000000"/>
        </w:rPr>
        <w:lastRenderedPageBreak/>
        <w:t>2</w:t>
      </w:r>
      <w:r w:rsidR="001E61D5" w:rsidRPr="00B84D47">
        <w:rPr>
          <w:rFonts w:asciiTheme="majorBidi" w:hAnsiTheme="majorBidi" w:cstheme="majorBidi"/>
          <w:color w:val="000000"/>
        </w:rPr>
        <w:t>4</w:t>
      </w:r>
      <w:r w:rsidR="00D64EB8" w:rsidRPr="00B84D47">
        <w:rPr>
          <w:rFonts w:asciiTheme="majorBidi" w:hAnsiTheme="majorBidi" w:cstheme="majorBidi"/>
          <w:color w:val="000000"/>
        </w:rPr>
        <w:t xml:space="preserve">. </w:t>
      </w:r>
      <w:r w:rsidR="00FB5E5D" w:rsidRPr="00B84D47">
        <w:rPr>
          <w:rFonts w:asciiTheme="majorBidi" w:hAnsiTheme="majorBidi" w:cstheme="majorBidi"/>
        </w:rPr>
        <w:t>Romania highlighted improved national emissions inventory based on modern methodology</w:t>
      </w:r>
      <w:r w:rsidR="00FB5E5D" w:rsidRPr="00B84D47">
        <w:rPr>
          <w:rStyle w:val="FootnoteReference"/>
          <w:rFonts w:asciiTheme="majorBidi" w:hAnsiTheme="majorBidi" w:cstheme="majorBidi"/>
        </w:rPr>
        <w:footnoteReference w:id="24"/>
      </w:r>
      <w:r w:rsidR="00FB5E5D" w:rsidRPr="00B84D47">
        <w:rPr>
          <w:rFonts w:asciiTheme="majorBidi" w:hAnsiTheme="majorBidi" w:cstheme="majorBidi"/>
        </w:rPr>
        <w:t xml:space="preserve"> and taking into account </w:t>
      </w:r>
      <w:r w:rsidR="00FB5E5D" w:rsidRPr="00B84D47">
        <w:rPr>
          <w:rFonts w:asciiTheme="majorBidi" w:hAnsiTheme="majorBidi" w:cstheme="majorBidi"/>
          <w:color w:val="000000"/>
        </w:rPr>
        <w:t>recommendations provided through the review of Romania’s emission inventories conducted by the European Commission.</w:t>
      </w:r>
    </w:p>
    <w:p w14:paraId="2A840572" w14:textId="18DBFF18" w:rsidR="00D129C0" w:rsidRPr="00B84D47" w:rsidRDefault="006B3639" w:rsidP="0083514E">
      <w:pPr>
        <w:jc w:val="both"/>
        <w:rPr>
          <w:rFonts w:asciiTheme="majorBidi" w:hAnsiTheme="majorBidi" w:cstheme="majorBidi"/>
          <w:b/>
          <w:sz w:val="23"/>
          <w:szCs w:val="23"/>
        </w:rPr>
      </w:pPr>
      <w:r w:rsidRPr="00B84D47">
        <w:rPr>
          <w:rFonts w:asciiTheme="majorBidi" w:hAnsiTheme="majorBidi" w:cstheme="majorBidi"/>
          <w:b/>
          <w:sz w:val="23"/>
          <w:szCs w:val="23"/>
        </w:rPr>
        <w:t>C</w:t>
      </w:r>
      <w:r w:rsidR="00D45487" w:rsidRPr="00B84D47">
        <w:rPr>
          <w:rFonts w:asciiTheme="majorBidi" w:hAnsiTheme="majorBidi" w:cstheme="majorBidi"/>
          <w:b/>
          <w:sz w:val="23"/>
          <w:szCs w:val="23"/>
        </w:rPr>
        <w:t xml:space="preserve">. Establishment of national action </w:t>
      </w:r>
      <w:proofErr w:type="spellStart"/>
      <w:r w:rsidR="00D45487" w:rsidRPr="00B84D47">
        <w:rPr>
          <w:rFonts w:asciiTheme="majorBidi" w:hAnsiTheme="majorBidi" w:cstheme="majorBidi"/>
          <w:b/>
          <w:sz w:val="23"/>
          <w:szCs w:val="23"/>
        </w:rPr>
        <w:t>programmes</w:t>
      </w:r>
      <w:proofErr w:type="spellEnd"/>
      <w:r w:rsidR="00D45487" w:rsidRPr="00B84D47">
        <w:rPr>
          <w:rFonts w:asciiTheme="majorBidi" w:hAnsiTheme="majorBidi" w:cstheme="majorBidi"/>
          <w:b/>
          <w:sz w:val="23"/>
          <w:szCs w:val="23"/>
        </w:rPr>
        <w:t xml:space="preserve"> that reduce air pollution</w:t>
      </w:r>
    </w:p>
    <w:p w14:paraId="25D1A116" w14:textId="6534D08A" w:rsidR="00D45487" w:rsidRPr="00B84D47" w:rsidRDefault="00D45487" w:rsidP="00D45487">
      <w:pPr>
        <w:jc w:val="both"/>
        <w:rPr>
          <w:rFonts w:asciiTheme="majorBidi" w:hAnsiTheme="majorBidi" w:cstheme="majorBidi"/>
        </w:rPr>
      </w:pPr>
      <w:r w:rsidRPr="00B84D47">
        <w:rPr>
          <w:rFonts w:asciiTheme="majorBidi" w:hAnsiTheme="majorBidi" w:cstheme="majorBidi"/>
        </w:rPr>
        <w:t>2</w:t>
      </w:r>
      <w:r w:rsidR="001E61D5" w:rsidRPr="00B84D47">
        <w:rPr>
          <w:rFonts w:asciiTheme="majorBidi" w:hAnsiTheme="majorBidi" w:cstheme="majorBidi"/>
        </w:rPr>
        <w:t>5</w:t>
      </w:r>
      <w:r w:rsidRPr="00B84D47">
        <w:rPr>
          <w:rFonts w:asciiTheme="majorBidi" w:hAnsiTheme="majorBidi" w:cstheme="majorBidi"/>
        </w:rPr>
        <w:t xml:space="preserve">. Emission reduction </w:t>
      </w:r>
      <w:r w:rsidR="00333960" w:rsidRPr="00B84D47">
        <w:rPr>
          <w:rFonts w:asciiTheme="majorBidi" w:hAnsiTheme="majorBidi" w:cstheme="majorBidi"/>
        </w:rPr>
        <w:t>of harmful substances and particulate maters from different sources of air pollution is a main way to improve ambient air quality all over the world. Consequently, the most of the commitments taken</w:t>
      </w:r>
      <w:r w:rsidR="000E60D3" w:rsidRPr="00B84D47">
        <w:rPr>
          <w:rFonts w:asciiTheme="majorBidi" w:hAnsiTheme="majorBidi" w:cstheme="majorBidi"/>
        </w:rPr>
        <w:t xml:space="preserve"> by</w:t>
      </w:r>
      <w:r w:rsidR="00333960" w:rsidRPr="00B84D47">
        <w:rPr>
          <w:rFonts w:asciiTheme="majorBidi" w:hAnsiTheme="majorBidi" w:cstheme="majorBidi"/>
        </w:rPr>
        <w:t xml:space="preserve"> </w:t>
      </w:r>
      <w:r w:rsidR="00021707" w:rsidRPr="00B84D47">
        <w:rPr>
          <w:rFonts w:asciiTheme="majorBidi" w:hAnsiTheme="majorBidi" w:cstheme="majorBidi"/>
        </w:rPr>
        <w:t>21</w:t>
      </w:r>
      <w:r w:rsidR="000E60D3" w:rsidRPr="00B84D47">
        <w:rPr>
          <w:rStyle w:val="FootnoteReference"/>
          <w:rFonts w:asciiTheme="majorBidi" w:hAnsiTheme="majorBidi" w:cstheme="majorBidi"/>
        </w:rPr>
        <w:footnoteReference w:id="25"/>
      </w:r>
      <w:r w:rsidR="000E60D3" w:rsidRPr="00B84D47">
        <w:rPr>
          <w:rFonts w:asciiTheme="majorBidi" w:hAnsiTheme="majorBidi" w:cstheme="majorBidi"/>
        </w:rPr>
        <w:t xml:space="preserve"> countries and 1 organization</w:t>
      </w:r>
      <w:r w:rsidR="00E666B9" w:rsidRPr="00B84D47">
        <w:rPr>
          <w:rStyle w:val="FootnoteReference"/>
          <w:rFonts w:asciiTheme="majorBidi" w:hAnsiTheme="majorBidi" w:cstheme="majorBidi"/>
        </w:rPr>
        <w:footnoteReference w:id="26"/>
      </w:r>
      <w:r w:rsidR="000E60D3" w:rsidRPr="00B84D47">
        <w:rPr>
          <w:rFonts w:asciiTheme="majorBidi" w:hAnsiTheme="majorBidi" w:cstheme="majorBidi"/>
        </w:rPr>
        <w:t xml:space="preserve"> </w:t>
      </w:r>
      <w:r w:rsidR="00333960" w:rsidRPr="00B84D47">
        <w:rPr>
          <w:rFonts w:asciiTheme="majorBidi" w:hAnsiTheme="majorBidi" w:cstheme="majorBidi"/>
        </w:rPr>
        <w:t xml:space="preserve">under the BACA initiative </w:t>
      </w:r>
      <w:r w:rsidR="000E60D3" w:rsidRPr="00B84D47">
        <w:rPr>
          <w:rFonts w:asciiTheme="majorBidi" w:hAnsiTheme="majorBidi" w:cstheme="majorBidi"/>
        </w:rPr>
        <w:t>fall</w:t>
      </w:r>
      <w:r w:rsidR="00333960" w:rsidRPr="00B84D47">
        <w:rPr>
          <w:rFonts w:asciiTheme="majorBidi" w:hAnsiTheme="majorBidi" w:cstheme="majorBidi"/>
        </w:rPr>
        <w:t xml:space="preserve"> under this section. In particular, 5</w:t>
      </w:r>
      <w:r w:rsidR="00021707" w:rsidRPr="00B84D47">
        <w:rPr>
          <w:rFonts w:asciiTheme="majorBidi" w:hAnsiTheme="majorBidi" w:cstheme="majorBidi"/>
        </w:rPr>
        <w:t>3</w:t>
      </w:r>
      <w:r w:rsidR="00333960" w:rsidRPr="00B84D47">
        <w:rPr>
          <w:rFonts w:asciiTheme="majorBidi" w:hAnsiTheme="majorBidi" w:cstheme="majorBidi"/>
        </w:rPr>
        <w:t xml:space="preserve"> (4</w:t>
      </w:r>
      <w:r w:rsidR="00021707" w:rsidRPr="00B84D47">
        <w:rPr>
          <w:rFonts w:asciiTheme="majorBidi" w:hAnsiTheme="majorBidi" w:cstheme="majorBidi"/>
        </w:rPr>
        <w:t>8</w:t>
      </w:r>
      <w:r w:rsidR="00333960" w:rsidRPr="00B84D47">
        <w:rPr>
          <w:rFonts w:asciiTheme="majorBidi" w:hAnsiTheme="majorBidi" w:cstheme="majorBidi"/>
        </w:rPr>
        <w:t>%) commitments of 110 dedicated to the pollution reduction activities. Th</w:t>
      </w:r>
      <w:r w:rsidR="00D31237" w:rsidRPr="00B84D47">
        <w:rPr>
          <w:rFonts w:asciiTheme="majorBidi" w:hAnsiTheme="majorBidi" w:cstheme="majorBidi"/>
        </w:rPr>
        <w:t>e</w:t>
      </w:r>
      <w:r w:rsidR="00333960" w:rsidRPr="00B84D47">
        <w:rPr>
          <w:rFonts w:asciiTheme="majorBidi" w:hAnsiTheme="majorBidi" w:cstheme="majorBidi"/>
        </w:rPr>
        <w:t>se activities c</w:t>
      </w:r>
      <w:r w:rsidR="00D31237" w:rsidRPr="00B84D47">
        <w:rPr>
          <w:rFonts w:asciiTheme="majorBidi" w:hAnsiTheme="majorBidi" w:cstheme="majorBidi"/>
        </w:rPr>
        <w:t>over specific sectors or several sectors at the same time. Thus, commitments are grouped accordingly.</w:t>
      </w:r>
      <w:r w:rsidR="000E60D3" w:rsidRPr="00B84D47">
        <w:rPr>
          <w:rFonts w:asciiTheme="majorBidi" w:hAnsiTheme="majorBidi" w:cstheme="majorBidi"/>
        </w:rPr>
        <w:t xml:space="preserve"> </w:t>
      </w:r>
    </w:p>
    <w:p w14:paraId="761D8515" w14:textId="77777777" w:rsidR="00D45487" w:rsidRPr="00B84D47" w:rsidRDefault="00D45487" w:rsidP="00D45487">
      <w:pPr>
        <w:jc w:val="both"/>
        <w:rPr>
          <w:rFonts w:asciiTheme="majorBidi" w:hAnsiTheme="majorBidi" w:cstheme="majorBidi"/>
        </w:rPr>
      </w:pPr>
      <w:r w:rsidRPr="00B84D47">
        <w:rPr>
          <w:rFonts w:asciiTheme="majorBidi" w:hAnsiTheme="majorBidi" w:cstheme="majorBidi"/>
          <w:b/>
        </w:rPr>
        <w:t>Multisectoral strategies and policies</w:t>
      </w:r>
    </w:p>
    <w:p w14:paraId="65876A64" w14:textId="7B948FB5" w:rsidR="001112B4" w:rsidRPr="00B84D47" w:rsidRDefault="0091569B" w:rsidP="005D600B">
      <w:pPr>
        <w:jc w:val="both"/>
        <w:rPr>
          <w:rFonts w:asciiTheme="majorBidi" w:hAnsiTheme="majorBidi" w:cstheme="majorBidi"/>
          <w:color w:val="000000"/>
        </w:rPr>
      </w:pPr>
      <w:r w:rsidRPr="00B84D47">
        <w:rPr>
          <w:rFonts w:asciiTheme="majorBidi" w:hAnsiTheme="majorBidi" w:cstheme="majorBidi"/>
        </w:rPr>
        <w:t>2</w:t>
      </w:r>
      <w:r w:rsidR="001E61D5" w:rsidRPr="00B84D47">
        <w:rPr>
          <w:rFonts w:asciiTheme="majorBidi" w:hAnsiTheme="majorBidi" w:cstheme="majorBidi"/>
        </w:rPr>
        <w:t>6</w:t>
      </w:r>
      <w:r w:rsidRPr="00B84D47">
        <w:rPr>
          <w:rFonts w:asciiTheme="majorBidi" w:hAnsiTheme="majorBidi" w:cstheme="majorBidi"/>
        </w:rPr>
        <w:t>.</w:t>
      </w:r>
      <w:r w:rsidR="00E1406A" w:rsidRPr="00B84D47">
        <w:rPr>
          <w:rFonts w:asciiTheme="majorBidi" w:hAnsiTheme="majorBidi" w:cstheme="majorBidi"/>
        </w:rPr>
        <w:t xml:space="preserve"> </w:t>
      </w:r>
      <w:r w:rsidR="007B2E6D" w:rsidRPr="00B84D47">
        <w:rPr>
          <w:rFonts w:asciiTheme="majorBidi" w:hAnsiTheme="majorBidi" w:cstheme="majorBidi"/>
        </w:rPr>
        <w:t xml:space="preserve">Czech Republic reported about reached </w:t>
      </w:r>
      <w:r w:rsidR="007B2E6D" w:rsidRPr="00B84D47">
        <w:rPr>
          <w:rFonts w:asciiTheme="majorBidi" w:hAnsiTheme="majorBidi" w:cstheme="majorBidi"/>
          <w:color w:val="000000"/>
        </w:rPr>
        <w:t xml:space="preserve">specific emission ceilings for 2020 scheduled by Gothenburg protocol. It has been </w:t>
      </w:r>
      <w:r w:rsidR="0077006B" w:rsidRPr="00B84D47">
        <w:rPr>
          <w:rFonts w:asciiTheme="majorBidi" w:hAnsiTheme="majorBidi" w:cstheme="majorBidi"/>
          <w:color w:val="000000"/>
        </w:rPr>
        <w:t>emphasized</w:t>
      </w:r>
      <w:r w:rsidR="007B2E6D" w:rsidRPr="00B84D47">
        <w:rPr>
          <w:rFonts w:asciiTheme="majorBidi" w:hAnsiTheme="majorBidi" w:cstheme="majorBidi"/>
          <w:color w:val="000000"/>
        </w:rPr>
        <w:t xml:space="preserve"> that achieved emission reduction is significantly beyond to the emission reduction commitments established by the protocol. </w:t>
      </w:r>
      <w:r w:rsidR="001112B4" w:rsidRPr="00B84D47">
        <w:rPr>
          <w:rFonts w:asciiTheme="majorBidi" w:hAnsiTheme="majorBidi" w:cstheme="majorBidi"/>
          <w:color w:val="000000"/>
        </w:rPr>
        <w:t>Furthermore, synergies with the climate policies were mentioned that have an impact on the significant reduction of SO</w:t>
      </w:r>
      <w:r w:rsidR="001112B4" w:rsidRPr="00B84D47">
        <w:rPr>
          <w:rFonts w:asciiTheme="majorBidi" w:hAnsiTheme="majorBidi" w:cstheme="majorBidi"/>
          <w:color w:val="000000"/>
          <w:vertAlign w:val="subscript"/>
        </w:rPr>
        <w:t>2</w:t>
      </w:r>
      <w:r w:rsidR="001112B4" w:rsidRPr="00B84D47">
        <w:rPr>
          <w:rFonts w:asciiTheme="majorBidi" w:hAnsiTheme="majorBidi" w:cstheme="majorBidi"/>
          <w:color w:val="000000"/>
        </w:rPr>
        <w:t>, due to decrease in coal consumption.</w:t>
      </w:r>
    </w:p>
    <w:p w14:paraId="17097099" w14:textId="43BB8153" w:rsidR="005D600B" w:rsidRPr="00B84D47" w:rsidRDefault="001112B4" w:rsidP="005D600B">
      <w:pPr>
        <w:jc w:val="both"/>
        <w:rPr>
          <w:rFonts w:asciiTheme="majorBidi" w:hAnsiTheme="majorBidi" w:cstheme="majorBidi"/>
          <w:color w:val="000000"/>
        </w:rPr>
      </w:pPr>
      <w:r w:rsidRPr="00B84D47">
        <w:rPr>
          <w:rFonts w:asciiTheme="majorBidi" w:hAnsiTheme="majorBidi" w:cstheme="majorBidi"/>
          <w:color w:val="000000"/>
        </w:rPr>
        <w:t>2</w:t>
      </w:r>
      <w:r w:rsidR="001E61D5" w:rsidRPr="00B84D47">
        <w:rPr>
          <w:rFonts w:asciiTheme="majorBidi" w:hAnsiTheme="majorBidi" w:cstheme="majorBidi"/>
          <w:color w:val="000000"/>
        </w:rPr>
        <w:t>7</w:t>
      </w:r>
      <w:r w:rsidRPr="00B84D47">
        <w:rPr>
          <w:rFonts w:asciiTheme="majorBidi" w:hAnsiTheme="majorBidi" w:cstheme="majorBidi"/>
          <w:color w:val="000000"/>
        </w:rPr>
        <w:t xml:space="preserve">. </w:t>
      </w:r>
      <w:r w:rsidR="00C67BC3" w:rsidRPr="00B84D47">
        <w:rPr>
          <w:rFonts w:asciiTheme="majorBidi" w:hAnsiTheme="majorBidi" w:cstheme="majorBidi"/>
          <w:bCs/>
        </w:rPr>
        <w:t xml:space="preserve">Croatia, </w:t>
      </w:r>
      <w:r w:rsidR="005D600B" w:rsidRPr="00B84D47">
        <w:rPr>
          <w:rFonts w:asciiTheme="majorBidi" w:hAnsiTheme="majorBidi" w:cstheme="majorBidi"/>
          <w:color w:val="000000"/>
        </w:rPr>
        <w:t>Estonia</w:t>
      </w:r>
      <w:r w:rsidR="009272FF" w:rsidRPr="00B84D47">
        <w:rPr>
          <w:rFonts w:asciiTheme="majorBidi" w:hAnsiTheme="majorBidi" w:cstheme="majorBidi"/>
          <w:color w:val="000000"/>
        </w:rPr>
        <w:t>,</w:t>
      </w:r>
      <w:r w:rsidR="005B5969" w:rsidRPr="00B84D47">
        <w:rPr>
          <w:rFonts w:asciiTheme="majorBidi" w:hAnsiTheme="majorBidi" w:cstheme="majorBidi"/>
          <w:color w:val="000000"/>
        </w:rPr>
        <w:t xml:space="preserve"> France</w:t>
      </w:r>
      <w:r w:rsidR="00F24BC3" w:rsidRPr="00B84D47">
        <w:rPr>
          <w:rFonts w:asciiTheme="majorBidi" w:hAnsiTheme="majorBidi" w:cstheme="majorBidi"/>
          <w:color w:val="000000"/>
        </w:rPr>
        <w:t>,</w:t>
      </w:r>
      <w:r w:rsidR="005D600B" w:rsidRPr="00B84D47">
        <w:rPr>
          <w:rFonts w:asciiTheme="majorBidi" w:hAnsiTheme="majorBidi" w:cstheme="majorBidi"/>
          <w:color w:val="000000"/>
        </w:rPr>
        <w:t xml:space="preserve"> </w:t>
      </w:r>
      <w:r w:rsidR="007212C4" w:rsidRPr="00B84D47">
        <w:rPr>
          <w:rFonts w:asciiTheme="majorBidi" w:hAnsiTheme="majorBidi" w:cstheme="majorBidi"/>
          <w:color w:val="000000"/>
        </w:rPr>
        <w:t xml:space="preserve">Hungary, </w:t>
      </w:r>
      <w:r w:rsidR="00F24BC3" w:rsidRPr="00B84D47">
        <w:rPr>
          <w:rFonts w:asciiTheme="majorBidi" w:hAnsiTheme="majorBidi" w:cstheme="majorBidi"/>
          <w:color w:val="000000"/>
        </w:rPr>
        <w:t>Italy</w:t>
      </w:r>
      <w:r w:rsidR="00DB60B3" w:rsidRPr="00B84D47">
        <w:rPr>
          <w:rFonts w:asciiTheme="majorBidi" w:hAnsiTheme="majorBidi" w:cstheme="majorBidi"/>
          <w:color w:val="000000"/>
        </w:rPr>
        <w:t>,</w:t>
      </w:r>
      <w:r w:rsidR="00F24BC3" w:rsidRPr="00B84D47">
        <w:rPr>
          <w:rFonts w:asciiTheme="majorBidi" w:hAnsiTheme="majorBidi" w:cstheme="majorBidi"/>
          <w:color w:val="000000"/>
        </w:rPr>
        <w:t xml:space="preserve"> Latvia</w:t>
      </w:r>
      <w:r w:rsidR="0075488A" w:rsidRPr="00B84D47">
        <w:rPr>
          <w:rFonts w:asciiTheme="majorBidi" w:hAnsiTheme="majorBidi" w:cstheme="majorBidi"/>
          <w:color w:val="000000"/>
        </w:rPr>
        <w:t>,</w:t>
      </w:r>
      <w:r w:rsidR="009272FF" w:rsidRPr="00B84D47">
        <w:rPr>
          <w:rFonts w:asciiTheme="majorBidi" w:hAnsiTheme="majorBidi" w:cstheme="majorBidi"/>
          <w:color w:val="000000"/>
        </w:rPr>
        <w:t xml:space="preserve"> </w:t>
      </w:r>
      <w:r w:rsidR="00DB60B3" w:rsidRPr="00B84D47">
        <w:rPr>
          <w:rFonts w:asciiTheme="majorBidi" w:hAnsiTheme="majorBidi" w:cstheme="majorBidi"/>
          <w:color w:val="000000"/>
        </w:rPr>
        <w:t>the Netherlands</w:t>
      </w:r>
      <w:r w:rsidR="007A1894" w:rsidRPr="00B84D47">
        <w:rPr>
          <w:rFonts w:asciiTheme="majorBidi" w:hAnsiTheme="majorBidi" w:cstheme="majorBidi"/>
          <w:color w:val="000000"/>
        </w:rPr>
        <w:t>,</w:t>
      </w:r>
      <w:r w:rsidR="00DB60B3" w:rsidRPr="00B84D47">
        <w:rPr>
          <w:rFonts w:asciiTheme="majorBidi" w:hAnsiTheme="majorBidi" w:cstheme="majorBidi"/>
          <w:color w:val="000000"/>
        </w:rPr>
        <w:t xml:space="preserve"> </w:t>
      </w:r>
      <w:r w:rsidR="0075488A" w:rsidRPr="00B84D47">
        <w:rPr>
          <w:rFonts w:asciiTheme="majorBidi" w:hAnsiTheme="majorBidi" w:cstheme="majorBidi"/>
          <w:color w:val="000000"/>
        </w:rPr>
        <w:t>Poland</w:t>
      </w:r>
      <w:r w:rsidR="00775089" w:rsidRPr="00B84D47">
        <w:rPr>
          <w:rFonts w:asciiTheme="majorBidi" w:hAnsiTheme="majorBidi" w:cstheme="majorBidi"/>
          <w:color w:val="000000"/>
        </w:rPr>
        <w:t>,</w:t>
      </w:r>
      <w:r w:rsidR="0075488A" w:rsidRPr="00B84D47">
        <w:rPr>
          <w:rFonts w:asciiTheme="majorBidi" w:hAnsiTheme="majorBidi" w:cstheme="majorBidi"/>
          <w:color w:val="000000"/>
        </w:rPr>
        <w:t xml:space="preserve"> </w:t>
      </w:r>
      <w:r w:rsidR="007A1894" w:rsidRPr="00B84D47">
        <w:rPr>
          <w:rFonts w:asciiTheme="majorBidi" w:hAnsiTheme="majorBidi" w:cstheme="majorBidi"/>
          <w:color w:val="000000"/>
        </w:rPr>
        <w:t>Romania</w:t>
      </w:r>
      <w:r w:rsidR="00C15BFD" w:rsidRPr="00B84D47">
        <w:rPr>
          <w:rFonts w:asciiTheme="majorBidi" w:hAnsiTheme="majorBidi" w:cstheme="majorBidi"/>
          <w:color w:val="000000"/>
        </w:rPr>
        <w:t>,</w:t>
      </w:r>
      <w:r w:rsidR="007A1894" w:rsidRPr="00B84D47">
        <w:rPr>
          <w:rFonts w:asciiTheme="majorBidi" w:hAnsiTheme="majorBidi" w:cstheme="majorBidi"/>
          <w:color w:val="000000"/>
        </w:rPr>
        <w:t xml:space="preserve"> </w:t>
      </w:r>
      <w:r w:rsidR="00775089" w:rsidRPr="00B84D47">
        <w:rPr>
          <w:rFonts w:asciiTheme="majorBidi" w:hAnsiTheme="majorBidi" w:cstheme="majorBidi"/>
          <w:color w:val="000000"/>
        </w:rPr>
        <w:t xml:space="preserve">Switzerland </w:t>
      </w:r>
      <w:r w:rsidR="00C15BFD" w:rsidRPr="00B84D47">
        <w:rPr>
          <w:rFonts w:asciiTheme="majorBidi" w:hAnsiTheme="majorBidi" w:cstheme="majorBidi"/>
          <w:color w:val="000000"/>
        </w:rPr>
        <w:t xml:space="preserve">and The United States of America </w:t>
      </w:r>
      <w:r w:rsidR="005D600B" w:rsidRPr="00B84D47">
        <w:rPr>
          <w:rFonts w:asciiTheme="majorBidi" w:hAnsiTheme="majorBidi" w:cstheme="majorBidi"/>
          <w:color w:val="000000"/>
        </w:rPr>
        <w:t xml:space="preserve">adopted the </w:t>
      </w:r>
      <w:r w:rsidR="005B5969" w:rsidRPr="00B84D47">
        <w:rPr>
          <w:rFonts w:asciiTheme="majorBidi" w:hAnsiTheme="majorBidi" w:cstheme="majorBidi"/>
          <w:color w:val="000000"/>
        </w:rPr>
        <w:t>n</w:t>
      </w:r>
      <w:r w:rsidR="005D600B" w:rsidRPr="00B84D47">
        <w:rPr>
          <w:rFonts w:asciiTheme="majorBidi" w:hAnsiTheme="majorBidi" w:cstheme="majorBidi"/>
          <w:color w:val="000000"/>
        </w:rPr>
        <w:t xml:space="preserve">ational </w:t>
      </w:r>
      <w:r w:rsidR="005B5969" w:rsidRPr="00B84D47">
        <w:rPr>
          <w:rFonts w:asciiTheme="majorBidi" w:hAnsiTheme="majorBidi" w:cstheme="majorBidi"/>
          <w:color w:val="000000"/>
        </w:rPr>
        <w:t>plans</w:t>
      </w:r>
      <w:r w:rsidR="007E7A88" w:rsidRPr="00B84D47">
        <w:rPr>
          <w:rFonts w:asciiTheme="majorBidi" w:hAnsiTheme="majorBidi" w:cstheme="majorBidi"/>
          <w:color w:val="000000"/>
        </w:rPr>
        <w:t>,</w:t>
      </w:r>
      <w:r w:rsidR="005B5969" w:rsidRPr="00B84D47">
        <w:rPr>
          <w:rFonts w:asciiTheme="majorBidi" w:hAnsiTheme="majorBidi" w:cstheme="majorBidi"/>
          <w:color w:val="000000"/>
        </w:rPr>
        <w:t xml:space="preserve"> </w:t>
      </w:r>
      <w:proofErr w:type="spellStart"/>
      <w:r w:rsidR="0075488A" w:rsidRPr="00B84D47">
        <w:rPr>
          <w:rFonts w:asciiTheme="majorBidi" w:hAnsiTheme="majorBidi" w:cstheme="majorBidi"/>
          <w:color w:val="000000"/>
        </w:rPr>
        <w:t>programmes</w:t>
      </w:r>
      <w:proofErr w:type="spellEnd"/>
      <w:r w:rsidR="0075488A" w:rsidRPr="00B84D47">
        <w:rPr>
          <w:rFonts w:asciiTheme="majorBidi" w:hAnsiTheme="majorBidi" w:cstheme="majorBidi"/>
          <w:color w:val="000000"/>
        </w:rPr>
        <w:t xml:space="preserve"> </w:t>
      </w:r>
      <w:r w:rsidR="007E7A88" w:rsidRPr="00B84D47">
        <w:rPr>
          <w:rFonts w:asciiTheme="majorBidi" w:hAnsiTheme="majorBidi" w:cstheme="majorBidi"/>
          <w:color w:val="000000"/>
        </w:rPr>
        <w:t xml:space="preserve">and strategies </w:t>
      </w:r>
      <w:r w:rsidR="005B5969" w:rsidRPr="00B84D47">
        <w:rPr>
          <w:rFonts w:asciiTheme="majorBidi" w:hAnsiTheme="majorBidi" w:cstheme="majorBidi"/>
          <w:color w:val="000000"/>
        </w:rPr>
        <w:t>for the reduction of a</w:t>
      </w:r>
      <w:r w:rsidR="005D600B" w:rsidRPr="00B84D47">
        <w:rPr>
          <w:rFonts w:asciiTheme="majorBidi" w:hAnsiTheme="majorBidi" w:cstheme="majorBidi"/>
          <w:color w:val="000000"/>
        </w:rPr>
        <w:t xml:space="preserve">ir </w:t>
      </w:r>
      <w:r w:rsidR="005B5969" w:rsidRPr="00B84D47">
        <w:rPr>
          <w:rFonts w:asciiTheme="majorBidi" w:hAnsiTheme="majorBidi" w:cstheme="majorBidi"/>
          <w:color w:val="000000"/>
        </w:rPr>
        <w:t>p</w:t>
      </w:r>
      <w:r w:rsidR="005D600B" w:rsidRPr="00B84D47">
        <w:rPr>
          <w:rFonts w:asciiTheme="majorBidi" w:hAnsiTheme="majorBidi" w:cstheme="majorBidi"/>
          <w:color w:val="000000"/>
        </w:rPr>
        <w:t xml:space="preserve">ollution, which includes measures to reduce emissions in several </w:t>
      </w:r>
      <w:r w:rsidR="009272FF" w:rsidRPr="00B84D47">
        <w:rPr>
          <w:rFonts w:asciiTheme="majorBidi" w:hAnsiTheme="majorBidi" w:cstheme="majorBidi"/>
          <w:color w:val="000000"/>
        </w:rPr>
        <w:t xml:space="preserve">key </w:t>
      </w:r>
      <w:r w:rsidR="005D600B" w:rsidRPr="00B84D47">
        <w:rPr>
          <w:rFonts w:asciiTheme="majorBidi" w:hAnsiTheme="majorBidi" w:cstheme="majorBidi"/>
          <w:color w:val="000000"/>
        </w:rPr>
        <w:t>sectors</w:t>
      </w:r>
      <w:r w:rsidR="009272FF" w:rsidRPr="00B84D47">
        <w:rPr>
          <w:rFonts w:asciiTheme="majorBidi" w:hAnsiTheme="majorBidi" w:cstheme="majorBidi"/>
          <w:color w:val="000000"/>
        </w:rPr>
        <w:t xml:space="preserve"> </w:t>
      </w:r>
      <w:r w:rsidR="009272FF" w:rsidRPr="00B84D47">
        <w:rPr>
          <w:rFonts w:asciiTheme="majorBidi" w:hAnsiTheme="majorBidi" w:cstheme="majorBidi"/>
        </w:rPr>
        <w:t>such as transport, agriculture</w:t>
      </w:r>
      <w:r w:rsidR="00775089" w:rsidRPr="00B84D47">
        <w:rPr>
          <w:rFonts w:asciiTheme="majorBidi" w:hAnsiTheme="majorBidi" w:cstheme="majorBidi"/>
        </w:rPr>
        <w:t>, energy,</w:t>
      </w:r>
      <w:r w:rsidR="009272FF" w:rsidRPr="00B84D47">
        <w:rPr>
          <w:rFonts w:asciiTheme="majorBidi" w:hAnsiTheme="majorBidi" w:cstheme="majorBidi"/>
        </w:rPr>
        <w:t xml:space="preserve"> heating etc</w:t>
      </w:r>
      <w:r w:rsidR="005D600B" w:rsidRPr="00B84D47">
        <w:rPr>
          <w:rFonts w:asciiTheme="majorBidi" w:hAnsiTheme="majorBidi" w:cstheme="majorBidi"/>
          <w:color w:val="000000"/>
        </w:rPr>
        <w:t xml:space="preserve">. </w:t>
      </w:r>
    </w:p>
    <w:p w14:paraId="60315122" w14:textId="6146E144" w:rsidR="00A4032E" w:rsidRPr="00B84D47" w:rsidRDefault="00A4032E" w:rsidP="005D600B">
      <w:pPr>
        <w:jc w:val="both"/>
        <w:rPr>
          <w:rFonts w:asciiTheme="majorBidi" w:hAnsiTheme="majorBidi" w:cstheme="majorBidi"/>
          <w:color w:val="000000"/>
        </w:rPr>
      </w:pPr>
      <w:r w:rsidRPr="00B84D47">
        <w:rPr>
          <w:rFonts w:asciiTheme="majorBidi" w:hAnsiTheme="majorBidi" w:cstheme="majorBidi"/>
          <w:color w:val="000000"/>
        </w:rPr>
        <w:t>2</w:t>
      </w:r>
      <w:r w:rsidR="001E61D5" w:rsidRPr="00B84D47">
        <w:rPr>
          <w:rFonts w:asciiTheme="majorBidi" w:hAnsiTheme="majorBidi" w:cstheme="majorBidi"/>
          <w:color w:val="000000"/>
        </w:rPr>
        <w:t>8</w:t>
      </w:r>
      <w:r w:rsidRPr="00B84D47">
        <w:rPr>
          <w:rFonts w:asciiTheme="majorBidi" w:hAnsiTheme="majorBidi" w:cstheme="majorBidi"/>
          <w:color w:val="000000"/>
        </w:rPr>
        <w:t xml:space="preserve">. Georgia established limits of </w:t>
      </w:r>
      <w:proofErr w:type="spellStart"/>
      <w:r w:rsidRPr="00B84D47">
        <w:rPr>
          <w:rFonts w:asciiTheme="majorBidi" w:hAnsiTheme="majorBidi" w:cstheme="majorBidi"/>
          <w:color w:val="000000"/>
        </w:rPr>
        <w:t>sulphur</w:t>
      </w:r>
      <w:proofErr w:type="spellEnd"/>
      <w:r w:rsidRPr="00B84D47">
        <w:rPr>
          <w:rFonts w:asciiTheme="majorBidi" w:hAnsiTheme="majorBidi" w:cstheme="majorBidi"/>
          <w:color w:val="000000"/>
        </w:rPr>
        <w:t xml:space="preserve"> in certain liquid fuels based on relevant EU Directive (Directive 2016/802/EU), which regulates fuels used in transport, industry, households, energy and other sectors.</w:t>
      </w:r>
    </w:p>
    <w:p w14:paraId="78DCAE8A" w14:textId="44E8EB5E" w:rsidR="00D45487" w:rsidRPr="00B84D47" w:rsidRDefault="00D45487" w:rsidP="0083514E">
      <w:pPr>
        <w:jc w:val="both"/>
        <w:rPr>
          <w:rFonts w:asciiTheme="majorBidi" w:hAnsiTheme="majorBidi" w:cstheme="majorBidi"/>
          <w:b/>
        </w:rPr>
      </w:pPr>
      <w:r w:rsidRPr="00B84D47">
        <w:rPr>
          <w:rFonts w:asciiTheme="majorBidi" w:hAnsiTheme="majorBidi" w:cstheme="majorBidi"/>
          <w:b/>
        </w:rPr>
        <w:t>Transport</w:t>
      </w:r>
    </w:p>
    <w:p w14:paraId="369A428D" w14:textId="0D6AB894" w:rsidR="00C67BC3" w:rsidRPr="00B84D47" w:rsidRDefault="006B3639" w:rsidP="0083514E">
      <w:pPr>
        <w:jc w:val="both"/>
        <w:rPr>
          <w:rFonts w:asciiTheme="majorBidi" w:hAnsiTheme="majorBidi" w:cstheme="majorBidi"/>
          <w:bCs/>
        </w:rPr>
      </w:pPr>
      <w:r w:rsidRPr="00B84D47">
        <w:rPr>
          <w:rFonts w:asciiTheme="majorBidi" w:hAnsiTheme="majorBidi" w:cstheme="majorBidi"/>
          <w:bCs/>
        </w:rPr>
        <w:t>29</w:t>
      </w:r>
      <w:r w:rsidR="00C67BC3" w:rsidRPr="00B84D47">
        <w:rPr>
          <w:rFonts w:asciiTheme="majorBidi" w:hAnsiTheme="majorBidi" w:cstheme="majorBidi"/>
          <w:bCs/>
        </w:rPr>
        <w:t>. Croatia</w:t>
      </w:r>
      <w:r w:rsidR="007212C4" w:rsidRPr="00B84D47">
        <w:rPr>
          <w:rFonts w:asciiTheme="majorBidi" w:hAnsiTheme="majorBidi" w:cstheme="majorBidi"/>
          <w:bCs/>
        </w:rPr>
        <w:t>,</w:t>
      </w:r>
      <w:r w:rsidR="007212C4" w:rsidRPr="00B84D47">
        <w:rPr>
          <w:rFonts w:asciiTheme="majorBidi" w:hAnsiTheme="majorBidi" w:cstheme="majorBidi"/>
        </w:rPr>
        <w:t xml:space="preserve"> Georgia</w:t>
      </w:r>
      <w:r w:rsidR="004110BE" w:rsidRPr="00B84D47">
        <w:rPr>
          <w:rFonts w:asciiTheme="majorBidi" w:hAnsiTheme="majorBidi" w:cstheme="majorBidi"/>
        </w:rPr>
        <w:t xml:space="preserve"> and</w:t>
      </w:r>
      <w:r w:rsidR="007212C4" w:rsidRPr="00B84D47">
        <w:rPr>
          <w:rFonts w:asciiTheme="majorBidi" w:hAnsiTheme="majorBidi" w:cstheme="majorBidi"/>
        </w:rPr>
        <w:t xml:space="preserve"> </w:t>
      </w:r>
      <w:r w:rsidR="007212C4" w:rsidRPr="00B84D47">
        <w:rPr>
          <w:rFonts w:asciiTheme="majorBidi" w:hAnsiTheme="majorBidi" w:cstheme="majorBidi"/>
          <w:color w:val="000000"/>
        </w:rPr>
        <w:t>Hungary</w:t>
      </w:r>
      <w:r w:rsidR="00C67BC3" w:rsidRPr="00B84D47">
        <w:rPr>
          <w:rFonts w:asciiTheme="majorBidi" w:hAnsiTheme="majorBidi" w:cstheme="majorBidi"/>
          <w:bCs/>
        </w:rPr>
        <w:t xml:space="preserve"> </w:t>
      </w:r>
      <w:r w:rsidR="00C0408E" w:rsidRPr="00B84D47">
        <w:rPr>
          <w:rFonts w:asciiTheme="majorBidi" w:hAnsiTheme="majorBidi" w:cstheme="majorBidi"/>
          <w:bCs/>
        </w:rPr>
        <w:t>developed</w:t>
      </w:r>
      <w:r w:rsidR="004110BE" w:rsidRPr="00B84D47">
        <w:rPr>
          <w:rFonts w:asciiTheme="majorBidi" w:hAnsiTheme="majorBidi" w:cstheme="majorBidi"/>
          <w:bCs/>
        </w:rPr>
        <w:t xml:space="preserve"> new taxation system </w:t>
      </w:r>
      <w:r w:rsidR="004110BE" w:rsidRPr="00B84D47">
        <w:rPr>
          <w:rFonts w:asciiTheme="majorBidi" w:hAnsiTheme="majorBidi" w:cstheme="majorBidi"/>
        </w:rPr>
        <w:t>to support process of car fleet renovation an</w:t>
      </w:r>
      <w:r w:rsidR="00C67BC3" w:rsidRPr="00B84D47">
        <w:rPr>
          <w:rFonts w:asciiTheme="majorBidi" w:hAnsiTheme="majorBidi" w:cstheme="majorBidi"/>
          <w:bCs/>
        </w:rPr>
        <w:t xml:space="preserve">d </w:t>
      </w:r>
      <w:r w:rsidR="004110BE" w:rsidRPr="00B84D47">
        <w:rPr>
          <w:rFonts w:asciiTheme="majorBidi" w:hAnsiTheme="majorBidi" w:cstheme="majorBidi"/>
          <w:bCs/>
        </w:rPr>
        <w:t>promotion of cleaner, as well as electric/hybrid</w:t>
      </w:r>
      <w:r w:rsidR="00C67BC3" w:rsidRPr="00B84D47">
        <w:rPr>
          <w:rFonts w:asciiTheme="majorBidi" w:hAnsiTheme="majorBidi" w:cstheme="majorBidi"/>
          <w:bCs/>
        </w:rPr>
        <w:t xml:space="preserve"> vehicles.</w:t>
      </w:r>
      <w:r w:rsidR="004110BE" w:rsidRPr="00B84D47">
        <w:rPr>
          <w:rFonts w:asciiTheme="majorBidi" w:hAnsiTheme="majorBidi" w:cstheme="majorBidi"/>
          <w:bCs/>
        </w:rPr>
        <w:t xml:space="preserve"> </w:t>
      </w:r>
      <w:r w:rsidR="000E4E08" w:rsidRPr="00B84D47">
        <w:rPr>
          <w:rFonts w:asciiTheme="majorBidi" w:hAnsiTheme="majorBidi" w:cstheme="majorBidi"/>
          <w:bCs/>
        </w:rPr>
        <w:t xml:space="preserve">Increase of electric vehicle share </w:t>
      </w:r>
      <w:r w:rsidR="000E4E08" w:rsidRPr="00B84D47">
        <w:rPr>
          <w:rFonts w:asciiTheme="majorBidi" w:hAnsiTheme="majorBidi" w:cstheme="majorBidi"/>
        </w:rPr>
        <w:t xml:space="preserve">by </w:t>
      </w:r>
      <w:r w:rsidR="00C0408E" w:rsidRPr="00B84D47">
        <w:rPr>
          <w:rFonts w:asciiTheme="majorBidi" w:hAnsiTheme="majorBidi" w:cstheme="majorBidi"/>
        </w:rPr>
        <w:t>enhancement</w:t>
      </w:r>
      <w:r w:rsidR="000E4E08" w:rsidRPr="00B84D47">
        <w:rPr>
          <w:rFonts w:asciiTheme="majorBidi" w:hAnsiTheme="majorBidi" w:cstheme="majorBidi"/>
        </w:rPr>
        <w:t xml:space="preserve"> of charging infrastructure, awareness rising and establishment of legal base has been supported by France, Georgia, </w:t>
      </w:r>
      <w:r w:rsidR="000E4E08" w:rsidRPr="00B84D47">
        <w:rPr>
          <w:rFonts w:asciiTheme="majorBidi" w:hAnsiTheme="majorBidi" w:cstheme="majorBidi"/>
          <w:color w:val="000000"/>
        </w:rPr>
        <w:t>Hungary and Lithuania.</w:t>
      </w:r>
    </w:p>
    <w:p w14:paraId="5E74B563" w14:textId="3A8B4A67" w:rsidR="007212C4" w:rsidRPr="00B84D47" w:rsidRDefault="006B3639" w:rsidP="006B3639">
      <w:pPr>
        <w:jc w:val="both"/>
        <w:rPr>
          <w:rFonts w:asciiTheme="majorBidi" w:hAnsiTheme="majorBidi" w:cstheme="majorBidi"/>
          <w:color w:val="000000"/>
        </w:rPr>
      </w:pPr>
      <w:r w:rsidRPr="00B84D47">
        <w:rPr>
          <w:rFonts w:asciiTheme="majorBidi" w:hAnsiTheme="majorBidi" w:cstheme="majorBidi"/>
        </w:rPr>
        <w:t>30</w:t>
      </w:r>
      <w:r w:rsidR="00A4032E" w:rsidRPr="00B84D47">
        <w:rPr>
          <w:rFonts w:asciiTheme="majorBidi" w:hAnsiTheme="majorBidi" w:cstheme="majorBidi"/>
        </w:rPr>
        <w:t>. France</w:t>
      </w:r>
      <w:r w:rsidR="00CB6C35" w:rsidRPr="00B84D47">
        <w:rPr>
          <w:rFonts w:asciiTheme="majorBidi" w:hAnsiTheme="majorBidi" w:cstheme="majorBidi"/>
        </w:rPr>
        <w:t xml:space="preserve"> and Hungary</w:t>
      </w:r>
      <w:r w:rsidR="007A2ED6" w:rsidRPr="00B84D47">
        <w:rPr>
          <w:rFonts w:asciiTheme="majorBidi" w:hAnsiTheme="majorBidi" w:cstheme="majorBidi"/>
        </w:rPr>
        <w:t xml:space="preserve"> </w:t>
      </w:r>
      <w:r w:rsidR="00CB6C35" w:rsidRPr="00B84D47">
        <w:rPr>
          <w:rFonts w:asciiTheme="majorBidi" w:hAnsiTheme="majorBidi" w:cstheme="majorBidi"/>
        </w:rPr>
        <w:t>introduced</w:t>
      </w:r>
      <w:r w:rsidR="007A2ED6" w:rsidRPr="00B84D47">
        <w:rPr>
          <w:rFonts w:asciiTheme="majorBidi" w:hAnsiTheme="majorBidi" w:cstheme="majorBidi"/>
        </w:rPr>
        <w:t xml:space="preserve"> "air quality certificates"</w:t>
      </w:r>
      <w:r w:rsidR="00CB6C35" w:rsidRPr="00B84D47">
        <w:rPr>
          <w:rFonts w:asciiTheme="majorBidi" w:hAnsiTheme="majorBidi" w:cstheme="majorBidi"/>
        </w:rPr>
        <w:t xml:space="preserve"> or “</w:t>
      </w:r>
      <w:r w:rsidR="00CB6C35" w:rsidRPr="00B84D47">
        <w:rPr>
          <w:rFonts w:asciiTheme="majorBidi" w:hAnsiTheme="majorBidi" w:cstheme="majorBidi"/>
          <w:color w:val="000000"/>
        </w:rPr>
        <w:t>green license plates</w:t>
      </w:r>
      <w:r w:rsidR="00CB6C35" w:rsidRPr="00B84D47">
        <w:rPr>
          <w:rFonts w:asciiTheme="majorBidi" w:hAnsiTheme="majorBidi" w:cstheme="majorBidi"/>
        </w:rPr>
        <w:t>”</w:t>
      </w:r>
      <w:r w:rsidR="007A2ED6" w:rsidRPr="00B84D47">
        <w:rPr>
          <w:rFonts w:asciiTheme="majorBidi" w:hAnsiTheme="majorBidi" w:cstheme="majorBidi"/>
        </w:rPr>
        <w:t xml:space="preserve"> that make possible to classify vehicles according to their emission level and can be used by local authorities to modulate their policies in terms of vehicle traffic and parking. </w:t>
      </w:r>
      <w:r w:rsidR="00CB6C35" w:rsidRPr="00B84D47">
        <w:rPr>
          <w:rFonts w:asciiTheme="majorBidi" w:hAnsiTheme="majorBidi" w:cstheme="majorBidi"/>
        </w:rPr>
        <w:t>France established several low-emission zones with restrictions on high emission vehicles.</w:t>
      </w:r>
      <w:r w:rsidR="00C0408E" w:rsidRPr="00B84D47">
        <w:rPr>
          <w:rFonts w:asciiTheme="majorBidi" w:hAnsiTheme="majorBidi" w:cstheme="majorBidi"/>
        </w:rPr>
        <w:t xml:space="preserve"> </w:t>
      </w:r>
      <w:r w:rsidR="00FC053A" w:rsidRPr="00B84D47">
        <w:rPr>
          <w:rFonts w:asciiTheme="majorBidi" w:hAnsiTheme="majorBidi" w:cstheme="majorBidi"/>
        </w:rPr>
        <w:t>T</w:t>
      </w:r>
      <w:r w:rsidR="00C05564" w:rsidRPr="00B84D47">
        <w:rPr>
          <w:rFonts w:asciiTheme="majorBidi" w:hAnsiTheme="majorBidi" w:cstheme="majorBidi"/>
        </w:rPr>
        <w:t xml:space="preserve">o reduce emissions from the transport sector </w:t>
      </w:r>
      <w:r w:rsidR="00FC053A" w:rsidRPr="00B84D47">
        <w:rPr>
          <w:rFonts w:asciiTheme="majorBidi" w:hAnsiTheme="majorBidi" w:cstheme="majorBidi"/>
        </w:rPr>
        <w:t>France implemented</w:t>
      </w:r>
      <w:r w:rsidR="00C05564" w:rsidRPr="00B84D47">
        <w:rPr>
          <w:rFonts w:asciiTheme="majorBidi" w:hAnsiTheme="majorBidi" w:cstheme="majorBidi"/>
        </w:rPr>
        <w:t xml:space="preserve"> a national subsidiary </w:t>
      </w:r>
      <w:proofErr w:type="spellStart"/>
      <w:r w:rsidR="00C05564" w:rsidRPr="00B84D47">
        <w:rPr>
          <w:rFonts w:asciiTheme="majorBidi" w:hAnsiTheme="majorBidi" w:cstheme="majorBidi"/>
        </w:rPr>
        <w:t>programme</w:t>
      </w:r>
      <w:proofErr w:type="spellEnd"/>
      <w:r w:rsidR="00C05564" w:rsidRPr="00B84D47">
        <w:rPr>
          <w:rFonts w:asciiTheme="majorBidi" w:hAnsiTheme="majorBidi" w:cstheme="majorBidi"/>
        </w:rPr>
        <w:t xml:space="preserve"> on replacement of old vehicles with new, cleaner one</w:t>
      </w:r>
      <w:r w:rsidR="00FC053A" w:rsidRPr="00B84D47">
        <w:rPr>
          <w:rFonts w:asciiTheme="majorBidi" w:hAnsiTheme="majorBidi" w:cstheme="majorBidi"/>
        </w:rPr>
        <w:t>s</w:t>
      </w:r>
      <w:r w:rsidR="00C05564" w:rsidRPr="00B84D47">
        <w:rPr>
          <w:rFonts w:asciiTheme="majorBidi" w:hAnsiTheme="majorBidi" w:cstheme="majorBidi"/>
        </w:rPr>
        <w:t>.</w:t>
      </w:r>
    </w:p>
    <w:p w14:paraId="51EE4F6B" w14:textId="26586102" w:rsidR="00102E46" w:rsidRPr="00B84D47" w:rsidRDefault="006B3639" w:rsidP="00102E46">
      <w:pPr>
        <w:jc w:val="both"/>
        <w:rPr>
          <w:rFonts w:asciiTheme="majorBidi" w:hAnsiTheme="majorBidi" w:cstheme="majorBidi"/>
        </w:rPr>
      </w:pPr>
      <w:r w:rsidRPr="00B84D47">
        <w:rPr>
          <w:rFonts w:asciiTheme="majorBidi" w:hAnsiTheme="majorBidi" w:cstheme="majorBidi"/>
          <w:color w:val="000000"/>
        </w:rPr>
        <w:t>31</w:t>
      </w:r>
      <w:r w:rsidR="00C0408E" w:rsidRPr="00B84D47">
        <w:rPr>
          <w:rFonts w:asciiTheme="majorBidi" w:hAnsiTheme="majorBidi" w:cstheme="majorBidi"/>
          <w:color w:val="000000"/>
        </w:rPr>
        <w:t xml:space="preserve">. Hungary, </w:t>
      </w:r>
      <w:r w:rsidR="00FC053A" w:rsidRPr="00B84D47">
        <w:rPr>
          <w:rFonts w:asciiTheme="majorBidi" w:hAnsiTheme="majorBidi" w:cstheme="majorBidi"/>
        </w:rPr>
        <w:t xml:space="preserve">Georgia, </w:t>
      </w:r>
      <w:r w:rsidR="00FC053A" w:rsidRPr="00B84D47">
        <w:rPr>
          <w:rFonts w:asciiTheme="majorBidi" w:hAnsiTheme="majorBidi" w:cstheme="majorBidi"/>
          <w:color w:val="000000"/>
        </w:rPr>
        <w:t xml:space="preserve">and </w:t>
      </w:r>
      <w:r w:rsidR="007212C4" w:rsidRPr="00B84D47">
        <w:rPr>
          <w:rFonts w:asciiTheme="majorBidi" w:hAnsiTheme="majorBidi" w:cstheme="majorBidi"/>
          <w:color w:val="000000"/>
        </w:rPr>
        <w:t xml:space="preserve">Poland reported about </w:t>
      </w:r>
      <w:r w:rsidR="00FC053A" w:rsidRPr="00B84D47">
        <w:rPr>
          <w:rFonts w:asciiTheme="majorBidi" w:hAnsiTheme="majorBidi" w:cstheme="majorBidi"/>
          <w:color w:val="000000"/>
        </w:rPr>
        <w:t>continuation of the bus change program. In particular, Georgia</w:t>
      </w:r>
      <w:r w:rsidR="005B15F9" w:rsidRPr="00B84D47">
        <w:rPr>
          <w:rFonts w:asciiTheme="majorBidi" w:hAnsiTheme="majorBidi" w:cstheme="majorBidi"/>
          <w:color w:val="000000"/>
        </w:rPr>
        <w:t>,</w:t>
      </w:r>
      <w:r w:rsidR="00FC053A" w:rsidRPr="00B84D47">
        <w:rPr>
          <w:rFonts w:asciiTheme="majorBidi" w:hAnsiTheme="majorBidi" w:cstheme="majorBidi"/>
          <w:color w:val="000000"/>
        </w:rPr>
        <w:t xml:space="preserve"> </w:t>
      </w:r>
      <w:r w:rsidR="005B15F9" w:rsidRPr="00B84D47">
        <w:rPr>
          <w:rFonts w:asciiTheme="majorBidi" w:hAnsiTheme="majorBidi" w:cstheme="majorBidi"/>
        </w:rPr>
        <w:t>in the capital city of Tbilisi</w:t>
      </w:r>
      <w:r w:rsidR="005B15F9" w:rsidRPr="00B84D47">
        <w:rPr>
          <w:rFonts w:asciiTheme="majorBidi" w:hAnsiTheme="majorBidi" w:cstheme="majorBidi"/>
          <w:color w:val="000000"/>
        </w:rPr>
        <w:t xml:space="preserve"> </w:t>
      </w:r>
      <w:r w:rsidR="00FC053A" w:rsidRPr="00B84D47">
        <w:rPr>
          <w:rFonts w:asciiTheme="majorBidi" w:hAnsiTheme="majorBidi" w:cstheme="majorBidi"/>
          <w:color w:val="000000"/>
        </w:rPr>
        <w:t xml:space="preserve">replaced </w:t>
      </w:r>
      <w:r w:rsidR="00FC053A" w:rsidRPr="00B84D47">
        <w:rPr>
          <w:rFonts w:asciiTheme="majorBidi" w:hAnsiTheme="majorBidi" w:cstheme="majorBidi"/>
        </w:rPr>
        <w:t>whole bus fleet, which was old and in very bed technical conditions,</w:t>
      </w:r>
      <w:r w:rsidR="005B15F9" w:rsidRPr="00B84D47">
        <w:rPr>
          <w:rFonts w:asciiTheme="majorBidi" w:hAnsiTheme="majorBidi" w:cstheme="majorBidi"/>
        </w:rPr>
        <w:t xml:space="preserve"> with totally new </w:t>
      </w:r>
      <w:r w:rsidR="005B15F9" w:rsidRPr="00B84D47">
        <w:rPr>
          <w:rFonts w:asciiTheme="majorBidi" w:hAnsiTheme="majorBidi" w:cstheme="majorBidi"/>
          <w:color w:val="000000"/>
        </w:rPr>
        <w:t xml:space="preserve">680 </w:t>
      </w:r>
      <w:r w:rsidR="005B15F9" w:rsidRPr="00B84D47">
        <w:rPr>
          <w:rFonts w:asciiTheme="majorBidi" w:hAnsiTheme="majorBidi" w:cstheme="majorBidi"/>
        </w:rPr>
        <w:t>Euro 5 and Euro 6 buses and 1 000 new minibuses.</w:t>
      </w:r>
    </w:p>
    <w:p w14:paraId="618EB82B" w14:textId="3771C2CF" w:rsidR="005B15F9" w:rsidRPr="00B84D47" w:rsidRDefault="006B3639" w:rsidP="0083514E">
      <w:pPr>
        <w:jc w:val="both"/>
        <w:rPr>
          <w:rFonts w:asciiTheme="majorBidi" w:hAnsiTheme="majorBidi" w:cstheme="majorBidi"/>
          <w:color w:val="000000"/>
        </w:rPr>
      </w:pPr>
      <w:r w:rsidRPr="00B84D47">
        <w:rPr>
          <w:rFonts w:asciiTheme="majorBidi" w:hAnsiTheme="majorBidi" w:cstheme="majorBidi"/>
        </w:rPr>
        <w:t>32</w:t>
      </w:r>
      <w:r w:rsidR="001800D0" w:rsidRPr="00B84D47">
        <w:rPr>
          <w:rFonts w:asciiTheme="majorBidi" w:hAnsiTheme="majorBidi" w:cstheme="majorBidi"/>
        </w:rPr>
        <w:t xml:space="preserve">. </w:t>
      </w:r>
      <w:r w:rsidR="00196750" w:rsidRPr="00B84D47">
        <w:rPr>
          <w:rFonts w:asciiTheme="majorBidi" w:hAnsiTheme="majorBidi" w:cstheme="majorBidi"/>
        </w:rPr>
        <w:t xml:space="preserve">Improvement of fuel quality standards was highlighted by </w:t>
      </w:r>
      <w:r w:rsidR="00CA0B9E" w:rsidRPr="00B84D47">
        <w:rPr>
          <w:rFonts w:asciiTheme="majorBidi" w:hAnsiTheme="majorBidi" w:cstheme="majorBidi"/>
        </w:rPr>
        <w:t xml:space="preserve">Canada, </w:t>
      </w:r>
      <w:r w:rsidR="001800D0" w:rsidRPr="00B84D47">
        <w:rPr>
          <w:rFonts w:asciiTheme="majorBidi" w:hAnsiTheme="majorBidi" w:cstheme="majorBidi"/>
        </w:rPr>
        <w:t xml:space="preserve">Georgia </w:t>
      </w:r>
      <w:r w:rsidR="00CA0B9E" w:rsidRPr="00B84D47">
        <w:rPr>
          <w:rFonts w:asciiTheme="majorBidi" w:hAnsiTheme="majorBidi" w:cstheme="majorBidi"/>
        </w:rPr>
        <w:t xml:space="preserve">and </w:t>
      </w:r>
      <w:r w:rsidR="00CA0B9E" w:rsidRPr="00B84D47">
        <w:rPr>
          <w:rFonts w:asciiTheme="majorBidi" w:hAnsiTheme="majorBidi" w:cstheme="majorBidi"/>
          <w:color w:val="000000"/>
        </w:rPr>
        <w:t>The United States</w:t>
      </w:r>
      <w:r w:rsidR="00D6458D" w:rsidRPr="00B84D47">
        <w:rPr>
          <w:rFonts w:asciiTheme="majorBidi" w:hAnsiTheme="majorBidi" w:cstheme="majorBidi"/>
          <w:color w:val="000000"/>
        </w:rPr>
        <w:t xml:space="preserve"> of America</w:t>
      </w:r>
      <w:r w:rsidR="00196750" w:rsidRPr="00B84D47">
        <w:rPr>
          <w:rFonts w:asciiTheme="majorBidi" w:hAnsiTheme="majorBidi" w:cstheme="majorBidi"/>
          <w:color w:val="000000"/>
        </w:rPr>
        <w:t xml:space="preserve">. Georgia </w:t>
      </w:r>
      <w:r w:rsidR="006F1640" w:rsidRPr="00B84D47">
        <w:rPr>
          <w:rFonts w:asciiTheme="majorBidi" w:hAnsiTheme="majorBidi" w:cstheme="majorBidi"/>
        </w:rPr>
        <w:t>improved its petrol and diesel quality significantly reaching Euro 5 standard for petrol in 2017 and Euro 4 standard for diesel fuel in 2019</w:t>
      </w:r>
      <w:r w:rsidR="004C592F" w:rsidRPr="00B84D47">
        <w:rPr>
          <w:rFonts w:asciiTheme="majorBidi" w:hAnsiTheme="majorBidi" w:cstheme="majorBidi"/>
        </w:rPr>
        <w:t>,</w:t>
      </w:r>
      <w:r w:rsidR="006F1640" w:rsidRPr="00B84D47">
        <w:rPr>
          <w:rFonts w:asciiTheme="majorBidi" w:hAnsiTheme="majorBidi" w:cstheme="majorBidi"/>
        </w:rPr>
        <w:t xml:space="preserve"> with prescribed </w:t>
      </w:r>
      <w:r w:rsidR="004C592F" w:rsidRPr="00B84D47">
        <w:rPr>
          <w:rFonts w:asciiTheme="majorBidi" w:hAnsiTheme="majorBidi" w:cstheme="majorBidi"/>
        </w:rPr>
        <w:t xml:space="preserve">further </w:t>
      </w:r>
      <w:r w:rsidR="006F1640" w:rsidRPr="00B84D47">
        <w:rPr>
          <w:rFonts w:asciiTheme="majorBidi" w:hAnsiTheme="majorBidi" w:cstheme="majorBidi"/>
        </w:rPr>
        <w:t xml:space="preserve">improvement to Euro 5 from 1 </w:t>
      </w:r>
      <w:r w:rsidR="006F1640" w:rsidRPr="00B84D47">
        <w:rPr>
          <w:rFonts w:asciiTheme="majorBidi" w:hAnsiTheme="majorBidi" w:cstheme="majorBidi"/>
        </w:rPr>
        <w:lastRenderedPageBreak/>
        <w:t xml:space="preserve">January 2023. </w:t>
      </w:r>
      <w:r w:rsidR="00196750" w:rsidRPr="00B84D47">
        <w:rPr>
          <w:rFonts w:asciiTheme="majorBidi" w:hAnsiTheme="majorBidi" w:cstheme="majorBidi"/>
          <w:color w:val="000000"/>
        </w:rPr>
        <w:t xml:space="preserve">Canada switched to </w:t>
      </w:r>
      <w:r w:rsidR="008303CA" w:rsidRPr="00B84D47">
        <w:rPr>
          <w:rFonts w:asciiTheme="majorBidi" w:hAnsiTheme="majorBidi" w:cstheme="majorBidi"/>
          <w:color w:val="000000"/>
        </w:rPr>
        <w:t>ultra-</w:t>
      </w:r>
      <w:r w:rsidR="00196750" w:rsidRPr="00B84D47">
        <w:rPr>
          <w:rFonts w:asciiTheme="majorBidi" w:hAnsiTheme="majorBidi" w:cstheme="majorBidi"/>
          <w:color w:val="000000"/>
        </w:rPr>
        <w:t xml:space="preserve">low </w:t>
      </w:r>
      <w:proofErr w:type="spellStart"/>
      <w:r w:rsidR="00196750" w:rsidRPr="00B84D47">
        <w:rPr>
          <w:rFonts w:asciiTheme="majorBidi" w:hAnsiTheme="majorBidi" w:cstheme="majorBidi"/>
          <w:color w:val="000000"/>
        </w:rPr>
        <w:t>sulphur</w:t>
      </w:r>
      <w:proofErr w:type="spellEnd"/>
      <w:r w:rsidR="00196750" w:rsidRPr="00B84D47">
        <w:rPr>
          <w:rFonts w:asciiTheme="majorBidi" w:hAnsiTheme="majorBidi" w:cstheme="majorBidi"/>
          <w:color w:val="000000"/>
        </w:rPr>
        <w:t xml:space="preserve"> content</w:t>
      </w:r>
      <w:r w:rsidR="008303CA" w:rsidRPr="00B84D47">
        <w:rPr>
          <w:rFonts w:asciiTheme="majorBidi" w:hAnsiTheme="majorBidi" w:cstheme="majorBidi"/>
          <w:color w:val="000000"/>
        </w:rPr>
        <w:t xml:space="preserve"> (12 ppm)</w:t>
      </w:r>
      <w:r w:rsidR="00196750" w:rsidRPr="00B84D47">
        <w:rPr>
          <w:rFonts w:asciiTheme="majorBidi" w:hAnsiTheme="majorBidi" w:cstheme="majorBidi"/>
          <w:color w:val="000000"/>
        </w:rPr>
        <w:t xml:space="preserve"> petrol</w:t>
      </w:r>
      <w:r w:rsidR="008303CA" w:rsidRPr="00B84D47">
        <w:rPr>
          <w:rFonts w:asciiTheme="majorBidi" w:hAnsiTheme="majorBidi" w:cstheme="majorBidi"/>
          <w:color w:val="000000"/>
        </w:rPr>
        <w:t xml:space="preserve"> from 2020 and updated regulations on sulfur content in diesel fuel</w:t>
      </w:r>
      <w:r w:rsidR="00F24AB4" w:rsidRPr="00B84D47">
        <w:rPr>
          <w:rFonts w:asciiTheme="majorBidi" w:hAnsiTheme="majorBidi" w:cstheme="majorBidi"/>
          <w:color w:val="000000"/>
        </w:rPr>
        <w:t xml:space="preserve"> in 2017</w:t>
      </w:r>
      <w:r w:rsidR="00196750" w:rsidRPr="00B84D47">
        <w:rPr>
          <w:rFonts w:asciiTheme="majorBidi" w:hAnsiTheme="majorBidi" w:cstheme="majorBidi"/>
          <w:color w:val="000000"/>
        </w:rPr>
        <w:t xml:space="preserve">. </w:t>
      </w:r>
      <w:r w:rsidR="005B15F9" w:rsidRPr="00B84D47">
        <w:rPr>
          <w:rFonts w:asciiTheme="majorBidi" w:hAnsiTheme="majorBidi" w:cstheme="majorBidi"/>
          <w:color w:val="000000"/>
        </w:rPr>
        <w:t xml:space="preserve">The United States </w:t>
      </w:r>
      <w:r w:rsidR="005E002C" w:rsidRPr="00B84D47">
        <w:rPr>
          <w:rFonts w:asciiTheme="majorBidi" w:hAnsiTheme="majorBidi" w:cstheme="majorBidi"/>
          <w:color w:val="000000"/>
        </w:rPr>
        <w:t>improved petrol quality</w:t>
      </w:r>
      <w:r w:rsidR="008D26B7" w:rsidRPr="00B84D47">
        <w:rPr>
          <w:rFonts w:asciiTheme="majorBidi" w:hAnsiTheme="majorBidi" w:cstheme="majorBidi"/>
          <w:color w:val="000000"/>
        </w:rPr>
        <w:t xml:space="preserve"> in parallel with </w:t>
      </w:r>
      <w:r w:rsidR="005B15F9" w:rsidRPr="00B84D47">
        <w:rPr>
          <w:rFonts w:asciiTheme="majorBidi" w:hAnsiTheme="majorBidi" w:cstheme="majorBidi"/>
          <w:color w:val="000000"/>
        </w:rPr>
        <w:t>implement</w:t>
      </w:r>
      <w:r w:rsidR="008D26B7" w:rsidRPr="00B84D47">
        <w:rPr>
          <w:rFonts w:asciiTheme="majorBidi" w:hAnsiTheme="majorBidi" w:cstheme="majorBidi"/>
          <w:color w:val="000000"/>
        </w:rPr>
        <w:t>ation of</w:t>
      </w:r>
      <w:r w:rsidR="005B15F9" w:rsidRPr="00B84D47">
        <w:rPr>
          <w:rFonts w:asciiTheme="majorBidi" w:hAnsiTheme="majorBidi" w:cstheme="majorBidi"/>
          <w:color w:val="000000"/>
        </w:rPr>
        <w:t xml:space="preserve"> new vehicle emission standards.</w:t>
      </w:r>
    </w:p>
    <w:p w14:paraId="0AC2F07F" w14:textId="54E383BF" w:rsidR="00C0408E" w:rsidRPr="00B84D47" w:rsidRDefault="006B3639" w:rsidP="0083514E">
      <w:pPr>
        <w:jc w:val="both"/>
        <w:rPr>
          <w:rFonts w:asciiTheme="majorBidi" w:hAnsiTheme="majorBidi" w:cstheme="majorBidi"/>
          <w:color w:val="000000"/>
        </w:rPr>
      </w:pPr>
      <w:r w:rsidRPr="00B84D47">
        <w:rPr>
          <w:rFonts w:asciiTheme="majorBidi" w:hAnsiTheme="majorBidi" w:cstheme="majorBidi"/>
          <w:color w:val="000000"/>
        </w:rPr>
        <w:t>33</w:t>
      </w:r>
      <w:r w:rsidR="00C0408E" w:rsidRPr="00B84D47">
        <w:rPr>
          <w:rFonts w:asciiTheme="majorBidi" w:hAnsiTheme="majorBidi" w:cstheme="majorBidi"/>
          <w:color w:val="000000"/>
        </w:rPr>
        <w:t xml:space="preserve">. Lithuania and Georgia </w:t>
      </w:r>
      <w:r w:rsidR="0077006B" w:rsidRPr="00B84D47">
        <w:rPr>
          <w:rFonts w:asciiTheme="majorBidi" w:hAnsiTheme="majorBidi" w:cstheme="majorBidi"/>
          <w:color w:val="000000"/>
        </w:rPr>
        <w:t>emphasized</w:t>
      </w:r>
      <w:r w:rsidR="00C0408E" w:rsidRPr="00B84D47">
        <w:rPr>
          <w:rFonts w:asciiTheme="majorBidi" w:hAnsiTheme="majorBidi" w:cstheme="majorBidi"/>
          <w:color w:val="000000"/>
        </w:rPr>
        <w:t xml:space="preserve"> progress in road infrastructure for public transport. Specifically, </w:t>
      </w:r>
      <w:r w:rsidR="00D70AAD" w:rsidRPr="00B84D47">
        <w:rPr>
          <w:rFonts w:asciiTheme="majorBidi" w:hAnsiTheme="majorBidi" w:cstheme="majorBidi"/>
          <w:color w:val="000000"/>
        </w:rPr>
        <w:t xml:space="preserve">in the Georgia’s capital city of Tbilisi </w:t>
      </w:r>
      <w:r w:rsidR="00D70AAD" w:rsidRPr="00B84D47">
        <w:rPr>
          <w:rFonts w:asciiTheme="majorBidi" w:hAnsiTheme="majorBidi" w:cstheme="majorBidi"/>
        </w:rPr>
        <w:t xml:space="preserve">bus lanes were arranged in numerous main streets. </w:t>
      </w:r>
      <w:r w:rsidR="00D70AAD" w:rsidRPr="00B84D47">
        <w:rPr>
          <w:rFonts w:asciiTheme="majorBidi" w:hAnsiTheme="majorBidi" w:cstheme="majorBidi"/>
          <w:color w:val="000000"/>
        </w:rPr>
        <w:t xml:space="preserve">Lithuania established 20 plans for sustainable city mobility. </w:t>
      </w:r>
      <w:r w:rsidR="00D70AAD" w:rsidRPr="00B84D47">
        <w:rPr>
          <w:rFonts w:asciiTheme="majorBidi" w:hAnsiTheme="majorBidi" w:cstheme="majorBidi"/>
        </w:rPr>
        <w:t>Development of metro system is another important achievement that was realized in Tbilisi with n</w:t>
      </w:r>
      <w:r w:rsidR="004C1986" w:rsidRPr="00B84D47">
        <w:rPr>
          <w:rFonts w:asciiTheme="majorBidi" w:hAnsiTheme="majorBidi" w:cstheme="majorBidi"/>
        </w:rPr>
        <w:t>e</w:t>
      </w:r>
      <w:r w:rsidR="00D70AAD" w:rsidRPr="00B84D47">
        <w:rPr>
          <w:rFonts w:asciiTheme="majorBidi" w:hAnsiTheme="majorBidi" w:cstheme="majorBidi"/>
        </w:rPr>
        <w:t>w metro station and 40 new metro cars.</w:t>
      </w:r>
      <w:r w:rsidR="004C1986" w:rsidRPr="00B84D47">
        <w:rPr>
          <w:rFonts w:asciiTheme="majorBidi" w:hAnsiTheme="majorBidi" w:cstheme="majorBidi"/>
        </w:rPr>
        <w:t xml:space="preserve"> While, </w:t>
      </w:r>
      <w:r w:rsidR="004C1986" w:rsidRPr="00B84D47">
        <w:rPr>
          <w:rFonts w:asciiTheme="majorBidi" w:hAnsiTheme="majorBidi" w:cstheme="majorBidi"/>
          <w:color w:val="000000"/>
        </w:rPr>
        <w:t>Lithuania reported the acquisition of 10 diesel trains of new generation and 13 electric trains.</w:t>
      </w:r>
    </w:p>
    <w:p w14:paraId="3E7B2C45" w14:textId="00E66733" w:rsidR="00C0408E" w:rsidRPr="00B84D47" w:rsidRDefault="006B3639" w:rsidP="00C0408E">
      <w:pPr>
        <w:jc w:val="both"/>
        <w:rPr>
          <w:rFonts w:asciiTheme="majorBidi" w:hAnsiTheme="majorBidi" w:cstheme="majorBidi"/>
          <w:color w:val="000000"/>
        </w:rPr>
      </w:pPr>
      <w:r w:rsidRPr="00B84D47">
        <w:rPr>
          <w:rFonts w:asciiTheme="majorBidi" w:hAnsiTheme="majorBidi" w:cstheme="majorBidi"/>
        </w:rPr>
        <w:t>34</w:t>
      </w:r>
      <w:r w:rsidR="00C0408E" w:rsidRPr="00B84D47">
        <w:rPr>
          <w:rFonts w:asciiTheme="majorBidi" w:hAnsiTheme="majorBidi" w:cstheme="majorBidi"/>
        </w:rPr>
        <w:t xml:space="preserve">. </w:t>
      </w:r>
      <w:r w:rsidR="00C0408E" w:rsidRPr="00B84D47">
        <w:rPr>
          <w:rFonts w:asciiTheme="majorBidi" w:hAnsiTheme="majorBidi" w:cstheme="majorBidi"/>
          <w:color w:val="000000"/>
        </w:rPr>
        <w:t>Hungary and Lithuania reported about development of walking and cycling infrastructure and building of by roads.</w:t>
      </w:r>
    </w:p>
    <w:p w14:paraId="231ECE9E" w14:textId="1EA3ACD7" w:rsidR="004C592F" w:rsidRPr="00B84D47" w:rsidRDefault="006B3639" w:rsidP="004C1986">
      <w:pPr>
        <w:jc w:val="both"/>
        <w:rPr>
          <w:rFonts w:asciiTheme="majorBidi" w:hAnsiTheme="majorBidi" w:cstheme="majorBidi"/>
        </w:rPr>
      </w:pPr>
      <w:r w:rsidRPr="00B84D47">
        <w:rPr>
          <w:rFonts w:asciiTheme="majorBidi" w:hAnsiTheme="majorBidi" w:cstheme="majorBidi"/>
        </w:rPr>
        <w:t>35</w:t>
      </w:r>
      <w:r w:rsidR="004C1986" w:rsidRPr="00B84D47">
        <w:rPr>
          <w:rFonts w:asciiTheme="majorBidi" w:hAnsiTheme="majorBidi" w:cstheme="majorBidi"/>
        </w:rPr>
        <w:t xml:space="preserve">. Georgia reestablished </w:t>
      </w:r>
      <w:r w:rsidR="007E2CA6" w:rsidRPr="00B84D47">
        <w:rPr>
          <w:rFonts w:asciiTheme="majorBidi" w:hAnsiTheme="majorBidi" w:cstheme="majorBidi"/>
        </w:rPr>
        <w:t>mandatory periodic technical inspection to reduce emissions from road transport.</w:t>
      </w:r>
      <w:r w:rsidR="004C1986" w:rsidRPr="00B84D47">
        <w:rPr>
          <w:rFonts w:asciiTheme="majorBidi" w:hAnsiTheme="majorBidi" w:cstheme="majorBidi"/>
        </w:rPr>
        <w:t xml:space="preserve"> </w:t>
      </w:r>
      <w:r w:rsidR="007E2CA6" w:rsidRPr="00B84D47">
        <w:rPr>
          <w:rFonts w:asciiTheme="majorBidi" w:hAnsiTheme="majorBidi" w:cstheme="majorBidi"/>
        </w:rPr>
        <w:t xml:space="preserve"> </w:t>
      </w:r>
      <w:r w:rsidR="004C1986" w:rsidRPr="00B84D47">
        <w:rPr>
          <w:rFonts w:asciiTheme="majorBidi" w:hAnsiTheme="majorBidi" w:cstheme="majorBidi"/>
          <w:color w:val="000000"/>
        </w:rPr>
        <w:t>Lithuania introduced an electronic taxation system for commercial vehicles and a new parking scheme to discourage unnecessary use of commercial and private cars.</w:t>
      </w:r>
    </w:p>
    <w:p w14:paraId="522626AB" w14:textId="77777777" w:rsidR="00D45487" w:rsidRPr="00B84D47" w:rsidRDefault="00D45487" w:rsidP="0083514E">
      <w:pPr>
        <w:jc w:val="both"/>
        <w:rPr>
          <w:rFonts w:asciiTheme="majorBidi" w:hAnsiTheme="majorBidi" w:cstheme="majorBidi"/>
          <w:b/>
        </w:rPr>
      </w:pPr>
      <w:r w:rsidRPr="00B84D47">
        <w:rPr>
          <w:rFonts w:asciiTheme="majorBidi" w:hAnsiTheme="majorBidi" w:cstheme="majorBidi"/>
          <w:b/>
        </w:rPr>
        <w:t>Industry</w:t>
      </w:r>
    </w:p>
    <w:p w14:paraId="1CA64CC2" w14:textId="56E3F01A" w:rsidR="00D45487" w:rsidRPr="00B84D47" w:rsidRDefault="006B3639" w:rsidP="0083514E">
      <w:pPr>
        <w:jc w:val="both"/>
        <w:rPr>
          <w:rFonts w:asciiTheme="majorBidi" w:hAnsiTheme="majorBidi" w:cstheme="majorBidi"/>
        </w:rPr>
      </w:pPr>
      <w:r w:rsidRPr="00B84D47">
        <w:rPr>
          <w:rFonts w:asciiTheme="majorBidi" w:hAnsiTheme="majorBidi" w:cstheme="majorBidi"/>
        </w:rPr>
        <w:t>36</w:t>
      </w:r>
      <w:r w:rsidR="008F5009" w:rsidRPr="00B84D47">
        <w:rPr>
          <w:rFonts w:asciiTheme="majorBidi" w:hAnsiTheme="majorBidi" w:cstheme="majorBidi"/>
        </w:rPr>
        <w:t>. Moldova</w:t>
      </w:r>
      <w:r w:rsidR="00D16ACA" w:rsidRPr="00B84D47">
        <w:rPr>
          <w:rFonts w:asciiTheme="majorBidi" w:hAnsiTheme="majorBidi" w:cstheme="majorBidi"/>
        </w:rPr>
        <w:t xml:space="preserve"> and Canada </w:t>
      </w:r>
      <w:r w:rsidR="00D6458D" w:rsidRPr="00B84D47">
        <w:rPr>
          <w:rFonts w:asciiTheme="majorBidi" w:hAnsiTheme="majorBidi" w:cstheme="majorBidi"/>
        </w:rPr>
        <w:t>reported on</w:t>
      </w:r>
      <w:r w:rsidR="00D16ACA" w:rsidRPr="00B84D47">
        <w:rPr>
          <w:rFonts w:asciiTheme="majorBidi" w:hAnsiTheme="majorBidi" w:cstheme="majorBidi"/>
        </w:rPr>
        <w:t xml:space="preserve"> activities to reduce emissions of Volatile Organic Compounds (VOC). In particular, Republic of Moldova </w:t>
      </w:r>
      <w:r w:rsidR="008F5009" w:rsidRPr="00B84D47">
        <w:rPr>
          <w:rFonts w:asciiTheme="majorBidi" w:hAnsiTheme="majorBidi" w:cstheme="majorBidi"/>
        </w:rPr>
        <w:t xml:space="preserve">adopted legal acts regulation content of </w:t>
      </w:r>
      <w:r w:rsidR="00D16ACA" w:rsidRPr="00B84D47">
        <w:rPr>
          <w:rFonts w:asciiTheme="majorBidi" w:hAnsiTheme="majorBidi" w:cstheme="majorBidi"/>
        </w:rPr>
        <w:t>(</w:t>
      </w:r>
      <w:r w:rsidR="008F5009" w:rsidRPr="00B84D47">
        <w:rPr>
          <w:rFonts w:asciiTheme="majorBidi" w:hAnsiTheme="majorBidi" w:cstheme="majorBidi"/>
        </w:rPr>
        <w:t>VOC</w:t>
      </w:r>
      <w:r w:rsidR="00D16ACA" w:rsidRPr="00B84D47">
        <w:rPr>
          <w:rFonts w:asciiTheme="majorBidi" w:hAnsiTheme="majorBidi" w:cstheme="majorBidi"/>
        </w:rPr>
        <w:t>)</w:t>
      </w:r>
      <w:r w:rsidR="008F5009" w:rsidRPr="00B84D47">
        <w:rPr>
          <w:rFonts w:asciiTheme="majorBidi" w:hAnsiTheme="majorBidi" w:cstheme="majorBidi"/>
        </w:rPr>
        <w:t xml:space="preserve"> in </w:t>
      </w:r>
      <w:r w:rsidR="007A1894" w:rsidRPr="00B84D47">
        <w:rPr>
          <w:rFonts w:asciiTheme="majorBidi" w:hAnsiTheme="majorBidi" w:cstheme="majorBidi"/>
        </w:rPr>
        <w:t>paints, varnishes and vehicle refinishing materials, as well as regulations on reductions of VOC emissions from storage and distribution of petrol.</w:t>
      </w:r>
      <w:r w:rsidR="00D16ACA" w:rsidRPr="00B84D47">
        <w:rPr>
          <w:rFonts w:asciiTheme="majorBidi" w:hAnsiTheme="majorBidi" w:cstheme="majorBidi"/>
          <w:color w:val="000000"/>
        </w:rPr>
        <w:t xml:space="preserve"> Canada took measures to reduce VOC emissions from petroleum refineries</w:t>
      </w:r>
      <w:r w:rsidR="00D6458D" w:rsidRPr="00B84D47">
        <w:rPr>
          <w:rFonts w:asciiTheme="majorBidi" w:hAnsiTheme="majorBidi" w:cstheme="majorBidi"/>
          <w:color w:val="000000"/>
        </w:rPr>
        <w:t>,</w:t>
      </w:r>
      <w:r w:rsidR="00D16ACA" w:rsidRPr="00B84D47">
        <w:rPr>
          <w:rFonts w:asciiTheme="majorBidi" w:hAnsiTheme="majorBidi" w:cstheme="majorBidi"/>
          <w:color w:val="000000"/>
        </w:rPr>
        <w:t xml:space="preserve"> asphalt</w:t>
      </w:r>
      <w:r w:rsidR="00D6458D" w:rsidRPr="00B84D47">
        <w:rPr>
          <w:rFonts w:asciiTheme="majorBidi" w:hAnsiTheme="majorBidi" w:cstheme="majorBidi"/>
          <w:color w:val="000000"/>
        </w:rPr>
        <w:t xml:space="preserve"> and vehicle refinishing products</w:t>
      </w:r>
      <w:r w:rsidR="00D16ACA" w:rsidRPr="00B84D47">
        <w:rPr>
          <w:rFonts w:asciiTheme="majorBidi" w:hAnsiTheme="majorBidi" w:cstheme="majorBidi"/>
          <w:color w:val="000000"/>
        </w:rPr>
        <w:t>.</w:t>
      </w:r>
    </w:p>
    <w:p w14:paraId="64C153D8" w14:textId="4D53F628" w:rsidR="00C15BFD" w:rsidRPr="00B84D47" w:rsidRDefault="006B3639" w:rsidP="0083514E">
      <w:pPr>
        <w:jc w:val="both"/>
        <w:rPr>
          <w:rFonts w:asciiTheme="majorBidi" w:hAnsiTheme="majorBidi" w:cstheme="majorBidi"/>
          <w:color w:val="000000"/>
        </w:rPr>
      </w:pPr>
      <w:r w:rsidRPr="00B84D47">
        <w:rPr>
          <w:rFonts w:asciiTheme="majorBidi" w:hAnsiTheme="majorBidi" w:cstheme="majorBidi"/>
          <w:color w:val="000000"/>
        </w:rPr>
        <w:t>37</w:t>
      </w:r>
      <w:r w:rsidR="00C15BFD" w:rsidRPr="00B84D47">
        <w:rPr>
          <w:rFonts w:asciiTheme="majorBidi" w:hAnsiTheme="majorBidi" w:cstheme="majorBidi"/>
          <w:color w:val="000000"/>
        </w:rPr>
        <w:t xml:space="preserve">. </w:t>
      </w:r>
      <w:r w:rsidR="000C024F" w:rsidRPr="00B84D47">
        <w:rPr>
          <w:rFonts w:asciiTheme="majorBidi" w:hAnsiTheme="majorBidi" w:cstheme="majorBidi"/>
          <w:color w:val="000000"/>
        </w:rPr>
        <w:t>Canada and</w:t>
      </w:r>
      <w:r w:rsidR="00D16ACA" w:rsidRPr="00B84D47">
        <w:rPr>
          <w:rFonts w:asciiTheme="majorBidi" w:hAnsiTheme="majorBidi" w:cstheme="majorBidi"/>
          <w:color w:val="000000"/>
        </w:rPr>
        <w:t xml:space="preserve"> t</w:t>
      </w:r>
      <w:r w:rsidR="00C15BFD" w:rsidRPr="00B84D47">
        <w:rPr>
          <w:rFonts w:asciiTheme="majorBidi" w:hAnsiTheme="majorBidi" w:cstheme="majorBidi"/>
          <w:color w:val="000000"/>
        </w:rPr>
        <w:t>he United States established the requirements addressing fugitive emissions from leaking equipment in the Oil and Natural Gas Sector.</w:t>
      </w:r>
    </w:p>
    <w:p w14:paraId="3CDD80A3" w14:textId="0B5FD237" w:rsidR="005C5B10" w:rsidRPr="00B84D47" w:rsidRDefault="006F2B2D" w:rsidP="000D3F8E">
      <w:pPr>
        <w:jc w:val="both"/>
        <w:rPr>
          <w:rFonts w:asciiTheme="majorBidi" w:hAnsiTheme="majorBidi" w:cstheme="majorBidi"/>
          <w:color w:val="000000"/>
        </w:rPr>
      </w:pPr>
      <w:r w:rsidRPr="00B84D47">
        <w:rPr>
          <w:rFonts w:asciiTheme="majorBidi" w:hAnsiTheme="majorBidi" w:cstheme="majorBidi"/>
          <w:color w:val="000000"/>
        </w:rPr>
        <w:t xml:space="preserve">38. </w:t>
      </w:r>
      <w:r w:rsidR="005C5B10" w:rsidRPr="00B84D47">
        <w:rPr>
          <w:rFonts w:asciiTheme="majorBidi" w:hAnsiTheme="majorBidi" w:cstheme="majorBidi"/>
          <w:color w:val="000000"/>
        </w:rPr>
        <w:t xml:space="preserve">In 2020, </w:t>
      </w:r>
      <w:r w:rsidR="00827957" w:rsidRPr="00B84D47">
        <w:rPr>
          <w:rFonts w:asciiTheme="majorBidi" w:hAnsiTheme="majorBidi" w:cstheme="majorBidi"/>
          <w:color w:val="000000"/>
        </w:rPr>
        <w:t>Canada updated</w:t>
      </w:r>
      <w:r w:rsidR="005C5B10" w:rsidRPr="00B84D47">
        <w:rPr>
          <w:rFonts w:asciiTheme="majorBidi" w:hAnsiTheme="majorBidi" w:cstheme="majorBidi"/>
          <w:color w:val="000000"/>
        </w:rPr>
        <w:t xml:space="preserve"> regulations </w:t>
      </w:r>
      <w:r w:rsidR="00827957" w:rsidRPr="00B84D47">
        <w:rPr>
          <w:rFonts w:asciiTheme="majorBidi" w:hAnsiTheme="majorBidi" w:cstheme="majorBidi"/>
          <w:color w:val="000000"/>
        </w:rPr>
        <w:t>on</w:t>
      </w:r>
      <w:r w:rsidR="005C5B10" w:rsidRPr="00B84D47">
        <w:rPr>
          <w:rFonts w:asciiTheme="majorBidi" w:hAnsiTheme="majorBidi" w:cstheme="majorBidi"/>
          <w:color w:val="000000"/>
        </w:rPr>
        <w:t xml:space="preserve"> </w:t>
      </w:r>
      <w:r w:rsidR="00827957" w:rsidRPr="00B84D47">
        <w:rPr>
          <w:rFonts w:asciiTheme="majorBidi" w:hAnsiTheme="majorBidi" w:cstheme="majorBidi"/>
          <w:color w:val="000000"/>
        </w:rPr>
        <w:t>Emission Regulations for o</w:t>
      </w:r>
      <w:r w:rsidR="005C5B10" w:rsidRPr="00B84D47">
        <w:rPr>
          <w:rFonts w:asciiTheme="majorBidi" w:hAnsiTheme="majorBidi" w:cstheme="majorBidi"/>
          <w:color w:val="000000"/>
        </w:rPr>
        <w:t>ff-</w:t>
      </w:r>
      <w:r w:rsidR="00827957" w:rsidRPr="00B84D47">
        <w:rPr>
          <w:rFonts w:asciiTheme="majorBidi" w:hAnsiTheme="majorBidi" w:cstheme="majorBidi"/>
          <w:color w:val="000000"/>
        </w:rPr>
        <w:t>r</w:t>
      </w:r>
      <w:r w:rsidR="005C5B10" w:rsidRPr="00B84D47">
        <w:rPr>
          <w:rFonts w:asciiTheme="majorBidi" w:hAnsiTheme="majorBidi" w:cstheme="majorBidi"/>
          <w:color w:val="000000"/>
        </w:rPr>
        <w:t xml:space="preserve">oad </w:t>
      </w:r>
      <w:r w:rsidR="00827957" w:rsidRPr="00B84D47">
        <w:rPr>
          <w:rFonts w:asciiTheme="majorBidi" w:hAnsiTheme="majorBidi" w:cstheme="majorBidi"/>
          <w:color w:val="000000"/>
        </w:rPr>
        <w:t>and stationary diesel engines</w:t>
      </w:r>
      <w:r w:rsidR="005C5B10" w:rsidRPr="00B84D47">
        <w:rPr>
          <w:rFonts w:asciiTheme="majorBidi" w:hAnsiTheme="majorBidi" w:cstheme="majorBidi"/>
          <w:color w:val="000000"/>
        </w:rPr>
        <w:t>.</w:t>
      </w:r>
      <w:r w:rsidR="000D3F8E" w:rsidRPr="00B84D47">
        <w:rPr>
          <w:rFonts w:asciiTheme="majorBidi" w:hAnsiTheme="majorBidi" w:cstheme="majorBidi"/>
          <w:color w:val="000000"/>
        </w:rPr>
        <w:t xml:space="preserve"> Code of Practice to Reduce Emissions of Fine Particulate Matter (PM</w:t>
      </w:r>
      <w:r w:rsidR="000D3F8E" w:rsidRPr="00B84D47">
        <w:rPr>
          <w:rFonts w:asciiTheme="majorBidi" w:hAnsiTheme="majorBidi" w:cstheme="majorBidi"/>
          <w:color w:val="000000"/>
          <w:vertAlign w:val="subscript"/>
        </w:rPr>
        <w:t>2.5</w:t>
      </w:r>
      <w:r w:rsidR="000D3F8E" w:rsidRPr="00B84D47">
        <w:rPr>
          <w:rFonts w:asciiTheme="majorBidi" w:hAnsiTheme="majorBidi" w:cstheme="majorBidi"/>
          <w:color w:val="000000"/>
        </w:rPr>
        <w:t xml:space="preserve">) from the </w:t>
      </w:r>
      <w:proofErr w:type="spellStart"/>
      <w:r w:rsidR="004B7964" w:rsidRPr="00B84D47">
        <w:rPr>
          <w:rFonts w:asciiTheme="majorBidi" w:hAnsiTheme="majorBidi" w:cstheme="majorBidi"/>
          <w:color w:val="000000"/>
        </w:rPr>
        <w:t>a</w:t>
      </w:r>
      <w:r w:rsidR="000D3F8E" w:rsidRPr="00B84D47">
        <w:rPr>
          <w:rFonts w:asciiTheme="majorBidi" w:hAnsiTheme="majorBidi" w:cstheme="majorBidi"/>
          <w:color w:val="000000"/>
        </w:rPr>
        <w:t>luminium</w:t>
      </w:r>
      <w:proofErr w:type="spellEnd"/>
      <w:r w:rsidR="000D3F8E" w:rsidRPr="00B84D47">
        <w:rPr>
          <w:rFonts w:asciiTheme="majorBidi" w:hAnsiTheme="majorBidi" w:cstheme="majorBidi"/>
          <w:color w:val="000000"/>
        </w:rPr>
        <w:t xml:space="preserve"> </w:t>
      </w:r>
      <w:r w:rsidR="004B7964" w:rsidRPr="00B84D47">
        <w:rPr>
          <w:rFonts w:asciiTheme="majorBidi" w:hAnsiTheme="majorBidi" w:cstheme="majorBidi"/>
          <w:color w:val="000000"/>
        </w:rPr>
        <w:t>s</w:t>
      </w:r>
      <w:r w:rsidR="000D3F8E" w:rsidRPr="00B84D47">
        <w:rPr>
          <w:rFonts w:asciiTheme="majorBidi" w:hAnsiTheme="majorBidi" w:cstheme="majorBidi"/>
          <w:color w:val="000000"/>
        </w:rPr>
        <w:t>ector</w:t>
      </w:r>
      <w:r w:rsidR="00827957" w:rsidRPr="00B84D47">
        <w:rPr>
          <w:rFonts w:asciiTheme="majorBidi" w:hAnsiTheme="majorBidi" w:cstheme="majorBidi"/>
          <w:color w:val="000000"/>
        </w:rPr>
        <w:t xml:space="preserve"> has been developed in Canada</w:t>
      </w:r>
      <w:r w:rsidR="000D3F8E" w:rsidRPr="00B84D47">
        <w:rPr>
          <w:rFonts w:asciiTheme="majorBidi" w:hAnsiTheme="majorBidi" w:cstheme="majorBidi"/>
          <w:color w:val="000000"/>
        </w:rPr>
        <w:t>.</w:t>
      </w:r>
      <w:r w:rsidR="009B07FB" w:rsidRPr="00B84D47">
        <w:rPr>
          <w:rFonts w:asciiTheme="majorBidi" w:hAnsiTheme="majorBidi" w:cstheme="majorBidi"/>
          <w:color w:val="000000"/>
        </w:rPr>
        <w:tab/>
      </w:r>
    </w:p>
    <w:p w14:paraId="32DB71C3" w14:textId="77777777" w:rsidR="00D45487" w:rsidRPr="00B84D47" w:rsidRDefault="00D45487" w:rsidP="0083514E">
      <w:pPr>
        <w:jc w:val="both"/>
        <w:rPr>
          <w:rFonts w:asciiTheme="majorBidi" w:hAnsiTheme="majorBidi" w:cstheme="majorBidi"/>
          <w:b/>
        </w:rPr>
      </w:pPr>
      <w:r w:rsidRPr="00B84D47">
        <w:rPr>
          <w:rFonts w:asciiTheme="majorBidi" w:hAnsiTheme="majorBidi" w:cstheme="majorBidi"/>
          <w:b/>
        </w:rPr>
        <w:t>Residential heating</w:t>
      </w:r>
    </w:p>
    <w:p w14:paraId="79A58D9B" w14:textId="7C40BF9A" w:rsidR="00D6458D" w:rsidRPr="00B84D47" w:rsidRDefault="006B3639" w:rsidP="00D6458D">
      <w:pPr>
        <w:jc w:val="both"/>
        <w:rPr>
          <w:rFonts w:asciiTheme="majorBidi" w:hAnsiTheme="majorBidi" w:cstheme="majorBidi"/>
          <w:color w:val="000000"/>
        </w:rPr>
      </w:pPr>
      <w:r w:rsidRPr="00B84D47">
        <w:rPr>
          <w:rFonts w:asciiTheme="majorBidi" w:hAnsiTheme="majorBidi" w:cstheme="majorBidi"/>
        </w:rPr>
        <w:t>3</w:t>
      </w:r>
      <w:r w:rsidR="006F2B2D" w:rsidRPr="00B84D47">
        <w:rPr>
          <w:rFonts w:asciiTheme="majorBidi" w:hAnsiTheme="majorBidi" w:cstheme="majorBidi"/>
        </w:rPr>
        <w:t>9</w:t>
      </w:r>
      <w:r w:rsidR="00A73737" w:rsidRPr="00B84D47">
        <w:rPr>
          <w:rFonts w:asciiTheme="majorBidi" w:hAnsiTheme="majorBidi" w:cstheme="majorBidi"/>
        </w:rPr>
        <w:t xml:space="preserve">. </w:t>
      </w:r>
      <w:r w:rsidR="006F2B2D" w:rsidRPr="00B84D47">
        <w:rPr>
          <w:rFonts w:asciiTheme="majorBidi" w:hAnsiTheme="majorBidi" w:cstheme="majorBidi"/>
        </w:rPr>
        <w:t xml:space="preserve">Hungary launched </w:t>
      </w:r>
      <w:r w:rsidR="00FB55EE" w:rsidRPr="00B84D47">
        <w:rPr>
          <w:rFonts w:asciiTheme="majorBidi" w:hAnsiTheme="majorBidi" w:cstheme="majorBidi"/>
          <w:color w:val="000000"/>
        </w:rPr>
        <w:t>the Building Energy Efficiency Program with significant budget that should reduce PM</w:t>
      </w:r>
      <w:r w:rsidR="00FB55EE" w:rsidRPr="00B84D47">
        <w:rPr>
          <w:rFonts w:asciiTheme="majorBidi" w:hAnsiTheme="majorBidi" w:cstheme="majorBidi"/>
          <w:color w:val="000000"/>
          <w:vertAlign w:val="subscript"/>
        </w:rPr>
        <w:t>10</w:t>
      </w:r>
      <w:r w:rsidR="00FB55EE" w:rsidRPr="00B84D47">
        <w:rPr>
          <w:rFonts w:asciiTheme="majorBidi" w:hAnsiTheme="majorBidi" w:cstheme="majorBidi"/>
          <w:color w:val="000000"/>
        </w:rPr>
        <w:t xml:space="preserve"> emissions from combustion processes in the residential sector. </w:t>
      </w:r>
      <w:r w:rsidR="00A73737" w:rsidRPr="00B84D47">
        <w:rPr>
          <w:rFonts w:asciiTheme="majorBidi" w:hAnsiTheme="majorBidi" w:cstheme="majorBidi"/>
          <w:color w:val="000000"/>
        </w:rPr>
        <w:t xml:space="preserve">The United States </w:t>
      </w:r>
      <w:r w:rsidR="00D6458D" w:rsidRPr="00B84D47">
        <w:rPr>
          <w:rFonts w:asciiTheme="majorBidi" w:hAnsiTheme="majorBidi" w:cstheme="majorBidi"/>
          <w:color w:val="000000"/>
        </w:rPr>
        <w:t xml:space="preserve">and Canada took steps to improve quality of residential wood-burning appliances. </w:t>
      </w:r>
      <w:r w:rsidR="00A73737" w:rsidRPr="00B84D47">
        <w:rPr>
          <w:rFonts w:asciiTheme="majorBidi" w:hAnsiTheme="majorBidi" w:cstheme="majorBidi"/>
          <w:color w:val="000000"/>
        </w:rPr>
        <w:t xml:space="preserve"> </w:t>
      </w:r>
      <w:r w:rsidR="00211431" w:rsidRPr="00B84D47">
        <w:rPr>
          <w:rFonts w:asciiTheme="majorBidi" w:hAnsiTheme="majorBidi" w:cstheme="majorBidi"/>
          <w:color w:val="000000"/>
        </w:rPr>
        <w:t xml:space="preserve">The United States </w:t>
      </w:r>
      <w:r w:rsidR="00A73737" w:rsidRPr="00B84D47">
        <w:rPr>
          <w:rFonts w:asciiTheme="majorBidi" w:hAnsiTheme="majorBidi" w:cstheme="majorBidi"/>
          <w:color w:val="000000"/>
        </w:rPr>
        <w:t>adopted Step 1 emission standards for all residential wood-burning appliances</w:t>
      </w:r>
      <w:r w:rsidR="00211431" w:rsidRPr="00B84D47">
        <w:rPr>
          <w:rFonts w:asciiTheme="majorBidi" w:hAnsiTheme="majorBidi" w:cstheme="majorBidi"/>
          <w:color w:val="000000"/>
        </w:rPr>
        <w:t xml:space="preserve"> manufactured and sold in the U.S. Canada provides guidance on best practices of using these appliances through </w:t>
      </w:r>
      <w:r w:rsidR="00D6458D" w:rsidRPr="00B84D47">
        <w:rPr>
          <w:rFonts w:asciiTheme="majorBidi" w:hAnsiTheme="majorBidi" w:cstheme="majorBidi"/>
          <w:color w:val="000000"/>
        </w:rPr>
        <w:t>Code of Practice for Residential Wood Burning Appliances</w:t>
      </w:r>
      <w:r w:rsidR="00211431" w:rsidRPr="00B84D47">
        <w:rPr>
          <w:rFonts w:asciiTheme="majorBidi" w:hAnsiTheme="majorBidi" w:cstheme="majorBidi"/>
          <w:color w:val="000000"/>
        </w:rPr>
        <w:t>.</w:t>
      </w:r>
    </w:p>
    <w:p w14:paraId="6AAFBB50" w14:textId="79D82A2A" w:rsidR="006B3639" w:rsidRPr="00B84D47" w:rsidRDefault="006B3639" w:rsidP="006B3639">
      <w:pPr>
        <w:jc w:val="both"/>
        <w:rPr>
          <w:rFonts w:asciiTheme="majorBidi" w:hAnsiTheme="majorBidi" w:cstheme="majorBidi"/>
          <w:b/>
          <w:bCs/>
          <w:sz w:val="23"/>
          <w:szCs w:val="23"/>
        </w:rPr>
      </w:pPr>
      <w:r w:rsidRPr="00B84D47">
        <w:rPr>
          <w:rFonts w:asciiTheme="majorBidi" w:hAnsiTheme="majorBidi" w:cstheme="majorBidi"/>
          <w:b/>
          <w:bCs/>
          <w:sz w:val="23"/>
          <w:szCs w:val="23"/>
        </w:rPr>
        <w:t>D. Improvement of public awareness</w:t>
      </w:r>
    </w:p>
    <w:p w14:paraId="74D6831E" w14:textId="50DF6D3F" w:rsidR="00F016FF" w:rsidRPr="00B84D47" w:rsidRDefault="00F016FF" w:rsidP="006B3639">
      <w:pPr>
        <w:jc w:val="both"/>
        <w:rPr>
          <w:rFonts w:asciiTheme="majorBidi" w:hAnsiTheme="majorBidi" w:cstheme="majorBidi"/>
        </w:rPr>
      </w:pPr>
      <w:r w:rsidRPr="00B84D47">
        <w:rPr>
          <w:rFonts w:asciiTheme="majorBidi" w:hAnsiTheme="majorBidi" w:cstheme="majorBidi"/>
        </w:rPr>
        <w:t xml:space="preserve">40. Information and awareness rising </w:t>
      </w:r>
      <w:r w:rsidR="00BB4035" w:rsidRPr="00B84D47">
        <w:rPr>
          <w:rFonts w:asciiTheme="majorBidi" w:hAnsiTheme="majorBidi" w:cstheme="majorBidi"/>
        </w:rPr>
        <w:t>among</w:t>
      </w:r>
      <w:r w:rsidRPr="00B84D47">
        <w:rPr>
          <w:rFonts w:asciiTheme="majorBidi" w:hAnsiTheme="majorBidi" w:cstheme="majorBidi"/>
        </w:rPr>
        <w:t xml:space="preserve"> </w:t>
      </w:r>
      <w:r w:rsidR="00BB4035" w:rsidRPr="00B84D47">
        <w:rPr>
          <w:rFonts w:asciiTheme="majorBidi" w:hAnsiTheme="majorBidi" w:cstheme="majorBidi"/>
        </w:rPr>
        <w:t xml:space="preserve">the </w:t>
      </w:r>
      <w:r w:rsidRPr="00B84D47">
        <w:rPr>
          <w:rFonts w:asciiTheme="majorBidi" w:hAnsiTheme="majorBidi" w:cstheme="majorBidi"/>
        </w:rPr>
        <w:t xml:space="preserve">general public and targeted groups </w:t>
      </w:r>
      <w:r w:rsidR="00BB4035" w:rsidRPr="00B84D47">
        <w:rPr>
          <w:rFonts w:asciiTheme="majorBidi" w:hAnsiTheme="majorBidi" w:cstheme="majorBidi"/>
        </w:rPr>
        <w:t>is</w:t>
      </w:r>
      <w:r w:rsidRPr="00B84D47">
        <w:rPr>
          <w:rFonts w:asciiTheme="majorBidi" w:hAnsiTheme="majorBidi" w:cstheme="majorBidi"/>
        </w:rPr>
        <w:t xml:space="preserve"> crucial </w:t>
      </w:r>
      <w:r w:rsidR="00BB4035" w:rsidRPr="00B84D47">
        <w:rPr>
          <w:rFonts w:asciiTheme="majorBidi" w:hAnsiTheme="majorBidi" w:cstheme="majorBidi"/>
        </w:rPr>
        <w:t>to</w:t>
      </w:r>
      <w:r w:rsidRPr="00B84D47">
        <w:rPr>
          <w:rFonts w:asciiTheme="majorBidi" w:hAnsiTheme="majorBidi" w:cstheme="majorBidi"/>
        </w:rPr>
        <w:t xml:space="preserve"> the successful implementation of </w:t>
      </w:r>
      <w:r w:rsidR="00BB4035" w:rsidRPr="00B84D47">
        <w:rPr>
          <w:rFonts w:asciiTheme="majorBidi" w:hAnsiTheme="majorBidi" w:cstheme="majorBidi"/>
        </w:rPr>
        <w:t>specific</w:t>
      </w:r>
      <w:r w:rsidRPr="00B84D47">
        <w:rPr>
          <w:rFonts w:asciiTheme="majorBidi" w:hAnsiTheme="majorBidi" w:cstheme="majorBidi"/>
        </w:rPr>
        <w:t xml:space="preserve"> emission reduction measures and air quality policy in general.</w:t>
      </w:r>
      <w:r w:rsidR="00BB4035" w:rsidRPr="00B84D47">
        <w:rPr>
          <w:rFonts w:asciiTheme="majorBidi" w:hAnsiTheme="majorBidi" w:cstheme="majorBidi"/>
        </w:rPr>
        <w:t xml:space="preserve"> Thus, continues information dissemination about the air quality and its improvement measures is necessary. Under the BACA initiative 1</w:t>
      </w:r>
      <w:r w:rsidR="00021707" w:rsidRPr="00B84D47">
        <w:rPr>
          <w:rFonts w:asciiTheme="majorBidi" w:hAnsiTheme="majorBidi" w:cstheme="majorBidi"/>
        </w:rPr>
        <w:t>3</w:t>
      </w:r>
      <w:r w:rsidR="00BB4035" w:rsidRPr="00B84D47">
        <w:rPr>
          <w:rFonts w:asciiTheme="majorBidi" w:hAnsiTheme="majorBidi" w:cstheme="majorBidi"/>
        </w:rPr>
        <w:t xml:space="preserve"> commitments was made by </w:t>
      </w:r>
      <w:r w:rsidR="00021707" w:rsidRPr="00B84D47">
        <w:rPr>
          <w:rFonts w:asciiTheme="majorBidi" w:hAnsiTheme="majorBidi" w:cstheme="majorBidi"/>
        </w:rPr>
        <w:t>9</w:t>
      </w:r>
      <w:r w:rsidR="003D51A8" w:rsidRPr="00B84D47">
        <w:rPr>
          <w:rFonts w:asciiTheme="majorBidi" w:hAnsiTheme="majorBidi" w:cstheme="majorBidi"/>
        </w:rPr>
        <w:t xml:space="preserve"> countries</w:t>
      </w:r>
      <w:r w:rsidR="003D51A8" w:rsidRPr="00B84D47">
        <w:rPr>
          <w:rStyle w:val="FootnoteReference"/>
          <w:rFonts w:asciiTheme="majorBidi" w:hAnsiTheme="majorBidi" w:cstheme="majorBidi"/>
        </w:rPr>
        <w:footnoteReference w:id="27"/>
      </w:r>
      <w:r w:rsidR="003D51A8" w:rsidRPr="00B84D47">
        <w:rPr>
          <w:rFonts w:asciiTheme="majorBidi" w:hAnsiTheme="majorBidi" w:cstheme="majorBidi"/>
        </w:rPr>
        <w:t xml:space="preserve"> and 2 organizations</w:t>
      </w:r>
      <w:r w:rsidR="003D51A8" w:rsidRPr="00B84D47">
        <w:rPr>
          <w:rStyle w:val="FootnoteReference"/>
          <w:rFonts w:asciiTheme="majorBidi" w:hAnsiTheme="majorBidi" w:cstheme="majorBidi"/>
        </w:rPr>
        <w:footnoteReference w:id="28"/>
      </w:r>
      <w:r w:rsidR="003D51A8" w:rsidRPr="00B84D47">
        <w:rPr>
          <w:rFonts w:asciiTheme="majorBidi" w:hAnsiTheme="majorBidi" w:cstheme="majorBidi"/>
        </w:rPr>
        <w:t>.</w:t>
      </w:r>
    </w:p>
    <w:p w14:paraId="4BBEF1FF" w14:textId="66A44541" w:rsidR="000438F5" w:rsidRPr="00B84D47" w:rsidRDefault="000438F5" w:rsidP="006B3639">
      <w:pPr>
        <w:jc w:val="both"/>
        <w:rPr>
          <w:rFonts w:asciiTheme="majorBidi" w:hAnsiTheme="majorBidi" w:cstheme="majorBidi"/>
        </w:rPr>
      </w:pPr>
      <w:r w:rsidRPr="00B84D47">
        <w:rPr>
          <w:rFonts w:asciiTheme="majorBidi" w:hAnsiTheme="majorBidi" w:cstheme="majorBidi"/>
        </w:rPr>
        <w:lastRenderedPageBreak/>
        <w:t xml:space="preserve">41. </w:t>
      </w:r>
      <w:r w:rsidR="00754FC6" w:rsidRPr="00B84D47">
        <w:rPr>
          <w:rFonts w:asciiTheme="majorBidi" w:hAnsiTheme="majorBidi" w:cstheme="majorBidi"/>
        </w:rPr>
        <w:t>Hungary</w:t>
      </w:r>
      <w:r w:rsidR="006A72AC" w:rsidRPr="00B84D47">
        <w:rPr>
          <w:rFonts w:asciiTheme="majorBidi" w:hAnsiTheme="majorBidi" w:cstheme="majorBidi"/>
        </w:rPr>
        <w:t xml:space="preserve"> and Switzerland reported on awareness raising campaign</w:t>
      </w:r>
      <w:r w:rsidR="0085296E" w:rsidRPr="00B84D47">
        <w:rPr>
          <w:rFonts w:asciiTheme="majorBidi" w:hAnsiTheme="majorBidi" w:cstheme="majorBidi"/>
        </w:rPr>
        <w:t xml:space="preserve"> that were dedicated to increase awareness air quality issues</w:t>
      </w:r>
      <w:r w:rsidR="006A72AC" w:rsidRPr="00B84D47">
        <w:rPr>
          <w:rFonts w:asciiTheme="majorBidi" w:hAnsiTheme="majorBidi" w:cstheme="majorBidi"/>
        </w:rPr>
        <w:t xml:space="preserve">. </w:t>
      </w:r>
      <w:r w:rsidR="00754FC6" w:rsidRPr="00B84D47">
        <w:rPr>
          <w:rFonts w:asciiTheme="majorBidi" w:hAnsiTheme="majorBidi" w:cstheme="majorBidi"/>
        </w:rPr>
        <w:t xml:space="preserve"> </w:t>
      </w:r>
      <w:r w:rsidR="0085296E" w:rsidRPr="00B84D47">
        <w:rPr>
          <w:rFonts w:asciiTheme="majorBidi" w:hAnsiTheme="majorBidi" w:cstheme="majorBidi"/>
        </w:rPr>
        <w:t xml:space="preserve">Hungary </w:t>
      </w:r>
      <w:r w:rsidR="00754FC6" w:rsidRPr="00B84D47">
        <w:rPr>
          <w:rFonts w:asciiTheme="majorBidi" w:hAnsiTheme="majorBidi" w:cstheme="majorBidi"/>
        </w:rPr>
        <w:t xml:space="preserve">is running ‘Heat wise!’ campaign. Under the campaign </w:t>
      </w:r>
      <w:r w:rsidR="00C57F9A" w:rsidRPr="00B84D47">
        <w:rPr>
          <w:rFonts w:asciiTheme="majorBidi" w:hAnsiTheme="majorBidi" w:cstheme="majorBidi"/>
        </w:rPr>
        <w:t xml:space="preserve">was developed </w:t>
      </w:r>
      <w:r w:rsidR="00754FC6" w:rsidRPr="00B84D47">
        <w:rPr>
          <w:rFonts w:asciiTheme="majorBidi" w:hAnsiTheme="majorBidi" w:cstheme="majorBidi"/>
        </w:rPr>
        <w:t>special web</w:t>
      </w:r>
      <w:r w:rsidR="00C57F9A" w:rsidRPr="00B84D47">
        <w:rPr>
          <w:rFonts w:asciiTheme="majorBidi" w:hAnsiTheme="majorBidi" w:cstheme="majorBidi"/>
        </w:rPr>
        <w:t>page</w:t>
      </w:r>
      <w:r w:rsidR="001F5924" w:rsidRPr="00B84D47">
        <w:rPr>
          <w:rStyle w:val="FootnoteReference"/>
          <w:rFonts w:asciiTheme="majorBidi" w:hAnsiTheme="majorBidi" w:cstheme="majorBidi"/>
        </w:rPr>
        <w:footnoteReference w:id="29"/>
      </w:r>
      <w:r w:rsidR="00C57F9A" w:rsidRPr="00B84D47">
        <w:rPr>
          <w:rFonts w:asciiTheme="majorBidi" w:hAnsiTheme="majorBidi" w:cstheme="majorBidi"/>
        </w:rPr>
        <w:t xml:space="preserve"> which contains useful information about various aspects in different forms (</w:t>
      </w:r>
      <w:r w:rsidR="00C57F9A" w:rsidRPr="00B84D47">
        <w:rPr>
          <w:rFonts w:asciiTheme="majorBidi" w:hAnsiTheme="majorBidi" w:cstheme="majorBidi"/>
          <w:color w:val="000000"/>
        </w:rPr>
        <w:t>posters, leaflets, videos</w:t>
      </w:r>
      <w:r w:rsidR="00C57F9A" w:rsidRPr="00B84D47">
        <w:rPr>
          <w:rFonts w:asciiTheme="majorBidi" w:hAnsiTheme="majorBidi" w:cstheme="majorBidi"/>
        </w:rPr>
        <w:t>). To widely disseminate important information, during the campaign have been used TV, radio, press and printed advertisement.</w:t>
      </w:r>
      <w:r w:rsidR="0085296E" w:rsidRPr="00B84D47">
        <w:rPr>
          <w:rFonts w:asciiTheme="majorBidi" w:hAnsiTheme="majorBidi" w:cstheme="majorBidi"/>
        </w:rPr>
        <w:t xml:space="preserve"> Switzerland implemented n</w:t>
      </w:r>
      <w:r w:rsidR="0085296E" w:rsidRPr="00B84D47">
        <w:rPr>
          <w:rFonts w:asciiTheme="majorBidi" w:hAnsiTheme="majorBidi" w:cstheme="majorBidi"/>
          <w:color w:val="000000"/>
        </w:rPr>
        <w:t>ational communication efforts</w:t>
      </w:r>
      <w:r w:rsidR="00E3176D" w:rsidRPr="00B84D47">
        <w:rPr>
          <w:rStyle w:val="FootnoteReference"/>
          <w:rFonts w:asciiTheme="majorBidi" w:hAnsiTheme="majorBidi" w:cstheme="majorBidi"/>
          <w:color w:val="000000"/>
        </w:rPr>
        <w:footnoteReference w:id="30"/>
      </w:r>
      <w:r w:rsidR="0085296E" w:rsidRPr="00B84D47">
        <w:rPr>
          <w:rFonts w:asciiTheme="majorBidi" w:hAnsiTheme="majorBidi" w:cstheme="majorBidi"/>
          <w:color w:val="000000"/>
        </w:rPr>
        <w:t xml:space="preserve"> and prepared and disseminated a video</w:t>
      </w:r>
      <w:r w:rsidR="001F5924" w:rsidRPr="00B84D47">
        <w:rPr>
          <w:rStyle w:val="FootnoteReference"/>
          <w:rFonts w:asciiTheme="majorBidi" w:hAnsiTheme="majorBidi" w:cstheme="majorBidi"/>
          <w:color w:val="000000"/>
        </w:rPr>
        <w:footnoteReference w:id="31"/>
      </w:r>
      <w:r w:rsidR="0085296E" w:rsidRPr="00B84D47">
        <w:rPr>
          <w:rFonts w:asciiTheme="majorBidi" w:hAnsiTheme="majorBidi" w:cstheme="majorBidi"/>
          <w:color w:val="000000"/>
        </w:rPr>
        <w:t xml:space="preserve"> on the nitrogen cycle</w:t>
      </w:r>
      <w:r w:rsidR="00D83600" w:rsidRPr="00B84D47">
        <w:rPr>
          <w:rFonts w:asciiTheme="majorBidi" w:hAnsiTheme="majorBidi" w:cstheme="majorBidi"/>
        </w:rPr>
        <w:t>.</w:t>
      </w:r>
    </w:p>
    <w:p w14:paraId="0D825881" w14:textId="70C5EFFB" w:rsidR="00754FC6" w:rsidRPr="00B84D47" w:rsidRDefault="00754FC6" w:rsidP="006B3639">
      <w:pPr>
        <w:jc w:val="both"/>
        <w:rPr>
          <w:rFonts w:asciiTheme="majorBidi" w:hAnsiTheme="majorBidi" w:cstheme="majorBidi"/>
        </w:rPr>
      </w:pPr>
      <w:r w:rsidRPr="00B84D47">
        <w:rPr>
          <w:rFonts w:asciiTheme="majorBidi" w:hAnsiTheme="majorBidi" w:cstheme="majorBidi"/>
        </w:rPr>
        <w:t>42. Georgia</w:t>
      </w:r>
      <w:r w:rsidR="00445C78" w:rsidRPr="00B84D47">
        <w:rPr>
          <w:rFonts w:asciiTheme="majorBidi" w:hAnsiTheme="majorBidi" w:cstheme="majorBidi"/>
        </w:rPr>
        <w:t>,</w:t>
      </w:r>
      <w:r w:rsidR="00103C2E" w:rsidRPr="00B84D47">
        <w:rPr>
          <w:rFonts w:asciiTheme="majorBidi" w:hAnsiTheme="majorBidi" w:cstheme="majorBidi"/>
        </w:rPr>
        <w:t xml:space="preserve"> Poland</w:t>
      </w:r>
      <w:r w:rsidRPr="00B84D47">
        <w:rPr>
          <w:rFonts w:asciiTheme="majorBidi" w:hAnsiTheme="majorBidi" w:cstheme="majorBidi"/>
        </w:rPr>
        <w:t xml:space="preserve"> </w:t>
      </w:r>
      <w:r w:rsidR="00445C78" w:rsidRPr="00B84D47">
        <w:rPr>
          <w:rFonts w:asciiTheme="majorBidi" w:hAnsiTheme="majorBidi" w:cstheme="majorBidi"/>
        </w:rPr>
        <w:t xml:space="preserve">and Spain </w:t>
      </w:r>
      <w:r w:rsidR="0077006B" w:rsidRPr="00B84D47">
        <w:rPr>
          <w:rFonts w:asciiTheme="majorBidi" w:hAnsiTheme="majorBidi" w:cstheme="majorBidi"/>
        </w:rPr>
        <w:t xml:space="preserve">have </w:t>
      </w:r>
      <w:r w:rsidRPr="00B84D47">
        <w:rPr>
          <w:rFonts w:asciiTheme="majorBidi" w:hAnsiTheme="majorBidi" w:cstheme="majorBidi"/>
        </w:rPr>
        <w:t>develop</w:t>
      </w:r>
      <w:r w:rsidR="006D4BE7" w:rsidRPr="00B84D47">
        <w:rPr>
          <w:rFonts w:asciiTheme="majorBidi" w:hAnsiTheme="majorBidi" w:cstheme="majorBidi"/>
        </w:rPr>
        <w:t>ed</w:t>
      </w:r>
      <w:r w:rsidRPr="00B84D47">
        <w:rPr>
          <w:rFonts w:asciiTheme="majorBidi" w:hAnsiTheme="majorBidi" w:cstheme="majorBidi"/>
        </w:rPr>
        <w:t xml:space="preserve"> ambient air quality portal</w:t>
      </w:r>
      <w:r w:rsidR="00103C2E" w:rsidRPr="00B84D47">
        <w:rPr>
          <w:rFonts w:asciiTheme="majorBidi" w:hAnsiTheme="majorBidi" w:cstheme="majorBidi"/>
        </w:rPr>
        <w:t>s</w:t>
      </w:r>
      <w:r w:rsidRPr="00B84D47">
        <w:rPr>
          <w:rStyle w:val="FootnoteReference"/>
          <w:rFonts w:asciiTheme="majorBidi" w:hAnsiTheme="majorBidi" w:cstheme="majorBidi"/>
        </w:rPr>
        <w:footnoteReference w:id="32"/>
      </w:r>
      <w:r w:rsidRPr="00B84D47">
        <w:rPr>
          <w:rFonts w:asciiTheme="majorBidi" w:hAnsiTheme="majorBidi" w:cstheme="majorBidi"/>
        </w:rPr>
        <w:t xml:space="preserve"> </w:t>
      </w:r>
      <w:r w:rsidR="0077006B" w:rsidRPr="00B84D47">
        <w:rPr>
          <w:rFonts w:asciiTheme="majorBidi" w:hAnsiTheme="majorBidi" w:cstheme="majorBidi"/>
        </w:rPr>
        <w:t xml:space="preserve">that provide </w:t>
      </w:r>
      <w:r w:rsidRPr="00B84D47">
        <w:rPr>
          <w:rFonts w:asciiTheme="majorBidi" w:hAnsiTheme="majorBidi" w:cstheme="majorBidi"/>
        </w:rPr>
        <w:t xml:space="preserve">up-to-date </w:t>
      </w:r>
      <w:r w:rsidR="00662430" w:rsidRPr="00B84D47">
        <w:rPr>
          <w:rFonts w:asciiTheme="majorBidi" w:hAnsiTheme="majorBidi" w:cstheme="majorBidi"/>
        </w:rPr>
        <w:t xml:space="preserve">and historic </w:t>
      </w:r>
      <w:r w:rsidRPr="00B84D47">
        <w:rPr>
          <w:rFonts w:asciiTheme="majorBidi" w:hAnsiTheme="majorBidi" w:cstheme="majorBidi"/>
        </w:rPr>
        <w:t>air quality data, emission inventories, air quality plans, ongoing emission reduction measures, health recommendations for each air quality index and recommendations on air protection for general public.</w:t>
      </w:r>
    </w:p>
    <w:p w14:paraId="10808B98" w14:textId="33485D7F" w:rsidR="00AD5F66" w:rsidRPr="00B84D47" w:rsidRDefault="00AD5F66" w:rsidP="00AD5F66">
      <w:pPr>
        <w:jc w:val="both"/>
        <w:rPr>
          <w:rFonts w:asciiTheme="majorBidi" w:hAnsiTheme="majorBidi" w:cstheme="majorBidi"/>
        </w:rPr>
      </w:pPr>
      <w:r w:rsidRPr="00B84D47">
        <w:rPr>
          <w:rFonts w:asciiTheme="majorBidi" w:hAnsiTheme="majorBidi" w:cstheme="majorBidi"/>
        </w:rPr>
        <w:t xml:space="preserve">43. </w:t>
      </w:r>
      <w:r w:rsidR="00A67DA8" w:rsidRPr="00B84D47">
        <w:rPr>
          <w:rFonts w:asciiTheme="majorBidi" w:hAnsiTheme="majorBidi" w:cstheme="majorBidi"/>
        </w:rPr>
        <w:t>UNECE</w:t>
      </w:r>
      <w:r w:rsidRPr="00B84D47">
        <w:rPr>
          <w:rFonts w:asciiTheme="majorBidi" w:hAnsiTheme="majorBidi" w:cstheme="majorBidi"/>
        </w:rPr>
        <w:t xml:space="preserve"> conducted </w:t>
      </w:r>
      <w:r w:rsidR="001404A2" w:rsidRPr="00B84D47">
        <w:rPr>
          <w:rFonts w:asciiTheme="majorBidi" w:hAnsiTheme="majorBidi" w:cstheme="majorBidi"/>
        </w:rPr>
        <w:t xml:space="preserve">awareness raising activities on air pollution issues and work going under the Air Convention all over the region. </w:t>
      </w:r>
      <w:r w:rsidR="00084692" w:rsidRPr="00B84D47">
        <w:rPr>
          <w:rFonts w:asciiTheme="majorBidi" w:hAnsiTheme="majorBidi" w:cstheme="majorBidi"/>
        </w:rPr>
        <w:t>These efforts result in increased communication and intensive joint activities with other programs, organizations and networks in the field of air quality management.</w:t>
      </w:r>
    </w:p>
    <w:p w14:paraId="787AE061" w14:textId="5C70F158" w:rsidR="00F2492D" w:rsidRPr="00B84D47" w:rsidRDefault="00F2492D" w:rsidP="0083514E">
      <w:pPr>
        <w:jc w:val="both"/>
        <w:rPr>
          <w:rFonts w:asciiTheme="majorBidi" w:hAnsiTheme="majorBidi" w:cstheme="majorBidi"/>
          <w:b/>
          <w:bCs/>
          <w:sz w:val="23"/>
          <w:szCs w:val="23"/>
        </w:rPr>
      </w:pPr>
      <w:r w:rsidRPr="00B84D47">
        <w:rPr>
          <w:rFonts w:asciiTheme="majorBidi" w:hAnsiTheme="majorBidi" w:cstheme="majorBidi"/>
          <w:b/>
          <w:bCs/>
          <w:sz w:val="23"/>
          <w:szCs w:val="23"/>
        </w:rPr>
        <w:t>E. Capacity-building and technical support</w:t>
      </w:r>
    </w:p>
    <w:p w14:paraId="73E7A7E3" w14:textId="13038741" w:rsidR="00E37C57" w:rsidRPr="00B84D47" w:rsidRDefault="00E37C57" w:rsidP="0083514E">
      <w:pPr>
        <w:jc w:val="both"/>
        <w:rPr>
          <w:rFonts w:asciiTheme="majorBidi" w:hAnsiTheme="majorBidi" w:cstheme="majorBidi"/>
          <w:sz w:val="20"/>
          <w:szCs w:val="20"/>
        </w:rPr>
      </w:pPr>
      <w:r w:rsidRPr="00B84D47">
        <w:rPr>
          <w:rFonts w:asciiTheme="majorBidi" w:hAnsiTheme="majorBidi" w:cstheme="majorBidi"/>
        </w:rPr>
        <w:t xml:space="preserve">44. </w:t>
      </w:r>
      <w:r w:rsidR="003F5000" w:rsidRPr="00B84D47">
        <w:rPr>
          <w:rFonts w:asciiTheme="majorBidi" w:hAnsiTheme="majorBidi" w:cstheme="majorBidi"/>
        </w:rPr>
        <w:t>The implementation</w:t>
      </w:r>
      <w:r w:rsidR="005B5E5A" w:rsidRPr="00B84D47">
        <w:rPr>
          <w:rFonts w:asciiTheme="majorBidi" w:hAnsiTheme="majorBidi" w:cstheme="majorBidi"/>
        </w:rPr>
        <w:t xml:space="preserve"> of </w:t>
      </w:r>
      <w:r w:rsidR="00783961" w:rsidRPr="00B84D47">
        <w:rPr>
          <w:rFonts w:asciiTheme="majorBidi" w:hAnsiTheme="majorBidi" w:cstheme="majorBidi"/>
        </w:rPr>
        <w:t>any activit</w:t>
      </w:r>
      <w:r w:rsidR="003F5000" w:rsidRPr="00B84D47">
        <w:rPr>
          <w:rFonts w:asciiTheme="majorBidi" w:hAnsiTheme="majorBidi" w:cstheme="majorBidi"/>
        </w:rPr>
        <w:t>y</w:t>
      </w:r>
      <w:r w:rsidR="00783961" w:rsidRPr="00B84D47">
        <w:rPr>
          <w:rFonts w:asciiTheme="majorBidi" w:hAnsiTheme="majorBidi" w:cstheme="majorBidi"/>
        </w:rPr>
        <w:t>, measure or polic</w:t>
      </w:r>
      <w:r w:rsidR="003F5000" w:rsidRPr="00B84D47">
        <w:rPr>
          <w:rFonts w:asciiTheme="majorBidi" w:hAnsiTheme="majorBidi" w:cstheme="majorBidi"/>
        </w:rPr>
        <w:t>y</w:t>
      </w:r>
      <w:r w:rsidR="00783961" w:rsidRPr="00B84D47">
        <w:rPr>
          <w:rFonts w:asciiTheme="majorBidi" w:hAnsiTheme="majorBidi" w:cstheme="majorBidi"/>
        </w:rPr>
        <w:t xml:space="preserve"> </w:t>
      </w:r>
      <w:r w:rsidR="005B5E5A" w:rsidRPr="00B84D47">
        <w:rPr>
          <w:rFonts w:asciiTheme="majorBidi" w:hAnsiTheme="majorBidi" w:cstheme="majorBidi"/>
        </w:rPr>
        <w:t>req</w:t>
      </w:r>
      <w:r w:rsidR="00783961" w:rsidRPr="00B84D47">
        <w:rPr>
          <w:rFonts w:asciiTheme="majorBidi" w:hAnsiTheme="majorBidi" w:cstheme="majorBidi"/>
        </w:rPr>
        <w:t>u</w:t>
      </w:r>
      <w:r w:rsidR="005B5E5A" w:rsidRPr="00B84D47">
        <w:rPr>
          <w:rFonts w:asciiTheme="majorBidi" w:hAnsiTheme="majorBidi" w:cstheme="majorBidi"/>
        </w:rPr>
        <w:t>ire</w:t>
      </w:r>
      <w:r w:rsidR="00783961" w:rsidRPr="00B84D47">
        <w:rPr>
          <w:rFonts w:asciiTheme="majorBidi" w:hAnsiTheme="majorBidi" w:cstheme="majorBidi"/>
        </w:rPr>
        <w:t xml:space="preserve">s sufficient capacity. Therefore, </w:t>
      </w:r>
      <w:r w:rsidR="006D45F5" w:rsidRPr="00B84D47">
        <w:rPr>
          <w:rFonts w:asciiTheme="majorBidi" w:hAnsiTheme="majorBidi" w:cstheme="majorBidi"/>
        </w:rPr>
        <w:t>capacity-building and technical support is the bas</w:t>
      </w:r>
      <w:r w:rsidR="003F5000" w:rsidRPr="00B84D47">
        <w:rPr>
          <w:rFonts w:asciiTheme="majorBidi" w:hAnsiTheme="majorBidi" w:cstheme="majorBidi"/>
        </w:rPr>
        <w:t>is</w:t>
      </w:r>
      <w:r w:rsidR="006D45F5" w:rsidRPr="00B84D47">
        <w:rPr>
          <w:rFonts w:asciiTheme="majorBidi" w:hAnsiTheme="majorBidi" w:cstheme="majorBidi"/>
        </w:rPr>
        <w:t xml:space="preserve"> </w:t>
      </w:r>
      <w:r w:rsidR="003F5000" w:rsidRPr="00B84D47">
        <w:rPr>
          <w:rFonts w:asciiTheme="majorBidi" w:hAnsiTheme="majorBidi" w:cstheme="majorBidi"/>
        </w:rPr>
        <w:t xml:space="preserve">for achieving high quality results. </w:t>
      </w:r>
      <w:r w:rsidR="004D165B" w:rsidRPr="00B84D47">
        <w:rPr>
          <w:rFonts w:asciiTheme="majorBidi" w:hAnsiTheme="majorBidi" w:cstheme="majorBidi"/>
        </w:rPr>
        <w:t>6</w:t>
      </w:r>
      <w:r w:rsidR="003F5000" w:rsidRPr="00B84D47">
        <w:rPr>
          <w:rStyle w:val="FootnoteReference"/>
          <w:rFonts w:asciiTheme="majorBidi" w:hAnsiTheme="majorBidi" w:cstheme="majorBidi"/>
        </w:rPr>
        <w:footnoteReference w:id="33"/>
      </w:r>
      <w:r w:rsidR="003F5000" w:rsidRPr="00B84D47">
        <w:rPr>
          <w:rFonts w:asciiTheme="majorBidi" w:hAnsiTheme="majorBidi" w:cstheme="majorBidi"/>
        </w:rPr>
        <w:t xml:space="preserve"> countries and 4</w:t>
      </w:r>
      <w:r w:rsidR="004D165B" w:rsidRPr="00B84D47">
        <w:rPr>
          <w:rStyle w:val="FootnoteReference"/>
          <w:rFonts w:asciiTheme="majorBidi" w:hAnsiTheme="majorBidi" w:cstheme="majorBidi"/>
        </w:rPr>
        <w:footnoteReference w:id="34"/>
      </w:r>
      <w:r w:rsidR="003F5000" w:rsidRPr="00B84D47">
        <w:rPr>
          <w:rFonts w:asciiTheme="majorBidi" w:hAnsiTheme="majorBidi" w:cstheme="majorBidi"/>
        </w:rPr>
        <w:t xml:space="preserve"> organizations took 13 </w:t>
      </w:r>
      <w:r w:rsidR="00925D64" w:rsidRPr="00B84D47">
        <w:rPr>
          <w:rFonts w:asciiTheme="majorBidi" w:hAnsiTheme="majorBidi" w:cstheme="majorBidi"/>
        </w:rPr>
        <w:t>commitments</w:t>
      </w:r>
      <w:r w:rsidR="003F5000" w:rsidRPr="00B84D47">
        <w:rPr>
          <w:rFonts w:asciiTheme="majorBidi" w:hAnsiTheme="majorBidi" w:cstheme="majorBidi"/>
        </w:rPr>
        <w:t xml:space="preserve"> to increase capacity and provide technical support in the field of air protection.</w:t>
      </w:r>
    </w:p>
    <w:p w14:paraId="1CFEE027" w14:textId="2EA52E72" w:rsidR="00F2492D" w:rsidRPr="00B84D47" w:rsidRDefault="00925D64" w:rsidP="00F2492D">
      <w:pPr>
        <w:jc w:val="both"/>
        <w:rPr>
          <w:rFonts w:asciiTheme="majorBidi" w:hAnsiTheme="majorBidi" w:cstheme="majorBidi"/>
        </w:rPr>
      </w:pPr>
      <w:r w:rsidRPr="00B84D47">
        <w:rPr>
          <w:rFonts w:asciiTheme="majorBidi" w:hAnsiTheme="majorBidi" w:cstheme="majorBidi"/>
        </w:rPr>
        <w:t>45</w:t>
      </w:r>
      <w:r w:rsidR="00F2492D" w:rsidRPr="00B84D47">
        <w:rPr>
          <w:rFonts w:asciiTheme="majorBidi" w:hAnsiTheme="majorBidi" w:cstheme="majorBidi"/>
        </w:rPr>
        <w:t xml:space="preserve">. Austria reported about the progress in strengthen the administrative capacity of national authorities in charge with </w:t>
      </w:r>
      <w:r w:rsidR="00F473C1" w:rsidRPr="00B84D47">
        <w:rPr>
          <w:rFonts w:asciiTheme="majorBidi" w:hAnsiTheme="majorBidi" w:cstheme="majorBidi"/>
        </w:rPr>
        <w:t xml:space="preserve">Air Pollutants Emission and </w:t>
      </w:r>
      <w:r w:rsidR="003305A6" w:rsidRPr="00B84D47">
        <w:rPr>
          <w:rFonts w:asciiTheme="majorBidi" w:hAnsiTheme="majorBidi" w:cstheme="majorBidi"/>
        </w:rPr>
        <w:t>Green House Gas (</w:t>
      </w:r>
      <w:r w:rsidR="00F2492D" w:rsidRPr="00B84D47">
        <w:rPr>
          <w:rFonts w:asciiTheme="majorBidi" w:hAnsiTheme="majorBidi" w:cstheme="majorBidi"/>
        </w:rPr>
        <w:t>GHG</w:t>
      </w:r>
      <w:r w:rsidR="003305A6" w:rsidRPr="00B84D47">
        <w:rPr>
          <w:rFonts w:asciiTheme="majorBidi" w:hAnsiTheme="majorBidi" w:cstheme="majorBidi"/>
        </w:rPr>
        <w:t>)</w:t>
      </w:r>
      <w:r w:rsidR="00F2492D" w:rsidRPr="00B84D47">
        <w:rPr>
          <w:rFonts w:asciiTheme="majorBidi" w:hAnsiTheme="majorBidi" w:cstheme="majorBidi"/>
        </w:rPr>
        <w:t xml:space="preserve"> inventories through training and workshops establishing/strengthening the National Inventory System (NIS) and improving the Air Emissions and GHG inventory according to the relevant Conventions</w:t>
      </w:r>
      <w:r w:rsidR="00F2492D" w:rsidRPr="00B84D47">
        <w:rPr>
          <w:rStyle w:val="FootnoteReference"/>
          <w:rFonts w:asciiTheme="majorBidi" w:hAnsiTheme="majorBidi" w:cstheme="majorBidi"/>
        </w:rPr>
        <w:footnoteReference w:id="35"/>
      </w:r>
      <w:r w:rsidR="00F2492D" w:rsidRPr="00B84D47">
        <w:rPr>
          <w:rFonts w:asciiTheme="majorBidi" w:hAnsiTheme="majorBidi" w:cstheme="majorBidi"/>
        </w:rPr>
        <w:t>.</w:t>
      </w:r>
    </w:p>
    <w:p w14:paraId="17117506" w14:textId="535A580C" w:rsidR="00EF1155" w:rsidRPr="00B84D47" w:rsidRDefault="00EF1155" w:rsidP="00D873D1">
      <w:pPr>
        <w:jc w:val="both"/>
        <w:rPr>
          <w:rFonts w:asciiTheme="majorBidi" w:hAnsiTheme="majorBidi" w:cstheme="majorBidi"/>
        </w:rPr>
      </w:pPr>
      <w:r w:rsidRPr="00B84D47">
        <w:rPr>
          <w:rFonts w:asciiTheme="majorBidi" w:hAnsiTheme="majorBidi" w:cstheme="majorBidi"/>
        </w:rPr>
        <w:t>46. Germany</w:t>
      </w:r>
      <w:r w:rsidR="00E9496C" w:rsidRPr="00B84D47">
        <w:rPr>
          <w:rFonts w:asciiTheme="majorBidi" w:hAnsiTheme="majorBidi" w:cstheme="majorBidi"/>
        </w:rPr>
        <w:t xml:space="preserve"> and UNECE</w:t>
      </w:r>
      <w:r w:rsidRPr="00B84D47">
        <w:rPr>
          <w:rFonts w:asciiTheme="majorBidi" w:hAnsiTheme="majorBidi" w:cstheme="majorBidi"/>
        </w:rPr>
        <w:t xml:space="preserve"> highlighted capacity-building</w:t>
      </w:r>
      <w:r w:rsidR="00EA708D" w:rsidRPr="00B84D47">
        <w:rPr>
          <w:rFonts w:asciiTheme="majorBidi" w:hAnsiTheme="majorBidi" w:cstheme="majorBidi"/>
        </w:rPr>
        <w:t xml:space="preserve"> and technical assistance</w:t>
      </w:r>
      <w:r w:rsidRPr="00B84D47">
        <w:rPr>
          <w:rFonts w:asciiTheme="majorBidi" w:hAnsiTheme="majorBidi" w:cstheme="majorBidi"/>
        </w:rPr>
        <w:t xml:space="preserve"> activities in the Eastern Europe, Caucasus and Central Asia (EECCA) region</w:t>
      </w:r>
      <w:r w:rsidR="00EA708D" w:rsidRPr="00B84D47">
        <w:rPr>
          <w:rFonts w:asciiTheme="majorBidi" w:hAnsiTheme="majorBidi" w:cstheme="majorBidi"/>
        </w:rPr>
        <w:t xml:space="preserve"> aimed at the ratification and implementation of the Gothenburg Protocol to the Air Convention, </w:t>
      </w:r>
      <w:r w:rsidR="00E831D5" w:rsidRPr="00B84D47">
        <w:rPr>
          <w:rFonts w:asciiTheme="majorBidi" w:hAnsiTheme="majorBidi" w:cstheme="majorBidi"/>
        </w:rPr>
        <w:t>the development and implementation of air quality management policies</w:t>
      </w:r>
      <w:r w:rsidR="0002059C" w:rsidRPr="00B84D47">
        <w:rPr>
          <w:rFonts w:asciiTheme="majorBidi" w:hAnsiTheme="majorBidi" w:cstheme="majorBidi"/>
        </w:rPr>
        <w:t>,</w:t>
      </w:r>
      <w:r w:rsidR="00E831D5" w:rsidRPr="00B84D47">
        <w:rPr>
          <w:rFonts w:asciiTheme="majorBidi" w:hAnsiTheme="majorBidi" w:cstheme="majorBidi"/>
        </w:rPr>
        <w:t xml:space="preserve"> measures </w:t>
      </w:r>
      <w:r w:rsidR="0002059C" w:rsidRPr="00B84D47">
        <w:rPr>
          <w:rFonts w:asciiTheme="majorBidi" w:hAnsiTheme="majorBidi" w:cstheme="majorBidi"/>
        </w:rPr>
        <w:t xml:space="preserve">and legislation, </w:t>
      </w:r>
      <w:r w:rsidR="00EA708D" w:rsidRPr="00B84D47">
        <w:rPr>
          <w:rFonts w:asciiTheme="majorBidi" w:hAnsiTheme="majorBidi" w:cstheme="majorBidi"/>
        </w:rPr>
        <w:t>the establishment of</w:t>
      </w:r>
      <w:r w:rsidR="00BA12C9" w:rsidRPr="00B84D47">
        <w:rPr>
          <w:rFonts w:asciiTheme="majorBidi" w:hAnsiTheme="majorBidi" w:cstheme="majorBidi"/>
        </w:rPr>
        <w:t xml:space="preserve"> an</w:t>
      </w:r>
      <w:r w:rsidR="00EA708D" w:rsidRPr="00B84D47">
        <w:rPr>
          <w:rFonts w:asciiTheme="majorBidi" w:hAnsiTheme="majorBidi" w:cstheme="majorBidi"/>
        </w:rPr>
        <w:t xml:space="preserve"> integrated permits system</w:t>
      </w:r>
      <w:r w:rsidR="00E9496C" w:rsidRPr="00B84D47">
        <w:rPr>
          <w:rFonts w:asciiTheme="majorBidi" w:hAnsiTheme="majorBidi" w:cstheme="majorBidi"/>
        </w:rPr>
        <w:t>, the improvement of quality of emission inventories, the development of emission pr</w:t>
      </w:r>
      <w:r w:rsidR="009E2B60" w:rsidRPr="00B84D47">
        <w:rPr>
          <w:rFonts w:asciiTheme="majorBidi" w:hAnsiTheme="majorBidi" w:cstheme="majorBidi"/>
        </w:rPr>
        <w:t>o</w:t>
      </w:r>
      <w:r w:rsidR="00E9496C" w:rsidRPr="00B84D47">
        <w:rPr>
          <w:rFonts w:asciiTheme="majorBidi" w:hAnsiTheme="majorBidi" w:cstheme="majorBidi"/>
        </w:rPr>
        <w:t>j</w:t>
      </w:r>
      <w:r w:rsidR="009E2B60" w:rsidRPr="00B84D47">
        <w:rPr>
          <w:rFonts w:asciiTheme="majorBidi" w:hAnsiTheme="majorBidi" w:cstheme="majorBidi"/>
        </w:rPr>
        <w:t>ec</w:t>
      </w:r>
      <w:r w:rsidR="00E9496C" w:rsidRPr="00B84D47">
        <w:rPr>
          <w:rFonts w:asciiTheme="majorBidi" w:hAnsiTheme="majorBidi" w:cstheme="majorBidi"/>
        </w:rPr>
        <w:t>tion</w:t>
      </w:r>
      <w:r w:rsidR="00EA708D" w:rsidRPr="00B84D47">
        <w:rPr>
          <w:rFonts w:asciiTheme="majorBidi" w:hAnsiTheme="majorBidi" w:cstheme="majorBidi"/>
        </w:rPr>
        <w:t xml:space="preserve"> and </w:t>
      </w:r>
      <w:r w:rsidR="00BA12C9" w:rsidRPr="00B84D47">
        <w:rPr>
          <w:rFonts w:asciiTheme="majorBidi" w:hAnsiTheme="majorBidi" w:cstheme="majorBidi"/>
        </w:rPr>
        <w:t xml:space="preserve">the </w:t>
      </w:r>
      <w:r w:rsidR="00EA708D" w:rsidRPr="00B84D47">
        <w:rPr>
          <w:rFonts w:asciiTheme="majorBidi" w:hAnsiTheme="majorBidi" w:cstheme="majorBidi"/>
        </w:rPr>
        <w:t>promotion of Best Available Techniques (BAT).</w:t>
      </w:r>
      <w:r w:rsidR="00C455D6" w:rsidRPr="00B84D47">
        <w:rPr>
          <w:rFonts w:asciiTheme="majorBidi" w:hAnsiTheme="majorBidi" w:cstheme="majorBidi"/>
        </w:rPr>
        <w:t xml:space="preserve"> Switzerland also supported the ratification of the Air Convention protocols in the Caucasus and Central Asia through the development of </w:t>
      </w:r>
      <w:r w:rsidR="00C455D6" w:rsidRPr="00B84D47">
        <w:rPr>
          <w:rFonts w:asciiTheme="majorBidi" w:hAnsiTheme="majorBidi" w:cstheme="majorBidi"/>
          <w:color w:val="000000"/>
        </w:rPr>
        <w:t>various action plans, organization of workshops and other activities.</w:t>
      </w:r>
    </w:p>
    <w:p w14:paraId="735B608E" w14:textId="77777777" w:rsidR="000C3294" w:rsidRPr="00B84D47" w:rsidRDefault="00A90F0F" w:rsidP="00D873D1">
      <w:pPr>
        <w:jc w:val="both"/>
        <w:rPr>
          <w:rFonts w:asciiTheme="majorBidi" w:hAnsiTheme="majorBidi" w:cstheme="majorBidi"/>
          <w:color w:val="000000"/>
        </w:rPr>
      </w:pPr>
      <w:r w:rsidRPr="00B84D47">
        <w:rPr>
          <w:rFonts w:asciiTheme="majorBidi" w:hAnsiTheme="majorBidi" w:cstheme="majorBidi"/>
        </w:rPr>
        <w:t xml:space="preserve">47. Since 2017, Sweden has been supporting countries in </w:t>
      </w:r>
      <w:r w:rsidRPr="00B84D47">
        <w:rPr>
          <w:rFonts w:asciiTheme="majorBidi" w:hAnsiTheme="majorBidi" w:cstheme="majorBidi"/>
          <w:color w:val="000000"/>
        </w:rPr>
        <w:t>the south-east of Europe in various directions of air quality assessment and management</w:t>
      </w:r>
      <w:r w:rsidR="0041506F" w:rsidRPr="00B84D47">
        <w:rPr>
          <w:rFonts w:asciiTheme="majorBidi" w:hAnsiTheme="majorBidi" w:cstheme="majorBidi"/>
          <w:color w:val="000000"/>
        </w:rPr>
        <w:t>. Sweden provided support in:</w:t>
      </w:r>
      <w:r w:rsidRPr="00B84D47">
        <w:rPr>
          <w:rFonts w:asciiTheme="majorBidi" w:hAnsiTheme="majorBidi" w:cstheme="majorBidi"/>
          <w:color w:val="000000"/>
        </w:rPr>
        <w:t xml:space="preserve"> harmonize </w:t>
      </w:r>
      <w:r w:rsidR="0041506F" w:rsidRPr="00B84D47">
        <w:rPr>
          <w:rFonts w:asciiTheme="majorBidi" w:hAnsiTheme="majorBidi" w:cstheme="majorBidi"/>
          <w:color w:val="000000"/>
        </w:rPr>
        <w:t>of</w:t>
      </w:r>
      <w:r w:rsidRPr="00B84D47">
        <w:rPr>
          <w:rFonts w:asciiTheme="majorBidi" w:hAnsiTheme="majorBidi" w:cstheme="majorBidi"/>
          <w:color w:val="000000"/>
        </w:rPr>
        <w:t xml:space="preserve"> legislation with the EU acquis</w:t>
      </w:r>
      <w:r w:rsidR="0041506F" w:rsidRPr="00B84D47">
        <w:rPr>
          <w:rFonts w:asciiTheme="majorBidi" w:hAnsiTheme="majorBidi" w:cstheme="majorBidi"/>
          <w:color w:val="000000"/>
        </w:rPr>
        <w:t>; development of air quality monitoring, emissions inventories and reporting systems; analysis of data and implementation of pollution reduction measures</w:t>
      </w:r>
      <w:r w:rsidR="000C3294" w:rsidRPr="00B84D47">
        <w:rPr>
          <w:rFonts w:asciiTheme="majorBidi" w:hAnsiTheme="majorBidi" w:cstheme="majorBidi"/>
          <w:color w:val="000000"/>
        </w:rPr>
        <w:t>.</w:t>
      </w:r>
    </w:p>
    <w:p w14:paraId="1C4517AD" w14:textId="101A95E6" w:rsidR="000A2B37" w:rsidRPr="00B84D47" w:rsidRDefault="000A2B37" w:rsidP="000A2B37">
      <w:pPr>
        <w:jc w:val="both"/>
        <w:rPr>
          <w:rFonts w:asciiTheme="majorBidi" w:eastAsia="Times New Roman" w:hAnsiTheme="majorBidi" w:cstheme="majorBidi"/>
          <w:color w:val="000000"/>
        </w:rPr>
      </w:pPr>
      <w:r w:rsidRPr="00B84D47">
        <w:rPr>
          <w:rFonts w:asciiTheme="majorBidi" w:hAnsiTheme="majorBidi" w:cstheme="majorBidi"/>
          <w:color w:val="000000"/>
        </w:rPr>
        <w:lastRenderedPageBreak/>
        <w:t xml:space="preserve">48. </w:t>
      </w:r>
      <w:r w:rsidRPr="00B84D47">
        <w:rPr>
          <w:rFonts w:asciiTheme="majorBidi" w:eastAsia="Times New Roman" w:hAnsiTheme="majorBidi" w:cstheme="majorBidi"/>
          <w:color w:val="000000"/>
        </w:rPr>
        <w:t xml:space="preserve">The United States </w:t>
      </w:r>
      <w:r w:rsidRPr="00B84D47">
        <w:rPr>
          <w:rFonts w:asciiTheme="majorBidi" w:hAnsiTheme="majorBidi" w:cstheme="majorBidi"/>
        </w:rPr>
        <w:t xml:space="preserve">reported </w:t>
      </w:r>
      <w:r w:rsidRPr="00B84D47">
        <w:rPr>
          <w:rFonts w:asciiTheme="majorBidi" w:eastAsia="Times New Roman" w:hAnsiTheme="majorBidi" w:cstheme="majorBidi"/>
          <w:color w:val="000000"/>
        </w:rPr>
        <w:t xml:space="preserve">close cooperation with UNEP to provide technical and policy advice as UNEP expands its air quality program. Under this cooperation air quality capacity building work was carried out in Ethiopia and a </w:t>
      </w:r>
      <w:r w:rsidR="00BF231D" w:rsidRPr="00B84D47">
        <w:rPr>
          <w:rFonts w:asciiTheme="majorBidi" w:eastAsia="Times New Roman" w:hAnsiTheme="majorBidi" w:cstheme="majorBidi"/>
          <w:color w:val="000000"/>
        </w:rPr>
        <w:t>low-cost</w:t>
      </w:r>
      <w:r w:rsidRPr="00B84D47">
        <w:rPr>
          <w:rFonts w:asciiTheme="majorBidi" w:eastAsia="Times New Roman" w:hAnsiTheme="majorBidi" w:cstheme="majorBidi"/>
          <w:color w:val="000000"/>
        </w:rPr>
        <w:t xml:space="preserve"> air quality sensor developed by UNEP was tested.</w:t>
      </w:r>
    </w:p>
    <w:p w14:paraId="5E70A929" w14:textId="77777777" w:rsidR="00CC5E98" w:rsidRPr="00B84D47" w:rsidRDefault="004623AB" w:rsidP="00261A48">
      <w:pPr>
        <w:spacing w:line="240" w:lineRule="auto"/>
        <w:jc w:val="both"/>
        <w:rPr>
          <w:rFonts w:asciiTheme="majorBidi" w:eastAsia="Times New Roman" w:hAnsiTheme="majorBidi" w:cstheme="majorBidi"/>
          <w:color w:val="000000"/>
        </w:rPr>
      </w:pPr>
      <w:r w:rsidRPr="00B84D47">
        <w:rPr>
          <w:rFonts w:asciiTheme="majorBidi" w:eastAsia="Times New Roman" w:hAnsiTheme="majorBidi" w:cstheme="majorBidi"/>
          <w:color w:val="000000"/>
        </w:rPr>
        <w:t xml:space="preserve">49. The Nordic Council of Ministers provided support to Belarus and Russia in the </w:t>
      </w:r>
      <w:r w:rsidR="00CC5E98" w:rsidRPr="00B84D47">
        <w:rPr>
          <w:rFonts w:asciiTheme="majorBidi" w:eastAsia="Times New Roman" w:hAnsiTheme="majorBidi" w:cstheme="majorBidi"/>
          <w:color w:val="000000"/>
        </w:rPr>
        <w:t>fields of emission inventory, gridded emissions, modelling and projection, mostly oriented on PM</w:t>
      </w:r>
      <w:r w:rsidR="00CC5E98" w:rsidRPr="00B84D47">
        <w:rPr>
          <w:rFonts w:asciiTheme="majorBidi" w:eastAsia="Times New Roman" w:hAnsiTheme="majorBidi" w:cstheme="majorBidi"/>
          <w:color w:val="000000"/>
          <w:vertAlign w:val="subscript"/>
        </w:rPr>
        <w:t>2.5</w:t>
      </w:r>
      <w:r w:rsidR="00CC5E98" w:rsidRPr="00B84D47">
        <w:rPr>
          <w:rFonts w:asciiTheme="majorBidi" w:eastAsia="Times New Roman" w:hAnsiTheme="majorBidi" w:cstheme="majorBidi"/>
          <w:color w:val="000000"/>
        </w:rPr>
        <w:t xml:space="preserve"> and black carbon. </w:t>
      </w:r>
    </w:p>
    <w:p w14:paraId="7B039F5A" w14:textId="10774DD2" w:rsidR="00136814" w:rsidRPr="00B84D47" w:rsidRDefault="0073306F" w:rsidP="00261A48">
      <w:pPr>
        <w:spacing w:line="240" w:lineRule="auto"/>
        <w:jc w:val="both"/>
        <w:rPr>
          <w:rFonts w:asciiTheme="majorBidi" w:eastAsia="Times New Roman" w:hAnsiTheme="majorBidi" w:cstheme="majorBidi"/>
          <w:b/>
          <w:bCs/>
          <w:color w:val="000000"/>
          <w:sz w:val="23"/>
          <w:szCs w:val="23"/>
        </w:rPr>
      </w:pPr>
      <w:r w:rsidRPr="00B84D47">
        <w:rPr>
          <w:rFonts w:asciiTheme="majorBidi" w:eastAsia="Times New Roman" w:hAnsiTheme="majorBidi" w:cstheme="majorBidi"/>
          <w:b/>
          <w:bCs/>
          <w:color w:val="000000"/>
          <w:sz w:val="23"/>
          <w:szCs w:val="23"/>
        </w:rPr>
        <w:t>F</w:t>
      </w:r>
      <w:r w:rsidR="00136814" w:rsidRPr="00B84D47">
        <w:rPr>
          <w:rFonts w:asciiTheme="majorBidi" w:eastAsia="Times New Roman" w:hAnsiTheme="majorBidi" w:cstheme="majorBidi"/>
          <w:b/>
          <w:bCs/>
          <w:color w:val="000000"/>
          <w:sz w:val="23"/>
          <w:szCs w:val="23"/>
        </w:rPr>
        <w:t>. Policy</w:t>
      </w:r>
    </w:p>
    <w:p w14:paraId="77B484CC" w14:textId="42140AA9" w:rsidR="00D84C23" w:rsidRPr="00B84D47" w:rsidRDefault="00136814" w:rsidP="00261A48">
      <w:pPr>
        <w:spacing w:line="240" w:lineRule="auto"/>
        <w:jc w:val="both"/>
        <w:rPr>
          <w:rFonts w:asciiTheme="majorBidi" w:hAnsiTheme="majorBidi" w:cstheme="majorBidi"/>
          <w:color w:val="000000"/>
        </w:rPr>
      </w:pPr>
      <w:r w:rsidRPr="00B84D47">
        <w:rPr>
          <w:rFonts w:asciiTheme="majorBidi" w:hAnsiTheme="majorBidi" w:cstheme="majorBidi"/>
          <w:color w:val="000000"/>
        </w:rPr>
        <w:t>50. Canad</w:t>
      </w:r>
      <w:r w:rsidR="00D84C23" w:rsidRPr="00B84D47">
        <w:rPr>
          <w:rFonts w:asciiTheme="majorBidi" w:hAnsiTheme="majorBidi" w:cstheme="majorBidi"/>
          <w:color w:val="000000"/>
        </w:rPr>
        <w:t>a reviewed its air quality standards for the main pollutants and established more stringent norms and targets</w:t>
      </w:r>
      <w:r w:rsidR="00D84C23" w:rsidRPr="00B84D47">
        <w:rPr>
          <w:rStyle w:val="FootnoteReference"/>
          <w:rFonts w:asciiTheme="majorBidi" w:hAnsiTheme="majorBidi" w:cstheme="majorBidi"/>
          <w:color w:val="000000"/>
        </w:rPr>
        <w:footnoteReference w:id="36"/>
      </w:r>
      <w:r w:rsidR="00D84C23" w:rsidRPr="00B84D47">
        <w:rPr>
          <w:rFonts w:asciiTheme="majorBidi" w:hAnsiTheme="majorBidi" w:cstheme="majorBidi"/>
          <w:color w:val="000000"/>
        </w:rPr>
        <w:t>.</w:t>
      </w:r>
      <w:r w:rsidR="006A5E49" w:rsidRPr="00B84D47">
        <w:rPr>
          <w:rFonts w:asciiTheme="majorBidi" w:hAnsiTheme="majorBidi" w:cstheme="majorBidi"/>
          <w:color w:val="000000"/>
        </w:rPr>
        <w:t xml:space="preserve"> </w:t>
      </w:r>
    </w:p>
    <w:p w14:paraId="5C139EC5" w14:textId="4045942A" w:rsidR="00261A48" w:rsidRPr="00B84D47" w:rsidRDefault="00261A48" w:rsidP="00261A48">
      <w:pPr>
        <w:spacing w:line="240" w:lineRule="auto"/>
        <w:jc w:val="both"/>
        <w:rPr>
          <w:rFonts w:asciiTheme="majorBidi" w:hAnsiTheme="majorBidi" w:cstheme="majorBidi"/>
          <w:color w:val="000000"/>
        </w:rPr>
      </w:pPr>
      <w:r w:rsidRPr="00B84D47">
        <w:rPr>
          <w:rFonts w:asciiTheme="majorBidi" w:hAnsiTheme="majorBidi" w:cstheme="majorBidi"/>
          <w:color w:val="000000"/>
        </w:rPr>
        <w:t xml:space="preserve">51. Croatia, </w:t>
      </w:r>
      <w:r w:rsidR="003C5C2B" w:rsidRPr="00B84D47">
        <w:rPr>
          <w:rFonts w:asciiTheme="majorBidi" w:hAnsiTheme="majorBidi" w:cstheme="majorBidi"/>
          <w:color w:val="000000"/>
        </w:rPr>
        <w:t xml:space="preserve">Estonia and </w:t>
      </w:r>
      <w:r w:rsidR="006C5507" w:rsidRPr="00B84D47">
        <w:rPr>
          <w:rFonts w:asciiTheme="majorBidi" w:hAnsiTheme="majorBidi" w:cstheme="majorBidi"/>
        </w:rPr>
        <w:t>Switzerland</w:t>
      </w:r>
      <w:r w:rsidR="003C5C2B" w:rsidRPr="00B84D47">
        <w:rPr>
          <w:rFonts w:asciiTheme="majorBidi" w:hAnsiTheme="majorBidi" w:cstheme="majorBidi"/>
          <w:color w:val="000000"/>
        </w:rPr>
        <w:t xml:space="preserve"> reported on </w:t>
      </w:r>
      <w:r w:rsidRPr="00B84D47">
        <w:rPr>
          <w:rFonts w:asciiTheme="majorBidi" w:hAnsiTheme="majorBidi" w:cstheme="majorBidi"/>
          <w:color w:val="000000"/>
        </w:rPr>
        <w:t>ratifi</w:t>
      </w:r>
      <w:r w:rsidR="003C5C2B" w:rsidRPr="00B84D47">
        <w:rPr>
          <w:rFonts w:asciiTheme="majorBidi" w:hAnsiTheme="majorBidi" w:cstheme="majorBidi"/>
          <w:color w:val="000000"/>
        </w:rPr>
        <w:t>cation</w:t>
      </w:r>
      <w:r w:rsidRPr="00B84D47">
        <w:rPr>
          <w:rFonts w:asciiTheme="majorBidi" w:hAnsiTheme="majorBidi" w:cstheme="majorBidi"/>
          <w:color w:val="000000"/>
        </w:rPr>
        <w:t xml:space="preserve"> </w:t>
      </w:r>
      <w:r w:rsidR="003C5C2B" w:rsidRPr="00B84D47">
        <w:rPr>
          <w:rFonts w:asciiTheme="majorBidi" w:hAnsiTheme="majorBidi" w:cstheme="majorBidi"/>
          <w:color w:val="000000"/>
        </w:rPr>
        <w:t>of all or some of the latest three protocols of the Air Convention</w:t>
      </w:r>
      <w:r w:rsidR="005B3358" w:rsidRPr="00B84D47">
        <w:rPr>
          <w:rFonts w:asciiTheme="majorBidi" w:hAnsiTheme="majorBidi" w:cstheme="majorBidi"/>
          <w:color w:val="000000"/>
        </w:rPr>
        <w:t xml:space="preserve"> aimed to reduce</w:t>
      </w:r>
      <w:r w:rsidR="002D105F" w:rsidRPr="00B84D47">
        <w:rPr>
          <w:rFonts w:asciiTheme="majorBidi" w:hAnsiTheme="majorBidi" w:cstheme="majorBidi"/>
          <w:color w:val="000000"/>
        </w:rPr>
        <w:t xml:space="preserve"> emissions of</w:t>
      </w:r>
      <w:r w:rsidR="005B3358" w:rsidRPr="00B84D47">
        <w:rPr>
          <w:rFonts w:asciiTheme="majorBidi" w:hAnsiTheme="majorBidi" w:cstheme="majorBidi"/>
          <w:color w:val="000000"/>
        </w:rPr>
        <w:t xml:space="preserve"> the major air pollutants such as: </w:t>
      </w:r>
      <w:proofErr w:type="spellStart"/>
      <w:r w:rsidR="002D105F" w:rsidRPr="00B84D47">
        <w:rPr>
          <w:rFonts w:asciiTheme="majorBidi" w:hAnsiTheme="majorBidi" w:cstheme="majorBidi"/>
          <w:color w:val="000000"/>
        </w:rPr>
        <w:t>s</w:t>
      </w:r>
      <w:r w:rsidR="005B3358" w:rsidRPr="00B84D47">
        <w:rPr>
          <w:rFonts w:asciiTheme="majorBidi" w:hAnsiTheme="majorBidi" w:cstheme="majorBidi"/>
          <w:color w:val="000000"/>
        </w:rPr>
        <w:t>ulphur</w:t>
      </w:r>
      <w:proofErr w:type="spellEnd"/>
      <w:r w:rsidR="005B3358" w:rsidRPr="00B84D47">
        <w:rPr>
          <w:rFonts w:asciiTheme="majorBidi" w:hAnsiTheme="majorBidi" w:cstheme="majorBidi"/>
          <w:color w:val="000000"/>
        </w:rPr>
        <w:t xml:space="preserve"> dioxide (SO</w:t>
      </w:r>
      <w:r w:rsidR="005B3358" w:rsidRPr="00B84D47">
        <w:rPr>
          <w:rFonts w:asciiTheme="majorBidi" w:hAnsiTheme="majorBidi" w:cstheme="majorBidi"/>
          <w:color w:val="000000"/>
          <w:vertAlign w:val="subscript"/>
        </w:rPr>
        <w:t>2</w:t>
      </w:r>
      <w:r w:rsidR="005B3358" w:rsidRPr="00B84D47">
        <w:rPr>
          <w:rFonts w:asciiTheme="majorBidi" w:hAnsiTheme="majorBidi" w:cstheme="majorBidi"/>
          <w:color w:val="000000"/>
        </w:rPr>
        <w:t>), nitrogen oxides (NOx), ammonia (NH</w:t>
      </w:r>
      <w:r w:rsidR="005B3358" w:rsidRPr="00B84D47">
        <w:rPr>
          <w:rFonts w:asciiTheme="majorBidi" w:hAnsiTheme="majorBidi" w:cstheme="majorBidi"/>
          <w:color w:val="000000"/>
          <w:vertAlign w:val="subscript"/>
        </w:rPr>
        <w:t>3</w:t>
      </w:r>
      <w:r w:rsidR="005B3358" w:rsidRPr="00B84D47">
        <w:rPr>
          <w:rFonts w:asciiTheme="majorBidi" w:hAnsiTheme="majorBidi" w:cstheme="majorBidi"/>
          <w:color w:val="000000"/>
        </w:rPr>
        <w:t>), volatile organic compounds (VOCs) and fine Particulate Matter (PM</w:t>
      </w:r>
      <w:r w:rsidR="005B3358" w:rsidRPr="00B84D47">
        <w:rPr>
          <w:rFonts w:asciiTheme="majorBidi" w:hAnsiTheme="majorBidi" w:cstheme="majorBidi"/>
          <w:color w:val="000000"/>
          <w:vertAlign w:val="subscript"/>
        </w:rPr>
        <w:t>2.5</w:t>
      </w:r>
      <w:r w:rsidR="005B3358" w:rsidRPr="00B84D47">
        <w:rPr>
          <w:rFonts w:asciiTheme="majorBidi" w:hAnsiTheme="majorBidi" w:cstheme="majorBidi"/>
          <w:color w:val="000000"/>
        </w:rPr>
        <w:t xml:space="preserve">), heavy metals and persistent organic pollutants.  </w:t>
      </w:r>
    </w:p>
    <w:p w14:paraId="79D64199" w14:textId="4BF11AB9" w:rsidR="006A5E49" w:rsidRPr="00B84D47" w:rsidRDefault="006A5E49" w:rsidP="00261A48">
      <w:pPr>
        <w:spacing w:line="240" w:lineRule="auto"/>
        <w:jc w:val="both"/>
        <w:rPr>
          <w:rFonts w:asciiTheme="majorBidi" w:hAnsiTheme="majorBidi" w:cstheme="majorBidi"/>
        </w:rPr>
      </w:pPr>
      <w:r w:rsidRPr="00B84D47">
        <w:rPr>
          <w:rFonts w:asciiTheme="majorBidi" w:hAnsiTheme="majorBidi" w:cstheme="majorBidi"/>
          <w:color w:val="000000"/>
        </w:rPr>
        <w:t xml:space="preserve">52. Sweden organized and </w:t>
      </w:r>
      <w:r w:rsidR="00F2385E" w:rsidRPr="00B84D47">
        <w:rPr>
          <w:rFonts w:asciiTheme="majorBidi" w:hAnsiTheme="majorBidi" w:cstheme="majorBidi"/>
          <w:color w:val="000000"/>
        </w:rPr>
        <w:t xml:space="preserve">hosted an </w:t>
      </w:r>
      <w:r w:rsidRPr="00B84D47">
        <w:rPr>
          <w:rFonts w:asciiTheme="majorBidi" w:hAnsiTheme="majorBidi" w:cstheme="majorBidi"/>
          <w:color w:val="000000"/>
        </w:rPr>
        <w:t xml:space="preserve">international </w:t>
      </w:r>
      <w:r w:rsidR="00F2385E" w:rsidRPr="00B84D47">
        <w:rPr>
          <w:rFonts w:asciiTheme="majorBidi" w:hAnsiTheme="majorBidi" w:cstheme="majorBidi"/>
        </w:rPr>
        <w:t xml:space="preserve">science-policy workshop entitled “Clean Air for a Sustainable Future – Goals and Challenges”, which </w:t>
      </w:r>
      <w:r w:rsidR="006C5507" w:rsidRPr="00B84D47">
        <w:rPr>
          <w:rFonts w:asciiTheme="majorBidi" w:hAnsiTheme="majorBidi" w:cstheme="majorBidi"/>
        </w:rPr>
        <w:t>was focused</w:t>
      </w:r>
      <w:r w:rsidR="00F2385E" w:rsidRPr="00B84D47">
        <w:rPr>
          <w:rFonts w:asciiTheme="majorBidi" w:hAnsiTheme="majorBidi" w:cstheme="majorBidi"/>
        </w:rPr>
        <w:t xml:space="preserve"> to </w:t>
      </w:r>
      <w:r w:rsidR="006C5507" w:rsidRPr="00B84D47">
        <w:rPr>
          <w:rFonts w:asciiTheme="majorBidi" w:hAnsiTheme="majorBidi" w:cstheme="majorBidi"/>
        </w:rPr>
        <w:t xml:space="preserve">discussing and suggesting </w:t>
      </w:r>
      <w:r w:rsidR="00F2385E" w:rsidRPr="00B84D47">
        <w:rPr>
          <w:rFonts w:asciiTheme="majorBidi" w:hAnsiTheme="majorBidi" w:cstheme="majorBidi"/>
        </w:rPr>
        <w:t>ways forward for further international collaboration in abating air pollution.</w:t>
      </w:r>
    </w:p>
    <w:p w14:paraId="7B9B1634" w14:textId="26544F08" w:rsidR="0073306F" w:rsidRPr="00B84D47" w:rsidRDefault="00301EAA" w:rsidP="00261A48">
      <w:pPr>
        <w:spacing w:line="240" w:lineRule="auto"/>
        <w:jc w:val="both"/>
        <w:rPr>
          <w:rFonts w:asciiTheme="majorBidi" w:hAnsiTheme="majorBidi" w:cstheme="majorBidi"/>
          <w:b/>
          <w:bCs/>
          <w:sz w:val="28"/>
          <w:szCs w:val="28"/>
        </w:rPr>
      </w:pPr>
      <w:r w:rsidRPr="00B84D47">
        <w:rPr>
          <w:rFonts w:asciiTheme="majorBidi" w:hAnsiTheme="majorBidi" w:cstheme="majorBidi"/>
          <w:b/>
          <w:bCs/>
          <w:sz w:val="28"/>
          <w:szCs w:val="28"/>
        </w:rPr>
        <w:t>II. Challenges and lessons learned</w:t>
      </w:r>
    </w:p>
    <w:p w14:paraId="0B68AF90" w14:textId="1F1E4849" w:rsidR="00301EAA" w:rsidRPr="00B84D47" w:rsidRDefault="00301EAA" w:rsidP="00261A48">
      <w:pPr>
        <w:spacing w:line="240" w:lineRule="auto"/>
        <w:jc w:val="both"/>
        <w:rPr>
          <w:rFonts w:asciiTheme="majorBidi" w:hAnsiTheme="majorBidi" w:cstheme="majorBidi"/>
          <w:color w:val="000000"/>
        </w:rPr>
      </w:pPr>
      <w:r w:rsidRPr="00B84D47">
        <w:rPr>
          <w:rFonts w:asciiTheme="majorBidi" w:hAnsiTheme="majorBidi" w:cstheme="majorBidi"/>
          <w:color w:val="000000"/>
        </w:rPr>
        <w:t>5</w:t>
      </w:r>
      <w:r w:rsidR="00D60FC6" w:rsidRPr="00B84D47">
        <w:rPr>
          <w:rFonts w:asciiTheme="majorBidi" w:hAnsiTheme="majorBidi" w:cstheme="majorBidi"/>
          <w:color w:val="000000"/>
        </w:rPr>
        <w:t>3</w:t>
      </w:r>
      <w:r w:rsidRPr="00B84D47">
        <w:rPr>
          <w:rFonts w:asciiTheme="majorBidi" w:hAnsiTheme="majorBidi" w:cstheme="majorBidi"/>
          <w:color w:val="000000"/>
        </w:rPr>
        <w:t xml:space="preserve">. Some countries mentioned </w:t>
      </w:r>
      <w:r w:rsidR="00764F8D" w:rsidRPr="00B84D47">
        <w:rPr>
          <w:rFonts w:asciiTheme="majorBidi" w:hAnsiTheme="majorBidi" w:cstheme="majorBidi"/>
          <w:color w:val="000000"/>
        </w:rPr>
        <w:t xml:space="preserve">the </w:t>
      </w:r>
      <w:r w:rsidRPr="00B84D47">
        <w:rPr>
          <w:rFonts w:asciiTheme="majorBidi" w:hAnsiTheme="majorBidi" w:cstheme="majorBidi"/>
          <w:color w:val="000000"/>
        </w:rPr>
        <w:t xml:space="preserve">difficulties </w:t>
      </w:r>
      <w:r w:rsidR="00764F8D" w:rsidRPr="00B84D47">
        <w:rPr>
          <w:rFonts w:asciiTheme="majorBidi" w:hAnsiTheme="majorBidi" w:cstheme="majorBidi"/>
          <w:color w:val="000000"/>
        </w:rPr>
        <w:t>associated</w:t>
      </w:r>
      <w:r w:rsidRPr="00B84D47">
        <w:rPr>
          <w:rFonts w:asciiTheme="majorBidi" w:hAnsiTheme="majorBidi" w:cstheme="majorBidi"/>
          <w:color w:val="000000"/>
        </w:rPr>
        <w:t xml:space="preserve"> </w:t>
      </w:r>
      <w:r w:rsidR="00764F8D" w:rsidRPr="00B84D47">
        <w:rPr>
          <w:rFonts w:asciiTheme="majorBidi" w:hAnsiTheme="majorBidi" w:cstheme="majorBidi"/>
          <w:color w:val="000000"/>
        </w:rPr>
        <w:t>with</w:t>
      </w:r>
      <w:r w:rsidRPr="00B84D47">
        <w:rPr>
          <w:rFonts w:asciiTheme="majorBidi" w:hAnsiTheme="majorBidi" w:cstheme="majorBidi"/>
          <w:color w:val="000000"/>
        </w:rPr>
        <w:t xml:space="preserve"> the promotion of electric vehicles. In particular, issues related with vehicles</w:t>
      </w:r>
      <w:r w:rsidR="00764F8D" w:rsidRPr="00B84D47">
        <w:rPr>
          <w:rFonts w:asciiTheme="majorBidi" w:hAnsiTheme="majorBidi" w:cstheme="majorBidi"/>
          <w:color w:val="000000"/>
        </w:rPr>
        <w:t xml:space="preserve"> registration</w:t>
      </w:r>
      <w:r w:rsidRPr="00B84D47">
        <w:rPr>
          <w:rFonts w:asciiTheme="majorBidi" w:hAnsiTheme="majorBidi" w:cstheme="majorBidi"/>
          <w:color w:val="000000"/>
        </w:rPr>
        <w:t xml:space="preserve">, </w:t>
      </w:r>
      <w:r w:rsidR="004B7316" w:rsidRPr="00B84D47">
        <w:rPr>
          <w:rFonts w:asciiTheme="majorBidi" w:hAnsiTheme="majorBidi" w:cstheme="majorBidi"/>
          <w:color w:val="000000"/>
        </w:rPr>
        <w:t xml:space="preserve">high prices for electric cars, lack of charging stations, </w:t>
      </w:r>
      <w:r w:rsidR="00764F8D" w:rsidRPr="00B84D47">
        <w:rPr>
          <w:rFonts w:asciiTheme="majorBidi" w:hAnsiTheme="majorBidi" w:cstheme="majorBidi"/>
          <w:color w:val="000000"/>
        </w:rPr>
        <w:t>low market penetration rate</w:t>
      </w:r>
      <w:r w:rsidRPr="00B84D47">
        <w:rPr>
          <w:rFonts w:asciiTheme="majorBidi" w:hAnsiTheme="majorBidi" w:cstheme="majorBidi"/>
          <w:color w:val="000000"/>
        </w:rPr>
        <w:t xml:space="preserve">, </w:t>
      </w:r>
      <w:r w:rsidR="004B7316" w:rsidRPr="00B84D47">
        <w:rPr>
          <w:rFonts w:asciiTheme="majorBidi" w:hAnsiTheme="majorBidi" w:cstheme="majorBidi"/>
          <w:color w:val="000000"/>
        </w:rPr>
        <w:t>st</w:t>
      </w:r>
      <w:r w:rsidR="00BB5C14" w:rsidRPr="00B84D47">
        <w:rPr>
          <w:rFonts w:asciiTheme="majorBidi" w:hAnsiTheme="majorBidi" w:cstheme="majorBidi"/>
          <w:color w:val="000000"/>
        </w:rPr>
        <w:t>il</w:t>
      </w:r>
      <w:r w:rsidR="004B7316" w:rsidRPr="00B84D47">
        <w:rPr>
          <w:rFonts w:asciiTheme="majorBidi" w:hAnsiTheme="majorBidi" w:cstheme="majorBidi"/>
          <w:color w:val="000000"/>
        </w:rPr>
        <w:t xml:space="preserve">l </w:t>
      </w:r>
      <w:r w:rsidRPr="00B84D47">
        <w:rPr>
          <w:rFonts w:asciiTheme="majorBidi" w:hAnsiTheme="majorBidi" w:cstheme="majorBidi"/>
          <w:color w:val="000000"/>
        </w:rPr>
        <w:t>not e</w:t>
      </w:r>
      <w:r w:rsidR="004B7316" w:rsidRPr="00B84D47">
        <w:rPr>
          <w:rFonts w:asciiTheme="majorBidi" w:hAnsiTheme="majorBidi" w:cstheme="majorBidi"/>
          <w:color w:val="000000"/>
        </w:rPr>
        <w:t>nough advanced market. To overcome these barriers</w:t>
      </w:r>
      <w:r w:rsidR="00D87B09" w:rsidRPr="00B84D47">
        <w:rPr>
          <w:rFonts w:asciiTheme="majorBidi" w:hAnsiTheme="majorBidi" w:cstheme="majorBidi"/>
          <w:color w:val="000000"/>
        </w:rPr>
        <w:t>,</w:t>
      </w:r>
      <w:r w:rsidR="004B7316" w:rsidRPr="00B84D47">
        <w:rPr>
          <w:rFonts w:asciiTheme="majorBidi" w:hAnsiTheme="majorBidi" w:cstheme="majorBidi"/>
          <w:color w:val="000000"/>
        </w:rPr>
        <w:t xml:space="preserve"> creation of </w:t>
      </w:r>
      <w:r w:rsidR="00D87B09" w:rsidRPr="00B84D47">
        <w:rPr>
          <w:rFonts w:asciiTheme="majorBidi" w:hAnsiTheme="majorBidi" w:cstheme="majorBidi"/>
          <w:color w:val="000000"/>
        </w:rPr>
        <w:t>favorable</w:t>
      </w:r>
      <w:r w:rsidR="004B7316" w:rsidRPr="00B84D47">
        <w:rPr>
          <w:rFonts w:asciiTheme="majorBidi" w:hAnsiTheme="majorBidi" w:cstheme="majorBidi"/>
          <w:color w:val="000000"/>
        </w:rPr>
        <w:t xml:space="preserve"> legal environment, development of </w:t>
      </w:r>
      <w:r w:rsidR="00D87B09" w:rsidRPr="00B84D47">
        <w:rPr>
          <w:rFonts w:asciiTheme="majorBidi" w:hAnsiTheme="majorBidi" w:cstheme="majorBidi"/>
          <w:color w:val="000000"/>
        </w:rPr>
        <w:t xml:space="preserve">a </w:t>
      </w:r>
      <w:r w:rsidR="004B7316" w:rsidRPr="00B84D47">
        <w:rPr>
          <w:rFonts w:asciiTheme="majorBidi" w:hAnsiTheme="majorBidi" w:cstheme="majorBidi"/>
          <w:color w:val="000000"/>
        </w:rPr>
        <w:t xml:space="preserve">charging </w:t>
      </w:r>
      <w:r w:rsidR="00764F8D" w:rsidRPr="00B84D47">
        <w:rPr>
          <w:rFonts w:asciiTheme="majorBidi" w:hAnsiTheme="majorBidi" w:cstheme="majorBidi"/>
          <w:color w:val="000000"/>
        </w:rPr>
        <w:t xml:space="preserve">network, </w:t>
      </w:r>
      <w:r w:rsidR="00D87B09" w:rsidRPr="00B84D47">
        <w:rPr>
          <w:rFonts w:asciiTheme="majorBidi" w:hAnsiTheme="majorBidi" w:cstheme="majorBidi"/>
          <w:color w:val="000000"/>
        </w:rPr>
        <w:t>provision of</w:t>
      </w:r>
      <w:r w:rsidR="00764F8D" w:rsidRPr="00B84D47">
        <w:rPr>
          <w:rFonts w:asciiTheme="majorBidi" w:hAnsiTheme="majorBidi" w:cstheme="majorBidi"/>
          <w:color w:val="000000"/>
        </w:rPr>
        <w:t xml:space="preserve"> subsidies and other incentives</w:t>
      </w:r>
      <w:r w:rsidR="00D87B09" w:rsidRPr="00B84D47">
        <w:rPr>
          <w:rFonts w:asciiTheme="majorBidi" w:hAnsiTheme="majorBidi" w:cstheme="majorBidi"/>
          <w:color w:val="000000"/>
        </w:rPr>
        <w:t xml:space="preserve"> were highlighted</w:t>
      </w:r>
      <w:r w:rsidR="00764F8D" w:rsidRPr="00B84D47">
        <w:rPr>
          <w:rFonts w:asciiTheme="majorBidi" w:hAnsiTheme="majorBidi" w:cstheme="majorBidi"/>
          <w:color w:val="000000"/>
        </w:rPr>
        <w:t>.</w:t>
      </w:r>
    </w:p>
    <w:p w14:paraId="29E414AD" w14:textId="49A3FCD0" w:rsidR="004B7316" w:rsidRPr="00B84D47" w:rsidRDefault="004B7316" w:rsidP="00261A48">
      <w:pPr>
        <w:spacing w:line="240" w:lineRule="auto"/>
        <w:jc w:val="both"/>
        <w:rPr>
          <w:rFonts w:asciiTheme="majorBidi" w:hAnsiTheme="majorBidi" w:cstheme="majorBidi"/>
          <w:b/>
          <w:bCs/>
          <w:color w:val="000000"/>
        </w:rPr>
      </w:pPr>
      <w:r w:rsidRPr="00B84D47">
        <w:rPr>
          <w:rFonts w:asciiTheme="majorBidi" w:hAnsiTheme="majorBidi" w:cstheme="majorBidi"/>
          <w:color w:val="000000"/>
        </w:rPr>
        <w:t>5</w:t>
      </w:r>
      <w:r w:rsidR="00D60FC6" w:rsidRPr="00B84D47">
        <w:rPr>
          <w:rFonts w:asciiTheme="majorBidi" w:hAnsiTheme="majorBidi" w:cstheme="majorBidi"/>
          <w:color w:val="000000"/>
        </w:rPr>
        <w:t>4</w:t>
      </w:r>
      <w:r w:rsidRPr="00B84D47">
        <w:rPr>
          <w:rFonts w:asciiTheme="majorBidi" w:hAnsiTheme="majorBidi" w:cstheme="majorBidi"/>
          <w:color w:val="000000"/>
        </w:rPr>
        <w:t>.</w:t>
      </w:r>
      <w:r w:rsidR="00D87B09" w:rsidRPr="00B84D47">
        <w:rPr>
          <w:rFonts w:asciiTheme="majorBidi" w:hAnsiTheme="majorBidi" w:cstheme="majorBidi"/>
          <w:color w:val="000000"/>
        </w:rPr>
        <w:t xml:space="preserve"> </w:t>
      </w:r>
      <w:r w:rsidR="00D60FC6" w:rsidRPr="00B84D47">
        <w:rPr>
          <w:rFonts w:asciiTheme="majorBidi" w:hAnsiTheme="majorBidi" w:cstheme="majorBidi"/>
          <w:color w:val="000000"/>
        </w:rPr>
        <w:t xml:space="preserve">Many countries reported on high cost and insufficient financial resources to implement emission reduction measures and ensure compliance with regulations. </w:t>
      </w:r>
      <w:r w:rsidR="00EF15FF" w:rsidRPr="00B84D47">
        <w:rPr>
          <w:rFonts w:asciiTheme="majorBidi" w:hAnsiTheme="majorBidi" w:cstheme="majorBidi"/>
          <w:color w:val="000000"/>
        </w:rPr>
        <w:t>Long-term planning, finding flexible and reliable funding sources, and involving science, society, and business appear to be the best ways to address financial issues.</w:t>
      </w:r>
    </w:p>
    <w:p w14:paraId="33268F88" w14:textId="0037DADC" w:rsidR="00EF15FF" w:rsidRPr="00B84D47" w:rsidRDefault="00EF15FF" w:rsidP="002672F8">
      <w:pPr>
        <w:spacing w:line="240" w:lineRule="auto"/>
        <w:jc w:val="both"/>
        <w:rPr>
          <w:rFonts w:asciiTheme="majorBidi" w:hAnsiTheme="majorBidi" w:cstheme="majorBidi"/>
        </w:rPr>
      </w:pPr>
      <w:r w:rsidRPr="00B84D47">
        <w:rPr>
          <w:rFonts w:asciiTheme="majorBidi" w:hAnsiTheme="majorBidi" w:cstheme="majorBidi"/>
          <w:color w:val="000000"/>
        </w:rPr>
        <w:t xml:space="preserve">55. </w:t>
      </w:r>
      <w:r w:rsidR="00A90D7D" w:rsidRPr="00B84D47">
        <w:rPr>
          <w:rFonts w:asciiTheme="majorBidi" w:hAnsiTheme="majorBidi" w:cstheme="majorBidi"/>
          <w:color w:val="000000"/>
        </w:rPr>
        <w:t xml:space="preserve">Several countries and one organization </w:t>
      </w:r>
      <w:r w:rsidR="00A90D7D" w:rsidRPr="00B84D47">
        <w:rPr>
          <w:rFonts w:asciiTheme="majorBidi" w:hAnsiTheme="majorBidi" w:cstheme="majorBidi"/>
        </w:rPr>
        <w:t xml:space="preserve">encountered problems with emission inventory. Lack of </w:t>
      </w:r>
      <w:r w:rsidR="00CF6AEB" w:rsidRPr="00B84D47">
        <w:rPr>
          <w:rFonts w:asciiTheme="majorBidi" w:hAnsiTheme="majorBidi" w:cstheme="majorBidi"/>
        </w:rPr>
        <w:t xml:space="preserve">activity data (especially historic data), </w:t>
      </w:r>
      <w:r w:rsidR="002672F8" w:rsidRPr="00B84D47">
        <w:rPr>
          <w:rFonts w:asciiTheme="majorBidi" w:hAnsiTheme="majorBidi" w:cstheme="majorBidi"/>
        </w:rPr>
        <w:t xml:space="preserve">changes and gaps in inventory methodologies, </w:t>
      </w:r>
      <w:r w:rsidR="00D36F97" w:rsidRPr="00B84D47">
        <w:rPr>
          <w:rFonts w:asciiTheme="majorBidi" w:hAnsiTheme="majorBidi" w:cstheme="majorBidi"/>
        </w:rPr>
        <w:t xml:space="preserve">absence of </w:t>
      </w:r>
      <w:r w:rsidR="002672F8" w:rsidRPr="00B84D47">
        <w:rPr>
          <w:rFonts w:asciiTheme="majorBidi" w:hAnsiTheme="majorBidi" w:cstheme="majorBidi"/>
        </w:rPr>
        <w:t>country specific emission factors</w:t>
      </w:r>
      <w:r w:rsidR="00626F87" w:rsidRPr="00B84D47">
        <w:rPr>
          <w:rFonts w:asciiTheme="majorBidi" w:hAnsiTheme="majorBidi" w:cstheme="majorBidi"/>
        </w:rPr>
        <w:t xml:space="preserve"> and</w:t>
      </w:r>
      <w:r w:rsidR="00D36F97" w:rsidRPr="00B84D47">
        <w:rPr>
          <w:rFonts w:asciiTheme="majorBidi" w:hAnsiTheme="majorBidi" w:cstheme="majorBidi"/>
        </w:rPr>
        <w:t xml:space="preserve"> </w:t>
      </w:r>
      <w:r w:rsidR="00626F87" w:rsidRPr="00B84D47">
        <w:rPr>
          <w:rFonts w:asciiTheme="majorBidi" w:hAnsiTheme="majorBidi" w:cstheme="majorBidi"/>
        </w:rPr>
        <w:t xml:space="preserve">improvement of the spatial resolution of the emission database </w:t>
      </w:r>
      <w:r w:rsidR="00D36F97" w:rsidRPr="00B84D47">
        <w:rPr>
          <w:rFonts w:asciiTheme="majorBidi" w:hAnsiTheme="majorBidi" w:cstheme="majorBidi"/>
        </w:rPr>
        <w:t xml:space="preserve">were identified as </w:t>
      </w:r>
      <w:r w:rsidR="00626F87" w:rsidRPr="00B84D47">
        <w:rPr>
          <w:rFonts w:asciiTheme="majorBidi" w:hAnsiTheme="majorBidi" w:cstheme="majorBidi"/>
        </w:rPr>
        <w:t>major</w:t>
      </w:r>
      <w:r w:rsidR="00D36F97" w:rsidRPr="00B84D47">
        <w:rPr>
          <w:rFonts w:asciiTheme="majorBidi" w:hAnsiTheme="majorBidi" w:cstheme="majorBidi"/>
        </w:rPr>
        <w:t xml:space="preserve"> challenges for </w:t>
      </w:r>
      <w:r w:rsidR="00626F87" w:rsidRPr="00B84D47">
        <w:rPr>
          <w:rFonts w:asciiTheme="majorBidi" w:hAnsiTheme="majorBidi" w:cstheme="majorBidi"/>
        </w:rPr>
        <w:t xml:space="preserve">developing a </w:t>
      </w:r>
      <w:proofErr w:type="gramStart"/>
      <w:r w:rsidR="00626F87" w:rsidRPr="00B84D47">
        <w:rPr>
          <w:rFonts w:asciiTheme="majorBidi" w:hAnsiTheme="majorBidi" w:cstheme="majorBidi"/>
        </w:rPr>
        <w:t>high quality</w:t>
      </w:r>
      <w:proofErr w:type="gramEnd"/>
      <w:r w:rsidR="00626F87" w:rsidRPr="00B84D47">
        <w:rPr>
          <w:rFonts w:asciiTheme="majorBidi" w:hAnsiTheme="majorBidi" w:cstheme="majorBidi"/>
        </w:rPr>
        <w:t xml:space="preserve"> emission inventory.</w:t>
      </w:r>
    </w:p>
    <w:p w14:paraId="79D3E171" w14:textId="387AFB6E" w:rsidR="00970640" w:rsidRPr="00B84D47" w:rsidRDefault="00970640" w:rsidP="002672F8">
      <w:pPr>
        <w:spacing w:line="240" w:lineRule="auto"/>
        <w:jc w:val="both"/>
        <w:rPr>
          <w:rFonts w:asciiTheme="majorBidi" w:hAnsiTheme="majorBidi" w:cstheme="majorBidi"/>
        </w:rPr>
      </w:pPr>
      <w:r w:rsidRPr="00B84D47">
        <w:rPr>
          <w:rFonts w:asciiTheme="majorBidi" w:hAnsiTheme="majorBidi" w:cstheme="majorBidi"/>
        </w:rPr>
        <w:t xml:space="preserve">56. </w:t>
      </w:r>
      <w:r w:rsidR="00BF60B6" w:rsidRPr="00B84D47">
        <w:rPr>
          <w:rFonts w:asciiTheme="majorBidi" w:hAnsiTheme="majorBidi" w:cstheme="majorBidi"/>
        </w:rPr>
        <w:t xml:space="preserve">The biggest challenge in the field of ambient air quality monitoring is a </w:t>
      </w:r>
      <w:r w:rsidR="00F63405" w:rsidRPr="00B84D47">
        <w:rPr>
          <w:rFonts w:asciiTheme="majorBidi" w:hAnsiTheme="majorBidi" w:cstheme="majorBidi"/>
        </w:rPr>
        <w:t xml:space="preserve">high investment and operational cost of modern air quality monitoring network. </w:t>
      </w:r>
      <w:r w:rsidR="00E34C56" w:rsidRPr="00B84D47">
        <w:rPr>
          <w:rFonts w:asciiTheme="majorBidi" w:hAnsiTheme="majorBidi" w:cstheme="majorBidi"/>
        </w:rPr>
        <w:t xml:space="preserve">In this regard, significant donor support was emphasized, in parallel with </w:t>
      </w:r>
      <w:r w:rsidR="00B92A30" w:rsidRPr="00B84D47">
        <w:rPr>
          <w:rFonts w:asciiTheme="majorBidi" w:hAnsiTheme="majorBidi" w:cstheme="majorBidi"/>
          <w:color w:val="000000"/>
        </w:rPr>
        <w:t>spending</w:t>
      </w:r>
      <w:r w:rsidR="00E34C56" w:rsidRPr="00B84D47">
        <w:rPr>
          <w:rFonts w:asciiTheme="majorBidi" w:hAnsiTheme="majorBidi" w:cstheme="majorBidi"/>
          <w:color w:val="000000"/>
        </w:rPr>
        <w:t xml:space="preserve"> from </w:t>
      </w:r>
      <w:r w:rsidR="00B92A30" w:rsidRPr="00B84D47">
        <w:rPr>
          <w:rFonts w:asciiTheme="majorBidi" w:hAnsiTheme="majorBidi" w:cstheme="majorBidi"/>
          <w:color w:val="000000"/>
        </w:rPr>
        <w:t xml:space="preserve">the </w:t>
      </w:r>
      <w:r w:rsidR="00E34C56" w:rsidRPr="00B84D47">
        <w:rPr>
          <w:rFonts w:asciiTheme="majorBidi" w:hAnsiTheme="majorBidi" w:cstheme="majorBidi"/>
        </w:rPr>
        <w:t>state budget.</w:t>
      </w:r>
    </w:p>
    <w:p w14:paraId="3A15AF8B" w14:textId="372502ED" w:rsidR="00D724B8" w:rsidRPr="00B84D47" w:rsidRDefault="00D724B8" w:rsidP="002672F8">
      <w:pPr>
        <w:spacing w:line="240" w:lineRule="auto"/>
        <w:jc w:val="both"/>
        <w:rPr>
          <w:rFonts w:asciiTheme="majorBidi" w:hAnsiTheme="majorBidi" w:cstheme="majorBidi"/>
        </w:rPr>
      </w:pPr>
      <w:r w:rsidRPr="00B84D47">
        <w:rPr>
          <w:rFonts w:asciiTheme="majorBidi" w:hAnsiTheme="majorBidi" w:cstheme="majorBidi"/>
        </w:rPr>
        <w:t xml:space="preserve">57. Lack of human resources in general and </w:t>
      </w:r>
      <w:r w:rsidR="003C73AC" w:rsidRPr="00B84D47">
        <w:rPr>
          <w:rFonts w:asciiTheme="majorBidi" w:hAnsiTheme="majorBidi" w:cstheme="majorBidi"/>
        </w:rPr>
        <w:t>skilled</w:t>
      </w:r>
      <w:r w:rsidRPr="00B84D47">
        <w:rPr>
          <w:rFonts w:asciiTheme="majorBidi" w:hAnsiTheme="majorBidi" w:cstheme="majorBidi"/>
        </w:rPr>
        <w:t xml:space="preserve"> </w:t>
      </w:r>
      <w:r w:rsidR="003C73AC" w:rsidRPr="00B84D47">
        <w:rPr>
          <w:rFonts w:asciiTheme="majorBidi" w:hAnsiTheme="majorBidi" w:cstheme="majorBidi"/>
        </w:rPr>
        <w:t>professionals</w:t>
      </w:r>
      <w:r w:rsidRPr="00B84D47">
        <w:rPr>
          <w:rFonts w:asciiTheme="majorBidi" w:hAnsiTheme="majorBidi" w:cstheme="majorBidi"/>
        </w:rPr>
        <w:t xml:space="preserve"> in particular</w:t>
      </w:r>
      <w:r w:rsidR="00847609" w:rsidRPr="00B84D47">
        <w:rPr>
          <w:rFonts w:asciiTheme="majorBidi" w:hAnsiTheme="majorBidi" w:cstheme="majorBidi"/>
        </w:rPr>
        <w:t xml:space="preserve"> </w:t>
      </w:r>
      <w:r w:rsidR="00A44C5E" w:rsidRPr="00B84D47">
        <w:rPr>
          <w:rFonts w:asciiTheme="majorBidi" w:hAnsiTheme="majorBidi" w:cstheme="majorBidi"/>
        </w:rPr>
        <w:t>have been stressed by many participating countries and organization</w:t>
      </w:r>
      <w:r w:rsidR="001C370F" w:rsidRPr="00B84D47">
        <w:rPr>
          <w:rFonts w:asciiTheme="majorBidi" w:hAnsiTheme="majorBidi" w:cstheme="majorBidi"/>
        </w:rPr>
        <w:t>s</w:t>
      </w:r>
      <w:r w:rsidR="00A44C5E" w:rsidRPr="00B84D47">
        <w:rPr>
          <w:rFonts w:asciiTheme="majorBidi" w:hAnsiTheme="majorBidi" w:cstheme="majorBidi"/>
        </w:rPr>
        <w:t xml:space="preserve">. This issue is </w:t>
      </w:r>
      <w:r w:rsidR="003C73AC" w:rsidRPr="00B84D47">
        <w:rPr>
          <w:rFonts w:asciiTheme="majorBidi" w:hAnsiTheme="majorBidi" w:cstheme="majorBidi"/>
        </w:rPr>
        <w:t>relevant</w:t>
      </w:r>
      <w:r w:rsidR="00A44C5E" w:rsidRPr="00B84D47">
        <w:rPr>
          <w:rFonts w:asciiTheme="majorBidi" w:hAnsiTheme="majorBidi" w:cstheme="majorBidi"/>
        </w:rPr>
        <w:t xml:space="preserve"> in</w:t>
      </w:r>
      <w:r w:rsidR="003C73AC" w:rsidRPr="00B84D47">
        <w:rPr>
          <w:rFonts w:asciiTheme="majorBidi" w:hAnsiTheme="majorBidi" w:cstheme="majorBidi"/>
        </w:rPr>
        <w:t xml:space="preserve"> various areas </w:t>
      </w:r>
      <w:r w:rsidR="00A44C5E" w:rsidRPr="00B84D47">
        <w:rPr>
          <w:rFonts w:asciiTheme="majorBidi" w:hAnsiTheme="majorBidi" w:cstheme="majorBidi"/>
        </w:rPr>
        <w:t>of</w:t>
      </w:r>
      <w:r w:rsidR="003C73AC" w:rsidRPr="00B84D47">
        <w:rPr>
          <w:rFonts w:asciiTheme="majorBidi" w:hAnsiTheme="majorBidi" w:cstheme="majorBidi"/>
        </w:rPr>
        <w:t xml:space="preserve"> ambient</w:t>
      </w:r>
      <w:r w:rsidR="00A44C5E" w:rsidRPr="00B84D47">
        <w:rPr>
          <w:rFonts w:asciiTheme="majorBidi" w:hAnsiTheme="majorBidi" w:cstheme="majorBidi"/>
        </w:rPr>
        <w:t xml:space="preserve"> air quality management, such as: maintenance of monitoring stations, development of emission inventory and </w:t>
      </w:r>
      <w:r w:rsidR="001C370F" w:rsidRPr="00B84D47">
        <w:rPr>
          <w:rFonts w:asciiTheme="majorBidi" w:hAnsiTheme="majorBidi" w:cstheme="majorBidi"/>
        </w:rPr>
        <w:t xml:space="preserve">reporting, </w:t>
      </w:r>
      <w:r w:rsidR="00A44C5E" w:rsidRPr="00B84D47">
        <w:rPr>
          <w:rFonts w:asciiTheme="majorBidi" w:hAnsiTheme="majorBidi" w:cstheme="majorBidi"/>
        </w:rPr>
        <w:t>air quality model</w:t>
      </w:r>
      <w:r w:rsidR="001C370F" w:rsidRPr="00B84D47">
        <w:rPr>
          <w:rFonts w:asciiTheme="majorBidi" w:hAnsiTheme="majorBidi" w:cstheme="majorBidi"/>
        </w:rPr>
        <w:t>ing</w:t>
      </w:r>
      <w:r w:rsidR="00A44C5E" w:rsidRPr="00B84D47">
        <w:rPr>
          <w:rFonts w:asciiTheme="majorBidi" w:hAnsiTheme="majorBidi" w:cstheme="majorBidi"/>
        </w:rPr>
        <w:t xml:space="preserve">, </w:t>
      </w:r>
      <w:r w:rsidR="001C370F" w:rsidRPr="00B84D47">
        <w:rPr>
          <w:rFonts w:asciiTheme="majorBidi" w:hAnsiTheme="majorBidi" w:cstheme="majorBidi"/>
        </w:rPr>
        <w:t xml:space="preserve">QA/QC, </w:t>
      </w:r>
      <w:r w:rsidR="00A44C5E" w:rsidRPr="00B84D47">
        <w:rPr>
          <w:rFonts w:asciiTheme="majorBidi" w:hAnsiTheme="majorBidi" w:cstheme="majorBidi"/>
        </w:rPr>
        <w:t>introduction of BATs</w:t>
      </w:r>
      <w:r w:rsidR="002B5EC1" w:rsidRPr="00B84D47">
        <w:rPr>
          <w:rFonts w:asciiTheme="majorBidi" w:hAnsiTheme="majorBidi" w:cstheme="majorBidi"/>
        </w:rPr>
        <w:t>. Cap</w:t>
      </w:r>
      <w:r w:rsidR="003C73AC" w:rsidRPr="00B84D47">
        <w:rPr>
          <w:rFonts w:asciiTheme="majorBidi" w:hAnsiTheme="majorBidi" w:cstheme="majorBidi"/>
        </w:rPr>
        <w:t>a</w:t>
      </w:r>
      <w:r w:rsidR="002B5EC1" w:rsidRPr="00B84D47">
        <w:rPr>
          <w:rFonts w:asciiTheme="majorBidi" w:hAnsiTheme="majorBidi" w:cstheme="majorBidi"/>
        </w:rPr>
        <w:t xml:space="preserve">city building activities have no </w:t>
      </w:r>
      <w:r w:rsidR="003C73AC" w:rsidRPr="00B84D47">
        <w:rPr>
          <w:rFonts w:asciiTheme="majorBidi" w:hAnsiTheme="majorBidi" w:cstheme="majorBidi"/>
        </w:rPr>
        <w:t xml:space="preserve">alternatives to increase qualification of </w:t>
      </w:r>
      <w:r w:rsidR="002E406F" w:rsidRPr="00B84D47">
        <w:rPr>
          <w:rFonts w:asciiTheme="majorBidi" w:hAnsiTheme="majorBidi" w:cstheme="majorBidi"/>
        </w:rPr>
        <w:t>staff</w:t>
      </w:r>
      <w:r w:rsidR="003C73AC" w:rsidRPr="00B84D47">
        <w:rPr>
          <w:rFonts w:asciiTheme="majorBidi" w:hAnsiTheme="majorBidi" w:cstheme="majorBidi"/>
        </w:rPr>
        <w:t xml:space="preserve"> and </w:t>
      </w:r>
      <w:r w:rsidR="00847609" w:rsidRPr="00B84D47">
        <w:rPr>
          <w:rFonts w:asciiTheme="majorBidi" w:hAnsiTheme="majorBidi" w:cstheme="majorBidi"/>
        </w:rPr>
        <w:t xml:space="preserve">even partially </w:t>
      </w:r>
      <w:r w:rsidR="002B5EC1" w:rsidRPr="00B84D47">
        <w:rPr>
          <w:rFonts w:asciiTheme="majorBidi" w:hAnsiTheme="majorBidi" w:cstheme="majorBidi"/>
        </w:rPr>
        <w:t xml:space="preserve">overcome </w:t>
      </w:r>
      <w:r w:rsidR="003C73AC" w:rsidRPr="00B84D47">
        <w:rPr>
          <w:rFonts w:asciiTheme="majorBidi" w:hAnsiTheme="majorBidi" w:cstheme="majorBidi"/>
        </w:rPr>
        <w:t>this barrier.</w:t>
      </w:r>
    </w:p>
    <w:p w14:paraId="5A83AD4C" w14:textId="3CF56AE7" w:rsidR="00921A02" w:rsidRPr="00B84D47" w:rsidRDefault="00847609" w:rsidP="002672F8">
      <w:pPr>
        <w:spacing w:line="240" w:lineRule="auto"/>
        <w:jc w:val="both"/>
        <w:rPr>
          <w:rFonts w:asciiTheme="majorBidi" w:hAnsiTheme="majorBidi" w:cstheme="majorBidi"/>
        </w:rPr>
      </w:pPr>
      <w:r w:rsidRPr="00B84D47">
        <w:rPr>
          <w:rFonts w:asciiTheme="majorBidi" w:hAnsiTheme="majorBidi" w:cstheme="majorBidi"/>
        </w:rPr>
        <w:t xml:space="preserve">58. </w:t>
      </w:r>
      <w:r w:rsidR="00F6703A" w:rsidRPr="00B84D47">
        <w:rPr>
          <w:rFonts w:asciiTheme="majorBidi" w:hAnsiTheme="majorBidi" w:cstheme="majorBidi"/>
        </w:rPr>
        <w:t xml:space="preserve"> Many countries and one organization faced difficulties caused by </w:t>
      </w:r>
      <w:r w:rsidR="003B090C" w:rsidRPr="00B84D47">
        <w:rPr>
          <w:rFonts w:asciiTheme="majorBidi" w:hAnsiTheme="majorBidi" w:cstheme="majorBidi"/>
        </w:rPr>
        <w:t>poor</w:t>
      </w:r>
      <w:r w:rsidR="00F6703A" w:rsidRPr="00B84D47">
        <w:rPr>
          <w:rFonts w:asciiTheme="majorBidi" w:hAnsiTheme="majorBidi" w:cstheme="majorBidi"/>
        </w:rPr>
        <w:t xml:space="preserve"> coordination between stakeholders. </w:t>
      </w:r>
      <w:r w:rsidR="00B509B4" w:rsidRPr="00B84D47">
        <w:rPr>
          <w:rFonts w:asciiTheme="majorBidi" w:hAnsiTheme="majorBidi" w:cstheme="majorBidi"/>
        </w:rPr>
        <w:t xml:space="preserve">Complicated or even miscommunication between ministries, agencies and other institutions </w:t>
      </w:r>
      <w:r w:rsidR="00546BD0" w:rsidRPr="00B84D47">
        <w:rPr>
          <w:rFonts w:asciiTheme="majorBidi" w:hAnsiTheme="majorBidi" w:cstheme="majorBidi"/>
        </w:rPr>
        <w:t xml:space="preserve">creates challenges in different fields of air quality management, but </w:t>
      </w:r>
      <w:r w:rsidR="003B090C" w:rsidRPr="00B84D47">
        <w:rPr>
          <w:rFonts w:asciiTheme="majorBidi" w:hAnsiTheme="majorBidi" w:cstheme="majorBidi"/>
        </w:rPr>
        <w:t>mainly</w:t>
      </w:r>
      <w:r w:rsidR="00546BD0" w:rsidRPr="00B84D47">
        <w:rPr>
          <w:rFonts w:asciiTheme="majorBidi" w:hAnsiTheme="majorBidi" w:cstheme="majorBidi"/>
        </w:rPr>
        <w:t xml:space="preserve"> during the implementation of </w:t>
      </w:r>
      <w:r w:rsidR="00546BD0" w:rsidRPr="00B84D47">
        <w:rPr>
          <w:rFonts w:asciiTheme="majorBidi" w:hAnsiTheme="majorBidi" w:cstheme="majorBidi"/>
        </w:rPr>
        <w:lastRenderedPageBreak/>
        <w:t xml:space="preserve">action planes and development of </w:t>
      </w:r>
      <w:r w:rsidR="003B090C" w:rsidRPr="00B84D47">
        <w:rPr>
          <w:rFonts w:asciiTheme="majorBidi" w:hAnsiTheme="majorBidi" w:cstheme="majorBidi"/>
        </w:rPr>
        <w:t xml:space="preserve">emission </w:t>
      </w:r>
      <w:r w:rsidR="00546BD0" w:rsidRPr="00B84D47">
        <w:rPr>
          <w:rFonts w:asciiTheme="majorBidi" w:hAnsiTheme="majorBidi" w:cstheme="majorBidi"/>
        </w:rPr>
        <w:t xml:space="preserve">inventory. </w:t>
      </w:r>
      <w:r w:rsidR="00921A02" w:rsidRPr="00B84D47">
        <w:rPr>
          <w:rFonts w:asciiTheme="majorBidi" w:hAnsiTheme="majorBidi" w:cstheme="majorBidi"/>
        </w:rPr>
        <w:t>The i</w:t>
      </w:r>
      <w:r w:rsidR="003B090C" w:rsidRPr="00B84D47">
        <w:rPr>
          <w:rFonts w:asciiTheme="majorBidi" w:hAnsiTheme="majorBidi" w:cstheme="majorBidi"/>
        </w:rPr>
        <w:t xml:space="preserve">mportance of </w:t>
      </w:r>
      <w:r w:rsidR="00921A02" w:rsidRPr="00B84D47">
        <w:rPr>
          <w:rFonts w:asciiTheme="majorBidi" w:hAnsiTheme="majorBidi" w:cstheme="majorBidi"/>
        </w:rPr>
        <w:t>identifying</w:t>
      </w:r>
      <w:r w:rsidR="003B090C" w:rsidRPr="00B84D47">
        <w:rPr>
          <w:rFonts w:asciiTheme="majorBidi" w:hAnsiTheme="majorBidi" w:cstheme="majorBidi"/>
        </w:rPr>
        <w:t xml:space="preserve"> appropriate partners and maintaining continues successful cooperation was highlighted.</w:t>
      </w:r>
    </w:p>
    <w:p w14:paraId="2E12E3BB" w14:textId="72A8E8B2" w:rsidR="00921A02" w:rsidRPr="00B84D47" w:rsidRDefault="00921A02" w:rsidP="002672F8">
      <w:pPr>
        <w:spacing w:line="240" w:lineRule="auto"/>
        <w:jc w:val="both"/>
        <w:rPr>
          <w:rFonts w:asciiTheme="majorBidi" w:hAnsiTheme="majorBidi" w:cstheme="majorBidi"/>
        </w:rPr>
      </w:pPr>
      <w:r w:rsidRPr="00B84D47">
        <w:rPr>
          <w:rFonts w:asciiTheme="majorBidi" w:hAnsiTheme="majorBidi" w:cstheme="majorBidi"/>
        </w:rPr>
        <w:t xml:space="preserve">59. Some countries and organizations mentioned several </w:t>
      </w:r>
      <w:r w:rsidR="00BD0DE8" w:rsidRPr="00B84D47">
        <w:rPr>
          <w:rFonts w:asciiTheme="majorBidi" w:hAnsiTheme="majorBidi" w:cstheme="majorBidi"/>
        </w:rPr>
        <w:t xml:space="preserve">other general </w:t>
      </w:r>
      <w:r w:rsidRPr="00B84D47">
        <w:rPr>
          <w:rFonts w:asciiTheme="majorBidi" w:hAnsiTheme="majorBidi" w:cstheme="majorBidi"/>
        </w:rPr>
        <w:t>difficulties, such as: the COVID-19 pandemic, languages</w:t>
      </w:r>
      <w:r w:rsidR="00BD0DE8" w:rsidRPr="00B84D47">
        <w:rPr>
          <w:rFonts w:asciiTheme="majorBidi" w:hAnsiTheme="majorBidi" w:cstheme="majorBidi"/>
        </w:rPr>
        <w:t xml:space="preserve"> barriers, challenges of ammonia emission reduction from agriculture sector and lack of mitigation techniques.</w:t>
      </w:r>
    </w:p>
    <w:p w14:paraId="54F3DA44" w14:textId="618F3FA6" w:rsidR="00AD2A3C" w:rsidRPr="00B84D47" w:rsidRDefault="008E7809" w:rsidP="008E7809">
      <w:pPr>
        <w:spacing w:line="240" w:lineRule="auto"/>
        <w:jc w:val="both"/>
        <w:rPr>
          <w:rFonts w:asciiTheme="majorBidi" w:hAnsiTheme="majorBidi" w:cstheme="majorBidi"/>
          <w:b/>
          <w:bCs/>
          <w:sz w:val="28"/>
          <w:szCs w:val="28"/>
        </w:rPr>
      </w:pPr>
      <w:r w:rsidRPr="00B84D47">
        <w:rPr>
          <w:rFonts w:asciiTheme="majorBidi" w:hAnsiTheme="majorBidi" w:cstheme="majorBidi"/>
          <w:b/>
          <w:bCs/>
          <w:sz w:val="28"/>
          <w:szCs w:val="28"/>
        </w:rPr>
        <w:t>III. Future steps and follow up</w:t>
      </w:r>
    </w:p>
    <w:p w14:paraId="4F89BCEA" w14:textId="4C680971" w:rsidR="008E7809" w:rsidRPr="00B84D47" w:rsidRDefault="008E7809" w:rsidP="008E7809">
      <w:pPr>
        <w:spacing w:line="240" w:lineRule="auto"/>
        <w:jc w:val="both"/>
        <w:rPr>
          <w:rFonts w:asciiTheme="majorBidi" w:hAnsiTheme="majorBidi" w:cstheme="majorBidi"/>
        </w:rPr>
      </w:pPr>
      <w:r w:rsidRPr="00B84D47">
        <w:rPr>
          <w:rFonts w:asciiTheme="majorBidi" w:hAnsiTheme="majorBidi" w:cstheme="majorBidi"/>
        </w:rPr>
        <w:t xml:space="preserve">60. </w:t>
      </w:r>
      <w:r w:rsidR="00492DA3" w:rsidRPr="00B84D47">
        <w:rPr>
          <w:rFonts w:asciiTheme="majorBidi" w:hAnsiTheme="majorBidi" w:cstheme="majorBidi"/>
        </w:rPr>
        <w:t xml:space="preserve">Canada, Georgia, Hungary, Italy and Lithuania plan to continue </w:t>
      </w:r>
      <w:r w:rsidR="00505409" w:rsidRPr="00B84D47">
        <w:rPr>
          <w:rFonts w:asciiTheme="majorBidi" w:hAnsiTheme="majorBidi" w:cstheme="majorBidi"/>
        </w:rPr>
        <w:t xml:space="preserve">their efforts to reduce emissions in the transport sector </w:t>
      </w:r>
      <w:r w:rsidR="00492DA3" w:rsidRPr="00B84D47">
        <w:rPr>
          <w:rFonts w:asciiTheme="majorBidi" w:hAnsiTheme="majorBidi" w:cstheme="majorBidi"/>
        </w:rPr>
        <w:t xml:space="preserve">by restricting vehicle emission standards, </w:t>
      </w:r>
      <w:r w:rsidR="00505409" w:rsidRPr="00B84D47">
        <w:rPr>
          <w:rFonts w:asciiTheme="majorBidi" w:hAnsiTheme="majorBidi" w:cstheme="majorBidi"/>
        </w:rPr>
        <w:t>improving</w:t>
      </w:r>
      <w:r w:rsidR="00492DA3" w:rsidRPr="00B84D47">
        <w:rPr>
          <w:rFonts w:asciiTheme="majorBidi" w:hAnsiTheme="majorBidi" w:cstheme="majorBidi"/>
        </w:rPr>
        <w:t xml:space="preserve"> fuel quality, </w:t>
      </w:r>
      <w:r w:rsidR="00505409" w:rsidRPr="00B84D47">
        <w:rPr>
          <w:rFonts w:asciiTheme="majorBidi" w:hAnsiTheme="majorBidi" w:cstheme="majorBidi"/>
        </w:rPr>
        <w:t>strengthening</w:t>
      </w:r>
      <w:r w:rsidR="00A80161" w:rsidRPr="00B84D47">
        <w:rPr>
          <w:rFonts w:asciiTheme="majorBidi" w:hAnsiTheme="majorBidi" w:cstheme="majorBidi"/>
        </w:rPr>
        <w:t xml:space="preserve"> fuel quality control, developing and </w:t>
      </w:r>
      <w:r w:rsidR="00505409" w:rsidRPr="00B84D47">
        <w:rPr>
          <w:rFonts w:asciiTheme="majorBidi" w:hAnsiTheme="majorBidi" w:cstheme="majorBidi"/>
        </w:rPr>
        <w:t xml:space="preserve">modernizing </w:t>
      </w:r>
      <w:r w:rsidR="00A80161" w:rsidRPr="00B84D47">
        <w:rPr>
          <w:rFonts w:asciiTheme="majorBidi" w:hAnsiTheme="majorBidi" w:cstheme="majorBidi"/>
        </w:rPr>
        <w:t xml:space="preserve">public transport, </w:t>
      </w:r>
      <w:r w:rsidR="00505409" w:rsidRPr="00B84D47">
        <w:rPr>
          <w:rFonts w:asciiTheme="majorBidi" w:hAnsiTheme="majorBidi" w:cstheme="majorBidi"/>
        </w:rPr>
        <w:t xml:space="preserve">and </w:t>
      </w:r>
      <w:r w:rsidR="00A80161" w:rsidRPr="00B84D47">
        <w:rPr>
          <w:rFonts w:asciiTheme="majorBidi" w:hAnsiTheme="majorBidi" w:cstheme="majorBidi"/>
        </w:rPr>
        <w:t>promoting electric mobility</w:t>
      </w:r>
      <w:r w:rsidR="00505409" w:rsidRPr="00B84D47">
        <w:rPr>
          <w:rFonts w:asciiTheme="majorBidi" w:hAnsiTheme="majorBidi" w:cstheme="majorBidi"/>
        </w:rPr>
        <w:t>.</w:t>
      </w:r>
    </w:p>
    <w:p w14:paraId="4E3F0353" w14:textId="3CC98861" w:rsidR="00505409" w:rsidRPr="00B84D47" w:rsidRDefault="00505409" w:rsidP="008E7809">
      <w:pPr>
        <w:spacing w:line="240" w:lineRule="auto"/>
        <w:jc w:val="both"/>
        <w:rPr>
          <w:rFonts w:asciiTheme="majorBidi" w:hAnsiTheme="majorBidi" w:cstheme="majorBidi"/>
        </w:rPr>
      </w:pPr>
      <w:r w:rsidRPr="00B84D47">
        <w:rPr>
          <w:rFonts w:asciiTheme="majorBidi" w:hAnsiTheme="majorBidi" w:cstheme="majorBidi"/>
        </w:rPr>
        <w:t xml:space="preserve">61. </w:t>
      </w:r>
      <w:r w:rsidR="00461D75" w:rsidRPr="00B84D47">
        <w:rPr>
          <w:rFonts w:asciiTheme="majorBidi" w:hAnsiTheme="majorBidi" w:cstheme="majorBidi"/>
        </w:rPr>
        <w:t xml:space="preserve">Some activities have huge potential </w:t>
      </w:r>
      <w:r w:rsidR="003B5818" w:rsidRPr="00B84D47">
        <w:rPr>
          <w:rFonts w:asciiTheme="majorBidi" w:hAnsiTheme="majorBidi" w:cstheme="majorBidi"/>
        </w:rPr>
        <w:t xml:space="preserve">for reducing emissions </w:t>
      </w:r>
      <w:r w:rsidR="00AF449B" w:rsidRPr="00B84D47">
        <w:rPr>
          <w:rFonts w:asciiTheme="majorBidi" w:hAnsiTheme="majorBidi" w:cstheme="majorBidi"/>
        </w:rPr>
        <w:t xml:space="preserve">in the agriculture sector. </w:t>
      </w:r>
      <w:r w:rsidRPr="00B84D47">
        <w:rPr>
          <w:rFonts w:asciiTheme="majorBidi" w:hAnsiTheme="majorBidi" w:cstheme="majorBidi"/>
        </w:rPr>
        <w:t xml:space="preserve">Switzerland, Hungary and Italy will continue </w:t>
      </w:r>
      <w:r w:rsidR="004A6F17" w:rsidRPr="00B84D47">
        <w:rPr>
          <w:rFonts w:asciiTheme="majorBidi" w:hAnsiTheme="majorBidi" w:cstheme="majorBidi"/>
        </w:rPr>
        <w:t xml:space="preserve">to implement further emission mitigation measures in </w:t>
      </w:r>
      <w:r w:rsidR="00AF449B" w:rsidRPr="00B84D47">
        <w:rPr>
          <w:rFonts w:asciiTheme="majorBidi" w:hAnsiTheme="majorBidi" w:cstheme="majorBidi"/>
        </w:rPr>
        <w:t>a</w:t>
      </w:r>
      <w:r w:rsidR="004A6F17" w:rsidRPr="00B84D47">
        <w:rPr>
          <w:rFonts w:asciiTheme="majorBidi" w:hAnsiTheme="majorBidi" w:cstheme="majorBidi"/>
        </w:rPr>
        <w:t xml:space="preserve">griculture sector through national/regional plans or targeted measures. </w:t>
      </w:r>
    </w:p>
    <w:p w14:paraId="1FB069F6" w14:textId="12E8503B" w:rsidR="008C5425" w:rsidRPr="00B84D47" w:rsidRDefault="008C5425" w:rsidP="008E7809">
      <w:pPr>
        <w:spacing w:line="240" w:lineRule="auto"/>
        <w:jc w:val="both"/>
        <w:rPr>
          <w:rFonts w:asciiTheme="majorBidi" w:hAnsiTheme="majorBidi" w:cstheme="majorBidi"/>
        </w:rPr>
      </w:pPr>
      <w:r w:rsidRPr="00B84D47">
        <w:rPr>
          <w:rFonts w:asciiTheme="majorBidi" w:hAnsiTheme="majorBidi" w:cstheme="majorBidi"/>
        </w:rPr>
        <w:t xml:space="preserve">62. </w:t>
      </w:r>
      <w:r w:rsidR="00502A34" w:rsidRPr="00B84D47">
        <w:rPr>
          <w:rFonts w:asciiTheme="majorBidi" w:hAnsiTheme="majorBidi" w:cstheme="majorBidi"/>
        </w:rPr>
        <w:t>Household sector is</w:t>
      </w:r>
      <w:r w:rsidR="00731997" w:rsidRPr="00B84D47">
        <w:rPr>
          <w:rFonts w:asciiTheme="majorBidi" w:hAnsiTheme="majorBidi" w:cstheme="majorBidi"/>
        </w:rPr>
        <w:t xml:space="preserve"> the key source for some pollutants in some countries.</w:t>
      </w:r>
      <w:r w:rsidR="00502A34" w:rsidRPr="00B84D47">
        <w:rPr>
          <w:rFonts w:asciiTheme="majorBidi" w:hAnsiTheme="majorBidi" w:cstheme="majorBidi"/>
        </w:rPr>
        <w:t xml:space="preserve"> </w:t>
      </w:r>
      <w:r w:rsidR="000B56BE" w:rsidRPr="00B84D47">
        <w:rPr>
          <w:rFonts w:asciiTheme="majorBidi" w:hAnsiTheme="majorBidi" w:cstheme="majorBidi"/>
        </w:rPr>
        <w:t xml:space="preserve">Future steps </w:t>
      </w:r>
      <w:r w:rsidR="00502A34" w:rsidRPr="00B84D47">
        <w:rPr>
          <w:rFonts w:asciiTheme="majorBidi" w:hAnsiTheme="majorBidi" w:cstheme="majorBidi"/>
        </w:rPr>
        <w:t xml:space="preserve">will be taken by Poland, Italy and Hungary </w:t>
      </w:r>
      <w:r w:rsidR="000B56BE" w:rsidRPr="00B84D47">
        <w:rPr>
          <w:rFonts w:asciiTheme="majorBidi" w:hAnsiTheme="majorBidi" w:cstheme="majorBidi"/>
        </w:rPr>
        <w:t xml:space="preserve">to increase </w:t>
      </w:r>
      <w:r w:rsidR="00723135" w:rsidRPr="00B84D47">
        <w:rPr>
          <w:rFonts w:asciiTheme="majorBidi" w:hAnsiTheme="majorBidi" w:cstheme="majorBidi"/>
        </w:rPr>
        <w:t xml:space="preserve">the </w:t>
      </w:r>
      <w:r w:rsidR="000B56BE" w:rsidRPr="00B84D47">
        <w:rPr>
          <w:rFonts w:asciiTheme="majorBidi" w:hAnsiTheme="majorBidi" w:cstheme="majorBidi"/>
        </w:rPr>
        <w:t>energy efficiency of buildings</w:t>
      </w:r>
      <w:r w:rsidR="00731997" w:rsidRPr="00B84D47">
        <w:rPr>
          <w:rFonts w:asciiTheme="majorBidi" w:hAnsiTheme="majorBidi" w:cstheme="majorBidi"/>
        </w:rPr>
        <w:t xml:space="preserve">, as well as to </w:t>
      </w:r>
      <w:r w:rsidR="00723135" w:rsidRPr="00B84D47">
        <w:rPr>
          <w:rFonts w:asciiTheme="majorBidi" w:hAnsiTheme="majorBidi" w:cstheme="majorBidi"/>
        </w:rPr>
        <w:t>switch</w:t>
      </w:r>
      <w:r w:rsidR="00731997" w:rsidRPr="00B84D47">
        <w:rPr>
          <w:rFonts w:asciiTheme="majorBidi" w:hAnsiTheme="majorBidi" w:cstheme="majorBidi"/>
        </w:rPr>
        <w:t xml:space="preserve"> </w:t>
      </w:r>
      <w:r w:rsidR="00723135" w:rsidRPr="00B84D47">
        <w:rPr>
          <w:rFonts w:asciiTheme="majorBidi" w:hAnsiTheme="majorBidi" w:cstheme="majorBidi"/>
        </w:rPr>
        <w:t>to</w:t>
      </w:r>
      <w:r w:rsidR="00731997" w:rsidRPr="00B84D47">
        <w:rPr>
          <w:rFonts w:asciiTheme="majorBidi" w:hAnsiTheme="majorBidi" w:cstheme="majorBidi"/>
        </w:rPr>
        <w:t xml:space="preserve"> cleaner </w:t>
      </w:r>
      <w:r w:rsidR="00723135" w:rsidRPr="00B84D47">
        <w:rPr>
          <w:rFonts w:asciiTheme="majorBidi" w:hAnsiTheme="majorBidi" w:cstheme="majorBidi"/>
        </w:rPr>
        <w:t xml:space="preserve">heat sources with </w:t>
      </w:r>
      <w:r w:rsidR="00731997" w:rsidRPr="00B84D47">
        <w:rPr>
          <w:rFonts w:asciiTheme="majorBidi" w:hAnsiTheme="majorBidi" w:cstheme="majorBidi"/>
        </w:rPr>
        <w:t>low or zero emission</w:t>
      </w:r>
      <w:r w:rsidR="00723135" w:rsidRPr="00B84D47">
        <w:rPr>
          <w:rFonts w:asciiTheme="majorBidi" w:hAnsiTheme="majorBidi" w:cstheme="majorBidi"/>
        </w:rPr>
        <w:t>s</w:t>
      </w:r>
      <w:r w:rsidR="004D5E72" w:rsidRPr="00B84D47">
        <w:rPr>
          <w:rFonts w:asciiTheme="majorBidi" w:hAnsiTheme="majorBidi" w:cstheme="majorBidi"/>
        </w:rPr>
        <w:t xml:space="preserve"> and to </w:t>
      </w:r>
      <w:r w:rsidR="00723135" w:rsidRPr="00B84D47">
        <w:rPr>
          <w:rFonts w:asciiTheme="majorBidi" w:hAnsiTheme="majorBidi" w:cstheme="majorBidi"/>
        </w:rPr>
        <w:t>replace</w:t>
      </w:r>
      <w:r w:rsidR="000B56BE" w:rsidRPr="00B84D47">
        <w:rPr>
          <w:rFonts w:asciiTheme="majorBidi" w:hAnsiTheme="majorBidi" w:cstheme="majorBidi"/>
        </w:rPr>
        <w:t xml:space="preserve"> wood burning </w:t>
      </w:r>
      <w:r w:rsidR="00723135" w:rsidRPr="00B84D47">
        <w:rPr>
          <w:rFonts w:asciiTheme="majorBidi" w:hAnsiTheme="majorBidi" w:cstheme="majorBidi"/>
        </w:rPr>
        <w:t>facilities with new, cleaner and more energy efficient ones.</w:t>
      </w:r>
    </w:p>
    <w:p w14:paraId="755AA120" w14:textId="6436A5B1" w:rsidR="001F2FB3" w:rsidRPr="00B84D47" w:rsidRDefault="00DC7C56" w:rsidP="008E7809">
      <w:pPr>
        <w:spacing w:line="240" w:lineRule="auto"/>
        <w:jc w:val="both"/>
        <w:rPr>
          <w:rFonts w:asciiTheme="majorBidi" w:hAnsiTheme="majorBidi" w:cstheme="majorBidi"/>
        </w:rPr>
      </w:pPr>
      <w:r w:rsidRPr="00B84D47">
        <w:rPr>
          <w:rFonts w:asciiTheme="majorBidi" w:hAnsiTheme="majorBidi" w:cstheme="majorBidi"/>
        </w:rPr>
        <w:t xml:space="preserve">63. Georgia, Romania and Hungary </w:t>
      </w:r>
      <w:r w:rsidR="002D3493" w:rsidRPr="00B84D47">
        <w:rPr>
          <w:rFonts w:asciiTheme="majorBidi" w:hAnsiTheme="majorBidi" w:cstheme="majorBidi"/>
        </w:rPr>
        <w:t xml:space="preserve">have concrete plans </w:t>
      </w:r>
      <w:r w:rsidR="0060115D" w:rsidRPr="00B84D47">
        <w:rPr>
          <w:rFonts w:asciiTheme="majorBidi" w:hAnsiTheme="majorBidi" w:cstheme="majorBidi"/>
        </w:rPr>
        <w:t>to</w:t>
      </w:r>
      <w:r w:rsidR="002D3493" w:rsidRPr="00B84D47">
        <w:rPr>
          <w:rFonts w:asciiTheme="majorBidi" w:hAnsiTheme="majorBidi" w:cstheme="majorBidi"/>
        </w:rPr>
        <w:t xml:space="preserve"> further extension of ambient air quality monitoring network</w:t>
      </w:r>
      <w:r w:rsidR="0060115D" w:rsidRPr="00B84D47">
        <w:rPr>
          <w:rFonts w:asciiTheme="majorBidi" w:hAnsiTheme="majorBidi" w:cstheme="majorBidi"/>
        </w:rPr>
        <w:t xml:space="preserve">, improve of data quality </w:t>
      </w:r>
      <w:r w:rsidR="002D3493" w:rsidRPr="00B84D47">
        <w:rPr>
          <w:rFonts w:asciiTheme="majorBidi" w:hAnsiTheme="majorBidi" w:cstheme="majorBidi"/>
        </w:rPr>
        <w:t xml:space="preserve">and </w:t>
      </w:r>
      <w:r w:rsidR="0060115D" w:rsidRPr="00B84D47">
        <w:rPr>
          <w:rFonts w:asciiTheme="majorBidi" w:hAnsiTheme="majorBidi" w:cstheme="majorBidi"/>
        </w:rPr>
        <w:t xml:space="preserve">enhance the </w:t>
      </w:r>
      <w:r w:rsidR="002D3493" w:rsidRPr="00B84D47">
        <w:rPr>
          <w:rFonts w:asciiTheme="majorBidi" w:hAnsiTheme="majorBidi" w:cstheme="majorBidi"/>
        </w:rPr>
        <w:t>assessment system. In particular, Georgia</w:t>
      </w:r>
      <w:r w:rsidR="0060115D" w:rsidRPr="00B84D47">
        <w:rPr>
          <w:rFonts w:asciiTheme="majorBidi" w:hAnsiTheme="majorBidi" w:cstheme="majorBidi"/>
        </w:rPr>
        <w:t>,</w:t>
      </w:r>
      <w:r w:rsidR="002D3493" w:rsidRPr="00B84D47">
        <w:rPr>
          <w:rFonts w:asciiTheme="majorBidi" w:hAnsiTheme="majorBidi" w:cstheme="majorBidi"/>
        </w:rPr>
        <w:t xml:space="preserve"> </w:t>
      </w:r>
      <w:r w:rsidR="0060115D" w:rsidRPr="00B84D47">
        <w:rPr>
          <w:rFonts w:asciiTheme="majorBidi" w:hAnsiTheme="majorBidi" w:cstheme="majorBidi"/>
        </w:rPr>
        <w:t>with</w:t>
      </w:r>
      <w:r w:rsidR="002D3493" w:rsidRPr="00B84D47">
        <w:rPr>
          <w:rFonts w:asciiTheme="majorBidi" w:hAnsiTheme="majorBidi" w:cstheme="majorBidi"/>
        </w:rPr>
        <w:t xml:space="preserve"> the support of </w:t>
      </w:r>
      <w:r w:rsidR="0060115D" w:rsidRPr="00B84D47">
        <w:rPr>
          <w:rFonts w:asciiTheme="majorBidi" w:hAnsiTheme="majorBidi" w:cstheme="majorBidi"/>
        </w:rPr>
        <w:t xml:space="preserve">the </w:t>
      </w:r>
      <w:r w:rsidR="002D3493" w:rsidRPr="00B84D47">
        <w:rPr>
          <w:rFonts w:asciiTheme="majorBidi" w:hAnsiTheme="majorBidi" w:cstheme="majorBidi"/>
        </w:rPr>
        <w:t xml:space="preserve">Swedish government and </w:t>
      </w:r>
      <w:r w:rsidR="0060115D" w:rsidRPr="00B84D47">
        <w:rPr>
          <w:rFonts w:asciiTheme="majorBidi" w:hAnsiTheme="majorBidi" w:cstheme="majorBidi"/>
        </w:rPr>
        <w:t xml:space="preserve">the </w:t>
      </w:r>
      <w:r w:rsidR="002D3493" w:rsidRPr="00B84D47">
        <w:rPr>
          <w:rFonts w:asciiTheme="majorBidi" w:hAnsiTheme="majorBidi" w:cstheme="majorBidi"/>
        </w:rPr>
        <w:t xml:space="preserve">European Union, </w:t>
      </w:r>
      <w:r w:rsidR="0060115D" w:rsidRPr="00B84D47">
        <w:rPr>
          <w:rFonts w:asciiTheme="majorBidi" w:hAnsiTheme="majorBidi" w:cstheme="majorBidi"/>
        </w:rPr>
        <w:t xml:space="preserve">will add 8 new automatic monitoring stations in 2022, and 10 more in 2023. Hungary will continue </w:t>
      </w:r>
      <w:r w:rsidR="002E0EAB" w:rsidRPr="00B84D47">
        <w:rPr>
          <w:rFonts w:asciiTheme="majorBidi" w:hAnsiTheme="majorBidi" w:cstheme="majorBidi"/>
        </w:rPr>
        <w:t xml:space="preserve">improvement of its modeling system through perfection of input data </w:t>
      </w:r>
      <w:r w:rsidR="0065533D" w:rsidRPr="00B84D47">
        <w:rPr>
          <w:rFonts w:asciiTheme="majorBidi" w:hAnsiTheme="majorBidi" w:cstheme="majorBidi"/>
        </w:rPr>
        <w:t xml:space="preserve">and will establish of air quality forecast. Romania </w:t>
      </w:r>
      <w:r w:rsidR="00B25037" w:rsidRPr="00B84D47">
        <w:rPr>
          <w:rFonts w:asciiTheme="majorBidi" w:hAnsiTheme="majorBidi" w:cstheme="majorBidi"/>
        </w:rPr>
        <w:t>will optimize</w:t>
      </w:r>
      <w:r w:rsidR="0065533D" w:rsidRPr="00B84D47">
        <w:rPr>
          <w:rFonts w:asciiTheme="majorBidi" w:hAnsiTheme="majorBidi" w:cstheme="majorBidi"/>
        </w:rPr>
        <w:t xml:space="preserve"> its monitoring network to reach the data quality objectives </w:t>
      </w:r>
      <w:r w:rsidR="00B25037" w:rsidRPr="00B84D47">
        <w:rPr>
          <w:rFonts w:asciiTheme="majorBidi" w:hAnsiTheme="majorBidi" w:cstheme="majorBidi"/>
        </w:rPr>
        <w:t>set</w:t>
      </w:r>
      <w:r w:rsidR="0065533D" w:rsidRPr="00B84D47">
        <w:rPr>
          <w:rFonts w:asciiTheme="majorBidi" w:hAnsiTheme="majorBidi" w:cstheme="majorBidi"/>
        </w:rPr>
        <w:t xml:space="preserve"> at European level </w:t>
      </w:r>
      <w:r w:rsidR="0065533D" w:rsidRPr="00B84D47">
        <w:rPr>
          <w:rFonts w:asciiTheme="majorBidi" w:hAnsiTheme="majorBidi" w:cstheme="majorBidi"/>
          <w:color w:val="000000"/>
        </w:rPr>
        <w:t xml:space="preserve">and to </w:t>
      </w:r>
      <w:r w:rsidR="00B25037" w:rsidRPr="00B84D47">
        <w:rPr>
          <w:rFonts w:asciiTheme="majorBidi" w:hAnsiTheme="majorBidi" w:cstheme="majorBidi"/>
          <w:color w:val="000000"/>
        </w:rPr>
        <w:t>meet</w:t>
      </w:r>
      <w:r w:rsidR="0065533D" w:rsidRPr="00B84D47">
        <w:rPr>
          <w:rFonts w:asciiTheme="majorBidi" w:hAnsiTheme="majorBidi" w:cstheme="majorBidi"/>
          <w:color w:val="000000"/>
        </w:rPr>
        <w:t xml:space="preserve"> the reporting obligations.</w:t>
      </w:r>
    </w:p>
    <w:p w14:paraId="1F7F5141" w14:textId="416CBCD0" w:rsidR="001600A3" w:rsidRPr="00B84D47" w:rsidRDefault="001600A3" w:rsidP="008E7809">
      <w:pPr>
        <w:spacing w:line="240" w:lineRule="auto"/>
        <w:jc w:val="both"/>
        <w:rPr>
          <w:rFonts w:asciiTheme="majorBidi" w:hAnsiTheme="majorBidi" w:cstheme="majorBidi"/>
        </w:rPr>
      </w:pPr>
      <w:r w:rsidRPr="00B84D47">
        <w:rPr>
          <w:rFonts w:asciiTheme="majorBidi" w:hAnsiTheme="majorBidi" w:cstheme="majorBidi"/>
        </w:rPr>
        <w:t xml:space="preserve">64. </w:t>
      </w:r>
      <w:r w:rsidR="00CF574A" w:rsidRPr="00B84D47">
        <w:rPr>
          <w:rFonts w:asciiTheme="majorBidi" w:hAnsiTheme="majorBidi" w:cstheme="majorBidi"/>
        </w:rPr>
        <w:t>Latvia, Romania and Georgia reported on additional steps to improve the accuracy of emission inventories and projections, as well as to develop gridded emission reports and improve the data collection system.</w:t>
      </w:r>
    </w:p>
    <w:p w14:paraId="0BA26851" w14:textId="1468E6FD" w:rsidR="003E69CC" w:rsidRPr="00B84D47" w:rsidRDefault="003E69CC" w:rsidP="008E7809">
      <w:pPr>
        <w:spacing w:line="240" w:lineRule="auto"/>
        <w:jc w:val="both"/>
        <w:rPr>
          <w:rFonts w:asciiTheme="majorBidi" w:hAnsiTheme="majorBidi" w:cstheme="majorBidi"/>
        </w:rPr>
      </w:pPr>
      <w:r w:rsidRPr="00B84D47">
        <w:rPr>
          <w:rFonts w:asciiTheme="majorBidi" w:hAnsiTheme="majorBidi" w:cstheme="majorBidi"/>
        </w:rPr>
        <w:t xml:space="preserve">65. </w:t>
      </w:r>
      <w:r w:rsidR="004027FB" w:rsidRPr="00B84D47">
        <w:rPr>
          <w:rFonts w:asciiTheme="majorBidi" w:hAnsiTheme="majorBidi" w:cstheme="majorBidi"/>
        </w:rPr>
        <w:t>Georgia, the Republic of Moldova</w:t>
      </w:r>
      <w:r w:rsidR="00280B16" w:rsidRPr="00B84D47">
        <w:rPr>
          <w:rFonts w:asciiTheme="majorBidi" w:hAnsiTheme="majorBidi" w:cstheme="majorBidi"/>
        </w:rPr>
        <w:t>, Switzerland</w:t>
      </w:r>
      <w:r w:rsidR="004027FB" w:rsidRPr="00B84D47">
        <w:rPr>
          <w:rFonts w:asciiTheme="majorBidi" w:hAnsiTheme="majorBidi" w:cstheme="majorBidi"/>
        </w:rPr>
        <w:t xml:space="preserve"> and UNECE will continue awareness raising activities</w:t>
      </w:r>
      <w:r w:rsidR="000453BA" w:rsidRPr="00B84D47">
        <w:rPr>
          <w:rFonts w:asciiTheme="majorBidi" w:hAnsiTheme="majorBidi" w:cstheme="majorBidi"/>
        </w:rPr>
        <w:t xml:space="preserve"> such as</w:t>
      </w:r>
      <w:r w:rsidR="004027FB" w:rsidRPr="00B84D47">
        <w:rPr>
          <w:rFonts w:asciiTheme="majorBidi" w:hAnsiTheme="majorBidi" w:cstheme="majorBidi"/>
        </w:rPr>
        <w:t xml:space="preserve"> </w:t>
      </w:r>
      <w:r w:rsidR="00CF574A" w:rsidRPr="00B84D47">
        <w:rPr>
          <w:rFonts w:asciiTheme="majorBidi" w:hAnsiTheme="majorBidi" w:cstheme="majorBidi"/>
        </w:rPr>
        <w:t xml:space="preserve">dissemination of information </w:t>
      </w:r>
      <w:r w:rsidR="000453BA" w:rsidRPr="00B84D47">
        <w:rPr>
          <w:rFonts w:asciiTheme="majorBidi" w:hAnsiTheme="majorBidi" w:cstheme="majorBidi"/>
        </w:rPr>
        <w:t xml:space="preserve">through air quality portal, </w:t>
      </w:r>
      <w:r w:rsidR="000453BA" w:rsidRPr="00B84D47">
        <w:rPr>
          <w:rFonts w:asciiTheme="majorBidi" w:hAnsiTheme="majorBidi" w:cstheme="majorBidi"/>
          <w:color w:val="000000"/>
        </w:rPr>
        <w:t>National Register of Emissions and Transfer of Pollutants</w:t>
      </w:r>
      <w:r w:rsidR="000453BA" w:rsidRPr="00B84D47">
        <w:rPr>
          <w:rFonts w:asciiTheme="majorBidi" w:hAnsiTheme="majorBidi" w:cstheme="majorBidi"/>
        </w:rPr>
        <w:t xml:space="preserve"> (PRTR) and participation in </w:t>
      </w:r>
      <w:r w:rsidR="00CF574A" w:rsidRPr="00B84D47">
        <w:rPr>
          <w:rFonts w:asciiTheme="majorBidi" w:hAnsiTheme="majorBidi" w:cstheme="majorBidi"/>
        </w:rPr>
        <w:t>various</w:t>
      </w:r>
      <w:r w:rsidR="000453BA" w:rsidRPr="00B84D47">
        <w:rPr>
          <w:rFonts w:asciiTheme="majorBidi" w:hAnsiTheme="majorBidi" w:cstheme="majorBidi"/>
        </w:rPr>
        <w:t xml:space="preserve"> fora. Romania and Switzerland </w:t>
      </w:r>
      <w:r w:rsidR="00777DBC" w:rsidRPr="00B84D47">
        <w:rPr>
          <w:rFonts w:asciiTheme="majorBidi" w:hAnsiTheme="majorBidi" w:cstheme="majorBidi"/>
        </w:rPr>
        <w:t xml:space="preserve">plan to strengthen cooperation </w:t>
      </w:r>
      <w:r w:rsidR="00280B16" w:rsidRPr="00B84D47">
        <w:rPr>
          <w:rFonts w:asciiTheme="majorBidi" w:hAnsiTheme="majorBidi" w:cstheme="majorBidi"/>
        </w:rPr>
        <w:t xml:space="preserve">with different institutions and </w:t>
      </w:r>
      <w:r w:rsidR="00CF574A" w:rsidRPr="00B84D47">
        <w:rPr>
          <w:rFonts w:asciiTheme="majorBidi" w:hAnsiTheme="majorBidi" w:cstheme="majorBidi"/>
        </w:rPr>
        <w:t xml:space="preserve">communicate </w:t>
      </w:r>
      <w:r w:rsidR="00280B16" w:rsidRPr="00B84D47">
        <w:rPr>
          <w:rFonts w:asciiTheme="majorBidi" w:hAnsiTheme="majorBidi" w:cstheme="majorBidi"/>
        </w:rPr>
        <w:t>more active</w:t>
      </w:r>
      <w:r w:rsidR="00CF574A" w:rsidRPr="00B84D47">
        <w:rPr>
          <w:rFonts w:asciiTheme="majorBidi" w:hAnsiTheme="majorBidi" w:cstheme="majorBidi"/>
        </w:rPr>
        <w:t>ly</w:t>
      </w:r>
      <w:r w:rsidR="00280B16" w:rsidRPr="00B84D47">
        <w:rPr>
          <w:rFonts w:asciiTheme="majorBidi" w:hAnsiTheme="majorBidi" w:cstheme="majorBidi"/>
        </w:rPr>
        <w:t xml:space="preserve"> with stakeholders.</w:t>
      </w:r>
    </w:p>
    <w:p w14:paraId="17724756" w14:textId="5F2DD95B" w:rsidR="00315DED" w:rsidRPr="00B84D47" w:rsidRDefault="00315DED" w:rsidP="008E7809">
      <w:pPr>
        <w:spacing w:line="240" w:lineRule="auto"/>
        <w:jc w:val="both"/>
        <w:rPr>
          <w:rFonts w:asciiTheme="majorBidi" w:hAnsiTheme="majorBidi" w:cstheme="majorBidi"/>
        </w:rPr>
      </w:pPr>
      <w:r w:rsidRPr="00B84D47">
        <w:rPr>
          <w:rFonts w:asciiTheme="majorBidi" w:hAnsiTheme="majorBidi" w:cstheme="majorBidi"/>
        </w:rPr>
        <w:t xml:space="preserve">66. Germany, Latvia, Lithuania, Sweden and UNECE </w:t>
      </w:r>
      <w:r w:rsidR="00AB0236" w:rsidRPr="00B84D47">
        <w:rPr>
          <w:rFonts w:asciiTheme="majorBidi" w:hAnsiTheme="majorBidi" w:cstheme="majorBidi"/>
        </w:rPr>
        <w:t xml:space="preserve">will </w:t>
      </w:r>
      <w:r w:rsidRPr="00B84D47">
        <w:rPr>
          <w:rFonts w:asciiTheme="majorBidi" w:hAnsiTheme="majorBidi" w:cstheme="majorBidi"/>
        </w:rPr>
        <w:t>take additional steps</w:t>
      </w:r>
      <w:r w:rsidR="00AB0236" w:rsidRPr="00B84D47">
        <w:rPr>
          <w:rFonts w:asciiTheme="majorBidi" w:hAnsiTheme="majorBidi" w:cstheme="majorBidi"/>
        </w:rPr>
        <w:t xml:space="preserve"> towards capacity building in different directions and countries. </w:t>
      </w:r>
      <w:r w:rsidR="00116A87" w:rsidRPr="00B84D47">
        <w:rPr>
          <w:rFonts w:asciiTheme="majorBidi" w:hAnsiTheme="majorBidi" w:cstheme="majorBidi"/>
        </w:rPr>
        <w:t xml:space="preserve">Latvia and Lithuania are striving to build domestic capacity, mainly in the area of emission inventories. Germany and UNECE are </w:t>
      </w:r>
      <w:r w:rsidR="007A1C11" w:rsidRPr="00B84D47">
        <w:rPr>
          <w:rFonts w:asciiTheme="majorBidi" w:hAnsiTheme="majorBidi" w:cstheme="majorBidi"/>
        </w:rPr>
        <w:t>focusing</w:t>
      </w:r>
      <w:r w:rsidR="00116A87" w:rsidRPr="00B84D47">
        <w:rPr>
          <w:rFonts w:asciiTheme="majorBidi" w:hAnsiTheme="majorBidi" w:cstheme="majorBidi"/>
        </w:rPr>
        <w:t xml:space="preserve"> on capacity building in </w:t>
      </w:r>
      <w:r w:rsidR="007A1C11" w:rsidRPr="00B84D47">
        <w:rPr>
          <w:rFonts w:asciiTheme="majorBidi" w:hAnsiTheme="majorBidi" w:cstheme="majorBidi"/>
        </w:rPr>
        <w:t xml:space="preserve">the </w:t>
      </w:r>
      <w:r w:rsidR="00116A87" w:rsidRPr="00B84D47">
        <w:rPr>
          <w:rFonts w:asciiTheme="majorBidi" w:hAnsiTheme="majorBidi" w:cstheme="majorBidi"/>
        </w:rPr>
        <w:t xml:space="preserve">EECCA region </w:t>
      </w:r>
      <w:r w:rsidR="007A1C11" w:rsidRPr="00B84D47">
        <w:rPr>
          <w:rFonts w:asciiTheme="majorBidi" w:hAnsiTheme="majorBidi" w:cstheme="majorBidi"/>
        </w:rPr>
        <w:t>o</w:t>
      </w:r>
      <w:r w:rsidR="00116A87" w:rsidRPr="00B84D47">
        <w:rPr>
          <w:rFonts w:asciiTheme="majorBidi" w:hAnsiTheme="majorBidi" w:cstheme="majorBidi"/>
        </w:rPr>
        <w:t>n air quality management policies and measures (including BAT)</w:t>
      </w:r>
      <w:r w:rsidR="007A1C11" w:rsidRPr="00B84D47">
        <w:rPr>
          <w:rFonts w:asciiTheme="majorBidi" w:hAnsiTheme="majorBidi" w:cstheme="majorBidi"/>
        </w:rPr>
        <w:t xml:space="preserve"> and</w:t>
      </w:r>
      <w:r w:rsidR="00116A87" w:rsidRPr="00B84D47">
        <w:rPr>
          <w:rFonts w:asciiTheme="majorBidi" w:hAnsiTheme="majorBidi" w:cstheme="majorBidi"/>
        </w:rPr>
        <w:t xml:space="preserve"> air pollutant emission inventories and projections. </w:t>
      </w:r>
      <w:r w:rsidR="007A1C11" w:rsidRPr="00B84D47">
        <w:rPr>
          <w:rFonts w:asciiTheme="majorBidi" w:hAnsiTheme="majorBidi" w:cstheme="majorBidi"/>
        </w:rPr>
        <w:t xml:space="preserve">While </w:t>
      </w:r>
      <w:r w:rsidR="00116A87" w:rsidRPr="00B84D47">
        <w:rPr>
          <w:rFonts w:asciiTheme="majorBidi" w:hAnsiTheme="majorBidi" w:cstheme="majorBidi"/>
        </w:rPr>
        <w:t>Sweden</w:t>
      </w:r>
      <w:r w:rsidR="007A1C11" w:rsidRPr="00B84D47">
        <w:rPr>
          <w:rFonts w:asciiTheme="majorBidi" w:hAnsiTheme="majorBidi" w:cstheme="majorBidi"/>
        </w:rPr>
        <w:t xml:space="preserve"> will continue to support air quality management activities in the Western Balkan countries.</w:t>
      </w:r>
    </w:p>
    <w:p w14:paraId="59B87A78" w14:textId="71F9AAA1" w:rsidR="00C309B2" w:rsidRPr="00B84D47" w:rsidRDefault="00C309B2" w:rsidP="008E7809">
      <w:pPr>
        <w:spacing w:line="240" w:lineRule="auto"/>
        <w:jc w:val="both"/>
        <w:rPr>
          <w:rFonts w:asciiTheme="majorBidi" w:hAnsiTheme="majorBidi" w:cstheme="majorBidi"/>
        </w:rPr>
      </w:pPr>
      <w:r w:rsidRPr="00B84D47">
        <w:rPr>
          <w:rFonts w:asciiTheme="majorBidi" w:hAnsiTheme="majorBidi" w:cstheme="majorBidi"/>
        </w:rPr>
        <w:t>67. Moldova plan to coordinate air quality management and climate change adaptation activities</w:t>
      </w:r>
      <w:r w:rsidR="00D75799" w:rsidRPr="00B84D47">
        <w:rPr>
          <w:rFonts w:asciiTheme="majorBidi" w:hAnsiTheme="majorBidi" w:cstheme="majorBidi"/>
        </w:rPr>
        <w:t xml:space="preserve">, together with improvement of legal frame and establishment of enforcement system for existing requirements in the VOC sector. Romania will continue work on approval of </w:t>
      </w:r>
      <w:r w:rsidR="00D75799" w:rsidRPr="00B84D47">
        <w:rPr>
          <w:rFonts w:asciiTheme="majorBidi" w:hAnsiTheme="majorBidi" w:cstheme="majorBidi"/>
          <w:color w:val="000000"/>
        </w:rPr>
        <w:t xml:space="preserve">the national </w:t>
      </w:r>
      <w:proofErr w:type="spellStart"/>
      <w:r w:rsidR="00D75799" w:rsidRPr="00B84D47">
        <w:rPr>
          <w:rFonts w:asciiTheme="majorBidi" w:hAnsiTheme="majorBidi" w:cstheme="majorBidi"/>
          <w:color w:val="000000"/>
        </w:rPr>
        <w:t>programme</w:t>
      </w:r>
      <w:proofErr w:type="spellEnd"/>
      <w:r w:rsidR="00D75799" w:rsidRPr="00B84D47">
        <w:rPr>
          <w:rFonts w:asciiTheme="majorBidi" w:hAnsiTheme="majorBidi" w:cstheme="majorBidi"/>
          <w:color w:val="000000"/>
        </w:rPr>
        <w:t xml:space="preserve"> to control air pollution.</w:t>
      </w:r>
    </w:p>
    <w:p w14:paraId="1B624FB2" w14:textId="71719FCA" w:rsidR="003E69CC" w:rsidRPr="00B84D47" w:rsidRDefault="000D0397" w:rsidP="008E7809">
      <w:pPr>
        <w:spacing w:line="240" w:lineRule="auto"/>
        <w:jc w:val="both"/>
        <w:rPr>
          <w:rFonts w:asciiTheme="majorBidi" w:hAnsiTheme="majorBidi" w:cstheme="majorBidi"/>
          <w:b/>
          <w:bCs/>
          <w:sz w:val="28"/>
          <w:szCs w:val="28"/>
        </w:rPr>
      </w:pPr>
      <w:r w:rsidRPr="00B84D47">
        <w:rPr>
          <w:rFonts w:asciiTheme="majorBidi" w:hAnsiTheme="majorBidi" w:cstheme="majorBidi"/>
          <w:b/>
          <w:bCs/>
          <w:sz w:val="28"/>
          <w:szCs w:val="28"/>
        </w:rPr>
        <w:t xml:space="preserve">IV. </w:t>
      </w:r>
      <w:bookmarkStart w:id="0" w:name="_Hlk100076443"/>
      <w:r w:rsidRPr="00B84D47">
        <w:rPr>
          <w:rFonts w:asciiTheme="majorBidi" w:hAnsiTheme="majorBidi" w:cstheme="majorBidi"/>
          <w:b/>
          <w:bCs/>
          <w:sz w:val="28"/>
          <w:szCs w:val="28"/>
        </w:rPr>
        <w:t>Usefulness of the Batumi Action for Cleaner Air</w:t>
      </w:r>
      <w:bookmarkEnd w:id="0"/>
    </w:p>
    <w:p w14:paraId="2F0C0584" w14:textId="3007E1C0" w:rsidR="000D0397" w:rsidRPr="00B84D47" w:rsidRDefault="000D0397" w:rsidP="008E7809">
      <w:pPr>
        <w:spacing w:line="240" w:lineRule="auto"/>
        <w:jc w:val="both"/>
        <w:rPr>
          <w:rFonts w:asciiTheme="majorBidi" w:hAnsiTheme="majorBidi" w:cstheme="majorBidi"/>
        </w:rPr>
      </w:pPr>
      <w:r w:rsidRPr="00B84D47">
        <w:rPr>
          <w:rFonts w:asciiTheme="majorBidi" w:hAnsiTheme="majorBidi" w:cstheme="majorBidi"/>
        </w:rPr>
        <w:lastRenderedPageBreak/>
        <w:t xml:space="preserve">68. </w:t>
      </w:r>
      <w:r w:rsidR="00325602" w:rsidRPr="00B84D47">
        <w:rPr>
          <w:rFonts w:asciiTheme="majorBidi" w:hAnsiTheme="majorBidi" w:cstheme="majorBidi"/>
        </w:rPr>
        <w:t>All</w:t>
      </w:r>
      <w:r w:rsidRPr="00B84D47">
        <w:rPr>
          <w:rFonts w:asciiTheme="majorBidi" w:hAnsiTheme="majorBidi" w:cstheme="majorBidi"/>
        </w:rPr>
        <w:t xml:space="preserve"> </w:t>
      </w:r>
      <w:r w:rsidR="00325602" w:rsidRPr="00B84D47">
        <w:rPr>
          <w:rFonts w:asciiTheme="majorBidi" w:hAnsiTheme="majorBidi" w:cstheme="majorBidi"/>
          <w:highlight w:val="yellow"/>
        </w:rPr>
        <w:t>15</w:t>
      </w:r>
      <w:r w:rsidR="00325602" w:rsidRPr="00B84D47">
        <w:rPr>
          <w:rFonts w:asciiTheme="majorBidi" w:hAnsiTheme="majorBidi" w:cstheme="majorBidi"/>
        </w:rPr>
        <w:t xml:space="preserve"> </w:t>
      </w:r>
      <w:r w:rsidRPr="00B84D47">
        <w:rPr>
          <w:rFonts w:asciiTheme="majorBidi" w:hAnsiTheme="majorBidi" w:cstheme="majorBidi"/>
        </w:rPr>
        <w:t>countries</w:t>
      </w:r>
      <w:r w:rsidR="00325602" w:rsidRPr="00B84D47">
        <w:rPr>
          <w:rStyle w:val="FootnoteReference"/>
          <w:rFonts w:asciiTheme="majorBidi" w:hAnsiTheme="majorBidi" w:cstheme="majorBidi"/>
        </w:rPr>
        <w:footnoteReference w:id="37"/>
      </w:r>
      <w:r w:rsidRPr="00B84D47">
        <w:rPr>
          <w:rFonts w:asciiTheme="majorBidi" w:hAnsiTheme="majorBidi" w:cstheme="majorBidi"/>
        </w:rPr>
        <w:t xml:space="preserve"> </w:t>
      </w:r>
      <w:r w:rsidR="00D63B1A" w:rsidRPr="00B84D47">
        <w:rPr>
          <w:rFonts w:asciiTheme="majorBidi" w:hAnsiTheme="majorBidi" w:cstheme="majorBidi"/>
        </w:rPr>
        <w:t xml:space="preserve">and </w:t>
      </w:r>
      <w:r w:rsidR="00FA1969" w:rsidRPr="00B84D47">
        <w:rPr>
          <w:rFonts w:asciiTheme="majorBidi" w:hAnsiTheme="majorBidi" w:cstheme="majorBidi"/>
          <w:highlight w:val="yellow"/>
        </w:rPr>
        <w:t>one</w:t>
      </w:r>
      <w:r w:rsidR="00FA1969" w:rsidRPr="00B84D47">
        <w:rPr>
          <w:rFonts w:asciiTheme="majorBidi" w:hAnsiTheme="majorBidi" w:cstheme="majorBidi"/>
        </w:rPr>
        <w:t xml:space="preserve"> </w:t>
      </w:r>
      <w:r w:rsidR="00D63B1A" w:rsidRPr="00B84D47">
        <w:rPr>
          <w:rFonts w:asciiTheme="majorBidi" w:hAnsiTheme="majorBidi" w:cstheme="majorBidi"/>
        </w:rPr>
        <w:t>organization</w:t>
      </w:r>
      <w:r w:rsidR="00D63B1A" w:rsidRPr="00B84D47">
        <w:rPr>
          <w:rStyle w:val="FootnoteReference"/>
          <w:rFonts w:asciiTheme="majorBidi" w:hAnsiTheme="majorBidi" w:cstheme="majorBidi"/>
        </w:rPr>
        <w:footnoteReference w:id="38"/>
      </w:r>
      <w:r w:rsidR="00D63B1A" w:rsidRPr="00B84D47">
        <w:rPr>
          <w:rFonts w:asciiTheme="majorBidi" w:hAnsiTheme="majorBidi" w:cstheme="majorBidi"/>
        </w:rPr>
        <w:t xml:space="preserve"> </w:t>
      </w:r>
      <w:r w:rsidR="00FE011C" w:rsidRPr="00B84D47">
        <w:rPr>
          <w:rFonts w:asciiTheme="majorBidi" w:hAnsiTheme="majorBidi" w:cstheme="majorBidi"/>
        </w:rPr>
        <w:t xml:space="preserve">that </w:t>
      </w:r>
      <w:r w:rsidR="00D63B1A" w:rsidRPr="00B84D47">
        <w:rPr>
          <w:rFonts w:asciiTheme="majorBidi" w:hAnsiTheme="majorBidi" w:cstheme="majorBidi"/>
        </w:rPr>
        <w:t>responded</w:t>
      </w:r>
      <w:r w:rsidRPr="00B84D47">
        <w:rPr>
          <w:rFonts w:asciiTheme="majorBidi" w:hAnsiTheme="majorBidi" w:cstheme="majorBidi"/>
        </w:rPr>
        <w:t xml:space="preserve"> </w:t>
      </w:r>
      <w:r w:rsidR="00325602" w:rsidRPr="00B84D47">
        <w:rPr>
          <w:rFonts w:asciiTheme="majorBidi" w:hAnsiTheme="majorBidi" w:cstheme="majorBidi"/>
        </w:rPr>
        <w:t>on question about the usefulness of the BACA consider</w:t>
      </w:r>
      <w:r w:rsidR="00FE011C" w:rsidRPr="00B84D47">
        <w:rPr>
          <w:rFonts w:asciiTheme="majorBidi" w:hAnsiTheme="majorBidi" w:cstheme="majorBidi"/>
        </w:rPr>
        <w:t>ed</w:t>
      </w:r>
      <w:r w:rsidR="00325602" w:rsidRPr="00B84D47">
        <w:rPr>
          <w:rFonts w:asciiTheme="majorBidi" w:hAnsiTheme="majorBidi" w:cstheme="majorBidi"/>
        </w:rPr>
        <w:t xml:space="preserve"> this voluntary instrument useful</w:t>
      </w:r>
      <w:r w:rsidR="00614E04" w:rsidRPr="00B84D47">
        <w:rPr>
          <w:rFonts w:asciiTheme="majorBidi" w:hAnsiTheme="majorBidi" w:cstheme="majorBidi"/>
        </w:rPr>
        <w:t xml:space="preserve"> and m</w:t>
      </w:r>
      <w:r w:rsidR="00325602" w:rsidRPr="00B84D47">
        <w:rPr>
          <w:rFonts w:asciiTheme="majorBidi" w:hAnsiTheme="majorBidi" w:cstheme="majorBidi"/>
        </w:rPr>
        <w:t xml:space="preserve">ost of them (9 </w:t>
      </w:r>
      <w:r w:rsidR="00FE011C" w:rsidRPr="00B84D47">
        <w:rPr>
          <w:rFonts w:asciiTheme="majorBidi" w:hAnsiTheme="majorBidi" w:cstheme="majorBidi"/>
        </w:rPr>
        <w:t xml:space="preserve">out </w:t>
      </w:r>
      <w:r w:rsidR="00325602" w:rsidRPr="00B84D47">
        <w:rPr>
          <w:rFonts w:asciiTheme="majorBidi" w:hAnsiTheme="majorBidi" w:cstheme="majorBidi"/>
        </w:rPr>
        <w:t>of 15) f</w:t>
      </w:r>
      <w:r w:rsidR="00FE011C" w:rsidRPr="00B84D47">
        <w:rPr>
          <w:rFonts w:asciiTheme="majorBidi" w:hAnsiTheme="majorBidi" w:cstheme="majorBidi"/>
        </w:rPr>
        <w:t>ou</w:t>
      </w:r>
      <w:r w:rsidR="00325602" w:rsidRPr="00B84D47">
        <w:rPr>
          <w:rFonts w:asciiTheme="majorBidi" w:hAnsiTheme="majorBidi" w:cstheme="majorBidi"/>
        </w:rPr>
        <w:t>nd BACA very useful</w:t>
      </w:r>
      <w:r w:rsidR="00614E04" w:rsidRPr="00B84D47">
        <w:rPr>
          <w:rFonts w:asciiTheme="majorBidi" w:hAnsiTheme="majorBidi" w:cstheme="majorBidi"/>
        </w:rPr>
        <w:t>.</w:t>
      </w:r>
      <w:r w:rsidR="00325602" w:rsidRPr="00B84D47">
        <w:rPr>
          <w:rFonts w:asciiTheme="majorBidi" w:hAnsiTheme="majorBidi" w:cstheme="majorBidi"/>
        </w:rPr>
        <w:t xml:space="preserve"> </w:t>
      </w:r>
      <w:r w:rsidR="00D63B1A" w:rsidRPr="00B84D47">
        <w:rPr>
          <w:rFonts w:asciiTheme="majorBidi" w:hAnsiTheme="majorBidi" w:cstheme="majorBidi"/>
        </w:rPr>
        <w:t>Some of the participating countries consider</w:t>
      </w:r>
      <w:r w:rsidR="00C41384" w:rsidRPr="00B84D47">
        <w:rPr>
          <w:rFonts w:asciiTheme="majorBidi" w:hAnsiTheme="majorBidi" w:cstheme="majorBidi"/>
        </w:rPr>
        <w:t>ed</w:t>
      </w:r>
      <w:r w:rsidR="00D63B1A" w:rsidRPr="00B84D47">
        <w:rPr>
          <w:rFonts w:asciiTheme="majorBidi" w:hAnsiTheme="majorBidi" w:cstheme="majorBidi"/>
        </w:rPr>
        <w:t xml:space="preserve"> BACA </w:t>
      </w:r>
      <w:r w:rsidR="00C41384" w:rsidRPr="00B84D47">
        <w:rPr>
          <w:rFonts w:asciiTheme="majorBidi" w:hAnsiTheme="majorBidi" w:cstheme="majorBidi"/>
        </w:rPr>
        <w:t xml:space="preserve">to be a </w:t>
      </w:r>
      <w:r w:rsidR="00D63B1A" w:rsidRPr="00B84D47">
        <w:rPr>
          <w:rFonts w:asciiTheme="majorBidi" w:hAnsiTheme="majorBidi" w:cstheme="majorBidi"/>
        </w:rPr>
        <w:t>very valuable</w:t>
      </w:r>
      <w:r w:rsidR="00C41384" w:rsidRPr="00B84D47">
        <w:rPr>
          <w:rFonts w:asciiTheme="majorBidi" w:hAnsiTheme="majorBidi" w:cstheme="majorBidi"/>
        </w:rPr>
        <w:t xml:space="preserve"> tool</w:t>
      </w:r>
      <w:r w:rsidR="00D63B1A" w:rsidRPr="00B84D47">
        <w:rPr>
          <w:rFonts w:asciiTheme="majorBidi" w:hAnsiTheme="majorBidi" w:cstheme="majorBidi"/>
        </w:rPr>
        <w:t xml:space="preserve"> </w:t>
      </w:r>
      <w:r w:rsidR="00C41384" w:rsidRPr="00B84D47">
        <w:rPr>
          <w:rFonts w:asciiTheme="majorBidi" w:hAnsiTheme="majorBidi" w:cstheme="majorBidi"/>
        </w:rPr>
        <w:t>for</w:t>
      </w:r>
      <w:r w:rsidR="00D63B1A" w:rsidRPr="00B84D47">
        <w:rPr>
          <w:rFonts w:asciiTheme="majorBidi" w:hAnsiTheme="majorBidi" w:cstheme="majorBidi"/>
        </w:rPr>
        <w:t xml:space="preserve"> the </w:t>
      </w:r>
      <w:r w:rsidR="00FA1969" w:rsidRPr="00B84D47">
        <w:rPr>
          <w:rFonts w:asciiTheme="majorBidi" w:hAnsiTheme="majorBidi" w:cstheme="majorBidi"/>
        </w:rPr>
        <w:t xml:space="preserve">adoption and implementation of activities </w:t>
      </w:r>
      <w:r w:rsidR="00C41384" w:rsidRPr="00B84D47">
        <w:rPr>
          <w:rFonts w:asciiTheme="majorBidi" w:hAnsiTheme="majorBidi" w:cstheme="majorBidi"/>
        </w:rPr>
        <w:t>aimed</w:t>
      </w:r>
      <w:r w:rsidR="00FA1969" w:rsidRPr="00B84D47">
        <w:rPr>
          <w:rFonts w:asciiTheme="majorBidi" w:hAnsiTheme="majorBidi" w:cstheme="majorBidi"/>
        </w:rPr>
        <w:t xml:space="preserve"> to improvement of ambient air quality. Other countries </w:t>
      </w:r>
      <w:r w:rsidR="00C41384" w:rsidRPr="00B84D47">
        <w:rPr>
          <w:rFonts w:asciiTheme="majorBidi" w:hAnsiTheme="majorBidi" w:cstheme="majorBidi"/>
        </w:rPr>
        <w:t>found</w:t>
      </w:r>
      <w:r w:rsidR="00FA1969" w:rsidRPr="00B84D47">
        <w:rPr>
          <w:rFonts w:asciiTheme="majorBidi" w:hAnsiTheme="majorBidi" w:cstheme="majorBidi"/>
        </w:rPr>
        <w:t xml:space="preserve"> that BACA is a good instrument </w:t>
      </w:r>
      <w:r w:rsidR="00C41384" w:rsidRPr="00B84D47">
        <w:rPr>
          <w:rFonts w:asciiTheme="majorBidi" w:hAnsiTheme="majorBidi" w:cstheme="majorBidi"/>
        </w:rPr>
        <w:t>for sharing best practices and example of successful projects.</w:t>
      </w:r>
    </w:p>
    <w:p w14:paraId="396C4D3B" w14:textId="772D47FD" w:rsidR="00C41384" w:rsidRPr="00B84D47" w:rsidRDefault="00C41384" w:rsidP="008E7809">
      <w:pPr>
        <w:spacing w:line="240" w:lineRule="auto"/>
        <w:jc w:val="both"/>
        <w:rPr>
          <w:rFonts w:asciiTheme="majorBidi" w:hAnsiTheme="majorBidi" w:cstheme="majorBidi"/>
        </w:rPr>
      </w:pPr>
      <w:r w:rsidRPr="00B84D47">
        <w:rPr>
          <w:rFonts w:asciiTheme="majorBidi" w:hAnsiTheme="majorBidi" w:cstheme="majorBidi"/>
        </w:rPr>
        <w:t>69. UNECE and other countries</w:t>
      </w:r>
      <w:r w:rsidR="006864DF" w:rsidRPr="00B84D47">
        <w:rPr>
          <w:rFonts w:asciiTheme="majorBidi" w:hAnsiTheme="majorBidi" w:cstheme="majorBidi"/>
        </w:rPr>
        <w:t xml:space="preserve"> have concluded that </w:t>
      </w:r>
      <w:r w:rsidRPr="00B84D47">
        <w:rPr>
          <w:rFonts w:asciiTheme="majorBidi" w:hAnsiTheme="majorBidi" w:cstheme="majorBidi"/>
        </w:rPr>
        <w:t xml:space="preserve">BACA </w:t>
      </w:r>
      <w:r w:rsidR="006864DF" w:rsidRPr="00B84D47">
        <w:rPr>
          <w:rFonts w:asciiTheme="majorBidi" w:hAnsiTheme="majorBidi" w:cstheme="majorBidi"/>
        </w:rPr>
        <w:t>is</w:t>
      </w:r>
      <w:r w:rsidRPr="00B84D47">
        <w:rPr>
          <w:rFonts w:asciiTheme="majorBidi" w:hAnsiTheme="majorBidi" w:cstheme="majorBidi"/>
        </w:rPr>
        <w:t xml:space="preserve"> a useful tool</w:t>
      </w:r>
      <w:r w:rsidR="006864DF" w:rsidRPr="00B84D47">
        <w:rPr>
          <w:rFonts w:asciiTheme="majorBidi" w:hAnsiTheme="majorBidi" w:cstheme="majorBidi"/>
        </w:rPr>
        <w:t xml:space="preserve"> to raise awareness about air quality issues in different levels and target groups. One country </w:t>
      </w:r>
      <w:r w:rsidR="000C47E0" w:rsidRPr="00B84D47">
        <w:rPr>
          <w:rFonts w:asciiTheme="majorBidi" w:hAnsiTheme="majorBidi" w:cstheme="majorBidi"/>
        </w:rPr>
        <w:t>finds</w:t>
      </w:r>
      <w:r w:rsidR="00B93D4F" w:rsidRPr="00B84D47">
        <w:rPr>
          <w:rFonts w:asciiTheme="majorBidi" w:hAnsiTheme="majorBidi" w:cstheme="majorBidi"/>
        </w:rPr>
        <w:t xml:space="preserve"> that BACA can be used for introduction of BAT</w:t>
      </w:r>
      <w:r w:rsidR="002B3BCB" w:rsidRPr="00B84D47">
        <w:rPr>
          <w:rFonts w:asciiTheme="majorBidi" w:hAnsiTheme="majorBidi" w:cstheme="majorBidi"/>
        </w:rPr>
        <w:t xml:space="preserve"> that will be useful for the implementation of re</w:t>
      </w:r>
      <w:r w:rsidR="000C47E0" w:rsidRPr="00B84D47">
        <w:rPr>
          <w:rFonts w:asciiTheme="majorBidi" w:hAnsiTheme="majorBidi" w:cstheme="majorBidi"/>
        </w:rPr>
        <w:t xml:space="preserve">quirements under various </w:t>
      </w:r>
      <w:proofErr w:type="spellStart"/>
      <w:r w:rsidR="000C47E0" w:rsidRPr="00B84D47">
        <w:rPr>
          <w:rFonts w:asciiTheme="majorBidi" w:hAnsiTheme="majorBidi" w:cstheme="majorBidi"/>
        </w:rPr>
        <w:t>MEAs.</w:t>
      </w:r>
      <w:proofErr w:type="spellEnd"/>
    </w:p>
    <w:p w14:paraId="1F2FB4AA" w14:textId="0432AC10" w:rsidR="006D4547" w:rsidRPr="00B84D47" w:rsidRDefault="006D4547" w:rsidP="006D4547">
      <w:pPr>
        <w:rPr>
          <w:rFonts w:asciiTheme="majorBidi" w:hAnsiTheme="majorBidi" w:cstheme="majorBidi"/>
        </w:rPr>
      </w:pPr>
    </w:p>
    <w:p w14:paraId="2974229D" w14:textId="77777777" w:rsidR="006301A8" w:rsidRDefault="006301A8">
      <w:pPr>
        <w:rPr>
          <w:rFonts w:asciiTheme="majorBidi" w:hAnsiTheme="majorBidi" w:cstheme="majorBidi"/>
          <w:b/>
          <w:bCs/>
          <w:sz w:val="28"/>
          <w:szCs w:val="28"/>
        </w:rPr>
      </w:pPr>
      <w:r>
        <w:rPr>
          <w:rFonts w:asciiTheme="majorBidi" w:hAnsiTheme="majorBidi" w:cstheme="majorBidi"/>
          <w:b/>
          <w:bCs/>
          <w:sz w:val="28"/>
          <w:szCs w:val="28"/>
        </w:rPr>
        <w:br w:type="page"/>
      </w:r>
    </w:p>
    <w:p w14:paraId="0DCD1A5E" w14:textId="496E59B4" w:rsidR="006D4547" w:rsidRPr="00B84D47" w:rsidRDefault="006D4547" w:rsidP="006D4547">
      <w:pPr>
        <w:rPr>
          <w:rFonts w:asciiTheme="majorBidi" w:hAnsiTheme="majorBidi" w:cstheme="majorBidi"/>
          <w:b/>
          <w:bCs/>
          <w:sz w:val="28"/>
          <w:szCs w:val="28"/>
        </w:rPr>
      </w:pPr>
      <w:r w:rsidRPr="00B84D47">
        <w:rPr>
          <w:rFonts w:asciiTheme="majorBidi" w:hAnsiTheme="majorBidi" w:cstheme="majorBidi"/>
          <w:b/>
          <w:bCs/>
          <w:sz w:val="28"/>
          <w:szCs w:val="28"/>
        </w:rPr>
        <w:lastRenderedPageBreak/>
        <w:t>Annex</w:t>
      </w:r>
    </w:p>
    <w:p w14:paraId="11F79DC5" w14:textId="4E254F86" w:rsidR="009A3149" w:rsidRPr="00B84D47" w:rsidRDefault="009A3149" w:rsidP="006D4547">
      <w:pPr>
        <w:rPr>
          <w:rFonts w:asciiTheme="majorBidi" w:hAnsiTheme="majorBidi" w:cstheme="majorBidi"/>
          <w:b/>
          <w:bCs/>
          <w:sz w:val="28"/>
          <w:szCs w:val="28"/>
        </w:rPr>
      </w:pPr>
      <w:r w:rsidRPr="00B84D47">
        <w:rPr>
          <w:rFonts w:asciiTheme="majorBidi" w:hAnsiTheme="majorBidi" w:cstheme="majorBidi"/>
          <w:b/>
          <w:bCs/>
          <w:sz w:val="28"/>
          <w:szCs w:val="28"/>
        </w:rPr>
        <w:t>Fact sheets and graphs</w:t>
      </w:r>
    </w:p>
    <w:p w14:paraId="002F7709" w14:textId="7E36BB8A" w:rsidR="009A3149" w:rsidRPr="00B84D47" w:rsidRDefault="009A3149" w:rsidP="009A3149">
      <w:pPr>
        <w:spacing w:after="0"/>
        <w:rPr>
          <w:rFonts w:asciiTheme="majorBidi" w:hAnsiTheme="majorBidi" w:cstheme="majorBidi"/>
        </w:rPr>
      </w:pPr>
      <w:r w:rsidRPr="00B84D47">
        <w:rPr>
          <w:rFonts w:asciiTheme="majorBidi" w:hAnsiTheme="majorBidi" w:cstheme="majorBidi"/>
        </w:rPr>
        <w:t>Table 1</w:t>
      </w:r>
    </w:p>
    <w:p w14:paraId="77B2A81B" w14:textId="2852D459" w:rsidR="006D4547" w:rsidRPr="00B84D47" w:rsidRDefault="009A3149" w:rsidP="009A3149">
      <w:pPr>
        <w:rPr>
          <w:rFonts w:asciiTheme="majorBidi" w:hAnsiTheme="majorBidi" w:cstheme="majorBidi"/>
          <w:b/>
          <w:bCs/>
        </w:rPr>
      </w:pPr>
      <w:r w:rsidRPr="00B84D47">
        <w:rPr>
          <w:rFonts w:asciiTheme="majorBidi" w:hAnsiTheme="majorBidi" w:cstheme="majorBidi"/>
          <w:b/>
          <w:bCs/>
        </w:rPr>
        <w:t>Number of commitments taken/reported by the participants in the Batumi Action for Cleaner Air</w:t>
      </w:r>
    </w:p>
    <w:tbl>
      <w:tblPr>
        <w:tblStyle w:val="TableGrid"/>
        <w:tblW w:w="5000" w:type="pct"/>
        <w:tblCellMar>
          <w:left w:w="57" w:type="dxa"/>
          <w:right w:w="57" w:type="dxa"/>
        </w:tblCellMar>
        <w:tblLook w:val="04A0" w:firstRow="1" w:lastRow="0" w:firstColumn="1" w:lastColumn="0" w:noHBand="0" w:noVBand="1"/>
      </w:tblPr>
      <w:tblGrid>
        <w:gridCol w:w="1236"/>
        <w:gridCol w:w="616"/>
        <w:gridCol w:w="937"/>
        <w:gridCol w:w="394"/>
        <w:gridCol w:w="1293"/>
        <w:gridCol w:w="394"/>
        <w:gridCol w:w="1148"/>
        <w:gridCol w:w="386"/>
        <w:gridCol w:w="2534"/>
        <w:gridCol w:w="392"/>
      </w:tblGrid>
      <w:tr w:rsidR="009A3149" w:rsidRPr="00B84D47" w14:paraId="0146AFFD" w14:textId="77777777" w:rsidTr="009A3149">
        <w:trPr>
          <w:cantSplit/>
        </w:trPr>
        <w:tc>
          <w:tcPr>
            <w:tcW w:w="663" w:type="pct"/>
            <w:tcBorders>
              <w:top w:val="single" w:sz="12" w:space="0" w:color="auto"/>
              <w:left w:val="single" w:sz="12" w:space="0" w:color="auto"/>
            </w:tcBorders>
            <w:noWrap/>
            <w:vAlign w:val="center"/>
            <w:hideMark/>
          </w:tcPr>
          <w:p w14:paraId="63B525CE"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Albania</w:t>
            </w:r>
          </w:p>
        </w:tc>
        <w:tc>
          <w:tcPr>
            <w:tcW w:w="330" w:type="pct"/>
            <w:tcBorders>
              <w:top w:val="single" w:sz="12" w:space="0" w:color="auto"/>
              <w:right w:val="single" w:sz="12" w:space="0" w:color="auto"/>
            </w:tcBorders>
            <w:noWrap/>
            <w:vAlign w:val="center"/>
            <w:hideMark/>
          </w:tcPr>
          <w:p w14:paraId="37783045"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502" w:type="pct"/>
            <w:tcBorders>
              <w:top w:val="single" w:sz="12" w:space="0" w:color="auto"/>
              <w:left w:val="single" w:sz="12" w:space="0" w:color="auto"/>
            </w:tcBorders>
            <w:vAlign w:val="center"/>
          </w:tcPr>
          <w:p w14:paraId="18E09824"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 xml:space="preserve">Czechia </w:t>
            </w:r>
          </w:p>
        </w:tc>
        <w:tc>
          <w:tcPr>
            <w:tcW w:w="211" w:type="pct"/>
            <w:tcBorders>
              <w:top w:val="single" w:sz="12" w:space="0" w:color="auto"/>
              <w:right w:val="single" w:sz="12" w:space="0" w:color="auto"/>
            </w:tcBorders>
            <w:vAlign w:val="center"/>
          </w:tcPr>
          <w:p w14:paraId="7B396515"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1/1</w:t>
            </w:r>
          </w:p>
        </w:tc>
        <w:tc>
          <w:tcPr>
            <w:tcW w:w="693" w:type="pct"/>
            <w:tcBorders>
              <w:top w:val="single" w:sz="12" w:space="0" w:color="auto"/>
              <w:left w:val="single" w:sz="12" w:space="0" w:color="auto"/>
            </w:tcBorders>
            <w:vAlign w:val="center"/>
          </w:tcPr>
          <w:p w14:paraId="63E7C5D2"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Italy</w:t>
            </w:r>
          </w:p>
        </w:tc>
        <w:tc>
          <w:tcPr>
            <w:tcW w:w="211" w:type="pct"/>
            <w:tcBorders>
              <w:top w:val="single" w:sz="12" w:space="0" w:color="auto"/>
              <w:right w:val="single" w:sz="12" w:space="0" w:color="auto"/>
            </w:tcBorders>
            <w:vAlign w:val="center"/>
          </w:tcPr>
          <w:p w14:paraId="4D9CF868"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1/1</w:t>
            </w:r>
          </w:p>
        </w:tc>
        <w:tc>
          <w:tcPr>
            <w:tcW w:w="615" w:type="pct"/>
            <w:tcBorders>
              <w:top w:val="single" w:sz="12" w:space="0" w:color="auto"/>
              <w:left w:val="single" w:sz="12" w:space="0" w:color="auto"/>
            </w:tcBorders>
            <w:vAlign w:val="center"/>
          </w:tcPr>
          <w:p w14:paraId="19F295EF"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Poland</w:t>
            </w:r>
          </w:p>
        </w:tc>
        <w:tc>
          <w:tcPr>
            <w:tcW w:w="207" w:type="pct"/>
            <w:tcBorders>
              <w:top w:val="single" w:sz="12" w:space="0" w:color="auto"/>
              <w:right w:val="single" w:sz="12" w:space="0" w:color="auto"/>
            </w:tcBorders>
            <w:vAlign w:val="center"/>
          </w:tcPr>
          <w:p w14:paraId="0A6EB7BC"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5/5</w:t>
            </w:r>
          </w:p>
        </w:tc>
        <w:tc>
          <w:tcPr>
            <w:tcW w:w="1358" w:type="pct"/>
            <w:tcBorders>
              <w:top w:val="single" w:sz="12" w:space="0" w:color="auto"/>
              <w:left w:val="single" w:sz="12" w:space="0" w:color="auto"/>
            </w:tcBorders>
            <w:shd w:val="clear" w:color="auto" w:fill="auto"/>
            <w:vAlign w:val="center"/>
          </w:tcPr>
          <w:p w14:paraId="548B6CD4"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Tajikistan</w:t>
            </w:r>
          </w:p>
        </w:tc>
        <w:tc>
          <w:tcPr>
            <w:tcW w:w="211" w:type="pct"/>
            <w:tcBorders>
              <w:top w:val="single" w:sz="12" w:space="0" w:color="auto"/>
              <w:right w:val="single" w:sz="12" w:space="0" w:color="auto"/>
            </w:tcBorders>
            <w:shd w:val="clear" w:color="auto" w:fill="auto"/>
            <w:vAlign w:val="center"/>
          </w:tcPr>
          <w:p w14:paraId="03DAF070"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r>
      <w:tr w:rsidR="009A3149" w:rsidRPr="00B84D47" w14:paraId="3DB020F1" w14:textId="77777777" w:rsidTr="009A3149">
        <w:trPr>
          <w:cantSplit/>
        </w:trPr>
        <w:tc>
          <w:tcPr>
            <w:tcW w:w="663" w:type="pct"/>
            <w:tcBorders>
              <w:left w:val="single" w:sz="12" w:space="0" w:color="auto"/>
            </w:tcBorders>
            <w:noWrap/>
            <w:vAlign w:val="center"/>
            <w:hideMark/>
          </w:tcPr>
          <w:p w14:paraId="0FDA3256"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Andorra</w:t>
            </w:r>
          </w:p>
        </w:tc>
        <w:tc>
          <w:tcPr>
            <w:tcW w:w="330" w:type="pct"/>
            <w:tcBorders>
              <w:right w:val="single" w:sz="12" w:space="0" w:color="auto"/>
            </w:tcBorders>
            <w:noWrap/>
            <w:vAlign w:val="center"/>
            <w:hideMark/>
          </w:tcPr>
          <w:p w14:paraId="40C9D447"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502" w:type="pct"/>
            <w:tcBorders>
              <w:left w:val="single" w:sz="12" w:space="0" w:color="auto"/>
            </w:tcBorders>
            <w:vAlign w:val="center"/>
          </w:tcPr>
          <w:p w14:paraId="19E16E44"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Denmark</w:t>
            </w:r>
          </w:p>
        </w:tc>
        <w:tc>
          <w:tcPr>
            <w:tcW w:w="211" w:type="pct"/>
            <w:tcBorders>
              <w:right w:val="single" w:sz="12" w:space="0" w:color="auto"/>
            </w:tcBorders>
            <w:vAlign w:val="center"/>
          </w:tcPr>
          <w:p w14:paraId="784FE6FD"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693" w:type="pct"/>
            <w:tcBorders>
              <w:left w:val="single" w:sz="12" w:space="0" w:color="auto"/>
            </w:tcBorders>
            <w:vAlign w:val="center"/>
          </w:tcPr>
          <w:p w14:paraId="2C5D7245"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Kazakhstan</w:t>
            </w:r>
          </w:p>
        </w:tc>
        <w:tc>
          <w:tcPr>
            <w:tcW w:w="211" w:type="pct"/>
            <w:tcBorders>
              <w:right w:val="single" w:sz="12" w:space="0" w:color="auto"/>
            </w:tcBorders>
            <w:vAlign w:val="center"/>
          </w:tcPr>
          <w:p w14:paraId="17F58C5F"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615" w:type="pct"/>
            <w:tcBorders>
              <w:left w:val="single" w:sz="12" w:space="0" w:color="auto"/>
            </w:tcBorders>
            <w:vAlign w:val="center"/>
          </w:tcPr>
          <w:p w14:paraId="4216E10B"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Portugal</w:t>
            </w:r>
          </w:p>
        </w:tc>
        <w:tc>
          <w:tcPr>
            <w:tcW w:w="207" w:type="pct"/>
            <w:tcBorders>
              <w:right w:val="single" w:sz="12" w:space="0" w:color="auto"/>
            </w:tcBorders>
            <w:vAlign w:val="center"/>
          </w:tcPr>
          <w:p w14:paraId="02C4363F"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1/0</w:t>
            </w:r>
          </w:p>
        </w:tc>
        <w:tc>
          <w:tcPr>
            <w:tcW w:w="1358" w:type="pct"/>
            <w:tcBorders>
              <w:left w:val="single" w:sz="12" w:space="0" w:color="auto"/>
            </w:tcBorders>
            <w:vAlign w:val="center"/>
          </w:tcPr>
          <w:p w14:paraId="3C61BACC"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Former Yugoslav Republic of Macedonia</w:t>
            </w:r>
          </w:p>
        </w:tc>
        <w:tc>
          <w:tcPr>
            <w:tcW w:w="211" w:type="pct"/>
            <w:tcBorders>
              <w:right w:val="single" w:sz="12" w:space="0" w:color="auto"/>
            </w:tcBorders>
            <w:vAlign w:val="center"/>
          </w:tcPr>
          <w:p w14:paraId="0C47E886"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r>
      <w:tr w:rsidR="009A3149" w:rsidRPr="00B84D47" w14:paraId="78994E16" w14:textId="77777777" w:rsidTr="009A3149">
        <w:trPr>
          <w:cantSplit/>
        </w:trPr>
        <w:tc>
          <w:tcPr>
            <w:tcW w:w="663" w:type="pct"/>
            <w:tcBorders>
              <w:left w:val="single" w:sz="12" w:space="0" w:color="auto"/>
            </w:tcBorders>
            <w:noWrap/>
            <w:vAlign w:val="center"/>
            <w:hideMark/>
          </w:tcPr>
          <w:p w14:paraId="28EC833C"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Armenia</w:t>
            </w:r>
          </w:p>
        </w:tc>
        <w:tc>
          <w:tcPr>
            <w:tcW w:w="330" w:type="pct"/>
            <w:tcBorders>
              <w:right w:val="single" w:sz="12" w:space="0" w:color="auto"/>
            </w:tcBorders>
            <w:noWrap/>
            <w:vAlign w:val="center"/>
            <w:hideMark/>
          </w:tcPr>
          <w:p w14:paraId="14736BCB"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1/0</w:t>
            </w:r>
          </w:p>
        </w:tc>
        <w:tc>
          <w:tcPr>
            <w:tcW w:w="502" w:type="pct"/>
            <w:tcBorders>
              <w:left w:val="single" w:sz="12" w:space="0" w:color="auto"/>
            </w:tcBorders>
            <w:vAlign w:val="center"/>
          </w:tcPr>
          <w:p w14:paraId="2AFAF9CD"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Estonia</w:t>
            </w:r>
          </w:p>
        </w:tc>
        <w:tc>
          <w:tcPr>
            <w:tcW w:w="211" w:type="pct"/>
            <w:tcBorders>
              <w:right w:val="single" w:sz="12" w:space="0" w:color="auto"/>
            </w:tcBorders>
            <w:vAlign w:val="center"/>
          </w:tcPr>
          <w:p w14:paraId="794E0A02"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4/4</w:t>
            </w:r>
          </w:p>
        </w:tc>
        <w:tc>
          <w:tcPr>
            <w:tcW w:w="693" w:type="pct"/>
            <w:tcBorders>
              <w:left w:val="single" w:sz="12" w:space="0" w:color="auto"/>
            </w:tcBorders>
            <w:vAlign w:val="center"/>
          </w:tcPr>
          <w:p w14:paraId="41E2D514"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Kyrgyzstan</w:t>
            </w:r>
          </w:p>
        </w:tc>
        <w:tc>
          <w:tcPr>
            <w:tcW w:w="211" w:type="pct"/>
            <w:tcBorders>
              <w:right w:val="single" w:sz="12" w:space="0" w:color="auto"/>
            </w:tcBorders>
            <w:vAlign w:val="center"/>
          </w:tcPr>
          <w:p w14:paraId="36153EE7"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615" w:type="pct"/>
            <w:tcBorders>
              <w:left w:val="single" w:sz="12" w:space="0" w:color="auto"/>
            </w:tcBorders>
            <w:vAlign w:val="center"/>
          </w:tcPr>
          <w:p w14:paraId="681AE734"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Republic of Moldova</w:t>
            </w:r>
          </w:p>
        </w:tc>
        <w:tc>
          <w:tcPr>
            <w:tcW w:w="207" w:type="pct"/>
            <w:tcBorders>
              <w:right w:val="single" w:sz="12" w:space="0" w:color="auto"/>
            </w:tcBorders>
            <w:vAlign w:val="center"/>
          </w:tcPr>
          <w:p w14:paraId="6B249413"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3/3</w:t>
            </w:r>
          </w:p>
        </w:tc>
        <w:tc>
          <w:tcPr>
            <w:tcW w:w="1358" w:type="pct"/>
            <w:tcBorders>
              <w:left w:val="single" w:sz="12" w:space="0" w:color="auto"/>
            </w:tcBorders>
            <w:vAlign w:val="center"/>
          </w:tcPr>
          <w:p w14:paraId="7551831A"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Turkey</w:t>
            </w:r>
          </w:p>
        </w:tc>
        <w:tc>
          <w:tcPr>
            <w:tcW w:w="211" w:type="pct"/>
            <w:tcBorders>
              <w:right w:val="single" w:sz="12" w:space="0" w:color="auto"/>
            </w:tcBorders>
            <w:vAlign w:val="center"/>
          </w:tcPr>
          <w:p w14:paraId="531F735B"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r>
      <w:tr w:rsidR="009A3149" w:rsidRPr="00B84D47" w14:paraId="2F2CF1CB" w14:textId="77777777" w:rsidTr="009A3149">
        <w:trPr>
          <w:cantSplit/>
        </w:trPr>
        <w:tc>
          <w:tcPr>
            <w:tcW w:w="663" w:type="pct"/>
            <w:tcBorders>
              <w:left w:val="single" w:sz="12" w:space="0" w:color="auto"/>
            </w:tcBorders>
            <w:noWrap/>
            <w:vAlign w:val="center"/>
            <w:hideMark/>
          </w:tcPr>
          <w:p w14:paraId="2C558EA4" w14:textId="77777777" w:rsidR="009A3149" w:rsidRPr="00B84D47" w:rsidRDefault="00445C89" w:rsidP="0054370C">
            <w:pPr>
              <w:rPr>
                <w:rFonts w:asciiTheme="majorBidi" w:hAnsiTheme="majorBidi" w:cstheme="majorBidi"/>
                <w:sz w:val="20"/>
                <w:szCs w:val="20"/>
              </w:rPr>
            </w:pPr>
            <w:hyperlink w:anchor="_Austria" w:history="1">
              <w:r w:rsidR="009A3149" w:rsidRPr="00B84D47">
                <w:rPr>
                  <w:rStyle w:val="FooterChar"/>
                  <w:rFonts w:asciiTheme="majorBidi" w:hAnsiTheme="majorBidi" w:cstheme="majorBidi"/>
                  <w:sz w:val="20"/>
                  <w:szCs w:val="20"/>
                </w:rPr>
                <w:t>Austria</w:t>
              </w:r>
            </w:hyperlink>
          </w:p>
        </w:tc>
        <w:tc>
          <w:tcPr>
            <w:tcW w:w="330" w:type="pct"/>
            <w:tcBorders>
              <w:right w:val="single" w:sz="12" w:space="0" w:color="auto"/>
            </w:tcBorders>
            <w:noWrap/>
            <w:vAlign w:val="center"/>
            <w:hideMark/>
          </w:tcPr>
          <w:p w14:paraId="694DEBBD"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2/0</w:t>
            </w:r>
          </w:p>
        </w:tc>
        <w:tc>
          <w:tcPr>
            <w:tcW w:w="502" w:type="pct"/>
            <w:tcBorders>
              <w:left w:val="single" w:sz="12" w:space="0" w:color="auto"/>
            </w:tcBorders>
            <w:vAlign w:val="center"/>
          </w:tcPr>
          <w:p w14:paraId="6D599A68"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Finland</w:t>
            </w:r>
          </w:p>
        </w:tc>
        <w:tc>
          <w:tcPr>
            <w:tcW w:w="211" w:type="pct"/>
            <w:tcBorders>
              <w:right w:val="single" w:sz="12" w:space="0" w:color="auto"/>
            </w:tcBorders>
            <w:vAlign w:val="center"/>
          </w:tcPr>
          <w:p w14:paraId="21858570"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693" w:type="pct"/>
            <w:tcBorders>
              <w:left w:val="single" w:sz="12" w:space="0" w:color="auto"/>
            </w:tcBorders>
            <w:vAlign w:val="center"/>
          </w:tcPr>
          <w:p w14:paraId="1A5CE4B1"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Latvia</w:t>
            </w:r>
          </w:p>
        </w:tc>
        <w:tc>
          <w:tcPr>
            <w:tcW w:w="211" w:type="pct"/>
            <w:tcBorders>
              <w:right w:val="single" w:sz="12" w:space="0" w:color="auto"/>
            </w:tcBorders>
            <w:vAlign w:val="center"/>
          </w:tcPr>
          <w:p w14:paraId="78BE2D51"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2/2</w:t>
            </w:r>
          </w:p>
        </w:tc>
        <w:tc>
          <w:tcPr>
            <w:tcW w:w="615" w:type="pct"/>
            <w:tcBorders>
              <w:left w:val="single" w:sz="12" w:space="0" w:color="auto"/>
            </w:tcBorders>
            <w:vAlign w:val="center"/>
          </w:tcPr>
          <w:p w14:paraId="32DD8685"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Romania</w:t>
            </w:r>
          </w:p>
        </w:tc>
        <w:tc>
          <w:tcPr>
            <w:tcW w:w="207" w:type="pct"/>
            <w:tcBorders>
              <w:right w:val="single" w:sz="12" w:space="0" w:color="auto"/>
            </w:tcBorders>
            <w:vAlign w:val="center"/>
          </w:tcPr>
          <w:p w14:paraId="777E6D29"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3/3</w:t>
            </w:r>
          </w:p>
        </w:tc>
        <w:tc>
          <w:tcPr>
            <w:tcW w:w="1358" w:type="pct"/>
            <w:tcBorders>
              <w:left w:val="single" w:sz="12" w:space="0" w:color="auto"/>
            </w:tcBorders>
            <w:vAlign w:val="center"/>
          </w:tcPr>
          <w:p w14:paraId="482EBDB9"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Turkmenistan</w:t>
            </w:r>
          </w:p>
        </w:tc>
        <w:tc>
          <w:tcPr>
            <w:tcW w:w="211" w:type="pct"/>
            <w:tcBorders>
              <w:right w:val="single" w:sz="12" w:space="0" w:color="auto"/>
            </w:tcBorders>
            <w:vAlign w:val="center"/>
          </w:tcPr>
          <w:p w14:paraId="4431378D"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r>
      <w:tr w:rsidR="009A3149" w:rsidRPr="00B84D47" w14:paraId="1339F2AD" w14:textId="77777777" w:rsidTr="009A3149">
        <w:trPr>
          <w:cantSplit/>
        </w:trPr>
        <w:tc>
          <w:tcPr>
            <w:tcW w:w="663" w:type="pct"/>
            <w:tcBorders>
              <w:left w:val="single" w:sz="12" w:space="0" w:color="auto"/>
            </w:tcBorders>
            <w:noWrap/>
            <w:vAlign w:val="center"/>
            <w:hideMark/>
          </w:tcPr>
          <w:p w14:paraId="6A44BCDB"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Azerbaijan</w:t>
            </w:r>
          </w:p>
        </w:tc>
        <w:tc>
          <w:tcPr>
            <w:tcW w:w="330" w:type="pct"/>
            <w:tcBorders>
              <w:right w:val="single" w:sz="12" w:space="0" w:color="auto"/>
            </w:tcBorders>
            <w:noWrap/>
            <w:vAlign w:val="center"/>
            <w:hideMark/>
          </w:tcPr>
          <w:p w14:paraId="6A0DFBAB"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1/0</w:t>
            </w:r>
          </w:p>
        </w:tc>
        <w:tc>
          <w:tcPr>
            <w:tcW w:w="502" w:type="pct"/>
            <w:tcBorders>
              <w:left w:val="single" w:sz="12" w:space="0" w:color="auto"/>
            </w:tcBorders>
            <w:vAlign w:val="center"/>
          </w:tcPr>
          <w:p w14:paraId="357CAE5B"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France</w:t>
            </w:r>
          </w:p>
        </w:tc>
        <w:tc>
          <w:tcPr>
            <w:tcW w:w="211" w:type="pct"/>
            <w:tcBorders>
              <w:right w:val="single" w:sz="12" w:space="0" w:color="auto"/>
            </w:tcBorders>
            <w:vAlign w:val="center"/>
          </w:tcPr>
          <w:p w14:paraId="0B39ADBB"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5/5</w:t>
            </w:r>
          </w:p>
        </w:tc>
        <w:tc>
          <w:tcPr>
            <w:tcW w:w="693" w:type="pct"/>
            <w:tcBorders>
              <w:left w:val="single" w:sz="12" w:space="0" w:color="auto"/>
            </w:tcBorders>
            <w:vAlign w:val="center"/>
          </w:tcPr>
          <w:p w14:paraId="3ECA9C27"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Liechtenstein</w:t>
            </w:r>
          </w:p>
        </w:tc>
        <w:tc>
          <w:tcPr>
            <w:tcW w:w="211" w:type="pct"/>
            <w:tcBorders>
              <w:right w:val="single" w:sz="12" w:space="0" w:color="auto"/>
            </w:tcBorders>
            <w:vAlign w:val="center"/>
          </w:tcPr>
          <w:p w14:paraId="7DD54700"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615" w:type="pct"/>
            <w:tcBorders>
              <w:left w:val="single" w:sz="12" w:space="0" w:color="auto"/>
            </w:tcBorders>
            <w:vAlign w:val="center"/>
          </w:tcPr>
          <w:p w14:paraId="7A11CC19"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Russian Federation</w:t>
            </w:r>
          </w:p>
        </w:tc>
        <w:tc>
          <w:tcPr>
            <w:tcW w:w="207" w:type="pct"/>
            <w:tcBorders>
              <w:right w:val="single" w:sz="12" w:space="0" w:color="auto"/>
            </w:tcBorders>
            <w:vAlign w:val="center"/>
          </w:tcPr>
          <w:p w14:paraId="17CFDA17"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1358" w:type="pct"/>
            <w:tcBorders>
              <w:left w:val="single" w:sz="12" w:space="0" w:color="auto"/>
            </w:tcBorders>
            <w:vAlign w:val="center"/>
          </w:tcPr>
          <w:p w14:paraId="1BEE5357"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Ukraine</w:t>
            </w:r>
          </w:p>
        </w:tc>
        <w:tc>
          <w:tcPr>
            <w:tcW w:w="211" w:type="pct"/>
            <w:tcBorders>
              <w:right w:val="single" w:sz="12" w:space="0" w:color="auto"/>
            </w:tcBorders>
            <w:vAlign w:val="center"/>
          </w:tcPr>
          <w:p w14:paraId="20FFDFD0"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r>
      <w:tr w:rsidR="009A3149" w:rsidRPr="00B84D47" w14:paraId="254E6D72" w14:textId="77777777" w:rsidTr="009A3149">
        <w:trPr>
          <w:cantSplit/>
        </w:trPr>
        <w:tc>
          <w:tcPr>
            <w:tcW w:w="663" w:type="pct"/>
            <w:tcBorders>
              <w:left w:val="single" w:sz="12" w:space="0" w:color="auto"/>
            </w:tcBorders>
            <w:noWrap/>
            <w:vAlign w:val="center"/>
            <w:hideMark/>
          </w:tcPr>
          <w:p w14:paraId="311F8E98"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Belarus</w:t>
            </w:r>
          </w:p>
        </w:tc>
        <w:tc>
          <w:tcPr>
            <w:tcW w:w="330" w:type="pct"/>
            <w:tcBorders>
              <w:right w:val="single" w:sz="12" w:space="0" w:color="auto"/>
            </w:tcBorders>
            <w:noWrap/>
            <w:vAlign w:val="center"/>
            <w:hideMark/>
          </w:tcPr>
          <w:p w14:paraId="22AE3C74"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5/0</w:t>
            </w:r>
          </w:p>
        </w:tc>
        <w:tc>
          <w:tcPr>
            <w:tcW w:w="502" w:type="pct"/>
            <w:tcBorders>
              <w:left w:val="single" w:sz="12" w:space="0" w:color="auto"/>
            </w:tcBorders>
            <w:vAlign w:val="center"/>
          </w:tcPr>
          <w:p w14:paraId="115202D0"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Georgia</w:t>
            </w:r>
          </w:p>
        </w:tc>
        <w:tc>
          <w:tcPr>
            <w:tcW w:w="211" w:type="pct"/>
            <w:tcBorders>
              <w:right w:val="single" w:sz="12" w:space="0" w:color="auto"/>
            </w:tcBorders>
            <w:vAlign w:val="center"/>
          </w:tcPr>
          <w:p w14:paraId="1242A2C8"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7/7</w:t>
            </w:r>
          </w:p>
        </w:tc>
        <w:tc>
          <w:tcPr>
            <w:tcW w:w="693" w:type="pct"/>
            <w:tcBorders>
              <w:left w:val="single" w:sz="12" w:space="0" w:color="auto"/>
            </w:tcBorders>
            <w:vAlign w:val="center"/>
          </w:tcPr>
          <w:p w14:paraId="216B957F"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Lithuania</w:t>
            </w:r>
          </w:p>
        </w:tc>
        <w:tc>
          <w:tcPr>
            <w:tcW w:w="211" w:type="pct"/>
            <w:tcBorders>
              <w:right w:val="single" w:sz="12" w:space="0" w:color="auto"/>
            </w:tcBorders>
            <w:vAlign w:val="center"/>
          </w:tcPr>
          <w:p w14:paraId="3752DD83"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2/2</w:t>
            </w:r>
          </w:p>
        </w:tc>
        <w:tc>
          <w:tcPr>
            <w:tcW w:w="615" w:type="pct"/>
            <w:tcBorders>
              <w:left w:val="single" w:sz="12" w:space="0" w:color="auto"/>
            </w:tcBorders>
            <w:vAlign w:val="center"/>
          </w:tcPr>
          <w:p w14:paraId="0108C329"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San Marino</w:t>
            </w:r>
          </w:p>
        </w:tc>
        <w:tc>
          <w:tcPr>
            <w:tcW w:w="207" w:type="pct"/>
            <w:tcBorders>
              <w:right w:val="single" w:sz="12" w:space="0" w:color="auto"/>
            </w:tcBorders>
            <w:vAlign w:val="center"/>
          </w:tcPr>
          <w:p w14:paraId="4833A3D5"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1358" w:type="pct"/>
            <w:tcBorders>
              <w:left w:val="single" w:sz="12" w:space="0" w:color="auto"/>
            </w:tcBorders>
            <w:vAlign w:val="center"/>
          </w:tcPr>
          <w:p w14:paraId="0020F51B"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United Kingdom of Great Britain and Northern Ireland</w:t>
            </w:r>
          </w:p>
        </w:tc>
        <w:tc>
          <w:tcPr>
            <w:tcW w:w="211" w:type="pct"/>
            <w:tcBorders>
              <w:right w:val="single" w:sz="12" w:space="0" w:color="auto"/>
            </w:tcBorders>
            <w:vAlign w:val="center"/>
          </w:tcPr>
          <w:p w14:paraId="0B67B9C5"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r>
      <w:tr w:rsidR="009A3149" w:rsidRPr="00B84D47" w14:paraId="77BDAE30" w14:textId="77777777" w:rsidTr="009A3149">
        <w:trPr>
          <w:cantSplit/>
        </w:trPr>
        <w:tc>
          <w:tcPr>
            <w:tcW w:w="663" w:type="pct"/>
            <w:tcBorders>
              <w:left w:val="single" w:sz="12" w:space="0" w:color="auto"/>
            </w:tcBorders>
            <w:noWrap/>
            <w:vAlign w:val="center"/>
            <w:hideMark/>
          </w:tcPr>
          <w:p w14:paraId="4CC97D14"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Belgium</w:t>
            </w:r>
          </w:p>
        </w:tc>
        <w:tc>
          <w:tcPr>
            <w:tcW w:w="330" w:type="pct"/>
            <w:tcBorders>
              <w:right w:val="single" w:sz="12" w:space="0" w:color="auto"/>
            </w:tcBorders>
            <w:noWrap/>
            <w:vAlign w:val="center"/>
            <w:hideMark/>
          </w:tcPr>
          <w:p w14:paraId="68D04E94"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5/0</w:t>
            </w:r>
          </w:p>
        </w:tc>
        <w:tc>
          <w:tcPr>
            <w:tcW w:w="502" w:type="pct"/>
            <w:tcBorders>
              <w:left w:val="single" w:sz="12" w:space="0" w:color="auto"/>
            </w:tcBorders>
            <w:vAlign w:val="center"/>
          </w:tcPr>
          <w:p w14:paraId="1A6371EA"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Germany</w:t>
            </w:r>
          </w:p>
        </w:tc>
        <w:tc>
          <w:tcPr>
            <w:tcW w:w="211" w:type="pct"/>
            <w:tcBorders>
              <w:right w:val="single" w:sz="12" w:space="0" w:color="auto"/>
            </w:tcBorders>
            <w:vAlign w:val="center"/>
          </w:tcPr>
          <w:p w14:paraId="7415D1EE"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1/1</w:t>
            </w:r>
          </w:p>
        </w:tc>
        <w:tc>
          <w:tcPr>
            <w:tcW w:w="693" w:type="pct"/>
            <w:tcBorders>
              <w:left w:val="single" w:sz="12" w:space="0" w:color="auto"/>
            </w:tcBorders>
            <w:vAlign w:val="center"/>
          </w:tcPr>
          <w:p w14:paraId="042392F2"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Luxembourg</w:t>
            </w:r>
          </w:p>
        </w:tc>
        <w:tc>
          <w:tcPr>
            <w:tcW w:w="211" w:type="pct"/>
            <w:tcBorders>
              <w:right w:val="single" w:sz="12" w:space="0" w:color="auto"/>
            </w:tcBorders>
            <w:vAlign w:val="center"/>
          </w:tcPr>
          <w:p w14:paraId="63C90E93"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615" w:type="pct"/>
            <w:tcBorders>
              <w:left w:val="single" w:sz="12" w:space="0" w:color="auto"/>
            </w:tcBorders>
            <w:vAlign w:val="center"/>
          </w:tcPr>
          <w:p w14:paraId="3341143D"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Serbia</w:t>
            </w:r>
          </w:p>
        </w:tc>
        <w:tc>
          <w:tcPr>
            <w:tcW w:w="207" w:type="pct"/>
            <w:tcBorders>
              <w:right w:val="single" w:sz="12" w:space="0" w:color="auto"/>
            </w:tcBorders>
            <w:vAlign w:val="center"/>
          </w:tcPr>
          <w:p w14:paraId="62B24525"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1358" w:type="pct"/>
            <w:tcBorders>
              <w:left w:val="single" w:sz="12" w:space="0" w:color="auto"/>
            </w:tcBorders>
            <w:vAlign w:val="center"/>
          </w:tcPr>
          <w:p w14:paraId="6C13863D"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United States of America</w:t>
            </w:r>
          </w:p>
        </w:tc>
        <w:tc>
          <w:tcPr>
            <w:tcW w:w="211" w:type="pct"/>
            <w:tcBorders>
              <w:right w:val="single" w:sz="12" w:space="0" w:color="auto"/>
            </w:tcBorders>
            <w:vAlign w:val="center"/>
          </w:tcPr>
          <w:p w14:paraId="4411BE48"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6/5</w:t>
            </w:r>
          </w:p>
        </w:tc>
      </w:tr>
      <w:tr w:rsidR="009A3149" w:rsidRPr="00B84D47" w14:paraId="3E542F24" w14:textId="77777777" w:rsidTr="009A3149">
        <w:trPr>
          <w:cantSplit/>
        </w:trPr>
        <w:tc>
          <w:tcPr>
            <w:tcW w:w="663" w:type="pct"/>
            <w:tcBorders>
              <w:left w:val="single" w:sz="12" w:space="0" w:color="auto"/>
            </w:tcBorders>
            <w:noWrap/>
            <w:vAlign w:val="center"/>
            <w:hideMark/>
          </w:tcPr>
          <w:p w14:paraId="42D06611"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Bosnia and</w:t>
            </w:r>
          </w:p>
          <w:p w14:paraId="4FE8731D"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Herzegovina</w:t>
            </w:r>
          </w:p>
        </w:tc>
        <w:tc>
          <w:tcPr>
            <w:tcW w:w="330" w:type="pct"/>
            <w:tcBorders>
              <w:right w:val="single" w:sz="12" w:space="0" w:color="auto"/>
            </w:tcBorders>
            <w:noWrap/>
            <w:vAlign w:val="center"/>
            <w:hideMark/>
          </w:tcPr>
          <w:p w14:paraId="239510AE"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502" w:type="pct"/>
            <w:tcBorders>
              <w:left w:val="single" w:sz="12" w:space="0" w:color="auto"/>
            </w:tcBorders>
            <w:vAlign w:val="center"/>
          </w:tcPr>
          <w:p w14:paraId="28ADA154"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Greece</w:t>
            </w:r>
          </w:p>
        </w:tc>
        <w:tc>
          <w:tcPr>
            <w:tcW w:w="211" w:type="pct"/>
            <w:tcBorders>
              <w:right w:val="single" w:sz="12" w:space="0" w:color="auto"/>
            </w:tcBorders>
            <w:vAlign w:val="center"/>
          </w:tcPr>
          <w:p w14:paraId="2812DD3F"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693" w:type="pct"/>
            <w:tcBorders>
              <w:left w:val="single" w:sz="12" w:space="0" w:color="auto"/>
            </w:tcBorders>
            <w:vAlign w:val="center"/>
          </w:tcPr>
          <w:p w14:paraId="76BE8988"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Malta</w:t>
            </w:r>
          </w:p>
        </w:tc>
        <w:tc>
          <w:tcPr>
            <w:tcW w:w="211" w:type="pct"/>
            <w:tcBorders>
              <w:right w:val="single" w:sz="12" w:space="0" w:color="auto"/>
            </w:tcBorders>
            <w:vAlign w:val="center"/>
          </w:tcPr>
          <w:p w14:paraId="06AF29D6"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615" w:type="pct"/>
            <w:tcBorders>
              <w:left w:val="single" w:sz="12" w:space="0" w:color="auto"/>
            </w:tcBorders>
            <w:vAlign w:val="center"/>
          </w:tcPr>
          <w:p w14:paraId="08E49AF0"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Slovakia</w:t>
            </w:r>
          </w:p>
        </w:tc>
        <w:tc>
          <w:tcPr>
            <w:tcW w:w="207" w:type="pct"/>
            <w:tcBorders>
              <w:right w:val="single" w:sz="12" w:space="0" w:color="auto"/>
            </w:tcBorders>
            <w:vAlign w:val="center"/>
          </w:tcPr>
          <w:p w14:paraId="45189266"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1358" w:type="pct"/>
            <w:tcBorders>
              <w:left w:val="single" w:sz="12" w:space="0" w:color="auto"/>
            </w:tcBorders>
            <w:vAlign w:val="center"/>
          </w:tcPr>
          <w:p w14:paraId="5AB52925"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Uzbekistan</w:t>
            </w:r>
          </w:p>
        </w:tc>
        <w:tc>
          <w:tcPr>
            <w:tcW w:w="211" w:type="pct"/>
            <w:tcBorders>
              <w:right w:val="single" w:sz="12" w:space="0" w:color="auto"/>
            </w:tcBorders>
            <w:vAlign w:val="center"/>
          </w:tcPr>
          <w:p w14:paraId="72F86554"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4/0</w:t>
            </w:r>
          </w:p>
        </w:tc>
      </w:tr>
      <w:tr w:rsidR="009A3149" w:rsidRPr="00B84D47" w14:paraId="57C181E3" w14:textId="77777777" w:rsidTr="009A3149">
        <w:trPr>
          <w:cantSplit/>
        </w:trPr>
        <w:tc>
          <w:tcPr>
            <w:tcW w:w="663" w:type="pct"/>
            <w:tcBorders>
              <w:left w:val="single" w:sz="12" w:space="0" w:color="auto"/>
            </w:tcBorders>
            <w:noWrap/>
            <w:vAlign w:val="center"/>
            <w:hideMark/>
          </w:tcPr>
          <w:p w14:paraId="3EA15A03"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Bulgaria</w:t>
            </w:r>
          </w:p>
        </w:tc>
        <w:tc>
          <w:tcPr>
            <w:tcW w:w="330" w:type="pct"/>
            <w:tcBorders>
              <w:right w:val="single" w:sz="12" w:space="0" w:color="auto"/>
            </w:tcBorders>
            <w:noWrap/>
            <w:vAlign w:val="center"/>
            <w:hideMark/>
          </w:tcPr>
          <w:p w14:paraId="4F06E813"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502" w:type="pct"/>
            <w:tcBorders>
              <w:left w:val="single" w:sz="12" w:space="0" w:color="auto"/>
            </w:tcBorders>
            <w:vAlign w:val="center"/>
          </w:tcPr>
          <w:p w14:paraId="57020993"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Hungary</w:t>
            </w:r>
          </w:p>
        </w:tc>
        <w:tc>
          <w:tcPr>
            <w:tcW w:w="211" w:type="pct"/>
            <w:tcBorders>
              <w:right w:val="single" w:sz="12" w:space="0" w:color="auto"/>
            </w:tcBorders>
            <w:vAlign w:val="center"/>
          </w:tcPr>
          <w:p w14:paraId="04364318"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4/4</w:t>
            </w:r>
          </w:p>
        </w:tc>
        <w:tc>
          <w:tcPr>
            <w:tcW w:w="693" w:type="pct"/>
            <w:tcBorders>
              <w:left w:val="single" w:sz="12" w:space="0" w:color="auto"/>
            </w:tcBorders>
            <w:vAlign w:val="center"/>
          </w:tcPr>
          <w:p w14:paraId="30B89868"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Monaco</w:t>
            </w:r>
          </w:p>
        </w:tc>
        <w:tc>
          <w:tcPr>
            <w:tcW w:w="211" w:type="pct"/>
            <w:tcBorders>
              <w:right w:val="single" w:sz="12" w:space="0" w:color="auto"/>
            </w:tcBorders>
            <w:vAlign w:val="center"/>
          </w:tcPr>
          <w:p w14:paraId="34BB9976"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615" w:type="pct"/>
            <w:tcBorders>
              <w:left w:val="single" w:sz="12" w:space="0" w:color="auto"/>
            </w:tcBorders>
            <w:vAlign w:val="center"/>
          </w:tcPr>
          <w:p w14:paraId="1BFB08E1"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Slovenia</w:t>
            </w:r>
          </w:p>
        </w:tc>
        <w:tc>
          <w:tcPr>
            <w:tcW w:w="207" w:type="pct"/>
            <w:tcBorders>
              <w:right w:val="single" w:sz="12" w:space="0" w:color="auto"/>
            </w:tcBorders>
            <w:vAlign w:val="center"/>
          </w:tcPr>
          <w:p w14:paraId="08905E62"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3/0</w:t>
            </w:r>
          </w:p>
        </w:tc>
        <w:tc>
          <w:tcPr>
            <w:tcW w:w="1358" w:type="pct"/>
            <w:tcBorders>
              <w:left w:val="single" w:sz="12" w:space="0" w:color="auto"/>
            </w:tcBorders>
            <w:vAlign w:val="center"/>
          </w:tcPr>
          <w:p w14:paraId="25818362"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Nordic Council of Ministers</w:t>
            </w:r>
          </w:p>
        </w:tc>
        <w:tc>
          <w:tcPr>
            <w:tcW w:w="211" w:type="pct"/>
            <w:tcBorders>
              <w:right w:val="single" w:sz="12" w:space="0" w:color="auto"/>
            </w:tcBorders>
            <w:vAlign w:val="center"/>
          </w:tcPr>
          <w:p w14:paraId="749A1FC3"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1/0</w:t>
            </w:r>
          </w:p>
        </w:tc>
      </w:tr>
      <w:tr w:rsidR="009A3149" w:rsidRPr="00B84D47" w14:paraId="52512E9E" w14:textId="77777777" w:rsidTr="009A3149">
        <w:trPr>
          <w:cantSplit/>
        </w:trPr>
        <w:tc>
          <w:tcPr>
            <w:tcW w:w="663" w:type="pct"/>
            <w:tcBorders>
              <w:left w:val="single" w:sz="12" w:space="0" w:color="auto"/>
            </w:tcBorders>
            <w:noWrap/>
            <w:vAlign w:val="center"/>
            <w:hideMark/>
          </w:tcPr>
          <w:p w14:paraId="35A0B9A8"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Canada</w:t>
            </w:r>
          </w:p>
        </w:tc>
        <w:tc>
          <w:tcPr>
            <w:tcW w:w="330" w:type="pct"/>
            <w:tcBorders>
              <w:right w:val="single" w:sz="12" w:space="0" w:color="auto"/>
            </w:tcBorders>
            <w:noWrap/>
            <w:vAlign w:val="center"/>
            <w:hideMark/>
          </w:tcPr>
          <w:p w14:paraId="71FF33DA"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17/17</w:t>
            </w:r>
          </w:p>
        </w:tc>
        <w:tc>
          <w:tcPr>
            <w:tcW w:w="502" w:type="pct"/>
            <w:tcBorders>
              <w:left w:val="single" w:sz="12" w:space="0" w:color="auto"/>
            </w:tcBorders>
            <w:vAlign w:val="center"/>
          </w:tcPr>
          <w:p w14:paraId="66751985"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Iceland</w:t>
            </w:r>
          </w:p>
        </w:tc>
        <w:tc>
          <w:tcPr>
            <w:tcW w:w="211" w:type="pct"/>
            <w:tcBorders>
              <w:right w:val="single" w:sz="12" w:space="0" w:color="auto"/>
            </w:tcBorders>
            <w:vAlign w:val="center"/>
          </w:tcPr>
          <w:p w14:paraId="3560EFBD"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693" w:type="pct"/>
            <w:tcBorders>
              <w:left w:val="single" w:sz="12" w:space="0" w:color="auto"/>
            </w:tcBorders>
            <w:vAlign w:val="center"/>
          </w:tcPr>
          <w:p w14:paraId="62D9F921"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Montenegro</w:t>
            </w:r>
          </w:p>
        </w:tc>
        <w:tc>
          <w:tcPr>
            <w:tcW w:w="211" w:type="pct"/>
            <w:tcBorders>
              <w:right w:val="single" w:sz="12" w:space="0" w:color="auto"/>
            </w:tcBorders>
            <w:vAlign w:val="center"/>
          </w:tcPr>
          <w:p w14:paraId="5F374E2A"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615" w:type="pct"/>
            <w:tcBorders>
              <w:left w:val="single" w:sz="12" w:space="0" w:color="auto"/>
            </w:tcBorders>
            <w:vAlign w:val="center"/>
          </w:tcPr>
          <w:p w14:paraId="67BE7FAA"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Spain</w:t>
            </w:r>
          </w:p>
        </w:tc>
        <w:tc>
          <w:tcPr>
            <w:tcW w:w="207" w:type="pct"/>
            <w:tcBorders>
              <w:right w:val="single" w:sz="12" w:space="0" w:color="auto"/>
            </w:tcBorders>
            <w:vAlign w:val="center"/>
          </w:tcPr>
          <w:p w14:paraId="123497DE"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1/1</w:t>
            </w:r>
          </w:p>
        </w:tc>
        <w:tc>
          <w:tcPr>
            <w:tcW w:w="1358" w:type="pct"/>
            <w:tcBorders>
              <w:left w:val="single" w:sz="12" w:space="0" w:color="auto"/>
            </w:tcBorders>
            <w:vAlign w:val="center"/>
          </w:tcPr>
          <w:p w14:paraId="06B2E3D6"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REC CEE</w:t>
            </w:r>
          </w:p>
        </w:tc>
        <w:tc>
          <w:tcPr>
            <w:tcW w:w="211" w:type="pct"/>
            <w:tcBorders>
              <w:right w:val="single" w:sz="12" w:space="0" w:color="auto"/>
            </w:tcBorders>
            <w:vAlign w:val="center"/>
          </w:tcPr>
          <w:p w14:paraId="17DB4776"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4/0</w:t>
            </w:r>
          </w:p>
        </w:tc>
      </w:tr>
      <w:tr w:rsidR="009A3149" w:rsidRPr="00B84D47" w14:paraId="1AA50F77" w14:textId="77777777" w:rsidTr="009A3149">
        <w:trPr>
          <w:cantSplit/>
        </w:trPr>
        <w:tc>
          <w:tcPr>
            <w:tcW w:w="663" w:type="pct"/>
            <w:tcBorders>
              <w:left w:val="single" w:sz="12" w:space="0" w:color="auto"/>
            </w:tcBorders>
            <w:noWrap/>
            <w:vAlign w:val="center"/>
            <w:hideMark/>
          </w:tcPr>
          <w:p w14:paraId="0F763872"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Croatia</w:t>
            </w:r>
          </w:p>
        </w:tc>
        <w:tc>
          <w:tcPr>
            <w:tcW w:w="330" w:type="pct"/>
            <w:tcBorders>
              <w:right w:val="single" w:sz="12" w:space="0" w:color="auto"/>
            </w:tcBorders>
            <w:noWrap/>
            <w:vAlign w:val="center"/>
            <w:hideMark/>
          </w:tcPr>
          <w:p w14:paraId="4560271C"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5/5</w:t>
            </w:r>
          </w:p>
        </w:tc>
        <w:tc>
          <w:tcPr>
            <w:tcW w:w="502" w:type="pct"/>
            <w:tcBorders>
              <w:left w:val="single" w:sz="12" w:space="0" w:color="auto"/>
            </w:tcBorders>
            <w:vAlign w:val="center"/>
          </w:tcPr>
          <w:p w14:paraId="14C931C5"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Ireland</w:t>
            </w:r>
          </w:p>
        </w:tc>
        <w:tc>
          <w:tcPr>
            <w:tcW w:w="211" w:type="pct"/>
            <w:tcBorders>
              <w:right w:val="single" w:sz="12" w:space="0" w:color="auto"/>
            </w:tcBorders>
            <w:vAlign w:val="center"/>
          </w:tcPr>
          <w:p w14:paraId="058708D2"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693" w:type="pct"/>
            <w:tcBorders>
              <w:left w:val="single" w:sz="12" w:space="0" w:color="auto"/>
            </w:tcBorders>
            <w:vAlign w:val="center"/>
          </w:tcPr>
          <w:p w14:paraId="286A00E2"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Netherlands</w:t>
            </w:r>
          </w:p>
        </w:tc>
        <w:tc>
          <w:tcPr>
            <w:tcW w:w="211" w:type="pct"/>
            <w:tcBorders>
              <w:right w:val="single" w:sz="12" w:space="0" w:color="auto"/>
            </w:tcBorders>
            <w:vAlign w:val="center"/>
          </w:tcPr>
          <w:p w14:paraId="05B0B878"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2/2</w:t>
            </w:r>
          </w:p>
        </w:tc>
        <w:tc>
          <w:tcPr>
            <w:tcW w:w="615" w:type="pct"/>
            <w:tcBorders>
              <w:left w:val="single" w:sz="12" w:space="0" w:color="auto"/>
            </w:tcBorders>
            <w:vAlign w:val="center"/>
          </w:tcPr>
          <w:p w14:paraId="67A18951"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Sweden</w:t>
            </w:r>
          </w:p>
        </w:tc>
        <w:tc>
          <w:tcPr>
            <w:tcW w:w="207" w:type="pct"/>
            <w:tcBorders>
              <w:right w:val="single" w:sz="12" w:space="0" w:color="auto"/>
            </w:tcBorders>
            <w:vAlign w:val="center"/>
          </w:tcPr>
          <w:p w14:paraId="3B1DCB55"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4/4</w:t>
            </w:r>
          </w:p>
        </w:tc>
        <w:tc>
          <w:tcPr>
            <w:tcW w:w="1358" w:type="pct"/>
            <w:tcBorders>
              <w:left w:val="single" w:sz="12" w:space="0" w:color="auto"/>
            </w:tcBorders>
            <w:vAlign w:val="center"/>
          </w:tcPr>
          <w:p w14:paraId="010E4CBB"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UNECE</w:t>
            </w:r>
          </w:p>
        </w:tc>
        <w:tc>
          <w:tcPr>
            <w:tcW w:w="211" w:type="pct"/>
            <w:tcBorders>
              <w:right w:val="single" w:sz="12" w:space="0" w:color="auto"/>
            </w:tcBorders>
            <w:vAlign w:val="center"/>
          </w:tcPr>
          <w:p w14:paraId="1CA2550A"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2/2</w:t>
            </w:r>
          </w:p>
        </w:tc>
      </w:tr>
      <w:tr w:rsidR="009A3149" w:rsidRPr="00B84D47" w14:paraId="7BDA2F11" w14:textId="77777777" w:rsidTr="009A3149">
        <w:trPr>
          <w:cantSplit/>
        </w:trPr>
        <w:tc>
          <w:tcPr>
            <w:tcW w:w="663" w:type="pct"/>
            <w:tcBorders>
              <w:left w:val="single" w:sz="12" w:space="0" w:color="auto"/>
              <w:bottom w:val="single" w:sz="12" w:space="0" w:color="auto"/>
            </w:tcBorders>
            <w:noWrap/>
            <w:vAlign w:val="center"/>
            <w:hideMark/>
          </w:tcPr>
          <w:p w14:paraId="494F1B5D"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Cyprus</w:t>
            </w:r>
          </w:p>
        </w:tc>
        <w:tc>
          <w:tcPr>
            <w:tcW w:w="330" w:type="pct"/>
            <w:tcBorders>
              <w:bottom w:val="single" w:sz="12" w:space="0" w:color="auto"/>
              <w:right w:val="single" w:sz="12" w:space="0" w:color="auto"/>
            </w:tcBorders>
            <w:noWrap/>
            <w:vAlign w:val="center"/>
            <w:hideMark/>
          </w:tcPr>
          <w:p w14:paraId="7AD999C8"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502" w:type="pct"/>
            <w:tcBorders>
              <w:left w:val="single" w:sz="12" w:space="0" w:color="auto"/>
              <w:bottom w:val="single" w:sz="12" w:space="0" w:color="auto"/>
            </w:tcBorders>
            <w:vAlign w:val="center"/>
          </w:tcPr>
          <w:p w14:paraId="08ED91D5"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Israel</w:t>
            </w:r>
          </w:p>
        </w:tc>
        <w:tc>
          <w:tcPr>
            <w:tcW w:w="211" w:type="pct"/>
            <w:tcBorders>
              <w:bottom w:val="single" w:sz="12" w:space="0" w:color="auto"/>
              <w:right w:val="single" w:sz="12" w:space="0" w:color="auto"/>
            </w:tcBorders>
            <w:vAlign w:val="center"/>
          </w:tcPr>
          <w:p w14:paraId="1D005BBE"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693" w:type="pct"/>
            <w:tcBorders>
              <w:left w:val="single" w:sz="12" w:space="0" w:color="auto"/>
              <w:bottom w:val="single" w:sz="12" w:space="0" w:color="auto"/>
            </w:tcBorders>
            <w:vAlign w:val="center"/>
          </w:tcPr>
          <w:p w14:paraId="31CC46D1"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Norway</w:t>
            </w:r>
          </w:p>
        </w:tc>
        <w:tc>
          <w:tcPr>
            <w:tcW w:w="211" w:type="pct"/>
            <w:tcBorders>
              <w:bottom w:val="single" w:sz="12" w:space="0" w:color="auto"/>
              <w:right w:val="single" w:sz="12" w:space="0" w:color="auto"/>
            </w:tcBorders>
            <w:vAlign w:val="center"/>
          </w:tcPr>
          <w:p w14:paraId="04C57BA6"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0</w:t>
            </w:r>
          </w:p>
        </w:tc>
        <w:tc>
          <w:tcPr>
            <w:tcW w:w="615" w:type="pct"/>
            <w:tcBorders>
              <w:left w:val="single" w:sz="12" w:space="0" w:color="auto"/>
              <w:bottom w:val="single" w:sz="12" w:space="0" w:color="auto"/>
            </w:tcBorders>
            <w:vAlign w:val="center"/>
          </w:tcPr>
          <w:p w14:paraId="272539DE"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Switzerland</w:t>
            </w:r>
          </w:p>
        </w:tc>
        <w:tc>
          <w:tcPr>
            <w:tcW w:w="207" w:type="pct"/>
            <w:tcBorders>
              <w:bottom w:val="single" w:sz="12" w:space="0" w:color="auto"/>
              <w:right w:val="single" w:sz="12" w:space="0" w:color="auto"/>
            </w:tcBorders>
            <w:vAlign w:val="center"/>
          </w:tcPr>
          <w:p w14:paraId="5A29B3B7"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5/5</w:t>
            </w:r>
          </w:p>
        </w:tc>
        <w:tc>
          <w:tcPr>
            <w:tcW w:w="1358" w:type="pct"/>
            <w:tcBorders>
              <w:left w:val="single" w:sz="12" w:space="0" w:color="auto"/>
              <w:bottom w:val="single" w:sz="12" w:space="0" w:color="auto"/>
            </w:tcBorders>
            <w:vAlign w:val="center"/>
          </w:tcPr>
          <w:p w14:paraId="0CE06AEB" w14:textId="77777777" w:rsidR="009A3149" w:rsidRPr="00B84D47" w:rsidRDefault="009A3149" w:rsidP="0054370C">
            <w:pPr>
              <w:rPr>
                <w:rFonts w:asciiTheme="majorBidi" w:hAnsiTheme="majorBidi" w:cstheme="majorBidi"/>
                <w:sz w:val="20"/>
                <w:szCs w:val="20"/>
              </w:rPr>
            </w:pPr>
            <w:r w:rsidRPr="00B84D47">
              <w:rPr>
                <w:rFonts w:asciiTheme="majorBidi" w:hAnsiTheme="majorBidi" w:cstheme="majorBidi"/>
                <w:sz w:val="20"/>
                <w:szCs w:val="20"/>
              </w:rPr>
              <w:t>WHO</w:t>
            </w:r>
          </w:p>
        </w:tc>
        <w:tc>
          <w:tcPr>
            <w:tcW w:w="211" w:type="pct"/>
            <w:tcBorders>
              <w:bottom w:val="single" w:sz="12" w:space="0" w:color="auto"/>
              <w:right w:val="single" w:sz="12" w:space="0" w:color="auto"/>
            </w:tcBorders>
            <w:vAlign w:val="center"/>
          </w:tcPr>
          <w:p w14:paraId="18728161" w14:textId="77777777" w:rsidR="009A3149" w:rsidRPr="00B84D47" w:rsidRDefault="009A3149" w:rsidP="0054370C">
            <w:pPr>
              <w:jc w:val="center"/>
              <w:rPr>
                <w:rFonts w:asciiTheme="majorBidi" w:hAnsiTheme="majorBidi" w:cstheme="majorBidi"/>
                <w:sz w:val="20"/>
                <w:szCs w:val="20"/>
              </w:rPr>
            </w:pPr>
            <w:r w:rsidRPr="00B84D47">
              <w:rPr>
                <w:rFonts w:asciiTheme="majorBidi" w:hAnsiTheme="majorBidi" w:cstheme="majorBidi"/>
                <w:sz w:val="20"/>
                <w:szCs w:val="20"/>
              </w:rPr>
              <w:t>3/3</w:t>
            </w:r>
          </w:p>
        </w:tc>
      </w:tr>
    </w:tbl>
    <w:p w14:paraId="0CA93513" w14:textId="350EF5DA" w:rsidR="009A3149" w:rsidRPr="00B84D47" w:rsidRDefault="009A3149" w:rsidP="009A3149">
      <w:pPr>
        <w:rPr>
          <w:rFonts w:asciiTheme="majorBidi" w:hAnsiTheme="majorBidi" w:cstheme="majorBidi"/>
          <w:b/>
          <w:bCs/>
        </w:rPr>
      </w:pPr>
    </w:p>
    <w:p w14:paraId="19FA7CAC" w14:textId="18CA5DCB" w:rsidR="0047308E" w:rsidRPr="00B84D47" w:rsidRDefault="0047308E" w:rsidP="009A3149">
      <w:pPr>
        <w:rPr>
          <w:rFonts w:asciiTheme="majorBidi" w:hAnsiTheme="majorBidi" w:cstheme="majorBidi"/>
        </w:rPr>
      </w:pPr>
      <w:r w:rsidRPr="00B84D47">
        <w:rPr>
          <w:rFonts w:asciiTheme="majorBidi" w:hAnsiTheme="majorBidi" w:cstheme="majorBidi"/>
        </w:rPr>
        <w:t>Figure I</w:t>
      </w:r>
    </w:p>
    <w:p w14:paraId="267CEBD2" w14:textId="284CFE68" w:rsidR="005A289E" w:rsidRPr="00B84D47" w:rsidRDefault="005A289E" w:rsidP="009A3149">
      <w:pPr>
        <w:rPr>
          <w:rFonts w:asciiTheme="majorBidi" w:hAnsiTheme="majorBidi" w:cstheme="majorBidi"/>
          <w:b/>
          <w:bCs/>
          <w:sz w:val="28"/>
          <w:szCs w:val="28"/>
        </w:rPr>
      </w:pPr>
      <w:r w:rsidRPr="00B84D47">
        <w:rPr>
          <w:rFonts w:asciiTheme="majorBidi" w:hAnsiTheme="majorBidi" w:cstheme="majorBidi"/>
          <w:b/>
          <w:bCs/>
        </w:rPr>
        <w:t>Number of commitments taken by participating countries and organizations</w:t>
      </w:r>
      <w:r w:rsidR="00EC0132" w:rsidRPr="00B84D47">
        <w:rPr>
          <w:rFonts w:asciiTheme="majorBidi" w:hAnsiTheme="majorBidi" w:cstheme="majorBidi"/>
          <w:b/>
          <w:bCs/>
        </w:rPr>
        <w:t xml:space="preserve"> under the BACA</w:t>
      </w:r>
    </w:p>
    <w:p w14:paraId="3A9C31FE" w14:textId="1227F7A5" w:rsidR="00EF4BAE" w:rsidRPr="00B84D47" w:rsidRDefault="0047308E" w:rsidP="00EC0132">
      <w:pPr>
        <w:jc w:val="center"/>
        <w:rPr>
          <w:rFonts w:asciiTheme="majorBidi" w:hAnsiTheme="majorBidi" w:cstheme="majorBidi"/>
          <w:b/>
          <w:bCs/>
        </w:rPr>
      </w:pPr>
      <w:r w:rsidRPr="00B84D47">
        <w:rPr>
          <w:rFonts w:asciiTheme="majorBidi" w:hAnsiTheme="majorBidi" w:cstheme="majorBidi"/>
          <w:noProof/>
        </w:rPr>
        <w:drawing>
          <wp:inline distT="0" distB="0" distL="0" distR="0" wp14:anchorId="7A5825CE" wp14:editId="04C56AEF">
            <wp:extent cx="5394960" cy="3108960"/>
            <wp:effectExtent l="0" t="0" r="15240" b="1524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2541FF4" w14:textId="03E2520F" w:rsidR="00EC0132" w:rsidRPr="00B84D47" w:rsidRDefault="00EC0132" w:rsidP="009A3149">
      <w:pPr>
        <w:rPr>
          <w:rFonts w:asciiTheme="majorBidi" w:hAnsiTheme="majorBidi" w:cstheme="majorBidi"/>
          <w:b/>
          <w:bCs/>
        </w:rPr>
      </w:pPr>
    </w:p>
    <w:p w14:paraId="1AFFDE96" w14:textId="650AD637" w:rsidR="00EC0132" w:rsidRPr="00B84D47" w:rsidRDefault="00EC0132" w:rsidP="00EC0132">
      <w:pPr>
        <w:rPr>
          <w:rFonts w:asciiTheme="majorBidi" w:hAnsiTheme="majorBidi" w:cstheme="majorBidi"/>
        </w:rPr>
      </w:pPr>
      <w:r w:rsidRPr="00B84D47">
        <w:rPr>
          <w:rFonts w:asciiTheme="majorBidi" w:hAnsiTheme="majorBidi" w:cstheme="majorBidi"/>
        </w:rPr>
        <w:t>Figure II</w:t>
      </w:r>
    </w:p>
    <w:p w14:paraId="7F38C663" w14:textId="4773A119" w:rsidR="00EC0132" w:rsidRPr="00B84D47" w:rsidRDefault="00CE19B3" w:rsidP="009A3149">
      <w:pPr>
        <w:rPr>
          <w:rFonts w:asciiTheme="majorBidi" w:hAnsiTheme="majorBidi" w:cstheme="majorBidi"/>
          <w:b/>
          <w:bCs/>
        </w:rPr>
      </w:pPr>
      <w:r w:rsidRPr="00B84D47">
        <w:rPr>
          <w:rFonts w:asciiTheme="majorBidi" w:hAnsiTheme="majorBidi" w:cstheme="majorBidi"/>
          <w:b/>
          <w:bCs/>
        </w:rPr>
        <w:lastRenderedPageBreak/>
        <w:t>BACA</w:t>
      </w:r>
      <w:r w:rsidR="00B22A07" w:rsidRPr="00B84D47">
        <w:rPr>
          <w:rFonts w:asciiTheme="majorBidi" w:hAnsiTheme="majorBidi" w:cstheme="majorBidi"/>
          <w:b/>
          <w:bCs/>
        </w:rPr>
        <w:t xml:space="preserve"> commitments </w:t>
      </w:r>
      <w:r w:rsidRPr="00B84D47">
        <w:rPr>
          <w:rFonts w:asciiTheme="majorBidi" w:hAnsiTheme="majorBidi" w:cstheme="majorBidi"/>
          <w:b/>
          <w:bCs/>
        </w:rPr>
        <w:t>by</w:t>
      </w:r>
      <w:r w:rsidR="00B22A07" w:rsidRPr="00B84D47">
        <w:rPr>
          <w:rFonts w:asciiTheme="majorBidi" w:hAnsiTheme="majorBidi" w:cstheme="majorBidi"/>
          <w:b/>
          <w:bCs/>
        </w:rPr>
        <w:t xml:space="preserve"> </w:t>
      </w:r>
      <w:r w:rsidR="00870B82" w:rsidRPr="00B84D47">
        <w:rPr>
          <w:rFonts w:asciiTheme="majorBidi" w:hAnsiTheme="majorBidi" w:cstheme="majorBidi"/>
          <w:b/>
          <w:bCs/>
        </w:rPr>
        <w:t>sections</w:t>
      </w:r>
    </w:p>
    <w:p w14:paraId="0DC56264" w14:textId="6C8DFD6F" w:rsidR="00B22A07" w:rsidRPr="00B84D47" w:rsidRDefault="00B22A07" w:rsidP="00B22A07">
      <w:pPr>
        <w:jc w:val="center"/>
        <w:rPr>
          <w:rFonts w:asciiTheme="majorBidi" w:hAnsiTheme="majorBidi" w:cstheme="majorBidi"/>
          <w:b/>
          <w:bCs/>
        </w:rPr>
      </w:pPr>
      <w:r w:rsidRPr="00B84D47">
        <w:rPr>
          <w:rFonts w:asciiTheme="majorBidi" w:hAnsiTheme="majorBidi" w:cstheme="majorBidi"/>
          <w:noProof/>
        </w:rPr>
        <w:drawing>
          <wp:inline distT="0" distB="0" distL="0" distR="0" wp14:anchorId="791E5421" wp14:editId="64531360">
            <wp:extent cx="5730876" cy="3486150"/>
            <wp:effectExtent l="0" t="0" r="3175" b="0"/>
            <wp:docPr id="2" name="Chart 2">
              <a:extLst xmlns:a="http://schemas.openxmlformats.org/drawingml/2006/main">
                <a:ext uri="{FF2B5EF4-FFF2-40B4-BE49-F238E27FC236}">
                  <a16:creationId xmlns:a16="http://schemas.microsoft.com/office/drawing/2014/main" id="{32D6CFC7-7C1C-4F94-B149-573C8D4A40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E406E4F" w14:textId="28D47E3B" w:rsidR="00B22A07" w:rsidRPr="00B84D47" w:rsidRDefault="00B22A07" w:rsidP="009A3149">
      <w:pPr>
        <w:rPr>
          <w:rFonts w:asciiTheme="majorBidi" w:hAnsiTheme="majorBidi" w:cstheme="majorBidi"/>
          <w:b/>
          <w:bCs/>
        </w:rPr>
      </w:pPr>
    </w:p>
    <w:p w14:paraId="4749E8D4" w14:textId="38FB2F4D" w:rsidR="00B22A07" w:rsidRPr="00B84D47" w:rsidRDefault="00B22A07" w:rsidP="00B22A07">
      <w:pPr>
        <w:rPr>
          <w:rFonts w:asciiTheme="majorBidi" w:hAnsiTheme="majorBidi" w:cstheme="majorBidi"/>
        </w:rPr>
      </w:pPr>
      <w:r w:rsidRPr="00B84D47">
        <w:rPr>
          <w:rFonts w:asciiTheme="majorBidi" w:hAnsiTheme="majorBidi" w:cstheme="majorBidi"/>
        </w:rPr>
        <w:t>Figure II</w:t>
      </w:r>
      <w:r w:rsidR="00EE392D" w:rsidRPr="00B84D47">
        <w:rPr>
          <w:rFonts w:asciiTheme="majorBidi" w:hAnsiTheme="majorBidi" w:cstheme="majorBidi"/>
        </w:rPr>
        <w:t>I</w:t>
      </w:r>
    </w:p>
    <w:p w14:paraId="40AABC9F" w14:textId="77777777" w:rsidR="00C22310" w:rsidRPr="00B84D47" w:rsidRDefault="00C24CE7" w:rsidP="00C22310">
      <w:pPr>
        <w:rPr>
          <w:rFonts w:asciiTheme="majorBidi" w:hAnsiTheme="majorBidi" w:cstheme="majorBidi"/>
          <w:b/>
          <w:bCs/>
        </w:rPr>
      </w:pPr>
      <w:r w:rsidRPr="00B84D47">
        <w:rPr>
          <w:rFonts w:asciiTheme="majorBidi" w:hAnsiTheme="majorBidi" w:cstheme="majorBidi"/>
          <w:b/>
          <w:bCs/>
        </w:rPr>
        <w:t xml:space="preserve">States participating in and reporting to the </w:t>
      </w:r>
      <w:r w:rsidR="00CE2D41" w:rsidRPr="00B84D47">
        <w:rPr>
          <w:rFonts w:asciiTheme="majorBidi" w:hAnsiTheme="majorBidi" w:cstheme="majorBidi"/>
          <w:b/>
          <w:bCs/>
        </w:rPr>
        <w:t>BACA</w:t>
      </w:r>
      <w:r w:rsidRPr="00B84D47">
        <w:rPr>
          <w:rFonts w:asciiTheme="majorBidi" w:hAnsiTheme="majorBidi" w:cstheme="majorBidi"/>
          <w:b/>
          <w:bCs/>
        </w:rPr>
        <w:t xml:space="preserve"> by subregion</w:t>
      </w:r>
    </w:p>
    <w:p w14:paraId="670CF6CC" w14:textId="71130776" w:rsidR="00B22A07" w:rsidRPr="00B84D47" w:rsidRDefault="00B22A07" w:rsidP="00C22310">
      <w:pPr>
        <w:jc w:val="center"/>
        <w:rPr>
          <w:rFonts w:asciiTheme="majorBidi" w:hAnsiTheme="majorBidi" w:cstheme="majorBidi"/>
          <w:b/>
          <w:bCs/>
        </w:rPr>
      </w:pPr>
      <w:r w:rsidRPr="00B84D47">
        <w:rPr>
          <w:rFonts w:asciiTheme="majorBidi" w:hAnsiTheme="majorBidi" w:cstheme="majorBidi"/>
          <w:noProof/>
        </w:rPr>
        <w:drawing>
          <wp:inline distT="0" distB="0" distL="0" distR="0" wp14:anchorId="6049EA19" wp14:editId="7F80BEEE">
            <wp:extent cx="5911850" cy="3124200"/>
            <wp:effectExtent l="0" t="0" r="12700" b="0"/>
            <wp:docPr id="3" name="Chart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6BE6F5" w14:textId="4EB3BD1E" w:rsidR="00EE392D" w:rsidRPr="00B84D47" w:rsidRDefault="00EE392D" w:rsidP="00EE392D">
      <w:pPr>
        <w:rPr>
          <w:rFonts w:asciiTheme="majorBidi" w:hAnsiTheme="majorBidi" w:cstheme="majorBidi"/>
        </w:rPr>
      </w:pPr>
      <w:r w:rsidRPr="00B84D47">
        <w:rPr>
          <w:rFonts w:asciiTheme="majorBidi" w:hAnsiTheme="majorBidi" w:cstheme="majorBidi"/>
        </w:rPr>
        <w:t>Figure IV</w:t>
      </w:r>
    </w:p>
    <w:p w14:paraId="403BCF03" w14:textId="0F6178D5" w:rsidR="00880BF5" w:rsidRPr="00B84D47" w:rsidRDefault="00880BF5" w:rsidP="00880BF5">
      <w:pPr>
        <w:rPr>
          <w:rFonts w:asciiTheme="majorBidi" w:hAnsiTheme="majorBidi" w:cstheme="majorBidi"/>
          <w:b/>
          <w:bCs/>
        </w:rPr>
      </w:pPr>
      <w:r w:rsidRPr="00B84D47">
        <w:rPr>
          <w:rFonts w:asciiTheme="majorBidi" w:hAnsiTheme="majorBidi" w:cstheme="majorBidi"/>
          <w:b/>
          <w:bCs/>
        </w:rPr>
        <w:lastRenderedPageBreak/>
        <w:t>Progress in implementation of BACA commitments</w:t>
      </w:r>
    </w:p>
    <w:p w14:paraId="2FF40452" w14:textId="0D8B9E12" w:rsidR="00C22310" w:rsidRPr="00B84D47" w:rsidRDefault="00C22310" w:rsidP="00880BF5">
      <w:pPr>
        <w:jc w:val="center"/>
        <w:rPr>
          <w:rFonts w:asciiTheme="majorBidi" w:hAnsiTheme="majorBidi" w:cstheme="majorBidi"/>
          <w:b/>
          <w:bCs/>
        </w:rPr>
      </w:pPr>
      <w:r w:rsidRPr="00B84D47">
        <w:rPr>
          <w:rFonts w:asciiTheme="majorBidi" w:hAnsiTheme="majorBidi" w:cstheme="majorBidi"/>
          <w:noProof/>
        </w:rPr>
        <w:drawing>
          <wp:inline distT="0" distB="0" distL="0" distR="0" wp14:anchorId="1F518370" wp14:editId="296425ED">
            <wp:extent cx="4572000" cy="2743200"/>
            <wp:effectExtent l="0" t="0" r="0" b="0"/>
            <wp:docPr id="4" name="Chart 4">
              <a:extLst xmlns:a="http://schemas.openxmlformats.org/drawingml/2006/main">
                <a:ext uri="{FF2B5EF4-FFF2-40B4-BE49-F238E27FC236}">
                  <a16:creationId xmlns:a16="http://schemas.microsoft.com/office/drawing/2014/main" id="{4BFA1A60-EB32-4531-AF62-7E55118A25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C22310" w:rsidRPr="00B84D47" w:rsidSect="00EC76C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F99A" w14:textId="77777777" w:rsidR="00445C89" w:rsidRDefault="00445C89" w:rsidP="007D661A">
      <w:pPr>
        <w:spacing w:after="0" w:line="240" w:lineRule="auto"/>
      </w:pPr>
      <w:r>
        <w:separator/>
      </w:r>
    </w:p>
  </w:endnote>
  <w:endnote w:type="continuationSeparator" w:id="0">
    <w:p w14:paraId="28C6319B" w14:textId="77777777" w:rsidR="00445C89" w:rsidRDefault="00445C89" w:rsidP="007D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074957"/>
      <w:docPartObj>
        <w:docPartGallery w:val="Page Numbers (Bottom of Page)"/>
        <w:docPartUnique/>
      </w:docPartObj>
    </w:sdtPr>
    <w:sdtEndPr>
      <w:rPr>
        <w:noProof/>
      </w:rPr>
    </w:sdtEndPr>
    <w:sdtContent>
      <w:p w14:paraId="57FB56BE" w14:textId="77777777" w:rsidR="00994D6F" w:rsidRDefault="00994D6F">
        <w:pPr>
          <w:pStyle w:val="Footer"/>
          <w:jc w:val="right"/>
        </w:pPr>
        <w:r>
          <w:fldChar w:fldCharType="begin"/>
        </w:r>
        <w:r>
          <w:instrText xml:space="preserve"> PAGE   \* MERGEFORMAT </w:instrText>
        </w:r>
        <w:r>
          <w:fldChar w:fldCharType="separate"/>
        </w:r>
        <w:r w:rsidR="0041030B">
          <w:rPr>
            <w:noProof/>
          </w:rPr>
          <w:t>6</w:t>
        </w:r>
        <w:r>
          <w:rPr>
            <w:noProof/>
          </w:rPr>
          <w:fldChar w:fldCharType="end"/>
        </w:r>
      </w:p>
    </w:sdtContent>
  </w:sdt>
  <w:p w14:paraId="603BA4F1" w14:textId="77777777" w:rsidR="00994D6F" w:rsidRDefault="00994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4028" w14:textId="77777777" w:rsidR="00445C89" w:rsidRDefault="00445C89" w:rsidP="007D661A">
      <w:pPr>
        <w:spacing w:after="0" w:line="240" w:lineRule="auto"/>
      </w:pPr>
      <w:r>
        <w:separator/>
      </w:r>
    </w:p>
  </w:footnote>
  <w:footnote w:type="continuationSeparator" w:id="0">
    <w:p w14:paraId="3CED28A4" w14:textId="77777777" w:rsidR="00445C89" w:rsidRDefault="00445C89" w:rsidP="007D661A">
      <w:pPr>
        <w:spacing w:after="0" w:line="240" w:lineRule="auto"/>
      </w:pPr>
      <w:r>
        <w:continuationSeparator/>
      </w:r>
    </w:p>
  </w:footnote>
  <w:footnote w:id="1">
    <w:p w14:paraId="768EAE54" w14:textId="77777777" w:rsidR="00994D6F" w:rsidRPr="0016208C" w:rsidRDefault="00994D6F">
      <w:pPr>
        <w:pStyle w:val="FootnoteText"/>
        <w:rPr>
          <w:rFonts w:ascii="Sylfaen" w:hAnsi="Sylfaen"/>
        </w:rPr>
      </w:pPr>
      <w:r>
        <w:rPr>
          <w:rStyle w:val="FootnoteReference"/>
        </w:rPr>
        <w:footnoteRef/>
      </w:r>
      <w:r>
        <w:t xml:space="preserve"> </w:t>
      </w:r>
      <w:r w:rsidRPr="0016208C">
        <w:t>https://unece.org/baca</w:t>
      </w:r>
    </w:p>
  </w:footnote>
  <w:footnote w:id="2">
    <w:p w14:paraId="64D06047" w14:textId="77777777" w:rsidR="005B42F8" w:rsidRPr="00E655AF" w:rsidRDefault="005B42F8" w:rsidP="005B42F8">
      <w:pPr>
        <w:pStyle w:val="FootnoteText"/>
        <w:rPr>
          <w:sz w:val="18"/>
          <w:szCs w:val="18"/>
        </w:rPr>
      </w:pPr>
      <w:r>
        <w:rPr>
          <w:rStyle w:val="FootnoteReference"/>
        </w:rPr>
        <w:footnoteRef/>
      </w:r>
      <w:r>
        <w:t xml:space="preserve"> </w:t>
      </w:r>
      <w:r w:rsidRPr="00E655AF">
        <w:rPr>
          <w:sz w:val="18"/>
          <w:szCs w:val="18"/>
        </w:rPr>
        <w:t>Armenia, Azerbaijan, Czech Republic, Germany, Italy, Portugal, Spain</w:t>
      </w:r>
    </w:p>
  </w:footnote>
  <w:footnote w:id="3">
    <w:p w14:paraId="7F6DD26A" w14:textId="77777777" w:rsidR="00994D6F" w:rsidRPr="00E655AF" w:rsidRDefault="00994D6F">
      <w:pPr>
        <w:pStyle w:val="FootnoteText"/>
        <w:rPr>
          <w:sz w:val="18"/>
          <w:szCs w:val="18"/>
        </w:rPr>
      </w:pPr>
      <w:r w:rsidRPr="00E655AF">
        <w:rPr>
          <w:rStyle w:val="FootnoteReference"/>
          <w:sz w:val="18"/>
          <w:szCs w:val="18"/>
        </w:rPr>
        <w:footnoteRef/>
      </w:r>
      <w:r w:rsidRPr="00E655AF">
        <w:rPr>
          <w:sz w:val="18"/>
          <w:szCs w:val="18"/>
        </w:rPr>
        <w:t xml:space="preserve"> </w:t>
      </w:r>
      <w:r>
        <w:rPr>
          <w:sz w:val="18"/>
          <w:szCs w:val="18"/>
        </w:rPr>
        <w:t>T</w:t>
      </w:r>
      <w:r w:rsidRPr="00E655AF">
        <w:rPr>
          <w:sz w:val="18"/>
          <w:szCs w:val="18"/>
        </w:rPr>
        <w:t>he Nordic Council of Ministers</w:t>
      </w:r>
    </w:p>
  </w:footnote>
  <w:footnote w:id="4">
    <w:p w14:paraId="332E376D" w14:textId="77777777" w:rsidR="00994D6F" w:rsidRPr="00E655AF" w:rsidRDefault="00994D6F" w:rsidP="008803DA">
      <w:pPr>
        <w:pStyle w:val="FootnoteText"/>
        <w:rPr>
          <w:sz w:val="18"/>
          <w:szCs w:val="18"/>
        </w:rPr>
      </w:pPr>
      <w:r w:rsidRPr="00E655AF">
        <w:rPr>
          <w:rStyle w:val="FootnoteReference"/>
          <w:sz w:val="18"/>
          <w:szCs w:val="18"/>
        </w:rPr>
        <w:footnoteRef/>
      </w:r>
      <w:r w:rsidRPr="00E655AF">
        <w:rPr>
          <w:sz w:val="18"/>
          <w:szCs w:val="18"/>
        </w:rPr>
        <w:t xml:space="preserve"> Austria, Latvia, Lithuania, Netherlands</w:t>
      </w:r>
    </w:p>
  </w:footnote>
  <w:footnote w:id="5">
    <w:p w14:paraId="0F112173" w14:textId="77777777" w:rsidR="00994D6F" w:rsidRPr="00E655AF" w:rsidRDefault="00994D6F">
      <w:pPr>
        <w:pStyle w:val="FootnoteText"/>
        <w:rPr>
          <w:sz w:val="18"/>
          <w:szCs w:val="18"/>
        </w:rPr>
      </w:pPr>
      <w:r w:rsidRPr="00E655AF">
        <w:rPr>
          <w:rStyle w:val="FootnoteReference"/>
          <w:sz w:val="18"/>
          <w:szCs w:val="18"/>
        </w:rPr>
        <w:footnoteRef/>
      </w:r>
      <w:r w:rsidRPr="00E655AF">
        <w:rPr>
          <w:sz w:val="18"/>
          <w:szCs w:val="18"/>
        </w:rPr>
        <w:t xml:space="preserve"> UNECE</w:t>
      </w:r>
    </w:p>
  </w:footnote>
  <w:footnote w:id="6">
    <w:p w14:paraId="4962E04D" w14:textId="77777777" w:rsidR="005B42F8" w:rsidRPr="00E655AF" w:rsidRDefault="005B42F8" w:rsidP="005B42F8">
      <w:pPr>
        <w:pStyle w:val="FootnoteText"/>
        <w:rPr>
          <w:sz w:val="18"/>
          <w:szCs w:val="18"/>
        </w:rPr>
      </w:pPr>
      <w:r w:rsidRPr="00E655AF">
        <w:rPr>
          <w:rStyle w:val="FootnoteReference"/>
          <w:sz w:val="18"/>
          <w:szCs w:val="18"/>
        </w:rPr>
        <w:footnoteRef/>
      </w:r>
      <w:r w:rsidRPr="00E655AF">
        <w:rPr>
          <w:sz w:val="18"/>
          <w:szCs w:val="18"/>
        </w:rPr>
        <w:t xml:space="preserve"> Republic of Moldova, Romania, Slovenia</w:t>
      </w:r>
    </w:p>
  </w:footnote>
  <w:footnote w:id="7">
    <w:p w14:paraId="7F31EBEE" w14:textId="77777777" w:rsidR="00994D6F" w:rsidRPr="00E655AF" w:rsidRDefault="00994D6F">
      <w:pPr>
        <w:pStyle w:val="FootnoteText"/>
        <w:rPr>
          <w:sz w:val="18"/>
          <w:szCs w:val="18"/>
        </w:rPr>
      </w:pPr>
      <w:r w:rsidRPr="00E655AF">
        <w:rPr>
          <w:rStyle w:val="FootnoteReference"/>
          <w:sz w:val="18"/>
          <w:szCs w:val="18"/>
        </w:rPr>
        <w:footnoteRef/>
      </w:r>
      <w:r w:rsidRPr="00E655AF">
        <w:rPr>
          <w:sz w:val="18"/>
          <w:szCs w:val="18"/>
        </w:rPr>
        <w:t xml:space="preserve"> The World Health Organization</w:t>
      </w:r>
    </w:p>
  </w:footnote>
  <w:footnote w:id="8">
    <w:p w14:paraId="0F9DE078" w14:textId="77777777" w:rsidR="005B42F8" w:rsidRPr="00E655AF" w:rsidRDefault="005B42F8" w:rsidP="005B42F8">
      <w:pPr>
        <w:pStyle w:val="FootnoteText"/>
        <w:rPr>
          <w:sz w:val="18"/>
          <w:szCs w:val="18"/>
        </w:rPr>
      </w:pPr>
      <w:r w:rsidRPr="00E655AF">
        <w:rPr>
          <w:rStyle w:val="FootnoteReference"/>
          <w:sz w:val="18"/>
          <w:szCs w:val="18"/>
        </w:rPr>
        <w:footnoteRef/>
      </w:r>
      <w:r w:rsidRPr="00E655AF">
        <w:rPr>
          <w:sz w:val="18"/>
          <w:szCs w:val="18"/>
        </w:rPr>
        <w:t xml:space="preserve"> Estonia, Hungary, Sweden, Uzbekistan</w:t>
      </w:r>
    </w:p>
  </w:footnote>
  <w:footnote w:id="9">
    <w:p w14:paraId="40060FDB" w14:textId="77777777" w:rsidR="00994D6F" w:rsidRPr="00E655AF" w:rsidRDefault="00994D6F">
      <w:pPr>
        <w:pStyle w:val="FootnoteText"/>
        <w:rPr>
          <w:sz w:val="18"/>
          <w:szCs w:val="18"/>
        </w:rPr>
      </w:pPr>
      <w:r w:rsidRPr="00E655AF">
        <w:rPr>
          <w:rStyle w:val="FootnoteReference"/>
          <w:sz w:val="18"/>
          <w:szCs w:val="18"/>
        </w:rPr>
        <w:footnoteRef/>
      </w:r>
      <w:r w:rsidRPr="00E655AF">
        <w:rPr>
          <w:sz w:val="18"/>
          <w:szCs w:val="18"/>
        </w:rPr>
        <w:t xml:space="preserve"> The Regional Environmental Centre for Central and Eastern Europe</w:t>
      </w:r>
    </w:p>
  </w:footnote>
  <w:footnote w:id="10">
    <w:p w14:paraId="756F99D9" w14:textId="77777777" w:rsidR="005B42F8" w:rsidRPr="00E655AF" w:rsidRDefault="005B42F8" w:rsidP="005B42F8">
      <w:pPr>
        <w:pStyle w:val="FootnoteText"/>
        <w:rPr>
          <w:sz w:val="18"/>
          <w:szCs w:val="18"/>
        </w:rPr>
      </w:pPr>
      <w:r w:rsidRPr="00E655AF">
        <w:rPr>
          <w:rStyle w:val="FootnoteReference"/>
          <w:sz w:val="18"/>
          <w:szCs w:val="18"/>
        </w:rPr>
        <w:footnoteRef/>
      </w:r>
      <w:r w:rsidRPr="00E655AF">
        <w:rPr>
          <w:sz w:val="18"/>
          <w:szCs w:val="18"/>
        </w:rPr>
        <w:t xml:space="preserve"> Belarus, Belgium, Croatia, France, Poland, Switzerland</w:t>
      </w:r>
    </w:p>
  </w:footnote>
  <w:footnote w:id="11">
    <w:p w14:paraId="31711AA6" w14:textId="77777777" w:rsidR="00994D6F" w:rsidRPr="00E655AF" w:rsidRDefault="00994D6F">
      <w:pPr>
        <w:pStyle w:val="FootnoteText"/>
        <w:rPr>
          <w:rFonts w:ascii="Sylfaen" w:hAnsi="Sylfaen"/>
          <w:sz w:val="18"/>
          <w:szCs w:val="18"/>
          <w:lang w:val="ka-GE"/>
        </w:rPr>
      </w:pPr>
      <w:r w:rsidRPr="00E655AF">
        <w:rPr>
          <w:rStyle w:val="FootnoteReference"/>
          <w:sz w:val="18"/>
          <w:szCs w:val="18"/>
        </w:rPr>
        <w:footnoteRef/>
      </w:r>
      <w:r w:rsidRPr="00E655AF">
        <w:rPr>
          <w:sz w:val="18"/>
          <w:szCs w:val="18"/>
        </w:rPr>
        <w:t xml:space="preserve"> As for 5 April 2022</w:t>
      </w:r>
    </w:p>
  </w:footnote>
  <w:footnote w:id="12">
    <w:p w14:paraId="5B1829D2" w14:textId="77777777" w:rsidR="00994D6F" w:rsidRPr="00E655AF" w:rsidRDefault="00994D6F" w:rsidP="00D04B9C">
      <w:pPr>
        <w:pStyle w:val="FootnoteText"/>
        <w:rPr>
          <w:sz w:val="18"/>
          <w:szCs w:val="18"/>
        </w:rPr>
      </w:pPr>
      <w:r w:rsidRPr="00E655AF">
        <w:rPr>
          <w:rStyle w:val="FootnoteReference"/>
          <w:sz w:val="18"/>
          <w:szCs w:val="18"/>
        </w:rPr>
        <w:footnoteRef/>
      </w:r>
      <w:r w:rsidRPr="00E655AF">
        <w:rPr>
          <w:sz w:val="18"/>
          <w:szCs w:val="18"/>
        </w:rPr>
        <w:t xml:space="preserve"> </w:t>
      </w:r>
      <w:r w:rsidRPr="00E655AF">
        <w:rPr>
          <w:sz w:val="18"/>
          <w:szCs w:val="18"/>
          <w:highlight w:val="yellow"/>
        </w:rPr>
        <w:t>Austria, Azerbaijan, Belarus, France, the Netherlands, Portugal, the United States of America</w:t>
      </w:r>
    </w:p>
  </w:footnote>
  <w:footnote w:id="13">
    <w:p w14:paraId="49093D1F" w14:textId="77777777" w:rsidR="00994D6F" w:rsidRPr="002C415F" w:rsidRDefault="00994D6F" w:rsidP="006C57B5">
      <w:pPr>
        <w:pStyle w:val="FootnoteText"/>
        <w:rPr>
          <w:rFonts w:ascii="Sylfaen" w:hAnsi="Sylfaen"/>
          <w:lang w:val="ka-GE"/>
        </w:rPr>
      </w:pPr>
      <w:r w:rsidRPr="00E655AF">
        <w:rPr>
          <w:rStyle w:val="FootnoteReference"/>
          <w:sz w:val="18"/>
          <w:szCs w:val="18"/>
        </w:rPr>
        <w:footnoteRef/>
      </w:r>
      <w:r w:rsidRPr="00E655AF">
        <w:rPr>
          <w:sz w:val="18"/>
          <w:szCs w:val="18"/>
        </w:rPr>
        <w:t xml:space="preserve"> As for 5 April 2022</w:t>
      </w:r>
    </w:p>
  </w:footnote>
  <w:footnote w:id="14">
    <w:p w14:paraId="027AB451" w14:textId="77777777" w:rsidR="00994D6F" w:rsidRDefault="00994D6F" w:rsidP="00EF7F22">
      <w:pPr>
        <w:pStyle w:val="FootnoteText"/>
      </w:pPr>
      <w:r>
        <w:rPr>
          <w:rStyle w:val="FootnoteReference"/>
        </w:rPr>
        <w:footnoteRef/>
      </w:r>
      <w:r>
        <w:t xml:space="preserve"> </w:t>
      </w:r>
      <w:r w:rsidRPr="007F53B9">
        <w:rPr>
          <w:sz w:val="18"/>
        </w:rPr>
        <w:t xml:space="preserve">From the mid-term survey, only commitments </w:t>
      </w:r>
      <w:r>
        <w:rPr>
          <w:sz w:val="18"/>
        </w:rPr>
        <w:t xml:space="preserve">that were </w:t>
      </w:r>
      <w:r w:rsidRPr="007F53B9">
        <w:rPr>
          <w:sz w:val="18"/>
        </w:rPr>
        <w:t xml:space="preserve">reported as implemented have been </w:t>
      </w:r>
      <w:r>
        <w:rPr>
          <w:sz w:val="18"/>
        </w:rPr>
        <w:t>taken into account</w:t>
      </w:r>
      <w:r w:rsidRPr="007F53B9">
        <w:rPr>
          <w:sz w:val="18"/>
        </w:rPr>
        <w:t xml:space="preserve">. </w:t>
      </w:r>
    </w:p>
  </w:footnote>
  <w:footnote w:id="15">
    <w:p w14:paraId="38644A0A" w14:textId="3F27E224" w:rsidR="00994D6F" w:rsidRDefault="00994D6F" w:rsidP="00E655AF">
      <w:pPr>
        <w:pStyle w:val="FootnoteText"/>
      </w:pPr>
      <w:r>
        <w:rPr>
          <w:rStyle w:val="FootnoteReference"/>
        </w:rPr>
        <w:footnoteRef/>
      </w:r>
      <w:r>
        <w:rPr>
          <w:sz w:val="18"/>
        </w:rPr>
        <w:t xml:space="preserve"> </w:t>
      </w:r>
      <w:r w:rsidRPr="00E655AF">
        <w:rPr>
          <w:sz w:val="18"/>
        </w:rPr>
        <w:t>Azerbaijan</w:t>
      </w:r>
      <w:r>
        <w:rPr>
          <w:sz w:val="18"/>
        </w:rPr>
        <w:t>,</w:t>
      </w:r>
      <w:r w:rsidRPr="00E655AF">
        <w:rPr>
          <w:sz w:val="18"/>
        </w:rPr>
        <w:t xml:space="preserve"> Canada</w:t>
      </w:r>
      <w:r>
        <w:rPr>
          <w:sz w:val="18"/>
        </w:rPr>
        <w:t>,</w:t>
      </w:r>
      <w:r w:rsidRPr="00E655AF">
        <w:rPr>
          <w:sz w:val="18"/>
        </w:rPr>
        <w:t xml:space="preserve"> France</w:t>
      </w:r>
      <w:r>
        <w:rPr>
          <w:sz w:val="18"/>
        </w:rPr>
        <w:t>,</w:t>
      </w:r>
      <w:r w:rsidRPr="00E655AF">
        <w:rPr>
          <w:sz w:val="18"/>
        </w:rPr>
        <w:t xml:space="preserve"> Georgia</w:t>
      </w:r>
      <w:r>
        <w:rPr>
          <w:sz w:val="18"/>
        </w:rPr>
        <w:t>,</w:t>
      </w:r>
      <w:r w:rsidR="00282693">
        <w:rPr>
          <w:sz w:val="18"/>
        </w:rPr>
        <w:t xml:space="preserve"> </w:t>
      </w:r>
      <w:r w:rsidR="00282693" w:rsidRPr="00282693">
        <w:rPr>
          <w:sz w:val="18"/>
        </w:rPr>
        <w:t>Hungary</w:t>
      </w:r>
      <w:r w:rsidR="00282693">
        <w:rPr>
          <w:sz w:val="18"/>
        </w:rPr>
        <w:t>,</w:t>
      </w:r>
      <w:r w:rsidRPr="00E655AF">
        <w:rPr>
          <w:sz w:val="18"/>
        </w:rPr>
        <w:t xml:space="preserve"> Latvia</w:t>
      </w:r>
      <w:r>
        <w:rPr>
          <w:sz w:val="18"/>
        </w:rPr>
        <w:t>,</w:t>
      </w:r>
      <w:r w:rsidRPr="00E655AF">
        <w:rPr>
          <w:sz w:val="18"/>
        </w:rPr>
        <w:t xml:space="preserve"> Lithuania</w:t>
      </w:r>
      <w:r>
        <w:rPr>
          <w:sz w:val="18"/>
        </w:rPr>
        <w:t>,</w:t>
      </w:r>
      <w:r w:rsidRPr="00E655AF">
        <w:rPr>
          <w:sz w:val="18"/>
        </w:rPr>
        <w:t xml:space="preserve"> Republic of Moldova</w:t>
      </w:r>
      <w:r>
        <w:rPr>
          <w:sz w:val="18"/>
        </w:rPr>
        <w:t>,</w:t>
      </w:r>
      <w:r w:rsidRPr="00E655AF">
        <w:rPr>
          <w:sz w:val="18"/>
        </w:rPr>
        <w:t xml:space="preserve"> Romania</w:t>
      </w:r>
      <w:r>
        <w:rPr>
          <w:sz w:val="18"/>
        </w:rPr>
        <w:t>,</w:t>
      </w:r>
      <w:r w:rsidRPr="00E655AF">
        <w:rPr>
          <w:sz w:val="18"/>
        </w:rPr>
        <w:t xml:space="preserve"> </w:t>
      </w:r>
      <w:r>
        <w:rPr>
          <w:sz w:val="18"/>
        </w:rPr>
        <w:t>Uzbekistan</w:t>
      </w:r>
    </w:p>
  </w:footnote>
  <w:footnote w:id="16">
    <w:p w14:paraId="7A792777" w14:textId="77777777" w:rsidR="00994D6F" w:rsidRDefault="00994D6F">
      <w:pPr>
        <w:pStyle w:val="FootnoteText"/>
      </w:pPr>
      <w:r>
        <w:rPr>
          <w:rStyle w:val="FootnoteReference"/>
        </w:rPr>
        <w:footnoteRef/>
      </w:r>
      <w:r>
        <w:t xml:space="preserve"> </w:t>
      </w:r>
      <w:r w:rsidRPr="00E655AF">
        <w:rPr>
          <w:sz w:val="18"/>
          <w:szCs w:val="18"/>
        </w:rPr>
        <w:t>The World Health Organization</w:t>
      </w:r>
    </w:p>
  </w:footnote>
  <w:footnote w:id="17">
    <w:p w14:paraId="62166674" w14:textId="54295CF0" w:rsidR="00AA477A" w:rsidRDefault="00994D6F">
      <w:pPr>
        <w:pStyle w:val="FootnoteText"/>
      </w:pPr>
      <w:r>
        <w:rPr>
          <w:rStyle w:val="FootnoteReference"/>
        </w:rPr>
        <w:footnoteRef/>
      </w:r>
      <w:r>
        <w:t xml:space="preserve"> </w:t>
      </w:r>
      <w:hyperlink r:id="rId1" w:history="1">
        <w:r w:rsidR="00AA477A" w:rsidRPr="005360DA">
          <w:rPr>
            <w:rStyle w:val="Hyperlink"/>
            <w:sz w:val="18"/>
          </w:rPr>
          <w:t>http://www2.prevair.org</w:t>
        </w:r>
      </w:hyperlink>
    </w:p>
  </w:footnote>
  <w:footnote w:id="18">
    <w:p w14:paraId="079027CD" w14:textId="34ACA66A" w:rsidR="00AA477A" w:rsidRDefault="00994D6F">
      <w:pPr>
        <w:pStyle w:val="FootnoteText"/>
      </w:pPr>
      <w:r>
        <w:rPr>
          <w:rStyle w:val="FootnoteReference"/>
        </w:rPr>
        <w:footnoteRef/>
      </w:r>
      <w:r>
        <w:t xml:space="preserve"> </w:t>
      </w:r>
      <w:hyperlink r:id="rId2" w:history="1">
        <w:r w:rsidR="00AA477A" w:rsidRPr="005360DA">
          <w:rPr>
            <w:rStyle w:val="Hyperlink"/>
            <w:sz w:val="18"/>
          </w:rPr>
          <w:t>http://air.gov.ge</w:t>
        </w:r>
      </w:hyperlink>
    </w:p>
  </w:footnote>
  <w:footnote w:id="19">
    <w:p w14:paraId="58D5EB75" w14:textId="156A0017" w:rsidR="00C844A5" w:rsidRPr="00C844A5" w:rsidRDefault="00C844A5">
      <w:pPr>
        <w:pStyle w:val="FootnoteText"/>
        <w:rPr>
          <w:sz w:val="18"/>
          <w:szCs w:val="18"/>
        </w:rPr>
      </w:pPr>
      <w:r w:rsidRPr="00C844A5">
        <w:rPr>
          <w:rStyle w:val="FootnoteReference"/>
          <w:sz w:val="18"/>
          <w:szCs w:val="18"/>
        </w:rPr>
        <w:footnoteRef/>
      </w:r>
      <w:r w:rsidRPr="00C844A5">
        <w:rPr>
          <w:sz w:val="18"/>
          <w:szCs w:val="18"/>
        </w:rPr>
        <w:t xml:space="preserve"> </w:t>
      </w:r>
      <w:hyperlink r:id="rId3" w:history="1">
        <w:r w:rsidRPr="005360DA">
          <w:rPr>
            <w:rStyle w:val="Hyperlink"/>
            <w:sz w:val="18"/>
            <w:szCs w:val="18"/>
          </w:rPr>
          <w:t>https://legszennyezettseg.met.hu/en/modelling/map</w:t>
        </w:r>
      </w:hyperlink>
    </w:p>
  </w:footnote>
  <w:footnote w:id="20">
    <w:p w14:paraId="7E4BAF28" w14:textId="28BD88D2" w:rsidR="00AA477A" w:rsidRDefault="0091569B" w:rsidP="008F0130">
      <w:pPr>
        <w:pStyle w:val="FootnoteText"/>
        <w:ind w:left="180" w:hanging="180"/>
      </w:pPr>
      <w:r>
        <w:rPr>
          <w:rStyle w:val="FootnoteReference"/>
        </w:rPr>
        <w:footnoteRef/>
      </w:r>
      <w:r>
        <w:t xml:space="preserve"> </w:t>
      </w:r>
      <w:hyperlink r:id="rId4" w:history="1">
        <w:r w:rsidR="00AA477A" w:rsidRPr="005360DA">
          <w:rPr>
            <w:rStyle w:val="Hyperlink"/>
            <w:rFonts w:ascii="Calibri" w:hAnsi="Calibri" w:cs="Calibri"/>
            <w:sz w:val="18"/>
          </w:rPr>
          <w:t>https://www.canada.ca/en/environment-climate-change/services/air-pollution/publications/emissions-inventory-report-2022.html</w:t>
        </w:r>
      </w:hyperlink>
    </w:p>
  </w:footnote>
  <w:footnote w:id="21">
    <w:p w14:paraId="748A243C" w14:textId="7E4C6F99" w:rsidR="00AA477A" w:rsidRPr="00AA477A" w:rsidRDefault="00994D6F">
      <w:pPr>
        <w:pStyle w:val="FootnoteText"/>
        <w:rPr>
          <w:sz w:val="18"/>
        </w:rPr>
      </w:pPr>
      <w:r>
        <w:rPr>
          <w:rStyle w:val="FootnoteReference"/>
        </w:rPr>
        <w:footnoteRef/>
      </w:r>
      <w:r>
        <w:t xml:space="preserve"> </w:t>
      </w:r>
      <w:hyperlink r:id="rId5" w:history="1">
        <w:r w:rsidR="00AA477A" w:rsidRPr="005360DA">
          <w:rPr>
            <w:rStyle w:val="Hyperlink"/>
            <w:sz w:val="18"/>
          </w:rPr>
          <w:t>https://www.citepa.org/fr/activites/inventaires-des-emissions/secten</w:t>
        </w:r>
      </w:hyperlink>
    </w:p>
  </w:footnote>
  <w:footnote w:id="22">
    <w:p w14:paraId="6355FEC4" w14:textId="77777777" w:rsidR="00994D6F" w:rsidRDefault="00994D6F">
      <w:pPr>
        <w:pStyle w:val="FootnoteText"/>
      </w:pPr>
      <w:r>
        <w:rPr>
          <w:rStyle w:val="FootnoteReference"/>
        </w:rPr>
        <w:footnoteRef/>
      </w:r>
      <w:r>
        <w:t xml:space="preserve"> </w:t>
      </w:r>
      <w:r w:rsidRPr="007D584C">
        <w:rPr>
          <w:rFonts w:ascii="Calibri" w:hAnsi="Calibri" w:cs="Calibri"/>
          <w:color w:val="000000"/>
          <w:sz w:val="18"/>
        </w:rPr>
        <w:t>emoe.gov.ge</w:t>
      </w:r>
    </w:p>
  </w:footnote>
  <w:footnote w:id="23">
    <w:p w14:paraId="751B88B4" w14:textId="77777777" w:rsidR="00994D6F" w:rsidRDefault="00994D6F">
      <w:pPr>
        <w:pStyle w:val="FootnoteText"/>
      </w:pPr>
      <w:r>
        <w:rPr>
          <w:rStyle w:val="FootnoteReference"/>
        </w:rPr>
        <w:footnoteRef/>
      </w:r>
      <w:r>
        <w:t xml:space="preserve"> </w:t>
      </w:r>
      <w:r w:rsidRPr="0089379D">
        <w:rPr>
          <w:rFonts w:ascii="Calibri" w:hAnsi="Calibri" w:cs="Calibri"/>
          <w:color w:val="000000"/>
          <w:sz w:val="18"/>
        </w:rPr>
        <w:t>map.emoe.gov.ge</w:t>
      </w:r>
    </w:p>
  </w:footnote>
  <w:footnote w:id="24">
    <w:p w14:paraId="5380CC95" w14:textId="77777777" w:rsidR="00FB5E5D" w:rsidRDefault="00FB5E5D" w:rsidP="00FB5E5D">
      <w:pPr>
        <w:pStyle w:val="FootnoteText"/>
      </w:pPr>
      <w:r>
        <w:rPr>
          <w:rStyle w:val="FootnoteReference"/>
        </w:rPr>
        <w:footnoteRef/>
      </w:r>
      <w:r>
        <w:t xml:space="preserve"> </w:t>
      </w:r>
      <w:r w:rsidRPr="000E60D3">
        <w:rPr>
          <w:rFonts w:ascii="Calibri" w:hAnsi="Calibri" w:cs="Calibri"/>
          <w:color w:val="000000"/>
          <w:sz w:val="18"/>
        </w:rPr>
        <w:t xml:space="preserve">The latest version of the EMEP/EEA Guidebook (2019): </w:t>
      </w:r>
      <w:hyperlink r:id="rId6" w:history="1">
        <w:r w:rsidRPr="000E60D3">
          <w:rPr>
            <w:rStyle w:val="Hyperlink"/>
            <w:rFonts w:ascii="Calibri" w:hAnsi="Calibri" w:cs="Calibri"/>
            <w:sz w:val="18"/>
          </w:rPr>
          <w:t>https://www.eea.europa.eu/publications/emep-eea-guidebook-2019</w:t>
        </w:r>
      </w:hyperlink>
    </w:p>
  </w:footnote>
  <w:footnote w:id="25">
    <w:p w14:paraId="26E6C77C" w14:textId="451C0E0A" w:rsidR="000E60D3" w:rsidRDefault="000E60D3" w:rsidP="008F0130">
      <w:pPr>
        <w:pStyle w:val="FootnoteText"/>
        <w:ind w:left="180" w:hanging="180"/>
      </w:pPr>
      <w:r>
        <w:rPr>
          <w:rStyle w:val="FootnoteReference"/>
        </w:rPr>
        <w:footnoteRef/>
      </w:r>
      <w:r>
        <w:t xml:space="preserve"> </w:t>
      </w:r>
      <w:r w:rsidRPr="000E60D3">
        <w:rPr>
          <w:sz w:val="18"/>
        </w:rPr>
        <w:t>Armenia,</w:t>
      </w:r>
      <w:r>
        <w:rPr>
          <w:sz w:val="18"/>
        </w:rPr>
        <w:t xml:space="preserve"> </w:t>
      </w:r>
      <w:r w:rsidRPr="000E60D3">
        <w:rPr>
          <w:sz w:val="18"/>
        </w:rPr>
        <w:t>Belarus,</w:t>
      </w:r>
      <w:r>
        <w:rPr>
          <w:sz w:val="18"/>
        </w:rPr>
        <w:t xml:space="preserve"> </w:t>
      </w:r>
      <w:r w:rsidRPr="000E60D3">
        <w:rPr>
          <w:sz w:val="18"/>
        </w:rPr>
        <w:t>Belgium,</w:t>
      </w:r>
      <w:r>
        <w:rPr>
          <w:sz w:val="18"/>
        </w:rPr>
        <w:t xml:space="preserve"> </w:t>
      </w:r>
      <w:r w:rsidRPr="000E60D3">
        <w:rPr>
          <w:sz w:val="18"/>
        </w:rPr>
        <w:t>Canada</w:t>
      </w:r>
      <w:r>
        <w:rPr>
          <w:sz w:val="18"/>
        </w:rPr>
        <w:t xml:space="preserve">, </w:t>
      </w:r>
      <w:r w:rsidR="00021707" w:rsidRPr="00021707">
        <w:rPr>
          <w:sz w:val="18"/>
        </w:rPr>
        <w:t>Croatia</w:t>
      </w:r>
      <w:r w:rsidR="00021707">
        <w:rPr>
          <w:sz w:val="18"/>
        </w:rPr>
        <w:t>,</w:t>
      </w:r>
      <w:r w:rsidR="00021707" w:rsidRPr="00021707">
        <w:rPr>
          <w:sz w:val="18"/>
        </w:rPr>
        <w:t xml:space="preserve"> </w:t>
      </w:r>
      <w:r w:rsidRPr="000E60D3">
        <w:rPr>
          <w:sz w:val="18"/>
        </w:rPr>
        <w:t>Czech Republic,</w:t>
      </w:r>
      <w:r>
        <w:rPr>
          <w:sz w:val="18"/>
        </w:rPr>
        <w:t xml:space="preserve"> </w:t>
      </w:r>
      <w:r w:rsidRPr="000E60D3">
        <w:rPr>
          <w:sz w:val="18"/>
        </w:rPr>
        <w:t>Estonia,</w:t>
      </w:r>
      <w:r>
        <w:rPr>
          <w:sz w:val="18"/>
        </w:rPr>
        <w:t xml:space="preserve"> </w:t>
      </w:r>
      <w:r w:rsidRPr="000E60D3">
        <w:rPr>
          <w:sz w:val="18"/>
        </w:rPr>
        <w:t>France,</w:t>
      </w:r>
      <w:r>
        <w:rPr>
          <w:sz w:val="18"/>
        </w:rPr>
        <w:t xml:space="preserve"> </w:t>
      </w:r>
      <w:r w:rsidRPr="000E60D3">
        <w:rPr>
          <w:sz w:val="18"/>
        </w:rPr>
        <w:t>Georgia,</w:t>
      </w:r>
      <w:r>
        <w:rPr>
          <w:sz w:val="18"/>
        </w:rPr>
        <w:t xml:space="preserve"> </w:t>
      </w:r>
      <w:r w:rsidR="00021707" w:rsidRPr="00021707">
        <w:rPr>
          <w:sz w:val="18"/>
        </w:rPr>
        <w:t>Italy</w:t>
      </w:r>
      <w:r w:rsidR="00021707">
        <w:rPr>
          <w:sz w:val="18"/>
        </w:rPr>
        <w:t>,</w:t>
      </w:r>
      <w:r w:rsidR="00021707" w:rsidRPr="00021707">
        <w:rPr>
          <w:sz w:val="18"/>
        </w:rPr>
        <w:t xml:space="preserve"> </w:t>
      </w:r>
      <w:r w:rsidRPr="000E60D3">
        <w:rPr>
          <w:sz w:val="18"/>
        </w:rPr>
        <w:t>Hungary,</w:t>
      </w:r>
      <w:r>
        <w:rPr>
          <w:sz w:val="18"/>
        </w:rPr>
        <w:t xml:space="preserve"> </w:t>
      </w:r>
      <w:r w:rsidRPr="000E60D3">
        <w:rPr>
          <w:sz w:val="18"/>
        </w:rPr>
        <w:t>Latvia,</w:t>
      </w:r>
      <w:r>
        <w:rPr>
          <w:sz w:val="18"/>
        </w:rPr>
        <w:t xml:space="preserve"> </w:t>
      </w:r>
      <w:r w:rsidRPr="000E60D3">
        <w:rPr>
          <w:sz w:val="18"/>
        </w:rPr>
        <w:t>Lithuania,</w:t>
      </w:r>
      <w:r>
        <w:rPr>
          <w:sz w:val="18"/>
        </w:rPr>
        <w:t xml:space="preserve"> the </w:t>
      </w:r>
      <w:r w:rsidRPr="000E60D3">
        <w:rPr>
          <w:sz w:val="18"/>
        </w:rPr>
        <w:t>Netherlands,</w:t>
      </w:r>
      <w:r>
        <w:rPr>
          <w:sz w:val="18"/>
        </w:rPr>
        <w:t xml:space="preserve"> </w:t>
      </w:r>
      <w:r w:rsidRPr="000E60D3">
        <w:rPr>
          <w:sz w:val="18"/>
        </w:rPr>
        <w:t>Poland,</w:t>
      </w:r>
      <w:r>
        <w:rPr>
          <w:sz w:val="18"/>
        </w:rPr>
        <w:t xml:space="preserve"> </w:t>
      </w:r>
      <w:r w:rsidRPr="000E60D3">
        <w:rPr>
          <w:sz w:val="18"/>
        </w:rPr>
        <w:t>Republic of Moldova,</w:t>
      </w:r>
      <w:r>
        <w:rPr>
          <w:sz w:val="18"/>
        </w:rPr>
        <w:t xml:space="preserve"> </w:t>
      </w:r>
      <w:r w:rsidRPr="000E60D3">
        <w:rPr>
          <w:sz w:val="18"/>
        </w:rPr>
        <w:t>Romania,</w:t>
      </w:r>
      <w:r>
        <w:rPr>
          <w:sz w:val="18"/>
        </w:rPr>
        <w:t xml:space="preserve"> </w:t>
      </w:r>
      <w:r w:rsidRPr="000E60D3">
        <w:rPr>
          <w:sz w:val="18"/>
        </w:rPr>
        <w:t>Slovenia,</w:t>
      </w:r>
      <w:r>
        <w:rPr>
          <w:sz w:val="18"/>
        </w:rPr>
        <w:t xml:space="preserve"> </w:t>
      </w:r>
      <w:r w:rsidRPr="000E60D3">
        <w:rPr>
          <w:sz w:val="18"/>
        </w:rPr>
        <w:t>Switzerland,</w:t>
      </w:r>
      <w:r>
        <w:rPr>
          <w:sz w:val="18"/>
        </w:rPr>
        <w:t xml:space="preserve"> </w:t>
      </w:r>
      <w:r w:rsidRPr="000E60D3">
        <w:rPr>
          <w:sz w:val="18"/>
        </w:rPr>
        <w:t>United States of America,</w:t>
      </w:r>
      <w:r>
        <w:rPr>
          <w:sz w:val="18"/>
        </w:rPr>
        <w:t xml:space="preserve"> </w:t>
      </w:r>
      <w:r w:rsidRPr="000E60D3">
        <w:rPr>
          <w:sz w:val="18"/>
        </w:rPr>
        <w:t>Uzbekistan</w:t>
      </w:r>
    </w:p>
  </w:footnote>
  <w:footnote w:id="26">
    <w:p w14:paraId="7E7F98D7" w14:textId="30516FC7" w:rsidR="00E666B9" w:rsidRDefault="00E666B9">
      <w:pPr>
        <w:pStyle w:val="FootnoteText"/>
      </w:pPr>
      <w:r>
        <w:rPr>
          <w:rStyle w:val="FootnoteReference"/>
        </w:rPr>
        <w:footnoteRef/>
      </w:r>
      <w:r>
        <w:t xml:space="preserve"> </w:t>
      </w:r>
      <w:r w:rsidR="003D51A8">
        <w:rPr>
          <w:sz w:val="18"/>
        </w:rPr>
        <w:t>T</w:t>
      </w:r>
      <w:r w:rsidRPr="00E666B9">
        <w:rPr>
          <w:sz w:val="18"/>
        </w:rPr>
        <w:t>he Regional Environmental Centre for Central and Eastern Europe</w:t>
      </w:r>
    </w:p>
  </w:footnote>
  <w:footnote w:id="27">
    <w:p w14:paraId="3833CA7D" w14:textId="335A7173" w:rsidR="003D51A8" w:rsidRDefault="003D51A8" w:rsidP="003D51A8">
      <w:pPr>
        <w:pStyle w:val="FootnoteText"/>
      </w:pPr>
      <w:r>
        <w:rPr>
          <w:rStyle w:val="FootnoteReference"/>
        </w:rPr>
        <w:footnoteRef/>
      </w:r>
      <w:r>
        <w:t xml:space="preserve"> </w:t>
      </w:r>
      <w:r w:rsidRPr="003D51A8">
        <w:rPr>
          <w:sz w:val="18"/>
          <w:szCs w:val="18"/>
        </w:rPr>
        <w:t>Belarus,</w:t>
      </w:r>
      <w:r>
        <w:rPr>
          <w:sz w:val="18"/>
          <w:szCs w:val="18"/>
        </w:rPr>
        <w:t xml:space="preserve"> </w:t>
      </w:r>
      <w:r w:rsidRPr="003D51A8">
        <w:rPr>
          <w:sz w:val="18"/>
          <w:szCs w:val="18"/>
        </w:rPr>
        <w:t>Georgia,</w:t>
      </w:r>
      <w:r>
        <w:rPr>
          <w:sz w:val="18"/>
          <w:szCs w:val="18"/>
        </w:rPr>
        <w:t xml:space="preserve"> </w:t>
      </w:r>
      <w:r w:rsidRPr="003D51A8">
        <w:rPr>
          <w:sz w:val="18"/>
          <w:szCs w:val="18"/>
        </w:rPr>
        <w:t>Hungary,</w:t>
      </w:r>
      <w:r>
        <w:rPr>
          <w:sz w:val="18"/>
          <w:szCs w:val="18"/>
        </w:rPr>
        <w:t xml:space="preserve"> </w:t>
      </w:r>
      <w:r w:rsidRPr="003D51A8">
        <w:rPr>
          <w:sz w:val="18"/>
          <w:szCs w:val="18"/>
        </w:rPr>
        <w:t>the Netherlands,</w:t>
      </w:r>
      <w:r>
        <w:rPr>
          <w:sz w:val="18"/>
          <w:szCs w:val="18"/>
        </w:rPr>
        <w:t xml:space="preserve"> </w:t>
      </w:r>
      <w:r w:rsidRPr="003D51A8">
        <w:rPr>
          <w:sz w:val="18"/>
          <w:szCs w:val="18"/>
        </w:rPr>
        <w:t>Poland,</w:t>
      </w:r>
      <w:r>
        <w:rPr>
          <w:sz w:val="18"/>
          <w:szCs w:val="18"/>
        </w:rPr>
        <w:t xml:space="preserve"> </w:t>
      </w:r>
      <w:r w:rsidRPr="003D51A8">
        <w:rPr>
          <w:sz w:val="18"/>
          <w:szCs w:val="18"/>
        </w:rPr>
        <w:t>Portugal,</w:t>
      </w:r>
      <w:r>
        <w:rPr>
          <w:sz w:val="18"/>
          <w:szCs w:val="18"/>
        </w:rPr>
        <w:t xml:space="preserve"> </w:t>
      </w:r>
      <w:r w:rsidRPr="003D51A8">
        <w:rPr>
          <w:sz w:val="18"/>
          <w:szCs w:val="18"/>
        </w:rPr>
        <w:t>Slovenia,</w:t>
      </w:r>
      <w:r>
        <w:rPr>
          <w:sz w:val="18"/>
          <w:szCs w:val="18"/>
        </w:rPr>
        <w:t xml:space="preserve"> </w:t>
      </w:r>
      <w:r w:rsidRPr="003D51A8">
        <w:rPr>
          <w:sz w:val="18"/>
          <w:szCs w:val="18"/>
        </w:rPr>
        <w:t>Spain,</w:t>
      </w:r>
      <w:r>
        <w:rPr>
          <w:sz w:val="18"/>
          <w:szCs w:val="18"/>
        </w:rPr>
        <w:t xml:space="preserve"> </w:t>
      </w:r>
      <w:r w:rsidRPr="003D51A8">
        <w:rPr>
          <w:sz w:val="18"/>
          <w:szCs w:val="18"/>
        </w:rPr>
        <w:t>Switzerland</w:t>
      </w:r>
    </w:p>
  </w:footnote>
  <w:footnote w:id="28">
    <w:p w14:paraId="37CF8B8E" w14:textId="65C45273" w:rsidR="003D51A8" w:rsidRDefault="003D51A8">
      <w:pPr>
        <w:pStyle w:val="FootnoteText"/>
      </w:pPr>
      <w:r>
        <w:rPr>
          <w:rStyle w:val="FootnoteReference"/>
        </w:rPr>
        <w:footnoteRef/>
      </w:r>
      <w:r>
        <w:t xml:space="preserve"> </w:t>
      </w:r>
      <w:r>
        <w:rPr>
          <w:sz w:val="18"/>
        </w:rPr>
        <w:t>T</w:t>
      </w:r>
      <w:r w:rsidRPr="00E666B9">
        <w:rPr>
          <w:sz w:val="18"/>
        </w:rPr>
        <w:t>he Regional Environmental Centre for Central and Eastern Europe</w:t>
      </w:r>
      <w:r>
        <w:rPr>
          <w:sz w:val="18"/>
        </w:rPr>
        <w:t xml:space="preserve"> and UNECE</w:t>
      </w:r>
    </w:p>
  </w:footnote>
  <w:footnote w:id="29">
    <w:p w14:paraId="6B0A5545" w14:textId="76F1F100" w:rsidR="001F5924" w:rsidRDefault="001F5924">
      <w:pPr>
        <w:pStyle w:val="FootnoteText"/>
      </w:pPr>
      <w:r>
        <w:rPr>
          <w:rStyle w:val="FootnoteReference"/>
        </w:rPr>
        <w:footnoteRef/>
      </w:r>
      <w:r>
        <w:t xml:space="preserve"> </w:t>
      </w:r>
      <w:hyperlink r:id="rId7" w:history="1">
        <w:r w:rsidRPr="00767C7B">
          <w:rPr>
            <w:rStyle w:val="Hyperlink"/>
          </w:rPr>
          <w:t>http://www.futsokosankampany.hu/</w:t>
        </w:r>
      </w:hyperlink>
    </w:p>
  </w:footnote>
  <w:footnote w:id="30">
    <w:p w14:paraId="2B33538B" w14:textId="124CAB29" w:rsidR="00E3176D" w:rsidRPr="008F0130" w:rsidRDefault="00E3176D">
      <w:pPr>
        <w:pStyle w:val="FootnoteText"/>
        <w:rPr>
          <w:sz w:val="18"/>
          <w:szCs w:val="18"/>
        </w:rPr>
      </w:pPr>
      <w:r>
        <w:rPr>
          <w:rStyle w:val="FootnoteReference"/>
        </w:rPr>
        <w:footnoteRef/>
      </w:r>
      <w:r>
        <w:t xml:space="preserve"> </w:t>
      </w:r>
      <w:hyperlink r:id="rId8" w:history="1">
        <w:r w:rsidRPr="008F0130">
          <w:rPr>
            <w:rStyle w:val="Hyperlink"/>
            <w:rFonts w:ascii="Calibri" w:hAnsi="Calibri" w:cs="Calibri"/>
            <w:sz w:val="18"/>
            <w:szCs w:val="18"/>
          </w:rPr>
          <w:t>https://www.bafu.admin.ch/bafu/fr/home/documentation/magazine/magazine2021-1-un-danger-invisible.html</w:t>
        </w:r>
      </w:hyperlink>
    </w:p>
  </w:footnote>
  <w:footnote w:id="31">
    <w:p w14:paraId="0C6264F7" w14:textId="259BC2F0" w:rsidR="001F5924" w:rsidRDefault="001F5924">
      <w:pPr>
        <w:pStyle w:val="FootnoteText"/>
      </w:pPr>
      <w:r w:rsidRPr="008F0130">
        <w:rPr>
          <w:rStyle w:val="FootnoteReference"/>
          <w:sz w:val="18"/>
          <w:szCs w:val="18"/>
        </w:rPr>
        <w:footnoteRef/>
      </w:r>
      <w:r w:rsidRPr="008F0130">
        <w:rPr>
          <w:sz w:val="18"/>
          <w:szCs w:val="18"/>
        </w:rPr>
        <w:t xml:space="preserve"> </w:t>
      </w:r>
      <w:hyperlink r:id="rId9" w:history="1">
        <w:r w:rsidRPr="008F0130">
          <w:rPr>
            <w:rStyle w:val="Hyperlink"/>
            <w:rFonts w:ascii="Calibri" w:hAnsi="Calibri" w:cs="Calibri"/>
            <w:sz w:val="18"/>
            <w:szCs w:val="18"/>
          </w:rPr>
          <w:t>https://www.youtube.com/watch?v=9Y1nyJPHujc%20</w:t>
        </w:r>
      </w:hyperlink>
    </w:p>
  </w:footnote>
  <w:footnote w:id="32">
    <w:p w14:paraId="6FAB61F9" w14:textId="09D75D52" w:rsidR="00754FC6" w:rsidRDefault="00754FC6" w:rsidP="00754FC6">
      <w:pPr>
        <w:pStyle w:val="FootnoteText"/>
      </w:pPr>
      <w:r>
        <w:rPr>
          <w:rStyle w:val="FootnoteReference"/>
        </w:rPr>
        <w:footnoteRef/>
      </w:r>
      <w:r>
        <w:t xml:space="preserve"> </w:t>
      </w:r>
      <w:hyperlink r:id="rId10" w:history="1">
        <w:r w:rsidRPr="005360DA">
          <w:rPr>
            <w:rStyle w:val="Hyperlink"/>
            <w:sz w:val="18"/>
          </w:rPr>
          <w:t>http://air.gov.ge</w:t>
        </w:r>
      </w:hyperlink>
      <w:r w:rsidR="00103C2E">
        <w:rPr>
          <w:rStyle w:val="Hyperlink"/>
          <w:sz w:val="18"/>
        </w:rPr>
        <w:t xml:space="preserve">; </w:t>
      </w:r>
    </w:p>
  </w:footnote>
  <w:footnote w:id="33">
    <w:p w14:paraId="26FA224B" w14:textId="53A144EC" w:rsidR="003F5000" w:rsidRPr="001C3CCC" w:rsidRDefault="003F5000">
      <w:pPr>
        <w:pStyle w:val="FootnoteText"/>
        <w:rPr>
          <w:sz w:val="18"/>
          <w:szCs w:val="18"/>
        </w:rPr>
      </w:pPr>
      <w:r>
        <w:rPr>
          <w:rStyle w:val="FootnoteReference"/>
        </w:rPr>
        <w:footnoteRef/>
      </w:r>
      <w:r>
        <w:t xml:space="preserve"> </w:t>
      </w:r>
      <w:r w:rsidRPr="001C3CCC">
        <w:rPr>
          <w:sz w:val="18"/>
          <w:szCs w:val="18"/>
        </w:rPr>
        <w:t xml:space="preserve">Austria, Germany, </w:t>
      </w:r>
      <w:r w:rsidR="004D165B" w:rsidRPr="001C3CCC">
        <w:rPr>
          <w:sz w:val="18"/>
          <w:szCs w:val="18"/>
        </w:rPr>
        <w:t>Sweden, Switzerland, The United States and Uzbekistan</w:t>
      </w:r>
    </w:p>
  </w:footnote>
  <w:footnote w:id="34">
    <w:p w14:paraId="76A2C6D5" w14:textId="1CD88973" w:rsidR="004D165B" w:rsidRDefault="004D165B" w:rsidP="003C5C2B">
      <w:pPr>
        <w:pStyle w:val="FootnoteText"/>
        <w:ind w:left="180" w:hanging="180"/>
      </w:pPr>
      <w:r w:rsidRPr="001C3CCC">
        <w:rPr>
          <w:rStyle w:val="FootnoteReference"/>
          <w:sz w:val="18"/>
          <w:szCs w:val="18"/>
        </w:rPr>
        <w:footnoteRef/>
      </w:r>
      <w:r w:rsidRPr="001C3CCC">
        <w:rPr>
          <w:sz w:val="18"/>
          <w:szCs w:val="18"/>
        </w:rPr>
        <w:t xml:space="preserve"> The Nordic Council of Ministers, the Regional Environmental Centre for Central and Eastern Europe, UNECE, the World Health Organization</w:t>
      </w:r>
    </w:p>
  </w:footnote>
  <w:footnote w:id="35">
    <w:p w14:paraId="0017642C" w14:textId="5AF775BD" w:rsidR="00994D6F" w:rsidRDefault="00994D6F" w:rsidP="00F2492D">
      <w:pPr>
        <w:pStyle w:val="FootnoteText"/>
      </w:pPr>
      <w:r>
        <w:rPr>
          <w:rStyle w:val="FootnoteReference"/>
        </w:rPr>
        <w:footnoteRef/>
      </w:r>
      <w:r>
        <w:t xml:space="preserve"> </w:t>
      </w:r>
      <w:r w:rsidRPr="006E309C">
        <w:rPr>
          <w:sz w:val="18"/>
        </w:rPr>
        <w:t>The UNECE Convention on Long-range Transboundary Air Pollution (CLRTAP) and the UN Framework Convention on Climate Change (UNFCCC)</w:t>
      </w:r>
    </w:p>
  </w:footnote>
  <w:footnote w:id="36">
    <w:p w14:paraId="08711B8B" w14:textId="6A7319E3" w:rsidR="00D84C23" w:rsidRPr="00D84C23" w:rsidRDefault="00D84C23">
      <w:pPr>
        <w:pStyle w:val="FootnoteText"/>
        <w:rPr>
          <w:sz w:val="18"/>
          <w:szCs w:val="18"/>
        </w:rPr>
      </w:pPr>
      <w:r w:rsidRPr="00D84C23">
        <w:rPr>
          <w:rStyle w:val="FootnoteReference"/>
          <w:sz w:val="18"/>
          <w:szCs w:val="18"/>
        </w:rPr>
        <w:footnoteRef/>
      </w:r>
      <w:r w:rsidRPr="00D84C23">
        <w:rPr>
          <w:sz w:val="18"/>
          <w:szCs w:val="18"/>
        </w:rPr>
        <w:t xml:space="preserve"> </w:t>
      </w:r>
      <w:hyperlink r:id="rId11" w:history="1">
        <w:r w:rsidRPr="00117694">
          <w:rPr>
            <w:rStyle w:val="Hyperlink"/>
            <w:rFonts w:ascii="Calibri" w:hAnsi="Calibri" w:cs="Calibri"/>
            <w:sz w:val="18"/>
            <w:szCs w:val="18"/>
          </w:rPr>
          <w:t>https://www.canada.ca/en/environment-climate-change/services/environmental-indicators/air-quality.html</w:t>
        </w:r>
      </w:hyperlink>
    </w:p>
  </w:footnote>
  <w:footnote w:id="37">
    <w:p w14:paraId="523A1F2F" w14:textId="0A4DA4FD" w:rsidR="00325602" w:rsidRDefault="00325602">
      <w:pPr>
        <w:pStyle w:val="FootnoteText"/>
      </w:pPr>
      <w:r>
        <w:rPr>
          <w:rStyle w:val="FootnoteReference"/>
        </w:rPr>
        <w:footnoteRef/>
      </w:r>
      <w:r>
        <w:t xml:space="preserve"> </w:t>
      </w:r>
      <w:r w:rsidR="00F626E0" w:rsidRPr="0013539E">
        <w:rPr>
          <w:highlight w:val="yellow"/>
        </w:rPr>
        <w:t>Canada, Croatia, Czech Republic, Estonia, Georgia, Germany, Hungary, Italy, Latvia, Lithuania, Poland, the Republic of Moldova, Romania, Sweden, Switzerland</w:t>
      </w:r>
    </w:p>
  </w:footnote>
  <w:footnote w:id="38">
    <w:p w14:paraId="5AC2CC96" w14:textId="1D0E7895" w:rsidR="00D63B1A" w:rsidRDefault="00D63B1A">
      <w:pPr>
        <w:pStyle w:val="FootnoteText"/>
      </w:pPr>
      <w:r>
        <w:rPr>
          <w:rStyle w:val="FootnoteReference"/>
        </w:rPr>
        <w:footnoteRef/>
      </w:r>
      <w:r>
        <w:t xml:space="preserve"> </w:t>
      </w:r>
      <w:r w:rsidRPr="0013539E">
        <w:rPr>
          <w:highlight w:val="yellow"/>
        </w:rPr>
        <w:t>UNECE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B85"/>
    <w:rsid w:val="000138BC"/>
    <w:rsid w:val="00016855"/>
    <w:rsid w:val="0002059C"/>
    <w:rsid w:val="00020AF2"/>
    <w:rsid w:val="00021707"/>
    <w:rsid w:val="000318FC"/>
    <w:rsid w:val="000408B0"/>
    <w:rsid w:val="000438F5"/>
    <w:rsid w:val="000453BA"/>
    <w:rsid w:val="00054239"/>
    <w:rsid w:val="00084692"/>
    <w:rsid w:val="000864ED"/>
    <w:rsid w:val="000A2B37"/>
    <w:rsid w:val="000B56BE"/>
    <w:rsid w:val="000C024F"/>
    <w:rsid w:val="000C3294"/>
    <w:rsid w:val="000C47E0"/>
    <w:rsid w:val="000D0397"/>
    <w:rsid w:val="000D28DB"/>
    <w:rsid w:val="000D345D"/>
    <w:rsid w:val="000D3F8E"/>
    <w:rsid w:val="000E4E08"/>
    <w:rsid w:val="000E60D3"/>
    <w:rsid w:val="000F5DA8"/>
    <w:rsid w:val="00102E46"/>
    <w:rsid w:val="00103C2E"/>
    <w:rsid w:val="00106707"/>
    <w:rsid w:val="001112B4"/>
    <w:rsid w:val="001159CE"/>
    <w:rsid w:val="00116A87"/>
    <w:rsid w:val="001278A0"/>
    <w:rsid w:val="0013539E"/>
    <w:rsid w:val="00136814"/>
    <w:rsid w:val="001404A2"/>
    <w:rsid w:val="00155671"/>
    <w:rsid w:val="001600A3"/>
    <w:rsid w:val="0016208C"/>
    <w:rsid w:val="001800D0"/>
    <w:rsid w:val="00196750"/>
    <w:rsid w:val="001A5D30"/>
    <w:rsid w:val="001C0594"/>
    <w:rsid w:val="001C35CF"/>
    <w:rsid w:val="001C370F"/>
    <w:rsid w:val="001C3CCC"/>
    <w:rsid w:val="001E61D5"/>
    <w:rsid w:val="001F2FB3"/>
    <w:rsid w:val="001F5924"/>
    <w:rsid w:val="00200453"/>
    <w:rsid w:val="00211431"/>
    <w:rsid w:val="0022095F"/>
    <w:rsid w:val="00236E2D"/>
    <w:rsid w:val="002418FA"/>
    <w:rsid w:val="002452A7"/>
    <w:rsid w:val="00261A48"/>
    <w:rsid w:val="002672F8"/>
    <w:rsid w:val="00280B16"/>
    <w:rsid w:val="00282693"/>
    <w:rsid w:val="002937A8"/>
    <w:rsid w:val="002B3BCB"/>
    <w:rsid w:val="002B5EC1"/>
    <w:rsid w:val="002C415F"/>
    <w:rsid w:val="002D105F"/>
    <w:rsid w:val="002D3493"/>
    <w:rsid w:val="002E0EAB"/>
    <w:rsid w:val="002E406F"/>
    <w:rsid w:val="002F7713"/>
    <w:rsid w:val="002F7CB5"/>
    <w:rsid w:val="00301EAA"/>
    <w:rsid w:val="00315DED"/>
    <w:rsid w:val="00325602"/>
    <w:rsid w:val="0032752E"/>
    <w:rsid w:val="003305A6"/>
    <w:rsid w:val="00333960"/>
    <w:rsid w:val="00350009"/>
    <w:rsid w:val="00351B38"/>
    <w:rsid w:val="003737A0"/>
    <w:rsid w:val="00392D9E"/>
    <w:rsid w:val="003B090C"/>
    <w:rsid w:val="003B5818"/>
    <w:rsid w:val="003C5C2B"/>
    <w:rsid w:val="003C73AC"/>
    <w:rsid w:val="003D51A8"/>
    <w:rsid w:val="003E633D"/>
    <w:rsid w:val="003E69CC"/>
    <w:rsid w:val="003F5000"/>
    <w:rsid w:val="004027FB"/>
    <w:rsid w:val="0041030B"/>
    <w:rsid w:val="004110BE"/>
    <w:rsid w:val="0041506F"/>
    <w:rsid w:val="00423412"/>
    <w:rsid w:val="004261BB"/>
    <w:rsid w:val="00445C78"/>
    <w:rsid w:val="00445C89"/>
    <w:rsid w:val="0044669D"/>
    <w:rsid w:val="00453E80"/>
    <w:rsid w:val="004563E4"/>
    <w:rsid w:val="00461D75"/>
    <w:rsid w:val="004623AB"/>
    <w:rsid w:val="0047308E"/>
    <w:rsid w:val="00492DA3"/>
    <w:rsid w:val="004A6F17"/>
    <w:rsid w:val="004B41CD"/>
    <w:rsid w:val="004B698E"/>
    <w:rsid w:val="004B7316"/>
    <w:rsid w:val="004B7964"/>
    <w:rsid w:val="004C1986"/>
    <w:rsid w:val="004C592F"/>
    <w:rsid w:val="004D165B"/>
    <w:rsid w:val="004D5E72"/>
    <w:rsid w:val="004D6E3C"/>
    <w:rsid w:val="004E5379"/>
    <w:rsid w:val="004F5F5C"/>
    <w:rsid w:val="00502A34"/>
    <w:rsid w:val="00505409"/>
    <w:rsid w:val="00511C2E"/>
    <w:rsid w:val="005376AA"/>
    <w:rsid w:val="00546BD0"/>
    <w:rsid w:val="00597258"/>
    <w:rsid w:val="005A223F"/>
    <w:rsid w:val="005A289E"/>
    <w:rsid w:val="005A35C4"/>
    <w:rsid w:val="005B15F9"/>
    <w:rsid w:val="005B3358"/>
    <w:rsid w:val="005B42F8"/>
    <w:rsid w:val="005B5969"/>
    <w:rsid w:val="005B5E5A"/>
    <w:rsid w:val="005C5B10"/>
    <w:rsid w:val="005D600B"/>
    <w:rsid w:val="005D656E"/>
    <w:rsid w:val="005E002C"/>
    <w:rsid w:val="0060115D"/>
    <w:rsid w:val="00614E04"/>
    <w:rsid w:val="00626F87"/>
    <w:rsid w:val="006301A8"/>
    <w:rsid w:val="0065533D"/>
    <w:rsid w:val="00662430"/>
    <w:rsid w:val="006723D7"/>
    <w:rsid w:val="0068187C"/>
    <w:rsid w:val="006864DF"/>
    <w:rsid w:val="00694A9C"/>
    <w:rsid w:val="0069590A"/>
    <w:rsid w:val="00696C5D"/>
    <w:rsid w:val="006A5E49"/>
    <w:rsid w:val="006A72AC"/>
    <w:rsid w:val="006B3639"/>
    <w:rsid w:val="006C5507"/>
    <w:rsid w:val="006C57B5"/>
    <w:rsid w:val="006C7B8E"/>
    <w:rsid w:val="006C7D0D"/>
    <w:rsid w:val="006D4547"/>
    <w:rsid w:val="006D45F5"/>
    <w:rsid w:val="006D4BE7"/>
    <w:rsid w:val="006E309C"/>
    <w:rsid w:val="006F1640"/>
    <w:rsid w:val="006F2B2D"/>
    <w:rsid w:val="006F3314"/>
    <w:rsid w:val="007212C4"/>
    <w:rsid w:val="00723135"/>
    <w:rsid w:val="007246F0"/>
    <w:rsid w:val="00731997"/>
    <w:rsid w:val="0073306F"/>
    <w:rsid w:val="0075488A"/>
    <w:rsid w:val="00754FC6"/>
    <w:rsid w:val="00764F8D"/>
    <w:rsid w:val="0077006B"/>
    <w:rsid w:val="00775089"/>
    <w:rsid w:val="0077542B"/>
    <w:rsid w:val="00777DBC"/>
    <w:rsid w:val="00783961"/>
    <w:rsid w:val="00784D66"/>
    <w:rsid w:val="007A1894"/>
    <w:rsid w:val="007A1C11"/>
    <w:rsid w:val="007A2ED6"/>
    <w:rsid w:val="007B2E6D"/>
    <w:rsid w:val="007B6C8D"/>
    <w:rsid w:val="007D1FEC"/>
    <w:rsid w:val="007D584C"/>
    <w:rsid w:val="007D661A"/>
    <w:rsid w:val="007E2CA6"/>
    <w:rsid w:val="007E3997"/>
    <w:rsid w:val="007E7A88"/>
    <w:rsid w:val="007F53B9"/>
    <w:rsid w:val="00822F6A"/>
    <w:rsid w:val="00827957"/>
    <w:rsid w:val="008303CA"/>
    <w:rsid w:val="0083514E"/>
    <w:rsid w:val="00843023"/>
    <w:rsid w:val="00847609"/>
    <w:rsid w:val="0085296E"/>
    <w:rsid w:val="008662B7"/>
    <w:rsid w:val="00870B82"/>
    <w:rsid w:val="0087266D"/>
    <w:rsid w:val="008803DA"/>
    <w:rsid w:val="00880BF5"/>
    <w:rsid w:val="00883B60"/>
    <w:rsid w:val="0088662D"/>
    <w:rsid w:val="0089379D"/>
    <w:rsid w:val="008A094E"/>
    <w:rsid w:val="008B50EF"/>
    <w:rsid w:val="008C2F82"/>
    <w:rsid w:val="008C5425"/>
    <w:rsid w:val="008D0177"/>
    <w:rsid w:val="008D26B7"/>
    <w:rsid w:val="008E7809"/>
    <w:rsid w:val="008F0130"/>
    <w:rsid w:val="008F5009"/>
    <w:rsid w:val="00905475"/>
    <w:rsid w:val="0091569B"/>
    <w:rsid w:val="00921A02"/>
    <w:rsid w:val="00925D64"/>
    <w:rsid w:val="009272FF"/>
    <w:rsid w:val="00935A62"/>
    <w:rsid w:val="00947694"/>
    <w:rsid w:val="00950061"/>
    <w:rsid w:val="0095284F"/>
    <w:rsid w:val="009543A9"/>
    <w:rsid w:val="00970640"/>
    <w:rsid w:val="009829BF"/>
    <w:rsid w:val="00983894"/>
    <w:rsid w:val="00993389"/>
    <w:rsid w:val="00994D6F"/>
    <w:rsid w:val="00997EAE"/>
    <w:rsid w:val="009A303A"/>
    <w:rsid w:val="009A3149"/>
    <w:rsid w:val="009B07FB"/>
    <w:rsid w:val="009C1B3A"/>
    <w:rsid w:val="009E1EBC"/>
    <w:rsid w:val="009E2B60"/>
    <w:rsid w:val="009E5525"/>
    <w:rsid w:val="00A20748"/>
    <w:rsid w:val="00A26591"/>
    <w:rsid w:val="00A314AA"/>
    <w:rsid w:val="00A4032E"/>
    <w:rsid w:val="00A43881"/>
    <w:rsid w:val="00A44C5E"/>
    <w:rsid w:val="00A54F7A"/>
    <w:rsid w:val="00A55910"/>
    <w:rsid w:val="00A67DA8"/>
    <w:rsid w:val="00A73737"/>
    <w:rsid w:val="00A749AB"/>
    <w:rsid w:val="00A7591F"/>
    <w:rsid w:val="00A80161"/>
    <w:rsid w:val="00A90D7D"/>
    <w:rsid w:val="00A90F0F"/>
    <w:rsid w:val="00AA261D"/>
    <w:rsid w:val="00AA44A2"/>
    <w:rsid w:val="00AA477A"/>
    <w:rsid w:val="00AB0236"/>
    <w:rsid w:val="00AD2A3C"/>
    <w:rsid w:val="00AD5F66"/>
    <w:rsid w:val="00AE3C8C"/>
    <w:rsid w:val="00AE578F"/>
    <w:rsid w:val="00AF449B"/>
    <w:rsid w:val="00B21526"/>
    <w:rsid w:val="00B22A07"/>
    <w:rsid w:val="00B25037"/>
    <w:rsid w:val="00B509B4"/>
    <w:rsid w:val="00B54FD1"/>
    <w:rsid w:val="00B57C6A"/>
    <w:rsid w:val="00B77A3B"/>
    <w:rsid w:val="00B84D47"/>
    <w:rsid w:val="00B92A30"/>
    <w:rsid w:val="00B93D4F"/>
    <w:rsid w:val="00B96826"/>
    <w:rsid w:val="00B96B24"/>
    <w:rsid w:val="00BA12C9"/>
    <w:rsid w:val="00BB04F4"/>
    <w:rsid w:val="00BB4035"/>
    <w:rsid w:val="00BB5C14"/>
    <w:rsid w:val="00BC19E2"/>
    <w:rsid w:val="00BD0DE8"/>
    <w:rsid w:val="00BF1119"/>
    <w:rsid w:val="00BF231D"/>
    <w:rsid w:val="00BF60B6"/>
    <w:rsid w:val="00BF6D26"/>
    <w:rsid w:val="00C0408E"/>
    <w:rsid w:val="00C05564"/>
    <w:rsid w:val="00C14B3F"/>
    <w:rsid w:val="00C15BFD"/>
    <w:rsid w:val="00C1685C"/>
    <w:rsid w:val="00C22310"/>
    <w:rsid w:val="00C22C0D"/>
    <w:rsid w:val="00C24CE7"/>
    <w:rsid w:val="00C309B2"/>
    <w:rsid w:val="00C41384"/>
    <w:rsid w:val="00C455D6"/>
    <w:rsid w:val="00C4661D"/>
    <w:rsid w:val="00C57900"/>
    <w:rsid w:val="00C57F9A"/>
    <w:rsid w:val="00C67BC3"/>
    <w:rsid w:val="00C81E3F"/>
    <w:rsid w:val="00C844A5"/>
    <w:rsid w:val="00C91667"/>
    <w:rsid w:val="00CA0B9E"/>
    <w:rsid w:val="00CB1D50"/>
    <w:rsid w:val="00CB5800"/>
    <w:rsid w:val="00CB6C35"/>
    <w:rsid w:val="00CC5E98"/>
    <w:rsid w:val="00CD5998"/>
    <w:rsid w:val="00CE01F7"/>
    <w:rsid w:val="00CE19B3"/>
    <w:rsid w:val="00CE2D41"/>
    <w:rsid w:val="00CE7ED8"/>
    <w:rsid w:val="00CF574A"/>
    <w:rsid w:val="00CF6AEB"/>
    <w:rsid w:val="00D00AA0"/>
    <w:rsid w:val="00D018A0"/>
    <w:rsid w:val="00D04B9C"/>
    <w:rsid w:val="00D129C0"/>
    <w:rsid w:val="00D16ACA"/>
    <w:rsid w:val="00D22C50"/>
    <w:rsid w:val="00D31237"/>
    <w:rsid w:val="00D35C25"/>
    <w:rsid w:val="00D36B85"/>
    <w:rsid w:val="00D36F97"/>
    <w:rsid w:val="00D45487"/>
    <w:rsid w:val="00D60FC6"/>
    <w:rsid w:val="00D63B1A"/>
    <w:rsid w:val="00D6458D"/>
    <w:rsid w:val="00D64EB8"/>
    <w:rsid w:val="00D669FF"/>
    <w:rsid w:val="00D70AAD"/>
    <w:rsid w:val="00D724B8"/>
    <w:rsid w:val="00D75799"/>
    <w:rsid w:val="00D83600"/>
    <w:rsid w:val="00D8483B"/>
    <w:rsid w:val="00D84C23"/>
    <w:rsid w:val="00D873D1"/>
    <w:rsid w:val="00D87B09"/>
    <w:rsid w:val="00DA7B29"/>
    <w:rsid w:val="00DB36BE"/>
    <w:rsid w:val="00DB60B3"/>
    <w:rsid w:val="00DC7C56"/>
    <w:rsid w:val="00E1406A"/>
    <w:rsid w:val="00E152EB"/>
    <w:rsid w:val="00E3176D"/>
    <w:rsid w:val="00E34C56"/>
    <w:rsid w:val="00E37C57"/>
    <w:rsid w:val="00E53994"/>
    <w:rsid w:val="00E566E9"/>
    <w:rsid w:val="00E56B81"/>
    <w:rsid w:val="00E64810"/>
    <w:rsid w:val="00E655AF"/>
    <w:rsid w:val="00E65C7C"/>
    <w:rsid w:val="00E666B9"/>
    <w:rsid w:val="00E831D5"/>
    <w:rsid w:val="00E9496C"/>
    <w:rsid w:val="00EA13C1"/>
    <w:rsid w:val="00EA708D"/>
    <w:rsid w:val="00EB3F21"/>
    <w:rsid w:val="00EC0132"/>
    <w:rsid w:val="00EC76C6"/>
    <w:rsid w:val="00ED4798"/>
    <w:rsid w:val="00EE253B"/>
    <w:rsid w:val="00EE392D"/>
    <w:rsid w:val="00EF1155"/>
    <w:rsid w:val="00EF15FF"/>
    <w:rsid w:val="00EF4BAE"/>
    <w:rsid w:val="00EF7F22"/>
    <w:rsid w:val="00F016FF"/>
    <w:rsid w:val="00F2385E"/>
    <w:rsid w:val="00F2492D"/>
    <w:rsid w:val="00F24AB4"/>
    <w:rsid w:val="00F24BC3"/>
    <w:rsid w:val="00F429D8"/>
    <w:rsid w:val="00F473C1"/>
    <w:rsid w:val="00F621A1"/>
    <w:rsid w:val="00F626E0"/>
    <w:rsid w:val="00F63405"/>
    <w:rsid w:val="00F6703A"/>
    <w:rsid w:val="00F809B7"/>
    <w:rsid w:val="00F83F25"/>
    <w:rsid w:val="00FA1969"/>
    <w:rsid w:val="00FB55EE"/>
    <w:rsid w:val="00FB5E5D"/>
    <w:rsid w:val="00FB744A"/>
    <w:rsid w:val="00FC053A"/>
    <w:rsid w:val="00FC2D3C"/>
    <w:rsid w:val="00FC7AE2"/>
    <w:rsid w:val="00FD20EE"/>
    <w:rsid w:val="00FE011C"/>
    <w:rsid w:val="00FE78C4"/>
    <w:rsid w:val="00FF3CD4"/>
    <w:rsid w:val="00FF58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8DBD3"/>
  <w15:chartTrackingRefBased/>
  <w15:docId w15:val="{A3B92D82-790A-4A30-AC5F-E3E1C71C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B85"/>
    <w:rPr>
      <w:color w:val="0563C1" w:themeColor="hyperlink"/>
      <w:u w:val="single"/>
    </w:rPr>
  </w:style>
  <w:style w:type="paragraph" w:styleId="FootnoteText">
    <w:name w:val="footnote text"/>
    <w:basedOn w:val="Normal"/>
    <w:link w:val="FootnoteTextChar"/>
    <w:uiPriority w:val="99"/>
    <w:semiHidden/>
    <w:unhideWhenUsed/>
    <w:rsid w:val="007D66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61A"/>
    <w:rPr>
      <w:sz w:val="20"/>
      <w:szCs w:val="20"/>
    </w:rPr>
  </w:style>
  <w:style w:type="character" w:styleId="FootnoteReference">
    <w:name w:val="footnote reference"/>
    <w:basedOn w:val="DefaultParagraphFont"/>
    <w:uiPriority w:val="99"/>
    <w:semiHidden/>
    <w:unhideWhenUsed/>
    <w:rsid w:val="007D661A"/>
    <w:rPr>
      <w:vertAlign w:val="superscript"/>
    </w:rPr>
  </w:style>
  <w:style w:type="paragraph" w:styleId="Header">
    <w:name w:val="header"/>
    <w:basedOn w:val="Normal"/>
    <w:link w:val="HeaderChar"/>
    <w:uiPriority w:val="99"/>
    <w:unhideWhenUsed/>
    <w:rsid w:val="00880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3DA"/>
  </w:style>
  <w:style w:type="paragraph" w:styleId="Footer">
    <w:name w:val="footer"/>
    <w:basedOn w:val="Normal"/>
    <w:link w:val="FooterChar"/>
    <w:uiPriority w:val="99"/>
    <w:unhideWhenUsed/>
    <w:rsid w:val="00880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3DA"/>
  </w:style>
  <w:style w:type="character" w:styleId="UnresolvedMention">
    <w:name w:val="Unresolved Mention"/>
    <w:basedOn w:val="DefaultParagraphFont"/>
    <w:uiPriority w:val="99"/>
    <w:semiHidden/>
    <w:unhideWhenUsed/>
    <w:rsid w:val="00AA477A"/>
    <w:rPr>
      <w:color w:val="605E5C"/>
      <w:shd w:val="clear" w:color="auto" w:fill="E1DFDD"/>
    </w:rPr>
  </w:style>
  <w:style w:type="character" w:styleId="FollowedHyperlink">
    <w:name w:val="FollowedHyperlink"/>
    <w:basedOn w:val="DefaultParagraphFont"/>
    <w:uiPriority w:val="99"/>
    <w:semiHidden/>
    <w:unhideWhenUsed/>
    <w:rsid w:val="001F5924"/>
    <w:rPr>
      <w:color w:val="954F72" w:themeColor="followedHyperlink"/>
      <w:u w:val="single"/>
    </w:rPr>
  </w:style>
  <w:style w:type="table" w:styleId="TableGrid">
    <w:name w:val="Table Grid"/>
    <w:basedOn w:val="TableNormal"/>
    <w:uiPriority w:val="59"/>
    <w:rsid w:val="009A314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4D4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84D47"/>
    <w:rPr>
      <w:rFonts w:ascii="Times New Roman" w:eastAsia="Times New Roman" w:hAnsi="Times New Roman" w:cs="Times New Roman"/>
      <w:sz w:val="24"/>
      <w:szCs w:val="24"/>
    </w:rPr>
  </w:style>
  <w:style w:type="paragraph" w:customStyle="1" w:styleId="SingleTxtG">
    <w:name w:val="_ Single Txt_G"/>
    <w:basedOn w:val="Normal"/>
    <w:link w:val="SingleTxtGChar"/>
    <w:qFormat/>
    <w:rsid w:val="00B84D47"/>
    <w:pPr>
      <w:spacing w:after="120" w:line="240" w:lineRule="atLeast"/>
      <w:ind w:left="1134" w:right="1134"/>
      <w:jc w:val="both"/>
    </w:pPr>
    <w:rPr>
      <w:rFonts w:ascii="Times New Roman" w:eastAsia="PMingLiU" w:hAnsi="Times New Roman" w:cs="Times New Roman"/>
      <w:sz w:val="20"/>
      <w:szCs w:val="20"/>
      <w:lang w:val="en-GB" w:eastAsia="fr-FR"/>
    </w:rPr>
  </w:style>
  <w:style w:type="paragraph" w:customStyle="1" w:styleId="HMG">
    <w:name w:val="_ H __M_G"/>
    <w:basedOn w:val="Normal"/>
    <w:next w:val="Normal"/>
    <w:qFormat/>
    <w:rsid w:val="00B84D47"/>
    <w:pPr>
      <w:keepNext/>
      <w:keepLines/>
      <w:tabs>
        <w:tab w:val="right" w:pos="851"/>
      </w:tabs>
      <w:spacing w:before="240" w:after="240" w:line="360" w:lineRule="exact"/>
      <w:ind w:left="1134" w:right="1134" w:hanging="1134"/>
    </w:pPr>
    <w:rPr>
      <w:rFonts w:ascii="Times New Roman" w:eastAsia="PMingLiU" w:hAnsi="Times New Roman" w:cs="Times New Roman"/>
      <w:b/>
      <w:sz w:val="34"/>
      <w:szCs w:val="20"/>
      <w:lang w:val="en-GB" w:eastAsia="fr-FR"/>
    </w:rPr>
  </w:style>
  <w:style w:type="paragraph" w:customStyle="1" w:styleId="HChG">
    <w:name w:val="_ H _Ch_G"/>
    <w:basedOn w:val="Normal"/>
    <w:next w:val="Normal"/>
    <w:qFormat/>
    <w:rsid w:val="00B84D47"/>
    <w:pPr>
      <w:keepNext/>
      <w:keepLines/>
      <w:tabs>
        <w:tab w:val="right" w:pos="851"/>
      </w:tabs>
      <w:spacing w:before="360" w:after="240" w:line="300" w:lineRule="exact"/>
      <w:ind w:left="1134" w:right="1134" w:hanging="1134"/>
    </w:pPr>
    <w:rPr>
      <w:rFonts w:ascii="Times New Roman" w:eastAsia="PMingLiU" w:hAnsi="Times New Roman" w:cs="Times New Roman"/>
      <w:b/>
      <w:sz w:val="28"/>
      <w:szCs w:val="20"/>
      <w:lang w:val="en-GB" w:eastAsia="fr-FR"/>
    </w:rPr>
  </w:style>
  <w:style w:type="paragraph" w:customStyle="1" w:styleId="H1G">
    <w:name w:val="_ H_1_G"/>
    <w:basedOn w:val="Normal"/>
    <w:next w:val="Normal"/>
    <w:link w:val="H1GChar"/>
    <w:qFormat/>
    <w:rsid w:val="00B84D47"/>
    <w:pPr>
      <w:keepNext/>
      <w:keepLines/>
      <w:tabs>
        <w:tab w:val="right" w:pos="851"/>
      </w:tabs>
      <w:spacing w:before="360" w:after="240" w:line="270" w:lineRule="exact"/>
      <w:ind w:left="1134" w:right="1134" w:hanging="1134"/>
    </w:pPr>
    <w:rPr>
      <w:rFonts w:ascii="Times New Roman" w:eastAsia="PMingLiU" w:hAnsi="Times New Roman" w:cs="Times New Roman"/>
      <w:b/>
      <w:sz w:val="24"/>
      <w:szCs w:val="20"/>
      <w:lang w:val="en-GB" w:eastAsia="fr-FR"/>
    </w:rPr>
  </w:style>
  <w:style w:type="character" w:customStyle="1" w:styleId="SingleTxtGChar">
    <w:name w:val="_ Single Txt_G Char"/>
    <w:link w:val="SingleTxtG"/>
    <w:rsid w:val="00B84D47"/>
    <w:rPr>
      <w:rFonts w:ascii="Times New Roman" w:eastAsia="PMingLiU" w:hAnsi="Times New Roman" w:cs="Times New Roman"/>
      <w:sz w:val="20"/>
      <w:szCs w:val="20"/>
      <w:lang w:val="en-GB" w:eastAsia="fr-FR"/>
    </w:rPr>
  </w:style>
  <w:style w:type="character" w:customStyle="1" w:styleId="H1GChar">
    <w:name w:val="_ H_1_G Char"/>
    <w:link w:val="H1G"/>
    <w:rsid w:val="00B84D47"/>
    <w:rPr>
      <w:rFonts w:ascii="Times New Roman" w:eastAsia="PMingLiU" w:hAnsi="Times New Roman" w:cs="Times New Roman"/>
      <w:b/>
      <w:sz w:val="24"/>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348334">
      <w:bodyDiv w:val="1"/>
      <w:marLeft w:val="0"/>
      <w:marRight w:val="0"/>
      <w:marTop w:val="0"/>
      <w:marBottom w:val="0"/>
      <w:divBdr>
        <w:top w:val="none" w:sz="0" w:space="0" w:color="auto"/>
        <w:left w:val="none" w:sz="0" w:space="0" w:color="auto"/>
        <w:bottom w:val="none" w:sz="0" w:space="0" w:color="auto"/>
        <w:right w:val="none" w:sz="0" w:space="0" w:color="auto"/>
      </w:divBdr>
    </w:div>
    <w:div w:id="683365432">
      <w:bodyDiv w:val="1"/>
      <w:marLeft w:val="0"/>
      <w:marRight w:val="0"/>
      <w:marTop w:val="0"/>
      <w:marBottom w:val="0"/>
      <w:divBdr>
        <w:top w:val="none" w:sz="0" w:space="0" w:color="auto"/>
        <w:left w:val="none" w:sz="0" w:space="0" w:color="auto"/>
        <w:bottom w:val="none" w:sz="0" w:space="0" w:color="auto"/>
        <w:right w:val="none" w:sz="0" w:space="0" w:color="auto"/>
      </w:divBdr>
    </w:div>
    <w:div w:id="1271469355">
      <w:bodyDiv w:val="1"/>
      <w:marLeft w:val="0"/>
      <w:marRight w:val="0"/>
      <w:marTop w:val="0"/>
      <w:marBottom w:val="0"/>
      <w:divBdr>
        <w:top w:val="none" w:sz="0" w:space="0" w:color="auto"/>
        <w:left w:val="none" w:sz="0" w:space="0" w:color="auto"/>
        <w:bottom w:val="none" w:sz="0" w:space="0" w:color="auto"/>
        <w:right w:val="none" w:sz="0" w:space="0" w:color="auto"/>
      </w:divBdr>
    </w:div>
    <w:div w:id="1287156458">
      <w:bodyDiv w:val="1"/>
      <w:marLeft w:val="0"/>
      <w:marRight w:val="0"/>
      <w:marTop w:val="0"/>
      <w:marBottom w:val="0"/>
      <w:divBdr>
        <w:top w:val="none" w:sz="0" w:space="0" w:color="auto"/>
        <w:left w:val="none" w:sz="0" w:space="0" w:color="auto"/>
        <w:bottom w:val="none" w:sz="0" w:space="0" w:color="auto"/>
        <w:right w:val="none" w:sz="0" w:space="0" w:color="auto"/>
      </w:divBdr>
    </w:div>
    <w:div w:id="1498576763">
      <w:bodyDiv w:val="1"/>
      <w:marLeft w:val="0"/>
      <w:marRight w:val="0"/>
      <w:marTop w:val="0"/>
      <w:marBottom w:val="0"/>
      <w:divBdr>
        <w:top w:val="none" w:sz="0" w:space="0" w:color="auto"/>
        <w:left w:val="none" w:sz="0" w:space="0" w:color="auto"/>
        <w:bottom w:val="none" w:sz="0" w:space="0" w:color="auto"/>
        <w:right w:val="none" w:sz="0" w:space="0" w:color="auto"/>
      </w:divBdr>
    </w:div>
    <w:div w:id="1589194931">
      <w:bodyDiv w:val="1"/>
      <w:marLeft w:val="0"/>
      <w:marRight w:val="0"/>
      <w:marTop w:val="0"/>
      <w:marBottom w:val="0"/>
      <w:divBdr>
        <w:top w:val="none" w:sz="0" w:space="0" w:color="auto"/>
        <w:left w:val="none" w:sz="0" w:space="0" w:color="auto"/>
        <w:bottom w:val="none" w:sz="0" w:space="0" w:color="auto"/>
        <w:right w:val="none" w:sz="0" w:space="0" w:color="auto"/>
      </w:divBdr>
    </w:div>
    <w:div w:id="1710185792">
      <w:bodyDiv w:val="1"/>
      <w:marLeft w:val="0"/>
      <w:marRight w:val="0"/>
      <w:marTop w:val="0"/>
      <w:marBottom w:val="0"/>
      <w:divBdr>
        <w:top w:val="none" w:sz="0" w:space="0" w:color="auto"/>
        <w:left w:val="none" w:sz="0" w:space="0" w:color="auto"/>
        <w:bottom w:val="none" w:sz="0" w:space="0" w:color="auto"/>
        <w:right w:val="none" w:sz="0" w:space="0" w:color="auto"/>
      </w:divBdr>
    </w:div>
    <w:div w:id="1778481680">
      <w:bodyDiv w:val="1"/>
      <w:marLeft w:val="0"/>
      <w:marRight w:val="0"/>
      <w:marTop w:val="0"/>
      <w:marBottom w:val="0"/>
      <w:divBdr>
        <w:top w:val="none" w:sz="0" w:space="0" w:color="auto"/>
        <w:left w:val="none" w:sz="0" w:space="0" w:color="auto"/>
        <w:bottom w:val="none" w:sz="0" w:space="0" w:color="auto"/>
        <w:right w:val="none" w:sz="0" w:space="0" w:color="auto"/>
      </w:divBdr>
    </w:div>
    <w:div w:id="17809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ece.org/ba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afu.admin.ch/bafu/fr/home/documentation/magazine/magazine2021-1-un-danger-invisible.html" TargetMode="External"/><Relationship Id="rId3" Type="http://schemas.openxmlformats.org/officeDocument/2006/relationships/hyperlink" Target="https://legszennyezettseg.met.hu/en/modelling/map" TargetMode="External"/><Relationship Id="rId7" Type="http://schemas.openxmlformats.org/officeDocument/2006/relationships/hyperlink" Target="http://www.futsokosankampany.hu/" TargetMode="External"/><Relationship Id="rId2" Type="http://schemas.openxmlformats.org/officeDocument/2006/relationships/hyperlink" Target="http://air.gov.ge" TargetMode="External"/><Relationship Id="rId1" Type="http://schemas.openxmlformats.org/officeDocument/2006/relationships/hyperlink" Target="http://www2.prevair.org" TargetMode="External"/><Relationship Id="rId6" Type="http://schemas.openxmlformats.org/officeDocument/2006/relationships/hyperlink" Target="https://www.eea.europa.eu/publications/emep-eea-guidebook-2019" TargetMode="External"/><Relationship Id="rId11" Type="http://schemas.openxmlformats.org/officeDocument/2006/relationships/hyperlink" Target="https://www.canada.ca/en/environment-climate-change/services/environmental-indicators/air-quality.html" TargetMode="External"/><Relationship Id="rId5" Type="http://schemas.openxmlformats.org/officeDocument/2006/relationships/hyperlink" Target="https://www.citepa.org/fr/activites/inventaires-des-emissions/secten" TargetMode="External"/><Relationship Id="rId10" Type="http://schemas.openxmlformats.org/officeDocument/2006/relationships/hyperlink" Target="http://air.gov.ge" TargetMode="External"/><Relationship Id="rId4" Type="http://schemas.openxmlformats.org/officeDocument/2006/relationships/hyperlink" Target="https://www.canada.ca/en/environment-climate-change/services/air-pollution/publications/emissions-inventory-report-2022.html" TargetMode="External"/><Relationship Id="rId9" Type="http://schemas.openxmlformats.org/officeDocument/2006/relationships/hyperlink" Target="https://www.youtube.com/watch?v=9Y1nyJPHujc%2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Noe\Chqimi\BACA\BACA%20answers%20summery%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Noe\Chqimi\BACA\BACA%20answers%20summery%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Noe\Chqimi\BACA\BACA%20answers%20summery%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Noe\Chqimi\BACA\BACA%20answers%20summery%20(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Sheet1!$C$53</c:f>
              <c:strCache>
                <c:ptCount val="1"/>
                <c:pt idx="0">
                  <c:v>Country</c:v>
                </c:pt>
              </c:strCache>
            </c:strRef>
          </c:tx>
          <c:spPr>
            <a:solidFill>
              <a:schemeClr val="accent1"/>
            </a:solidFill>
            <a:ln>
              <a:noFill/>
            </a:ln>
            <a:effectLst/>
          </c:spPr>
          <c:invertIfNegative val="0"/>
          <c:cat>
            <c:numRef>
              <c:f>Sheet1!$B$54:$B$61</c:f>
              <c:numCache>
                <c:formatCode>General</c:formatCode>
                <c:ptCount val="8"/>
                <c:pt idx="0">
                  <c:v>1</c:v>
                </c:pt>
                <c:pt idx="1">
                  <c:v>2</c:v>
                </c:pt>
                <c:pt idx="2">
                  <c:v>3</c:v>
                </c:pt>
                <c:pt idx="3">
                  <c:v>4</c:v>
                </c:pt>
                <c:pt idx="4">
                  <c:v>5</c:v>
                </c:pt>
                <c:pt idx="5">
                  <c:v>6</c:v>
                </c:pt>
                <c:pt idx="6">
                  <c:v>7</c:v>
                </c:pt>
                <c:pt idx="7">
                  <c:v>17</c:v>
                </c:pt>
              </c:numCache>
            </c:numRef>
          </c:cat>
          <c:val>
            <c:numRef>
              <c:f>Sheet1!$C$54:$C$61</c:f>
              <c:numCache>
                <c:formatCode>General</c:formatCode>
                <c:ptCount val="8"/>
                <c:pt idx="0">
                  <c:v>7</c:v>
                </c:pt>
                <c:pt idx="1">
                  <c:v>4</c:v>
                </c:pt>
                <c:pt idx="2">
                  <c:v>3</c:v>
                </c:pt>
                <c:pt idx="3">
                  <c:v>4</c:v>
                </c:pt>
                <c:pt idx="4">
                  <c:v>6</c:v>
                </c:pt>
                <c:pt idx="5">
                  <c:v>1</c:v>
                </c:pt>
                <c:pt idx="6">
                  <c:v>1</c:v>
                </c:pt>
                <c:pt idx="7">
                  <c:v>1</c:v>
                </c:pt>
              </c:numCache>
            </c:numRef>
          </c:val>
          <c:extLst>
            <c:ext xmlns:c16="http://schemas.microsoft.com/office/drawing/2014/chart" uri="{C3380CC4-5D6E-409C-BE32-E72D297353CC}">
              <c16:uniqueId val="{00000000-9921-4392-B813-D1633AE2FC57}"/>
            </c:ext>
          </c:extLst>
        </c:ser>
        <c:ser>
          <c:idx val="1"/>
          <c:order val="1"/>
          <c:tx>
            <c:strRef>
              <c:f>Sheet1!$D$53</c:f>
              <c:strCache>
                <c:ptCount val="1"/>
                <c:pt idx="0">
                  <c:v>Organization</c:v>
                </c:pt>
              </c:strCache>
            </c:strRef>
          </c:tx>
          <c:spPr>
            <a:solidFill>
              <a:schemeClr val="accent2"/>
            </a:solidFill>
            <a:ln>
              <a:noFill/>
            </a:ln>
            <a:effectLst/>
          </c:spPr>
          <c:invertIfNegative val="0"/>
          <c:cat>
            <c:numRef>
              <c:f>Sheet1!$B$54:$B$61</c:f>
              <c:numCache>
                <c:formatCode>General</c:formatCode>
                <c:ptCount val="8"/>
                <c:pt idx="0">
                  <c:v>1</c:v>
                </c:pt>
                <c:pt idx="1">
                  <c:v>2</c:v>
                </c:pt>
                <c:pt idx="2">
                  <c:v>3</c:v>
                </c:pt>
                <c:pt idx="3">
                  <c:v>4</c:v>
                </c:pt>
                <c:pt idx="4">
                  <c:v>5</c:v>
                </c:pt>
                <c:pt idx="5">
                  <c:v>6</c:v>
                </c:pt>
                <c:pt idx="6">
                  <c:v>7</c:v>
                </c:pt>
                <c:pt idx="7">
                  <c:v>17</c:v>
                </c:pt>
              </c:numCache>
            </c:numRef>
          </c:cat>
          <c:val>
            <c:numRef>
              <c:f>Sheet1!$D$54:$D$61</c:f>
              <c:numCache>
                <c:formatCode>General</c:formatCode>
                <c:ptCount val="8"/>
                <c:pt idx="0">
                  <c:v>1</c:v>
                </c:pt>
                <c:pt idx="1">
                  <c:v>1</c:v>
                </c:pt>
                <c:pt idx="2">
                  <c:v>1</c:v>
                </c:pt>
                <c:pt idx="3">
                  <c:v>1</c:v>
                </c:pt>
              </c:numCache>
            </c:numRef>
          </c:val>
          <c:extLst>
            <c:ext xmlns:c16="http://schemas.microsoft.com/office/drawing/2014/chart" uri="{C3380CC4-5D6E-409C-BE32-E72D297353CC}">
              <c16:uniqueId val="{00000001-9921-4392-B813-D1633AE2FC57}"/>
            </c:ext>
          </c:extLst>
        </c:ser>
        <c:dLbls>
          <c:showLegendKey val="0"/>
          <c:showVal val="0"/>
          <c:showCatName val="0"/>
          <c:showSerName val="0"/>
          <c:showPercent val="0"/>
          <c:showBubbleSize val="0"/>
        </c:dLbls>
        <c:gapWidth val="150"/>
        <c:overlap val="100"/>
        <c:axId val="760217823"/>
        <c:axId val="760219903"/>
      </c:barChart>
      <c:catAx>
        <c:axId val="76021782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Number of commitments</a:t>
                </a:r>
                <a:r>
                  <a:rPr lang="en-US" sz="1000" b="0" i="0" u="none" strike="noStrike" baseline="0"/>
                  <a:t> </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0219903"/>
        <c:crosses val="autoZero"/>
        <c:auto val="1"/>
        <c:lblAlgn val="ctr"/>
        <c:lblOffset val="100"/>
        <c:noMultiLvlLbl val="0"/>
      </c:catAx>
      <c:valAx>
        <c:axId val="7602199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Country/Organization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021782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527297314982439E-2"/>
          <c:y val="8.7431693989071038E-2"/>
          <c:w val="0.47534626038781164"/>
          <c:h val="0.78142076502732238"/>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F09-419C-B8EE-DFB238F9985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F09-419C-B8EE-DFB238F9985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DF09-419C-B8EE-DFB238F9985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DF09-419C-B8EE-DFB238F9985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DF09-419C-B8EE-DFB238F9985E}"/>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FAF262F0-7A36-4264-9544-50DE81F8FD02}" type="VALUE">
                      <a:rPr lang="en-US"/>
                      <a:pPr>
                        <a:defRPr>
                          <a:solidFill>
                            <a:sysClr val="windowText" lastClr="000000"/>
                          </a:solidFill>
                        </a:defRPr>
                      </a:pPr>
                      <a:t>[VALUE]</a:t>
                    </a:fld>
                    <a:endParaRPr lang="en-US" baseline="0"/>
                  </a:p>
                  <a:p>
                    <a:pPr>
                      <a:defRPr>
                        <a:solidFill>
                          <a:sysClr val="windowText" lastClr="000000"/>
                        </a:solidFill>
                      </a:defRPr>
                    </a:pPr>
                    <a:r>
                      <a:rPr lang="en-US" baseline="0"/>
                      <a:t> </a:t>
                    </a:r>
                    <a:fld id="{040B5BEB-EDFB-4F1D-B5AB-B3AA0FC1FF68}" type="PERCENTAGE">
                      <a:rPr lang="en-US" baseline="0"/>
                      <a:pPr>
                        <a:defRPr>
                          <a:solidFill>
                            <a:sysClr val="windowText" lastClr="000000"/>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F09-419C-B8EE-DFB238F9985E}"/>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EB4377B2-B25D-462E-82FE-228EEA78DA62}" type="VALUE">
                      <a:rPr lang="en-US"/>
                      <a:pPr>
                        <a:defRPr>
                          <a:solidFill>
                            <a:sysClr val="windowText" lastClr="000000"/>
                          </a:solidFill>
                        </a:defRPr>
                      </a:pPr>
                      <a:t>[VALUE]</a:t>
                    </a:fld>
                    <a:endParaRPr lang="en-US" baseline="0"/>
                  </a:p>
                  <a:p>
                    <a:pPr>
                      <a:defRPr>
                        <a:solidFill>
                          <a:sysClr val="windowText" lastClr="000000"/>
                        </a:solidFill>
                      </a:defRPr>
                    </a:pPr>
                    <a:r>
                      <a:rPr lang="en-US" baseline="0"/>
                      <a:t> </a:t>
                    </a:r>
                    <a:fld id="{EA3FDB97-8BEA-4A0C-9114-BAB2939DE233}" type="PERCENTAGE">
                      <a:rPr lang="en-US" baseline="0"/>
                      <a:pPr>
                        <a:defRPr>
                          <a:solidFill>
                            <a:sysClr val="windowText" lastClr="000000"/>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F09-419C-B8EE-DFB238F9985E}"/>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0257A5A3-E7E9-4F91-843B-9860DBF6F6A4}" type="VALUE">
                      <a:rPr lang="en-US"/>
                      <a:pPr>
                        <a:defRPr>
                          <a:solidFill>
                            <a:sysClr val="windowText" lastClr="000000"/>
                          </a:solidFill>
                        </a:defRPr>
                      </a:pPr>
                      <a:t>[VALUE]</a:t>
                    </a:fld>
                    <a:endParaRPr lang="en-US"/>
                  </a:p>
                  <a:p>
                    <a:pPr>
                      <a:defRPr>
                        <a:solidFill>
                          <a:sysClr val="windowText" lastClr="000000"/>
                        </a:solidFill>
                      </a:defRPr>
                    </a:pPr>
                    <a:r>
                      <a:rPr lang="en-US" baseline="0"/>
                      <a:t> </a:t>
                    </a:r>
                    <a:fld id="{F2B883A8-A4DA-4162-BBFF-A09B30C1D6DD}" type="PERCENTAGE">
                      <a:rPr lang="en-US" baseline="0"/>
                      <a:pPr>
                        <a:defRPr>
                          <a:solidFill>
                            <a:sysClr val="windowText" lastClr="000000"/>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F09-419C-B8EE-DFB238F9985E}"/>
                </c:ext>
              </c:extLst>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50066328-3527-4D1F-9CF5-9953C0589FAB}" type="VALUE">
                      <a:rPr lang="en-US"/>
                      <a:pPr>
                        <a:defRPr>
                          <a:solidFill>
                            <a:sysClr val="windowText" lastClr="000000"/>
                          </a:solidFill>
                        </a:defRPr>
                      </a:pPr>
                      <a:t>[VALUE]</a:t>
                    </a:fld>
                    <a:endParaRPr lang="en-US" baseline="0"/>
                  </a:p>
                  <a:p>
                    <a:pPr>
                      <a:defRPr>
                        <a:solidFill>
                          <a:sysClr val="windowText" lastClr="000000"/>
                        </a:solidFill>
                      </a:defRPr>
                    </a:pPr>
                    <a:r>
                      <a:rPr lang="en-US" baseline="0"/>
                      <a:t> </a:t>
                    </a:r>
                    <a:fld id="{D5A6E066-F479-47DA-9DEF-6FC555B4957D}" type="PERCENTAGE">
                      <a:rPr lang="en-US" baseline="0"/>
                      <a:pPr>
                        <a:defRPr>
                          <a:solidFill>
                            <a:sysClr val="windowText" lastClr="000000"/>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F09-419C-B8EE-DFB238F9985E}"/>
                </c:ext>
              </c:extLst>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39512EA3-09A0-4470-8092-E2286D0CA30D}" type="VALUE">
                      <a:rPr lang="en-US"/>
                      <a:pPr>
                        <a:defRPr>
                          <a:solidFill>
                            <a:sysClr val="windowText" lastClr="000000"/>
                          </a:solidFill>
                        </a:defRPr>
                      </a:pPr>
                      <a:t>[VALUE]</a:t>
                    </a:fld>
                    <a:endParaRPr lang="en-US" baseline="0"/>
                  </a:p>
                  <a:p>
                    <a:pPr>
                      <a:defRPr>
                        <a:solidFill>
                          <a:sysClr val="windowText" lastClr="000000"/>
                        </a:solidFill>
                      </a:defRPr>
                    </a:pPr>
                    <a:r>
                      <a:rPr lang="en-US" baseline="0"/>
                      <a:t> </a:t>
                    </a:r>
                    <a:fld id="{846F1458-ABA8-499C-92A6-5EC32C5A32FA}" type="PERCENTAGE">
                      <a:rPr lang="en-US" baseline="0"/>
                      <a:pPr>
                        <a:defRPr>
                          <a:solidFill>
                            <a:sysClr val="windowText" lastClr="000000"/>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DF09-419C-B8EE-DFB238F9985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Sheet3!$A$2:$A$6</c:f>
              <c:strCache>
                <c:ptCount val="5"/>
                <c:pt idx="0">
                  <c:v>Establishment of systematic, comparable and transparent monitoring activities and emissions inventories</c:v>
                </c:pt>
                <c:pt idx="1">
                  <c:v>Establishment of national action programmes that reduce air pollution</c:v>
                </c:pt>
                <c:pt idx="2">
                  <c:v>Improvement of public awareness</c:v>
                </c:pt>
                <c:pt idx="3">
                  <c:v>Capacity-building and technical support</c:v>
                </c:pt>
                <c:pt idx="4">
                  <c:v>Policy </c:v>
                </c:pt>
              </c:strCache>
            </c:strRef>
          </c:cat>
          <c:val>
            <c:numRef>
              <c:f>Sheet3!$B$2:$B$6</c:f>
              <c:numCache>
                <c:formatCode>General</c:formatCode>
                <c:ptCount val="5"/>
                <c:pt idx="0">
                  <c:v>15</c:v>
                </c:pt>
                <c:pt idx="1">
                  <c:v>53</c:v>
                </c:pt>
                <c:pt idx="2">
                  <c:v>13</c:v>
                </c:pt>
                <c:pt idx="3">
                  <c:v>13</c:v>
                </c:pt>
                <c:pt idx="4">
                  <c:v>16</c:v>
                </c:pt>
              </c:numCache>
            </c:numRef>
          </c:val>
          <c:extLst>
            <c:ext xmlns:c16="http://schemas.microsoft.com/office/drawing/2014/chart" uri="{C3380CC4-5D6E-409C-BE32-E72D297353CC}">
              <c16:uniqueId val="{0000000A-DF09-419C-B8EE-DFB238F9985E}"/>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216116782394683E-2"/>
          <c:y val="7.564080404583573E-2"/>
          <c:w val="0.59821303587051622"/>
          <c:h val="0.68652763550187279"/>
        </c:manualLayout>
      </c:layout>
      <c:barChart>
        <c:barDir val="col"/>
        <c:grouping val="stacked"/>
        <c:varyColors val="0"/>
        <c:ser>
          <c:idx val="2"/>
          <c:order val="0"/>
          <c:tx>
            <c:strRef>
              <c:f>Sheet2!$F$4</c:f>
              <c:strCache>
                <c:ptCount val="1"/>
                <c:pt idx="0">
                  <c:v>UNECE member States participating and reporting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Sheet2!$C$5:$C$9</c:f>
              <c:strCache>
                <c:ptCount val="5"/>
                <c:pt idx="0">
                  <c:v>EU</c:v>
                </c:pt>
                <c:pt idx="1">
                  <c:v>Eastern Europe, Caucasus and Central Asia</c:v>
                </c:pt>
                <c:pt idx="2">
                  <c:v>South-Eastern Europe (non-European Union) </c:v>
                </c:pt>
                <c:pt idx="3">
                  <c:v>North America</c:v>
                </c:pt>
                <c:pt idx="4">
                  <c:v>Other member States</c:v>
                </c:pt>
              </c:strCache>
            </c:strRef>
          </c:cat>
          <c:val>
            <c:numRef>
              <c:f>Sheet2!$F$5:$F$9</c:f>
              <c:numCache>
                <c:formatCode>General</c:formatCode>
                <c:ptCount val="5"/>
                <c:pt idx="0">
                  <c:v>12</c:v>
                </c:pt>
                <c:pt idx="1">
                  <c:v>2</c:v>
                </c:pt>
                <c:pt idx="3">
                  <c:v>1</c:v>
                </c:pt>
                <c:pt idx="4">
                  <c:v>1</c:v>
                </c:pt>
              </c:numCache>
            </c:numRef>
          </c:val>
          <c:extLst>
            <c:ext xmlns:c16="http://schemas.microsoft.com/office/drawing/2014/chart" uri="{C3380CC4-5D6E-409C-BE32-E72D297353CC}">
              <c16:uniqueId val="{00000000-7B07-4EA2-AFF7-F724E9ECE4AD}"/>
            </c:ext>
          </c:extLst>
        </c:ser>
        <c:ser>
          <c:idx val="1"/>
          <c:order val="1"/>
          <c:tx>
            <c:strRef>
              <c:f>Sheet2!$E$4</c:f>
              <c:strCache>
                <c:ptCount val="1"/>
                <c:pt idx="0">
                  <c:v>UNECE member States participating but not yet reporting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Sheet2!$C$5:$C$9</c:f>
              <c:strCache>
                <c:ptCount val="5"/>
                <c:pt idx="0">
                  <c:v>EU</c:v>
                </c:pt>
                <c:pt idx="1">
                  <c:v>Eastern Europe, Caucasus and Central Asia</c:v>
                </c:pt>
                <c:pt idx="2">
                  <c:v>South-Eastern Europe (non-European Union) </c:v>
                </c:pt>
                <c:pt idx="3">
                  <c:v>North America</c:v>
                </c:pt>
                <c:pt idx="4">
                  <c:v>Other member States</c:v>
                </c:pt>
              </c:strCache>
            </c:strRef>
          </c:cat>
          <c:val>
            <c:numRef>
              <c:f>Sheet2!$E$5:$E$9</c:f>
              <c:numCache>
                <c:formatCode>General</c:formatCode>
                <c:ptCount val="5"/>
                <c:pt idx="0">
                  <c:v>6</c:v>
                </c:pt>
                <c:pt idx="1">
                  <c:v>4</c:v>
                </c:pt>
                <c:pt idx="3">
                  <c:v>1</c:v>
                </c:pt>
              </c:numCache>
            </c:numRef>
          </c:val>
          <c:extLst>
            <c:ext xmlns:c16="http://schemas.microsoft.com/office/drawing/2014/chart" uri="{C3380CC4-5D6E-409C-BE32-E72D297353CC}">
              <c16:uniqueId val="{00000001-7B07-4EA2-AFF7-F724E9ECE4AD}"/>
            </c:ext>
          </c:extLst>
        </c:ser>
        <c:ser>
          <c:idx val="0"/>
          <c:order val="2"/>
          <c:tx>
            <c:strRef>
              <c:f>Sheet2!$D$4</c:f>
              <c:strCache>
                <c:ptCount val="1"/>
                <c:pt idx="0">
                  <c:v>UNECE member States not yet participating</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Sheet2!$C$5:$C$9</c:f>
              <c:strCache>
                <c:ptCount val="5"/>
                <c:pt idx="0">
                  <c:v>EU</c:v>
                </c:pt>
                <c:pt idx="1">
                  <c:v>Eastern Europe, Caucasus and Central Asia</c:v>
                </c:pt>
                <c:pt idx="2">
                  <c:v>South-Eastern Europe (non-European Union) </c:v>
                </c:pt>
                <c:pt idx="3">
                  <c:v>North America</c:v>
                </c:pt>
                <c:pt idx="4">
                  <c:v>Other member States</c:v>
                </c:pt>
              </c:strCache>
            </c:strRef>
          </c:cat>
          <c:val>
            <c:numRef>
              <c:f>Sheet2!$D$5:$D$9</c:f>
              <c:numCache>
                <c:formatCode>General</c:formatCode>
                <c:ptCount val="5"/>
                <c:pt idx="0">
                  <c:v>9</c:v>
                </c:pt>
                <c:pt idx="1">
                  <c:v>5</c:v>
                </c:pt>
                <c:pt idx="2">
                  <c:v>5</c:v>
                </c:pt>
                <c:pt idx="4">
                  <c:v>10</c:v>
                </c:pt>
              </c:numCache>
            </c:numRef>
          </c:val>
          <c:extLst>
            <c:ext xmlns:c16="http://schemas.microsoft.com/office/drawing/2014/chart" uri="{C3380CC4-5D6E-409C-BE32-E72D297353CC}">
              <c16:uniqueId val="{00000002-7B07-4EA2-AFF7-F724E9ECE4AD}"/>
            </c:ext>
          </c:extLst>
        </c:ser>
        <c:dLbls>
          <c:dLblPos val="ctr"/>
          <c:showLegendKey val="0"/>
          <c:showVal val="1"/>
          <c:showCatName val="0"/>
          <c:showSerName val="0"/>
          <c:showPercent val="0"/>
          <c:showBubbleSize val="0"/>
        </c:dLbls>
        <c:gapWidth val="150"/>
        <c:overlap val="100"/>
        <c:axId val="1785626592"/>
        <c:axId val="1785630336"/>
      </c:barChart>
      <c:catAx>
        <c:axId val="178562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785630336"/>
        <c:crosses val="autoZero"/>
        <c:auto val="1"/>
        <c:lblAlgn val="ctr"/>
        <c:lblOffset val="100"/>
        <c:noMultiLvlLbl val="0"/>
      </c:catAx>
      <c:valAx>
        <c:axId val="178563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626592"/>
        <c:crosses val="autoZero"/>
        <c:crossBetween val="between"/>
      </c:valAx>
      <c:spPr>
        <a:noFill/>
        <a:ln>
          <a:noFill/>
        </a:ln>
        <a:effectLst/>
      </c:spPr>
    </c:plotArea>
    <c:legend>
      <c:legendPos val="r"/>
      <c:layout>
        <c:manualLayout>
          <c:xMode val="edge"/>
          <c:yMode val="edge"/>
          <c:x val="0.67934369106117387"/>
          <c:y val="0.1220056334421612"/>
          <c:w val="0.31424607981694597"/>
          <c:h val="0.5824428653735355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C27-48B9-A9BF-290238A5C1B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C27-48B9-A9BF-290238A5C1B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C27-48B9-A9BF-290238A5C1B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C27-48B9-A9BF-290238A5C1B9}"/>
              </c:ext>
            </c:extLst>
          </c:dPt>
          <c:dLbls>
            <c:dLbl>
              <c:idx val="0"/>
              <c:tx>
                <c:rich>
                  <a:bodyPr/>
                  <a:lstStyle/>
                  <a:p>
                    <a:fld id="{C8A1D96C-2631-466C-9B2C-D36BDBF8CFDA}" type="VALUE">
                      <a:rPr lang="en-US"/>
                      <a:pPr/>
                      <a:t>[VALUE]</a:t>
                    </a:fld>
                    <a:endParaRPr lang="en-US" baseline="0"/>
                  </a:p>
                  <a:p>
                    <a:r>
                      <a:rPr lang="en-US" baseline="0"/>
                      <a:t> </a:t>
                    </a:r>
                    <a:fld id="{65C983F1-C98A-4176-9CF8-8F7B21B8CCA5}" type="PERCENTAGE">
                      <a:rPr lang="en-US" baseline="0"/>
                      <a:pPr/>
                      <a:t>[PERCENTAGE]</a:t>
                    </a:fld>
                    <a:endParaRPr lang="en-US" baseline="0"/>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C27-48B9-A9BF-290238A5C1B9}"/>
                </c:ext>
              </c:extLst>
            </c:dLbl>
            <c:dLbl>
              <c:idx val="1"/>
              <c:tx>
                <c:rich>
                  <a:bodyPr/>
                  <a:lstStyle/>
                  <a:p>
                    <a:fld id="{41CC492A-A6B9-4B36-AE24-F72578430E9C}" type="VALUE">
                      <a:rPr lang="en-US"/>
                      <a:pPr/>
                      <a:t>[VALUE]</a:t>
                    </a:fld>
                    <a:r>
                      <a:rPr lang="en-US"/>
                      <a:t>   </a:t>
                    </a:r>
                    <a:fld id="{15C07AFF-8C60-4B9B-A64B-982394E9C5BA}" type="PERCENTAGE">
                      <a:rPr lang="en-US" baseline="0"/>
                      <a:pPr/>
                      <a:t>[PERCENTAGE]</a:t>
                    </a:fld>
                    <a:endParaRPr lang="en-US"/>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C27-48B9-A9BF-290238A5C1B9}"/>
                </c:ext>
              </c:extLst>
            </c:dLbl>
            <c:dLbl>
              <c:idx val="2"/>
              <c:tx>
                <c:rich>
                  <a:bodyPr/>
                  <a:lstStyle/>
                  <a:p>
                    <a:fld id="{9D84A69C-2594-470E-9CAB-6FD4B150F3B3}" type="VALUE">
                      <a:rPr lang="en-US"/>
                      <a:pPr/>
                      <a:t>[VALUE]</a:t>
                    </a:fld>
                    <a:endParaRPr lang="en-US" baseline="0"/>
                  </a:p>
                  <a:p>
                    <a:r>
                      <a:rPr lang="en-US" baseline="0"/>
                      <a:t> </a:t>
                    </a:r>
                    <a:fld id="{BF06EE02-A69A-4456-9C12-D0540076FD19}" type="PERCENTAGE">
                      <a:rPr lang="en-US" baseline="0"/>
                      <a:pPr/>
                      <a:t>[PERCENTAGE]</a:t>
                    </a:fld>
                    <a:endParaRPr lang="en-US" baseline="0"/>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C27-48B9-A9BF-290238A5C1B9}"/>
                </c:ext>
              </c:extLst>
            </c:dLbl>
            <c:dLbl>
              <c:idx val="3"/>
              <c:tx>
                <c:rich>
                  <a:bodyPr/>
                  <a:lstStyle/>
                  <a:p>
                    <a:fld id="{F93C5F04-7968-4ED0-B45A-5630E225247D}" type="VALUE">
                      <a:rPr lang="en-US"/>
                      <a:pPr/>
                      <a:t>[VALUE]</a:t>
                    </a:fld>
                    <a:endParaRPr lang="en-US"/>
                  </a:p>
                  <a:p>
                    <a:fld id="{948DE9A3-1EB9-4A27-88F8-CE1B4F3BAAD1}" type="PERCENTAGE">
                      <a:rPr lang="en-US" baseline="0"/>
                      <a:pPr/>
                      <a:t>[PERCENTAGE]</a:t>
                    </a:fld>
                    <a:endParaRPr lang="en-GB"/>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C27-48B9-A9BF-290238A5C1B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baseline="0">
                    <a:solidFill>
                      <a:sysClr val="windowText" lastClr="000000"/>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Sheet4!$B$2:$E$2</c:f>
              <c:strCache>
                <c:ptCount val="4"/>
                <c:pt idx="0">
                  <c:v>Yes</c:v>
                </c:pt>
                <c:pt idx="1">
                  <c:v>Yes+In progress</c:v>
                </c:pt>
                <c:pt idx="2">
                  <c:v>In progress</c:v>
                </c:pt>
                <c:pt idx="3">
                  <c:v>No</c:v>
                </c:pt>
              </c:strCache>
            </c:strRef>
          </c:cat>
          <c:val>
            <c:numRef>
              <c:f>Sheet4!$B$3:$E$3</c:f>
              <c:numCache>
                <c:formatCode>General</c:formatCode>
                <c:ptCount val="4"/>
                <c:pt idx="0">
                  <c:v>59</c:v>
                </c:pt>
                <c:pt idx="1">
                  <c:v>2</c:v>
                </c:pt>
                <c:pt idx="2">
                  <c:v>19</c:v>
                </c:pt>
                <c:pt idx="3">
                  <c:v>1</c:v>
                </c:pt>
              </c:numCache>
            </c:numRef>
          </c:val>
          <c:extLst>
            <c:ext xmlns:c16="http://schemas.microsoft.com/office/drawing/2014/chart" uri="{C3380CC4-5D6E-409C-BE32-E72D297353CC}">
              <c16:uniqueId val="{00000008-1C27-48B9-A9BF-290238A5C1B9}"/>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5BBE1-0199-403D-823B-4277A576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4958</Words>
  <Characters>28512</Characters>
  <Application>Microsoft Office Word</Application>
  <DocSecurity>0</DocSecurity>
  <Lines>678</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Katri Veldre</cp:lastModifiedBy>
  <cp:revision>2</cp:revision>
  <dcterms:created xsi:type="dcterms:W3CDTF">2022-05-05T12:47:00Z</dcterms:created>
  <dcterms:modified xsi:type="dcterms:W3CDTF">2022-05-05T12:47:00Z</dcterms:modified>
</cp:coreProperties>
</file>