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7C51D76C" w:rsidR="00717408" w:rsidRPr="00FA0F0E" w:rsidRDefault="00FA63B2" w:rsidP="00D660CB">
            <w:pPr>
              <w:jc w:val="right"/>
              <w:rPr>
                <w:b/>
                <w:sz w:val="40"/>
                <w:szCs w:val="40"/>
              </w:rPr>
            </w:pPr>
            <w:r w:rsidRPr="00FA0F0E">
              <w:rPr>
                <w:b/>
                <w:sz w:val="40"/>
                <w:szCs w:val="40"/>
              </w:rPr>
              <w:t>UN/SCEGHS/</w:t>
            </w:r>
            <w:r w:rsidR="00260117" w:rsidRPr="00FA0F0E">
              <w:rPr>
                <w:b/>
                <w:sz w:val="40"/>
                <w:szCs w:val="40"/>
              </w:rPr>
              <w:t>4</w:t>
            </w:r>
            <w:r w:rsidR="008B5DD0">
              <w:rPr>
                <w:b/>
                <w:sz w:val="40"/>
                <w:szCs w:val="40"/>
              </w:rPr>
              <w:t>2</w:t>
            </w:r>
            <w:r w:rsidRPr="00FA0F0E">
              <w:rPr>
                <w:b/>
                <w:sz w:val="40"/>
                <w:szCs w:val="40"/>
              </w:rPr>
              <w:t>/INF.</w:t>
            </w:r>
            <w:r w:rsidR="008B5DD0">
              <w:rPr>
                <w:b/>
                <w:sz w:val="40"/>
                <w:szCs w:val="40"/>
              </w:rPr>
              <w:t>3</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10FA500B" w:rsidR="00717408" w:rsidRPr="00951EBC" w:rsidRDefault="00FA63B2" w:rsidP="00496520">
            <w:pPr>
              <w:tabs>
                <w:tab w:val="left" w:pos="7371"/>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A134F7" w:rsidRPr="00A134F7">
              <w:rPr>
                <w:b/>
                <w:bCs/>
              </w:rPr>
              <w:t xml:space="preserve"> 20</w:t>
            </w:r>
            <w:r w:rsidR="00A134F7">
              <w:t xml:space="preserve"> </w:t>
            </w:r>
            <w:r w:rsidR="008B5DD0">
              <w:rPr>
                <w:b/>
                <w:bCs/>
              </w:rPr>
              <w:t>April 2022</w:t>
            </w:r>
          </w:p>
          <w:p w14:paraId="6956C3CF" w14:textId="77777777" w:rsidR="00333A50" w:rsidRDefault="00333A50" w:rsidP="00333A50">
            <w:pPr>
              <w:spacing w:before="120"/>
              <w:rPr>
                <w:b/>
              </w:rPr>
            </w:pPr>
            <w:r>
              <w:rPr>
                <w:b/>
              </w:rPr>
              <w:t>Forty-second session</w:t>
            </w:r>
          </w:p>
          <w:p w14:paraId="40A2DCED" w14:textId="77777777" w:rsidR="00333A50" w:rsidRDefault="00333A50" w:rsidP="00333A50">
            <w:r>
              <w:t xml:space="preserve">Geneva, 6-8 July 2022 </w:t>
            </w:r>
          </w:p>
          <w:p w14:paraId="43024C2F" w14:textId="77777777" w:rsidR="00333A50" w:rsidRDefault="00333A50" w:rsidP="00333A50">
            <w:r>
              <w:t xml:space="preserve">Item </w:t>
            </w:r>
            <w:r w:rsidRPr="001A29BB">
              <w:t>2 (h)</w:t>
            </w:r>
            <w:r>
              <w:t xml:space="preserve"> of the provisional agenda</w:t>
            </w:r>
          </w:p>
          <w:p w14:paraId="70453F6F" w14:textId="77777777" w:rsidR="00717408" w:rsidRDefault="00333A50" w:rsidP="00333A50">
            <w:pPr>
              <w:spacing w:line="240" w:lineRule="exact"/>
              <w:rPr>
                <w:b/>
                <w:bCs/>
              </w:rPr>
            </w:pPr>
            <w:r w:rsidRPr="0075487A">
              <w:rPr>
                <w:b/>
                <w:bCs/>
              </w:rPr>
              <w:t>Work on the Globally Harmonized System (GHS):</w:t>
            </w:r>
            <w:r w:rsidRPr="0075487A">
              <w:rPr>
                <w:b/>
                <w:bCs/>
              </w:rPr>
              <w:br/>
            </w:r>
            <w:r>
              <w:rPr>
                <w:b/>
                <w:bCs/>
              </w:rPr>
              <w:t>i</w:t>
            </w:r>
            <w:r w:rsidRPr="0075487A">
              <w:rPr>
                <w:b/>
                <w:bCs/>
              </w:rPr>
              <w:t>mprovement of annexes 1 to 3 and further</w:t>
            </w:r>
            <w:r>
              <w:rPr>
                <w:b/>
                <w:bCs/>
              </w:rPr>
              <w:br/>
            </w:r>
            <w:r w:rsidRPr="0075487A">
              <w:rPr>
                <w:b/>
                <w:bCs/>
              </w:rPr>
              <w:t>rationalization of precautionary statements</w:t>
            </w:r>
          </w:p>
          <w:p w14:paraId="59D9447B" w14:textId="77777777" w:rsidR="00333A50" w:rsidRDefault="00333A50" w:rsidP="00333A50">
            <w:pPr>
              <w:spacing w:line="240" w:lineRule="exact"/>
              <w:rPr>
                <w:b/>
                <w:bCs/>
              </w:rPr>
            </w:pPr>
          </w:p>
          <w:p w14:paraId="4BDB311D" w14:textId="77777777" w:rsidR="00333A50" w:rsidRDefault="00333A50" w:rsidP="00333A50">
            <w:pPr>
              <w:spacing w:line="240" w:lineRule="exact"/>
              <w:rPr>
                <w:b/>
                <w:bCs/>
              </w:rPr>
            </w:pPr>
          </w:p>
          <w:p w14:paraId="71403E32" w14:textId="77777777" w:rsidR="00333A50" w:rsidRDefault="00333A50" w:rsidP="00333A50">
            <w:pPr>
              <w:spacing w:line="240" w:lineRule="exact"/>
              <w:rPr>
                <w:b/>
                <w:bCs/>
              </w:rPr>
            </w:pPr>
          </w:p>
          <w:p w14:paraId="1715A04C" w14:textId="77777777" w:rsidR="00333A50" w:rsidRDefault="00333A50" w:rsidP="00333A50">
            <w:pPr>
              <w:spacing w:line="240" w:lineRule="exact"/>
              <w:rPr>
                <w:b/>
                <w:bCs/>
              </w:rPr>
            </w:pPr>
          </w:p>
          <w:p w14:paraId="7C4F846E" w14:textId="77777777" w:rsidR="00333A50" w:rsidRDefault="00333A50" w:rsidP="00333A50">
            <w:pPr>
              <w:spacing w:line="240" w:lineRule="exact"/>
              <w:rPr>
                <w:b/>
                <w:bCs/>
              </w:rPr>
            </w:pPr>
          </w:p>
          <w:p w14:paraId="1EB7FCBB" w14:textId="77777777" w:rsidR="00333A50" w:rsidRDefault="00333A50" w:rsidP="00333A50">
            <w:pPr>
              <w:spacing w:line="240" w:lineRule="exact"/>
              <w:rPr>
                <w:b/>
                <w:bCs/>
              </w:rPr>
            </w:pPr>
          </w:p>
          <w:p w14:paraId="7DE127AA" w14:textId="77777777" w:rsidR="00333A50" w:rsidRDefault="00333A50" w:rsidP="00333A50">
            <w:pPr>
              <w:spacing w:line="240" w:lineRule="exact"/>
              <w:rPr>
                <w:b/>
                <w:bCs/>
              </w:rPr>
            </w:pPr>
          </w:p>
          <w:p w14:paraId="5552B2F2" w14:textId="77777777" w:rsidR="00333A50" w:rsidRDefault="00333A50" w:rsidP="00333A50">
            <w:pPr>
              <w:spacing w:line="240" w:lineRule="exact"/>
              <w:rPr>
                <w:b/>
                <w:bCs/>
              </w:rPr>
            </w:pPr>
          </w:p>
          <w:p w14:paraId="7F67E7DF" w14:textId="41BB9BBF" w:rsidR="00333A50" w:rsidRPr="00AC7597" w:rsidRDefault="00333A50" w:rsidP="00333A50">
            <w:pPr>
              <w:spacing w:line="240" w:lineRule="exact"/>
              <w:rPr>
                <w:b/>
                <w:bCs/>
              </w:rPr>
            </w:pPr>
          </w:p>
        </w:tc>
      </w:tr>
    </w:tbl>
    <w:p w14:paraId="564DCB37" w14:textId="77777777" w:rsidR="00E43205" w:rsidRPr="000F64BA" w:rsidRDefault="00E43205" w:rsidP="00E43205">
      <w:pPr>
        <w:pStyle w:val="HChG"/>
        <w:ind w:right="379"/>
        <w:rPr>
          <w:sz w:val="36"/>
          <w:szCs w:val="36"/>
        </w:rPr>
      </w:pPr>
      <w:r>
        <w:tab/>
      </w:r>
      <w:r>
        <w:tab/>
      </w:r>
      <w:r w:rsidRPr="000F64BA">
        <w:rPr>
          <w:sz w:val="36"/>
          <w:szCs w:val="36"/>
        </w:rPr>
        <w:t>Combination statement amendments to sections 1, 2 and 3 of Annex 3</w:t>
      </w:r>
    </w:p>
    <w:p w14:paraId="0179D9BF" w14:textId="77777777" w:rsidR="00E43205" w:rsidRDefault="00E43205" w:rsidP="00E43205">
      <w:pPr>
        <w:pStyle w:val="H1G"/>
        <w:ind w:right="521"/>
      </w:pPr>
      <w:r>
        <w:rPr>
          <w:rFonts w:eastAsia="MS Mincho"/>
        </w:rPr>
        <w:tab/>
      </w:r>
      <w:r>
        <w:rPr>
          <w:rFonts w:eastAsia="MS Mincho"/>
        </w:rPr>
        <w:tab/>
      </w:r>
      <w:r>
        <w:t>Transmitted by the expert from the United Kingdom on behalf of the informal working group on improving annexes 1, 2 and 3 of the GHS</w:t>
      </w:r>
    </w:p>
    <w:p w14:paraId="3AA322EB" w14:textId="6BD3DE89" w:rsidR="00E43205" w:rsidRDefault="00E43205" w:rsidP="00E43205">
      <w:pPr>
        <w:pStyle w:val="SingleTxtG"/>
        <w:tabs>
          <w:tab w:val="left" w:pos="1701"/>
        </w:tabs>
        <w:spacing w:after="240" w:line="240" w:lineRule="auto"/>
        <w:ind w:right="521"/>
      </w:pPr>
      <w:r>
        <w:t>1.</w:t>
      </w:r>
      <w:r>
        <w:tab/>
        <w:t xml:space="preserve">Although the proposed combination statement amendments to Annex 3 are presented in full in the accompanying formal document </w:t>
      </w:r>
      <w:r w:rsidRPr="006D4ACA">
        <w:t>ST</w:t>
      </w:r>
      <w:r w:rsidR="00A134F7">
        <w:t>/</w:t>
      </w:r>
      <w:r w:rsidRPr="006D4ACA">
        <w:t>SG</w:t>
      </w:r>
      <w:r w:rsidR="00A134F7">
        <w:t>/</w:t>
      </w:r>
      <w:r w:rsidRPr="006D4ACA">
        <w:t>AC</w:t>
      </w:r>
      <w:r w:rsidR="00A134F7">
        <w:t>.</w:t>
      </w:r>
      <w:r w:rsidRPr="006D4ACA">
        <w:t>10</w:t>
      </w:r>
      <w:r w:rsidR="00A134F7">
        <w:t>/</w:t>
      </w:r>
      <w:r w:rsidRPr="006D4ACA">
        <w:t>C</w:t>
      </w:r>
      <w:r w:rsidR="00A134F7">
        <w:t>.</w:t>
      </w:r>
      <w:r w:rsidRPr="006D4ACA">
        <w:t>4</w:t>
      </w:r>
      <w:r w:rsidR="00A134F7">
        <w:t>/</w:t>
      </w:r>
      <w:r w:rsidRPr="006D4ACA">
        <w:t>2022</w:t>
      </w:r>
      <w:r w:rsidR="00A134F7">
        <w:t>/5</w:t>
      </w:r>
      <w:r>
        <w:t>, to assist those who prefer to view the proposed amendments in colour, these are provided in the annex of this informal document.</w:t>
      </w:r>
    </w:p>
    <w:p w14:paraId="514A2F41" w14:textId="77777777" w:rsidR="00333A50" w:rsidRDefault="00333A50" w:rsidP="00333A50">
      <w:pPr>
        <w:pStyle w:val="SingleTxtG"/>
        <w:rPr>
          <w:rStyle w:val="SingleTxtGCar"/>
          <w:u w:val="single"/>
        </w:rPr>
      </w:pPr>
    </w:p>
    <w:p w14:paraId="76B48A0A" w14:textId="77777777" w:rsidR="00333A50" w:rsidRDefault="00333A50" w:rsidP="00333A50">
      <w:pPr>
        <w:pStyle w:val="SingleTxtG"/>
        <w:rPr>
          <w:rStyle w:val="SingleTxtGCar"/>
          <w:u w:val="single"/>
        </w:rPr>
      </w:pPr>
    </w:p>
    <w:p w14:paraId="6B4C470B" w14:textId="77777777" w:rsidR="00674E0C" w:rsidRDefault="00674E0C">
      <w:pPr>
        <w:suppressAutoHyphens w:val="0"/>
        <w:spacing w:line="240" w:lineRule="auto"/>
        <w:rPr>
          <w:b/>
          <w:bCs/>
          <w:sz w:val="28"/>
          <w:szCs w:val="28"/>
        </w:rPr>
      </w:pPr>
      <w:r>
        <w:rPr>
          <w:b/>
          <w:bCs/>
          <w:sz w:val="28"/>
          <w:szCs w:val="28"/>
        </w:rPr>
        <w:br w:type="page"/>
      </w:r>
    </w:p>
    <w:p w14:paraId="2C0A5650" w14:textId="1E6CD123" w:rsidR="00674E0C" w:rsidRPr="00674E0C" w:rsidRDefault="00674E0C" w:rsidP="00674E0C">
      <w:pPr>
        <w:pStyle w:val="HChG"/>
      </w:pPr>
      <w:r w:rsidRPr="004859FF">
        <w:lastRenderedPageBreak/>
        <w:t>Annex</w:t>
      </w:r>
    </w:p>
    <w:p w14:paraId="11F18800" w14:textId="77777777" w:rsidR="00BF37A2" w:rsidRDefault="00674E0C" w:rsidP="00674E0C">
      <w:pPr>
        <w:pStyle w:val="HChG"/>
      </w:pPr>
      <w:r>
        <w:tab/>
      </w:r>
      <w:r>
        <w:tab/>
      </w:r>
      <w:r w:rsidRPr="00524F84">
        <w:t xml:space="preserve">Proposed hazard statement </w:t>
      </w:r>
      <w:r>
        <w:t>amendments in Annex 3</w:t>
      </w:r>
    </w:p>
    <w:p w14:paraId="239DFA14" w14:textId="7D8DAC29" w:rsidR="00674E0C" w:rsidRPr="00524F84" w:rsidRDefault="00BF37A2" w:rsidP="00674E0C">
      <w:pPr>
        <w:pStyle w:val="HChG"/>
      </w:pPr>
      <w:r>
        <w:tab/>
      </w:r>
      <w:r>
        <w:tab/>
      </w:r>
      <w:r w:rsidR="007765BF">
        <w:t>Section 1</w:t>
      </w:r>
      <w:r w:rsidR="00674E0C">
        <w:t xml:space="preserve"> </w:t>
      </w:r>
      <w:r w:rsidR="00674E0C" w:rsidRPr="009D51A2">
        <w:t>(</w:t>
      </w:r>
      <w:r w:rsidR="00674E0C" w:rsidRPr="00674E0C">
        <w:rPr>
          <w:b w:val="0"/>
          <w:bCs/>
        </w:rPr>
        <w:t xml:space="preserve">new text in </w:t>
      </w:r>
      <w:r w:rsidR="00674E0C" w:rsidRPr="00AA65E3">
        <w:rPr>
          <w:b w:val="0"/>
          <w:bCs/>
          <w:color w:val="4F81BD" w:themeColor="accent1"/>
        </w:rPr>
        <w:t>blue</w:t>
      </w:r>
      <w:r w:rsidR="00674E0C" w:rsidRPr="00674E0C">
        <w:rPr>
          <w:b w:val="0"/>
          <w:bCs/>
        </w:rPr>
        <w:t xml:space="preserve">, deleted text in </w:t>
      </w:r>
      <w:r w:rsidR="00674E0C" w:rsidRPr="00AA65E3">
        <w:rPr>
          <w:b w:val="0"/>
          <w:bCs/>
          <w:strike/>
        </w:rPr>
        <w:t>strike-through</w:t>
      </w:r>
      <w:r w:rsidR="00674E0C" w:rsidRPr="009D51A2">
        <w:t>)</w:t>
      </w:r>
    </w:p>
    <w:p w14:paraId="67426C63" w14:textId="77777777" w:rsidR="00674E0C" w:rsidRDefault="00674E0C" w:rsidP="00674E0C">
      <w:pPr>
        <w:spacing w:after="120" w:line="240" w:lineRule="auto"/>
        <w:ind w:left="1134"/>
      </w:pPr>
      <w:r>
        <w:t>In A3.1.2.3, replace the last sentence with:</w:t>
      </w:r>
    </w:p>
    <w:p w14:paraId="4242020F" w14:textId="1D8831EF" w:rsidR="00674E0C" w:rsidRDefault="00674E0C" w:rsidP="00674E0C">
      <w:pPr>
        <w:pStyle w:val="SingleTxtG"/>
        <w:ind w:left="1701" w:right="662"/>
      </w:pPr>
      <w:r w:rsidRPr="00640E10">
        <w:t>“</w:t>
      </w:r>
      <w:r w:rsidRPr="00AE5833">
        <w:t>For example, H300 + H310</w:t>
      </w:r>
      <w:r w:rsidRPr="00AE5833">
        <w:rPr>
          <w:color w:val="FF0000"/>
        </w:rPr>
        <w:t xml:space="preserve"> </w:t>
      </w:r>
      <w:r w:rsidRPr="009D51A2">
        <w:rPr>
          <w:color w:val="0070C0"/>
        </w:rPr>
        <w:t xml:space="preserve">+ H330 </w:t>
      </w:r>
      <w:r w:rsidRPr="00AE5833">
        <w:t>indicates that the text to appear on the label is “</w:t>
      </w:r>
      <w:r w:rsidRPr="00AE5833">
        <w:rPr>
          <w:b/>
        </w:rPr>
        <w:t>Fatal if swallowed</w:t>
      </w:r>
      <w:r w:rsidRPr="009D51A2">
        <w:rPr>
          <w:b/>
          <w:color w:val="0070C0"/>
        </w:rPr>
        <w:t>,</w:t>
      </w:r>
      <w:r w:rsidRPr="00AE5833">
        <w:rPr>
          <w:b/>
          <w:color w:val="FF0000"/>
        </w:rPr>
        <w:t xml:space="preserve"> </w:t>
      </w:r>
      <w:r w:rsidRPr="00AE5833">
        <w:rPr>
          <w:b/>
          <w:strike/>
        </w:rPr>
        <w:t xml:space="preserve">or </w:t>
      </w:r>
      <w:r w:rsidRPr="00AE5833">
        <w:rPr>
          <w:b/>
        </w:rPr>
        <w:t xml:space="preserve">in contact with skin </w:t>
      </w:r>
      <w:r w:rsidRPr="009D51A2">
        <w:rPr>
          <w:b/>
          <w:color w:val="0070C0"/>
        </w:rPr>
        <w:t>or if inhaled</w:t>
      </w:r>
      <w:r w:rsidRPr="00AE5833">
        <w:rPr>
          <w:b/>
        </w:rPr>
        <w:t>.</w:t>
      </w:r>
      <w:r w:rsidRPr="00AE5833">
        <w:rPr>
          <w:bCs/>
        </w:rPr>
        <w:t>”</w:t>
      </w:r>
      <w:r w:rsidRPr="00AE5833">
        <w:t>.”</w:t>
      </w:r>
    </w:p>
    <w:p w14:paraId="7955CC64" w14:textId="77777777" w:rsidR="00674E0C" w:rsidRDefault="00674E0C" w:rsidP="00674E0C">
      <w:pPr>
        <w:pStyle w:val="SingleTxtG"/>
        <w:spacing w:before="120"/>
        <w:ind w:left="1701" w:hanging="567"/>
      </w:pPr>
      <w:r w:rsidRPr="00D040C9">
        <w:t xml:space="preserve">In A3.1.2.4, </w:t>
      </w:r>
      <w:r>
        <w:t>replace the last sentence with</w:t>
      </w:r>
      <w:r w:rsidRPr="00DE4B4C">
        <w:t xml:space="preserve">: </w:t>
      </w:r>
    </w:p>
    <w:p w14:paraId="6C1D062F" w14:textId="7BD44A63" w:rsidR="00674E0C" w:rsidRDefault="00674E0C" w:rsidP="00674E0C">
      <w:pPr>
        <w:pStyle w:val="SingleTxtG"/>
        <w:ind w:left="1701" w:right="521"/>
      </w:pPr>
      <w:r w:rsidRPr="00684ABF">
        <w:t xml:space="preserve">“Also, where a combined hazard statement is </w:t>
      </w:r>
      <w:r w:rsidRPr="00684ABF">
        <w:rPr>
          <w:strike/>
        </w:rPr>
        <w:t>indicated</w:t>
      </w:r>
      <w:r>
        <w:t xml:space="preserve"> </w:t>
      </w:r>
      <w:r w:rsidRPr="009D51A2">
        <w:rPr>
          <w:color w:val="0070C0"/>
        </w:rPr>
        <w:t>permitted</w:t>
      </w:r>
      <w:r w:rsidRPr="00684ABF">
        <w:t xml:space="preserve"> for two or more hazard statements</w:t>
      </w:r>
      <w:r>
        <w:t xml:space="preserve"> </w:t>
      </w:r>
      <w:r w:rsidRPr="00841B90">
        <w:rPr>
          <w:color w:val="0070C0"/>
        </w:rPr>
        <w:t>(see A3.1.2.5)</w:t>
      </w:r>
      <w:r w:rsidRPr="00684ABF">
        <w:t>, the competent authority may specify whether the combined hazard statement or the corresponding individual statements should appear on the label or may leave the choice to the manufacturer/supplier.”</w:t>
      </w:r>
    </w:p>
    <w:p w14:paraId="30831935" w14:textId="77777777" w:rsidR="00674E0C" w:rsidRDefault="00674E0C" w:rsidP="00674E0C">
      <w:pPr>
        <w:pStyle w:val="SingleTxtG"/>
      </w:pPr>
      <w:r>
        <w:t>I</w:t>
      </w:r>
      <w:r w:rsidRPr="00EE372A">
        <w:t>nsert a new paragraph A3.1.2.5 to read as follows</w:t>
      </w:r>
    </w:p>
    <w:p w14:paraId="306AE1E4" w14:textId="77777777" w:rsidR="00674E0C" w:rsidRPr="009D51A2" w:rsidRDefault="00674E0C" w:rsidP="00674E0C">
      <w:pPr>
        <w:pStyle w:val="SingleTxtG"/>
        <w:spacing w:after="240"/>
        <w:ind w:left="1701" w:right="521"/>
        <w:rPr>
          <w:color w:val="0070C0"/>
        </w:rPr>
      </w:pPr>
      <w:r w:rsidRPr="009D51A2">
        <w:rPr>
          <w:color w:val="0070C0"/>
        </w:rPr>
        <w:t>“A3.1.2.5</w:t>
      </w:r>
      <w:r w:rsidRPr="009D51A2">
        <w:rPr>
          <w:color w:val="0070C0"/>
        </w:rPr>
        <w:tab/>
        <w:t xml:space="preserve">In addition to the combinations found in Table A3.1.2, it is </w:t>
      </w:r>
      <w:r>
        <w:rPr>
          <w:color w:val="0070C0"/>
        </w:rPr>
        <w:t xml:space="preserve">also </w:t>
      </w:r>
      <w:r w:rsidRPr="009D51A2">
        <w:rPr>
          <w:color w:val="0070C0"/>
        </w:rPr>
        <w:t>permitted to combine more than one health hazard statement of equivalent severity if, for example, there is insufficient space on the label.  When hazard statements are combined, all hazards must be clearly conveyed and only the repetitive text may be deleted.  Statements can be combined by using the word “and”, additional punctuation, and changing the case of the initial letter of the word at the beginning of a statement.  For example, H317 “May cause an allergic skin reaction” + H340 “May cause genetic defects” + H350 “May cause cancer” may all be combined because they are all for Category 1 health hazards (i.e., health hazard statements of equivalent severity) and have repetitive elements of the hazard statement (i.e., the statements begin with “may cause”).  These statements may be combined to “May cause an allergic skin reaction, genetic defects, and cancer.”  The competent authority may limit the types of combinations permitted to ensure comprehensibility (e.g., limit the number of hazard statements that can be combined).”</w:t>
      </w:r>
    </w:p>
    <w:p w14:paraId="0F68C74A" w14:textId="77777777" w:rsidR="00674E0C" w:rsidRPr="00524F84" w:rsidRDefault="00674E0C" w:rsidP="00674E0C">
      <w:pPr>
        <w:pStyle w:val="SingleTxtG"/>
        <w:rPr>
          <w:b/>
          <w:bCs/>
        </w:rPr>
      </w:pPr>
      <w:r w:rsidRPr="00524F84">
        <w:rPr>
          <w:b/>
          <w:bCs/>
        </w:rPr>
        <w:t>Proposed amendments to Table A3.1.2</w:t>
      </w:r>
      <w:r>
        <w:rPr>
          <w:b/>
          <w:bCs/>
        </w:rPr>
        <w:t>:</w:t>
      </w:r>
    </w:p>
    <w:tbl>
      <w:tblPr>
        <w:tblW w:w="96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4"/>
        <w:gridCol w:w="4483"/>
        <w:gridCol w:w="3272"/>
        <w:gridCol w:w="1206"/>
      </w:tblGrid>
      <w:tr w:rsidR="00674E0C" w14:paraId="52C06E4C" w14:textId="77777777" w:rsidTr="00496C1C">
        <w:trPr>
          <w:cantSplit/>
          <w:trHeight w:val="20"/>
          <w:tblHeader/>
        </w:trPr>
        <w:tc>
          <w:tcPr>
            <w:tcW w:w="684" w:type="dxa"/>
            <w:tcBorders>
              <w:top w:val="single" w:sz="4" w:space="0" w:color="auto"/>
              <w:left w:val="single" w:sz="4" w:space="0" w:color="auto"/>
              <w:bottom w:val="single" w:sz="4" w:space="0" w:color="auto"/>
              <w:right w:val="single" w:sz="4" w:space="0" w:color="auto"/>
            </w:tcBorders>
            <w:noWrap/>
            <w:hideMark/>
          </w:tcPr>
          <w:p w14:paraId="41B22518" w14:textId="77777777" w:rsidR="00674E0C" w:rsidRDefault="00674E0C" w:rsidP="00496C1C">
            <w:pPr>
              <w:keepNext/>
              <w:keepLines/>
              <w:spacing w:before="40" w:after="40"/>
              <w:jc w:val="center"/>
              <w:rPr>
                <w:rFonts w:asciiTheme="majorBidi" w:hAnsiTheme="majorBidi" w:cstheme="majorBidi"/>
                <w:b/>
              </w:rPr>
            </w:pPr>
            <w:r>
              <w:rPr>
                <w:rFonts w:asciiTheme="majorBidi" w:hAnsiTheme="majorBidi" w:cstheme="majorBidi"/>
                <w:b/>
              </w:rPr>
              <w:t>Code</w:t>
            </w:r>
          </w:p>
        </w:tc>
        <w:tc>
          <w:tcPr>
            <w:tcW w:w="4480" w:type="dxa"/>
            <w:tcBorders>
              <w:top w:val="single" w:sz="4" w:space="0" w:color="auto"/>
              <w:left w:val="single" w:sz="4" w:space="0" w:color="auto"/>
              <w:bottom w:val="single" w:sz="4" w:space="0" w:color="auto"/>
              <w:right w:val="single" w:sz="4" w:space="0" w:color="auto"/>
            </w:tcBorders>
            <w:noWrap/>
            <w:hideMark/>
          </w:tcPr>
          <w:p w14:paraId="6A45E0EF" w14:textId="77777777" w:rsidR="00674E0C" w:rsidRDefault="00674E0C" w:rsidP="00496C1C">
            <w:pPr>
              <w:keepNext/>
              <w:keepLines/>
              <w:spacing w:before="40" w:after="40"/>
              <w:jc w:val="center"/>
              <w:rPr>
                <w:rFonts w:asciiTheme="majorBidi" w:hAnsiTheme="majorBidi" w:cstheme="majorBidi"/>
                <w:b/>
              </w:rPr>
            </w:pPr>
            <w:r>
              <w:rPr>
                <w:rFonts w:asciiTheme="majorBidi" w:hAnsiTheme="majorBidi" w:cstheme="majorBidi"/>
                <w:b/>
              </w:rPr>
              <w:t>Health hazard statements</w:t>
            </w:r>
          </w:p>
        </w:tc>
        <w:tc>
          <w:tcPr>
            <w:tcW w:w="3270" w:type="dxa"/>
            <w:tcBorders>
              <w:top w:val="single" w:sz="4" w:space="0" w:color="auto"/>
              <w:left w:val="single" w:sz="4" w:space="0" w:color="auto"/>
              <w:bottom w:val="single" w:sz="4" w:space="0" w:color="auto"/>
              <w:right w:val="single" w:sz="4" w:space="0" w:color="auto"/>
            </w:tcBorders>
            <w:hideMark/>
          </w:tcPr>
          <w:p w14:paraId="15D31B26" w14:textId="77777777" w:rsidR="00674E0C" w:rsidRDefault="00674E0C" w:rsidP="00496C1C">
            <w:pPr>
              <w:keepNext/>
              <w:keepLines/>
              <w:spacing w:before="40" w:after="40"/>
              <w:jc w:val="center"/>
              <w:rPr>
                <w:rFonts w:asciiTheme="majorBidi" w:hAnsiTheme="majorBidi" w:cstheme="majorBidi"/>
                <w:b/>
              </w:rPr>
            </w:pPr>
            <w:r>
              <w:rPr>
                <w:rFonts w:asciiTheme="majorBidi" w:hAnsiTheme="majorBidi" w:cstheme="majorBidi"/>
                <w:b/>
              </w:rPr>
              <w:t>Hazard class (GHS chapter)</w:t>
            </w:r>
          </w:p>
        </w:tc>
        <w:tc>
          <w:tcPr>
            <w:tcW w:w="1205" w:type="dxa"/>
            <w:tcBorders>
              <w:top w:val="single" w:sz="4" w:space="0" w:color="auto"/>
              <w:left w:val="single" w:sz="4" w:space="0" w:color="auto"/>
              <w:bottom w:val="single" w:sz="4" w:space="0" w:color="auto"/>
              <w:right w:val="single" w:sz="4" w:space="0" w:color="auto"/>
            </w:tcBorders>
            <w:hideMark/>
          </w:tcPr>
          <w:p w14:paraId="5EC550FA" w14:textId="77777777" w:rsidR="00674E0C" w:rsidRDefault="00674E0C" w:rsidP="00496C1C">
            <w:pPr>
              <w:keepNext/>
              <w:keepLines/>
              <w:spacing w:before="40" w:after="40"/>
              <w:jc w:val="center"/>
              <w:rPr>
                <w:rFonts w:asciiTheme="majorBidi" w:hAnsiTheme="majorBidi" w:cstheme="majorBidi"/>
                <w:b/>
              </w:rPr>
            </w:pPr>
            <w:r>
              <w:rPr>
                <w:rFonts w:asciiTheme="majorBidi" w:hAnsiTheme="majorBidi" w:cstheme="majorBidi"/>
                <w:b/>
              </w:rPr>
              <w:t>Hazard category</w:t>
            </w:r>
          </w:p>
        </w:tc>
      </w:tr>
      <w:tr w:rsidR="00674E0C" w14:paraId="55031E6F" w14:textId="77777777" w:rsidTr="00496C1C">
        <w:trPr>
          <w:cantSplit/>
          <w:trHeight w:val="20"/>
          <w:tblHeader/>
        </w:trPr>
        <w:tc>
          <w:tcPr>
            <w:tcW w:w="684" w:type="dxa"/>
            <w:tcBorders>
              <w:top w:val="single" w:sz="4" w:space="0" w:color="auto"/>
              <w:left w:val="single" w:sz="4" w:space="0" w:color="auto"/>
              <w:bottom w:val="single" w:sz="4" w:space="0" w:color="auto"/>
              <w:right w:val="single" w:sz="4" w:space="0" w:color="auto"/>
            </w:tcBorders>
            <w:noWrap/>
            <w:vAlign w:val="center"/>
            <w:hideMark/>
          </w:tcPr>
          <w:p w14:paraId="3B542D88" w14:textId="77777777" w:rsidR="00674E0C" w:rsidRDefault="00674E0C" w:rsidP="00496C1C">
            <w:pPr>
              <w:keepNext/>
              <w:keepLines/>
              <w:spacing w:before="40" w:after="40"/>
              <w:jc w:val="center"/>
              <w:rPr>
                <w:rFonts w:asciiTheme="majorBidi" w:hAnsiTheme="majorBidi" w:cstheme="majorBidi"/>
                <w:b/>
              </w:rPr>
            </w:pPr>
            <w:r>
              <w:rPr>
                <w:rFonts w:asciiTheme="majorBidi" w:hAnsiTheme="majorBidi" w:cstheme="majorBidi"/>
                <w:b/>
              </w:rPr>
              <w:t>(1)</w:t>
            </w:r>
          </w:p>
        </w:tc>
        <w:tc>
          <w:tcPr>
            <w:tcW w:w="4480" w:type="dxa"/>
            <w:tcBorders>
              <w:top w:val="single" w:sz="4" w:space="0" w:color="auto"/>
              <w:left w:val="single" w:sz="4" w:space="0" w:color="auto"/>
              <w:bottom w:val="single" w:sz="4" w:space="0" w:color="auto"/>
              <w:right w:val="single" w:sz="4" w:space="0" w:color="auto"/>
            </w:tcBorders>
            <w:noWrap/>
            <w:vAlign w:val="center"/>
            <w:hideMark/>
          </w:tcPr>
          <w:p w14:paraId="27637EAB" w14:textId="77777777" w:rsidR="00674E0C" w:rsidRDefault="00674E0C" w:rsidP="00496C1C">
            <w:pPr>
              <w:keepNext/>
              <w:keepLines/>
              <w:spacing w:before="40" w:after="40"/>
              <w:jc w:val="center"/>
              <w:rPr>
                <w:rFonts w:asciiTheme="majorBidi" w:hAnsiTheme="majorBidi" w:cstheme="majorBidi"/>
                <w:b/>
              </w:rPr>
            </w:pPr>
            <w:r>
              <w:rPr>
                <w:rFonts w:asciiTheme="majorBidi" w:hAnsiTheme="majorBidi" w:cstheme="majorBidi"/>
                <w:b/>
              </w:rPr>
              <w:t>(2)</w:t>
            </w:r>
          </w:p>
        </w:tc>
        <w:tc>
          <w:tcPr>
            <w:tcW w:w="3270" w:type="dxa"/>
            <w:tcBorders>
              <w:top w:val="single" w:sz="4" w:space="0" w:color="auto"/>
              <w:left w:val="single" w:sz="4" w:space="0" w:color="auto"/>
              <w:bottom w:val="single" w:sz="4" w:space="0" w:color="auto"/>
              <w:right w:val="single" w:sz="4" w:space="0" w:color="auto"/>
            </w:tcBorders>
            <w:vAlign w:val="center"/>
            <w:hideMark/>
          </w:tcPr>
          <w:p w14:paraId="2EFF2BCE" w14:textId="77777777" w:rsidR="00674E0C" w:rsidRDefault="00674E0C" w:rsidP="00496C1C">
            <w:pPr>
              <w:keepNext/>
              <w:keepLines/>
              <w:spacing w:before="40" w:after="40"/>
              <w:jc w:val="center"/>
              <w:rPr>
                <w:rFonts w:asciiTheme="majorBidi" w:hAnsiTheme="majorBidi" w:cstheme="majorBidi"/>
                <w:b/>
              </w:rPr>
            </w:pPr>
            <w:r>
              <w:rPr>
                <w:rFonts w:asciiTheme="majorBidi" w:hAnsiTheme="majorBidi" w:cstheme="majorBidi"/>
                <w:b/>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E4054D5" w14:textId="77777777" w:rsidR="00674E0C" w:rsidRDefault="00674E0C" w:rsidP="00496C1C">
            <w:pPr>
              <w:keepNext/>
              <w:keepLines/>
              <w:spacing w:before="40" w:after="40"/>
              <w:jc w:val="center"/>
              <w:rPr>
                <w:rFonts w:asciiTheme="majorBidi" w:hAnsiTheme="majorBidi" w:cstheme="majorBidi"/>
                <w:b/>
              </w:rPr>
            </w:pPr>
            <w:r>
              <w:rPr>
                <w:rFonts w:asciiTheme="majorBidi" w:hAnsiTheme="majorBidi" w:cstheme="majorBidi"/>
                <w:b/>
              </w:rPr>
              <w:t>(4)</w:t>
            </w:r>
          </w:p>
        </w:tc>
      </w:tr>
      <w:tr w:rsidR="00674E0C" w:rsidRPr="009D51A2" w14:paraId="57B1760D" w14:textId="77777777" w:rsidTr="00496C1C">
        <w:trPr>
          <w:cantSplit/>
          <w:trHeight w:val="20"/>
          <w:tblHeader/>
        </w:trPr>
        <w:tc>
          <w:tcPr>
            <w:tcW w:w="684" w:type="dxa"/>
            <w:tcBorders>
              <w:top w:val="single" w:sz="4" w:space="0" w:color="auto"/>
              <w:left w:val="single" w:sz="4" w:space="0" w:color="auto"/>
              <w:bottom w:val="single" w:sz="4" w:space="0" w:color="auto"/>
              <w:right w:val="single" w:sz="4" w:space="0" w:color="auto"/>
            </w:tcBorders>
            <w:noWrap/>
            <w:hideMark/>
          </w:tcPr>
          <w:p w14:paraId="73B364DC" w14:textId="77777777" w:rsidR="00674E0C" w:rsidRPr="009D51A2" w:rsidRDefault="00674E0C" w:rsidP="00496C1C">
            <w:pPr>
              <w:keepNext/>
              <w:keepLines/>
              <w:spacing w:before="40" w:after="40"/>
              <w:jc w:val="center"/>
              <w:rPr>
                <w:rFonts w:asciiTheme="majorBidi" w:hAnsiTheme="majorBidi" w:cstheme="majorBidi"/>
                <w:color w:val="0070C0"/>
              </w:rPr>
            </w:pPr>
            <w:r w:rsidRPr="009D51A2">
              <w:rPr>
                <w:rFonts w:asciiTheme="majorBidi" w:hAnsiTheme="majorBidi" w:cstheme="majorBidi"/>
                <w:color w:val="0070C0"/>
              </w:rPr>
              <w:t>H315</w:t>
            </w:r>
            <w:r w:rsidRPr="009D51A2">
              <w:rPr>
                <w:rFonts w:asciiTheme="majorBidi" w:hAnsiTheme="majorBidi" w:cstheme="majorBidi"/>
                <w:color w:val="0070C0"/>
              </w:rPr>
              <w:br/>
              <w:t>+</w:t>
            </w:r>
            <w:r w:rsidRPr="009D51A2">
              <w:rPr>
                <w:rFonts w:asciiTheme="majorBidi" w:hAnsiTheme="majorBidi" w:cstheme="majorBidi"/>
                <w:color w:val="0070C0"/>
              </w:rPr>
              <w:br/>
              <w:t>H319</w:t>
            </w:r>
          </w:p>
        </w:tc>
        <w:tc>
          <w:tcPr>
            <w:tcW w:w="4480" w:type="dxa"/>
            <w:tcBorders>
              <w:top w:val="single" w:sz="4" w:space="0" w:color="auto"/>
              <w:left w:val="single" w:sz="4" w:space="0" w:color="auto"/>
              <w:bottom w:val="single" w:sz="4" w:space="0" w:color="auto"/>
              <w:right w:val="single" w:sz="4" w:space="0" w:color="auto"/>
            </w:tcBorders>
            <w:noWrap/>
            <w:hideMark/>
          </w:tcPr>
          <w:p w14:paraId="44313246" w14:textId="77777777" w:rsidR="00674E0C" w:rsidRPr="009D51A2" w:rsidRDefault="00674E0C" w:rsidP="00496C1C">
            <w:pPr>
              <w:keepNext/>
              <w:keepLines/>
              <w:spacing w:before="40" w:after="40"/>
              <w:jc w:val="center"/>
              <w:rPr>
                <w:rFonts w:asciiTheme="majorBidi" w:hAnsiTheme="majorBidi" w:cstheme="majorBidi"/>
                <w:color w:val="0070C0"/>
              </w:rPr>
            </w:pPr>
            <w:r w:rsidRPr="009D51A2">
              <w:rPr>
                <w:rFonts w:asciiTheme="majorBidi" w:hAnsiTheme="majorBidi" w:cstheme="majorBidi"/>
                <w:color w:val="0070C0"/>
              </w:rPr>
              <w:t xml:space="preserve">Causes skin irritation and serious eye irritation </w:t>
            </w:r>
            <w:r w:rsidRPr="009D51A2">
              <w:rPr>
                <w:color w:val="0070C0"/>
                <w:vertAlign w:val="superscript"/>
              </w:rPr>
              <w:t>1</w:t>
            </w:r>
          </w:p>
        </w:tc>
        <w:tc>
          <w:tcPr>
            <w:tcW w:w="3270" w:type="dxa"/>
            <w:tcBorders>
              <w:top w:val="single" w:sz="4" w:space="0" w:color="auto"/>
              <w:left w:val="single" w:sz="4" w:space="0" w:color="auto"/>
              <w:bottom w:val="single" w:sz="4" w:space="0" w:color="auto"/>
              <w:right w:val="single" w:sz="4" w:space="0" w:color="auto"/>
            </w:tcBorders>
            <w:hideMark/>
          </w:tcPr>
          <w:p w14:paraId="2E628611" w14:textId="77777777" w:rsidR="00674E0C" w:rsidRPr="009D51A2" w:rsidRDefault="00674E0C" w:rsidP="00496C1C">
            <w:pPr>
              <w:keepNext/>
              <w:keepLines/>
              <w:spacing w:before="40" w:after="40"/>
              <w:jc w:val="center"/>
              <w:rPr>
                <w:rFonts w:asciiTheme="majorBidi" w:hAnsiTheme="majorBidi" w:cstheme="majorBidi"/>
                <w:color w:val="0070C0"/>
              </w:rPr>
            </w:pPr>
            <w:r w:rsidRPr="009D51A2">
              <w:rPr>
                <w:rFonts w:asciiTheme="majorBidi" w:hAnsiTheme="majorBidi" w:cstheme="majorBidi"/>
                <w:color w:val="0070C0"/>
              </w:rPr>
              <w:t>Skin corrosion/irritation (chapter 3.2) and serious eye damage/eye irritation (chapter 3.3)</w:t>
            </w:r>
          </w:p>
        </w:tc>
        <w:tc>
          <w:tcPr>
            <w:tcW w:w="1205" w:type="dxa"/>
            <w:tcBorders>
              <w:top w:val="single" w:sz="4" w:space="0" w:color="auto"/>
              <w:left w:val="single" w:sz="4" w:space="0" w:color="auto"/>
              <w:bottom w:val="single" w:sz="4" w:space="0" w:color="auto"/>
              <w:right w:val="single" w:sz="4" w:space="0" w:color="auto"/>
            </w:tcBorders>
            <w:hideMark/>
          </w:tcPr>
          <w:p w14:paraId="14BDFD77" w14:textId="77777777" w:rsidR="00674E0C" w:rsidRPr="009D51A2" w:rsidRDefault="00674E0C" w:rsidP="00496C1C">
            <w:pPr>
              <w:keepNext/>
              <w:keepLines/>
              <w:spacing w:before="40" w:after="40"/>
              <w:jc w:val="center"/>
              <w:rPr>
                <w:rFonts w:asciiTheme="majorBidi" w:hAnsiTheme="majorBidi" w:cstheme="majorBidi"/>
                <w:color w:val="0070C0"/>
              </w:rPr>
            </w:pPr>
            <w:r w:rsidRPr="009D51A2">
              <w:rPr>
                <w:color w:val="0070C0"/>
              </w:rPr>
              <w:t>2 (skin) + 2/2A (eye)</w:t>
            </w:r>
          </w:p>
        </w:tc>
      </w:tr>
      <w:tr w:rsidR="00674E0C" w14:paraId="01544E26" w14:textId="77777777" w:rsidTr="00496C1C">
        <w:trPr>
          <w:cantSplit/>
          <w:trHeight w:val="20"/>
          <w:tblHeader/>
        </w:trPr>
        <w:tc>
          <w:tcPr>
            <w:tcW w:w="684" w:type="dxa"/>
            <w:tcBorders>
              <w:top w:val="single" w:sz="4" w:space="0" w:color="auto"/>
              <w:left w:val="single" w:sz="4" w:space="0" w:color="auto"/>
              <w:bottom w:val="single" w:sz="4" w:space="0" w:color="auto"/>
              <w:right w:val="single" w:sz="4" w:space="0" w:color="auto"/>
            </w:tcBorders>
            <w:noWrap/>
            <w:hideMark/>
          </w:tcPr>
          <w:p w14:paraId="4E0AB6ED" w14:textId="77777777" w:rsidR="00674E0C" w:rsidRDefault="00674E0C" w:rsidP="00496C1C">
            <w:pPr>
              <w:keepNext/>
              <w:keepLines/>
              <w:spacing w:before="40" w:after="40"/>
              <w:jc w:val="center"/>
              <w:rPr>
                <w:rFonts w:asciiTheme="majorBidi" w:hAnsiTheme="majorBidi" w:cstheme="majorBidi"/>
                <w:b/>
              </w:rPr>
            </w:pPr>
            <w:r>
              <w:rPr>
                <w:rFonts w:asciiTheme="majorBidi" w:hAnsiTheme="majorBidi" w:cstheme="majorBidi"/>
              </w:rPr>
              <w:t>H315</w:t>
            </w:r>
            <w:r>
              <w:rPr>
                <w:rFonts w:asciiTheme="majorBidi" w:hAnsiTheme="majorBidi" w:cstheme="majorBidi"/>
              </w:rPr>
              <w:br/>
              <w:t>+</w:t>
            </w:r>
            <w:r>
              <w:rPr>
                <w:rFonts w:asciiTheme="majorBidi" w:hAnsiTheme="majorBidi" w:cstheme="majorBidi"/>
              </w:rPr>
              <w:br/>
              <w:t>H320</w:t>
            </w:r>
          </w:p>
        </w:tc>
        <w:tc>
          <w:tcPr>
            <w:tcW w:w="4480" w:type="dxa"/>
            <w:tcBorders>
              <w:top w:val="single" w:sz="4" w:space="0" w:color="auto"/>
              <w:left w:val="single" w:sz="4" w:space="0" w:color="auto"/>
              <w:bottom w:val="single" w:sz="4" w:space="0" w:color="auto"/>
              <w:right w:val="single" w:sz="4" w:space="0" w:color="auto"/>
            </w:tcBorders>
            <w:noWrap/>
            <w:hideMark/>
          </w:tcPr>
          <w:p w14:paraId="0C1872A6" w14:textId="77777777" w:rsidR="00674E0C" w:rsidRDefault="00674E0C" w:rsidP="00496C1C">
            <w:pPr>
              <w:keepNext/>
              <w:keepLines/>
              <w:spacing w:before="40" w:after="40"/>
              <w:jc w:val="center"/>
              <w:rPr>
                <w:rFonts w:asciiTheme="majorBidi" w:hAnsiTheme="majorBidi" w:cstheme="majorBidi"/>
                <w:b/>
              </w:rPr>
            </w:pPr>
            <w:r>
              <w:rPr>
                <w:rFonts w:asciiTheme="majorBidi" w:hAnsiTheme="majorBidi" w:cstheme="majorBidi"/>
                <w:b/>
              </w:rPr>
              <w:t xml:space="preserve">Causes skin and eye irritation </w:t>
            </w:r>
            <w:r w:rsidRPr="009D51A2">
              <w:rPr>
                <w:color w:val="0070C0"/>
                <w:vertAlign w:val="superscript"/>
              </w:rPr>
              <w:t>1</w:t>
            </w:r>
          </w:p>
        </w:tc>
        <w:tc>
          <w:tcPr>
            <w:tcW w:w="3270" w:type="dxa"/>
            <w:tcBorders>
              <w:top w:val="single" w:sz="4" w:space="0" w:color="auto"/>
              <w:left w:val="single" w:sz="4" w:space="0" w:color="auto"/>
              <w:bottom w:val="single" w:sz="4" w:space="0" w:color="auto"/>
              <w:right w:val="single" w:sz="4" w:space="0" w:color="auto"/>
            </w:tcBorders>
            <w:hideMark/>
          </w:tcPr>
          <w:p w14:paraId="20F307E6" w14:textId="77777777" w:rsidR="00674E0C" w:rsidRDefault="00674E0C" w:rsidP="00496C1C">
            <w:pPr>
              <w:keepNext/>
              <w:keepLines/>
              <w:spacing w:before="40" w:after="40"/>
              <w:jc w:val="center"/>
              <w:rPr>
                <w:rFonts w:asciiTheme="majorBidi" w:hAnsiTheme="majorBidi" w:cstheme="majorBidi"/>
                <w:b/>
              </w:rPr>
            </w:pPr>
            <w:r>
              <w:rPr>
                <w:rFonts w:asciiTheme="majorBidi" w:hAnsiTheme="majorBidi" w:cstheme="majorBidi"/>
              </w:rPr>
              <w:t>Skin corrosion/irritation (chapter 3.2) and serious eye damage/eye irritation (chapter 3.3)</w:t>
            </w:r>
          </w:p>
        </w:tc>
        <w:tc>
          <w:tcPr>
            <w:tcW w:w="1205" w:type="dxa"/>
            <w:tcBorders>
              <w:top w:val="single" w:sz="4" w:space="0" w:color="auto"/>
              <w:left w:val="single" w:sz="4" w:space="0" w:color="auto"/>
              <w:bottom w:val="single" w:sz="4" w:space="0" w:color="auto"/>
              <w:right w:val="single" w:sz="4" w:space="0" w:color="auto"/>
            </w:tcBorders>
            <w:hideMark/>
          </w:tcPr>
          <w:p w14:paraId="2682C1DF" w14:textId="77777777" w:rsidR="00674E0C" w:rsidRDefault="00674E0C" w:rsidP="00496C1C">
            <w:pPr>
              <w:keepNext/>
              <w:keepLines/>
              <w:spacing w:before="40" w:after="40"/>
              <w:jc w:val="center"/>
              <w:rPr>
                <w:rFonts w:asciiTheme="majorBidi" w:hAnsiTheme="majorBidi" w:cstheme="majorBidi"/>
                <w:b/>
              </w:rPr>
            </w:pPr>
            <w:r>
              <w:rPr>
                <w:rFonts w:asciiTheme="majorBidi" w:hAnsiTheme="majorBidi" w:cstheme="majorBidi"/>
              </w:rPr>
              <w:t xml:space="preserve">2 (skin) </w:t>
            </w:r>
            <w:r w:rsidRPr="009D51A2">
              <w:rPr>
                <w:rFonts w:asciiTheme="majorBidi" w:hAnsiTheme="majorBidi" w:cstheme="majorBidi"/>
                <w:color w:val="0070C0"/>
              </w:rPr>
              <w:t>+</w:t>
            </w:r>
            <w:r w:rsidRPr="00684ABF">
              <w:rPr>
                <w:rFonts w:asciiTheme="majorBidi" w:hAnsiTheme="majorBidi" w:cstheme="majorBidi"/>
                <w:strike/>
              </w:rPr>
              <w:t>/</w:t>
            </w:r>
            <w:r>
              <w:rPr>
                <w:rFonts w:asciiTheme="majorBidi" w:hAnsiTheme="majorBidi" w:cstheme="majorBidi"/>
              </w:rPr>
              <w:t xml:space="preserve"> 2B (eye)</w:t>
            </w:r>
          </w:p>
        </w:tc>
      </w:tr>
    </w:tbl>
    <w:p w14:paraId="1A46BBE2" w14:textId="77777777" w:rsidR="00674E0C" w:rsidRPr="009D51A2" w:rsidRDefault="00674E0C" w:rsidP="00674E0C">
      <w:pPr>
        <w:pStyle w:val="SingleTxtG"/>
        <w:spacing w:before="120"/>
        <w:ind w:left="993" w:right="521"/>
        <w:rPr>
          <w:color w:val="0070C0"/>
        </w:rPr>
      </w:pPr>
      <w:r w:rsidRPr="009D51A2">
        <w:rPr>
          <w:i/>
          <w:iCs/>
          <w:color w:val="0070C0"/>
          <w:vertAlign w:val="superscript"/>
        </w:rPr>
        <w:t xml:space="preserve">“1 </w:t>
      </w:r>
      <w:r w:rsidRPr="009D51A2">
        <w:rPr>
          <w:i/>
          <w:iCs/>
          <w:color w:val="0070C0"/>
        </w:rPr>
        <w:t>Competent authorities may select the applicable hazard statement(s) depending on the serious eye damage/eye irritation hazard categories implemented in their jurisdiction (2/2A or 2A/2B).”</w:t>
      </w:r>
    </w:p>
    <w:p w14:paraId="26A289CC" w14:textId="77777777" w:rsidR="00674E0C" w:rsidRDefault="00674E0C" w:rsidP="00674E0C">
      <w:pPr>
        <w:pStyle w:val="SingleTxtG"/>
        <w:ind w:left="1701"/>
      </w:pPr>
    </w:p>
    <w:p w14:paraId="448D1B08" w14:textId="77777777" w:rsidR="00674E0C" w:rsidRDefault="00674E0C" w:rsidP="00674E0C">
      <w:pPr>
        <w:suppressAutoHyphens w:val="0"/>
        <w:spacing w:line="240" w:lineRule="auto"/>
        <w:rPr>
          <w:b/>
          <w:bCs/>
          <w:sz w:val="24"/>
          <w:szCs w:val="24"/>
        </w:rPr>
      </w:pPr>
      <w:r>
        <w:rPr>
          <w:b/>
          <w:bCs/>
          <w:sz w:val="24"/>
          <w:szCs w:val="24"/>
        </w:rPr>
        <w:br w:type="page"/>
      </w:r>
    </w:p>
    <w:p w14:paraId="257E0FED" w14:textId="77777777" w:rsidR="00977DDF" w:rsidRPr="00524F84" w:rsidRDefault="00977DDF" w:rsidP="00977DDF">
      <w:pPr>
        <w:pStyle w:val="HChG"/>
      </w:pPr>
      <w:r>
        <w:lastRenderedPageBreak/>
        <w:tab/>
      </w:r>
      <w:r>
        <w:tab/>
      </w:r>
      <w:r w:rsidRPr="00977DDF">
        <w:t>Section 2</w:t>
      </w:r>
      <w:r w:rsidR="00674E0C" w:rsidRPr="00977DDF">
        <w:t xml:space="preserve"> </w:t>
      </w:r>
      <w:r w:rsidRPr="009D51A2">
        <w:t>(</w:t>
      </w:r>
      <w:r w:rsidRPr="00674E0C">
        <w:rPr>
          <w:b w:val="0"/>
          <w:bCs/>
        </w:rPr>
        <w:t xml:space="preserve">new text in </w:t>
      </w:r>
      <w:r w:rsidRPr="00AA65E3">
        <w:rPr>
          <w:b w:val="0"/>
          <w:bCs/>
          <w:color w:val="4F81BD" w:themeColor="accent1"/>
        </w:rPr>
        <w:t>blue</w:t>
      </w:r>
      <w:r w:rsidRPr="00674E0C">
        <w:rPr>
          <w:b w:val="0"/>
          <w:bCs/>
        </w:rPr>
        <w:t xml:space="preserve">, deleted text in </w:t>
      </w:r>
      <w:r w:rsidRPr="00AA65E3">
        <w:rPr>
          <w:b w:val="0"/>
          <w:bCs/>
          <w:strike/>
        </w:rPr>
        <w:t>strike-through</w:t>
      </w:r>
      <w:r w:rsidRPr="009D51A2">
        <w:t>)</w:t>
      </w:r>
    </w:p>
    <w:p w14:paraId="2AAC659D" w14:textId="77777777" w:rsidR="00674E0C" w:rsidRPr="004B50AD" w:rsidRDefault="00674E0C" w:rsidP="00674E0C">
      <w:pPr>
        <w:pStyle w:val="SingleTxtG"/>
      </w:pPr>
      <w:r w:rsidRPr="004B50AD">
        <w:t>Replace A3.2.5.2.2, with:</w:t>
      </w:r>
    </w:p>
    <w:p w14:paraId="32C2F51A" w14:textId="058851D8" w:rsidR="00674E0C" w:rsidRPr="004B50AD" w:rsidRDefault="00674E0C" w:rsidP="00674E0C">
      <w:pPr>
        <w:ind w:left="1701" w:right="521"/>
        <w:jc w:val="both"/>
      </w:pPr>
      <w:r w:rsidRPr="004B50AD">
        <w:rPr>
          <w:b/>
          <w:bCs/>
        </w:rPr>
        <w:t>“</w:t>
      </w:r>
      <w:r w:rsidRPr="004B50AD">
        <w:t>A3.2.5.2.2</w:t>
      </w:r>
      <w:r w:rsidR="00CF6737">
        <w:tab/>
      </w:r>
      <w:r w:rsidRPr="004B50AD">
        <w:t xml:space="preserve">Flexibility in the application of individual, combinations or consolidations of precautionary statements is encouraged to save label space and improve readability. </w:t>
      </w:r>
      <w:r w:rsidRPr="009D51A2">
        <w:rPr>
          <w:color w:val="0070C0"/>
        </w:rPr>
        <w:t>Precautionary statements can be combined by using the word “and”, additional punctuation, and changing the case of the initial letter of the word at the beginning of a statement. For example, P</w:t>
      </w:r>
      <w:r w:rsidRPr="009D51A2">
        <w:rPr>
          <w:color w:val="0070C0"/>
          <w:lang w:val="en-US"/>
        </w:rPr>
        <w:t>302 + P335 + P334 “</w:t>
      </w:r>
      <w:r w:rsidRPr="009D51A2">
        <w:rPr>
          <w:b/>
          <w:bCs/>
          <w:color w:val="0070C0"/>
          <w:lang w:val="en-US"/>
        </w:rPr>
        <w:t xml:space="preserve">IF ON SKIN: Brush off loose particles from skin and immerse in cool water [or wrap in wet bandages]. </w:t>
      </w:r>
      <w:r w:rsidRPr="003C03E9">
        <w:t>The tables in this Section and the matrix in Section 3 of Annex 3 include a number of combined precautionary statements. However, these are only examples and those responsible for labelling should further combine and consolidate phrases where this contributes to clarity and comprehensibility of label information</w:t>
      </w:r>
      <w:r w:rsidRPr="00A03F6D">
        <w:t>.”</w:t>
      </w:r>
    </w:p>
    <w:p w14:paraId="01B11FBD" w14:textId="77777777" w:rsidR="00674E0C" w:rsidRDefault="00674E0C" w:rsidP="00CF6737">
      <w:pPr>
        <w:pStyle w:val="SingleTxtG"/>
        <w:spacing w:before="240"/>
      </w:pPr>
      <w:r>
        <w:t>In Section A3.2.2 insert the following new paragraph:</w:t>
      </w:r>
    </w:p>
    <w:p w14:paraId="031B4731" w14:textId="77777777" w:rsidR="00674E0C" w:rsidRPr="009D51A2" w:rsidRDefault="00674E0C" w:rsidP="00674E0C">
      <w:pPr>
        <w:pStyle w:val="SingleTxtG"/>
        <w:spacing w:after="240"/>
        <w:ind w:left="1701" w:right="521"/>
        <w:rPr>
          <w:color w:val="0070C0"/>
        </w:rPr>
      </w:pPr>
      <w:r w:rsidRPr="009D51A2">
        <w:rPr>
          <w:color w:val="0070C0"/>
        </w:rPr>
        <w:t>“A3.2.2.4</w:t>
      </w:r>
      <w:r w:rsidRPr="009D51A2">
        <w:rPr>
          <w:color w:val="0070C0"/>
        </w:rPr>
        <w:tab/>
        <w:t>Where square brackets […] appear around a precautionary statement code, this indicates the precautionary statement is not appropriate in every case and should be used only in certain circumstances. In these cases, conditions for use explaining when the text should be used are given in column (5) of the tables.”.</w:t>
      </w:r>
    </w:p>
    <w:p w14:paraId="4886D8C0" w14:textId="77777777" w:rsidR="00674E0C" w:rsidRDefault="00674E0C" w:rsidP="00674E0C">
      <w:pPr>
        <w:pStyle w:val="SingleTxtG"/>
        <w:keepNext/>
        <w:keepLines/>
        <w:rPr>
          <w:bCs/>
        </w:rPr>
      </w:pPr>
      <w:r>
        <w:t>In Table A.3.2.3 of Annex 3, Section 2, the entry for ‘</w:t>
      </w:r>
      <w:r>
        <w:rPr>
          <w:bCs/>
        </w:rPr>
        <w:t>P302 + P335 + P334’</w:t>
      </w:r>
      <w:r>
        <w:rPr>
          <w:lang w:val="en-US"/>
        </w:rPr>
        <w:t>:</w:t>
      </w:r>
    </w:p>
    <w:p w14:paraId="78362631" w14:textId="77777777" w:rsidR="00674E0C" w:rsidRDefault="00674E0C" w:rsidP="00674E0C">
      <w:pPr>
        <w:pStyle w:val="SingleTxtG"/>
        <w:keepNext/>
        <w:keepLines/>
        <w:ind w:left="1701"/>
      </w:pPr>
      <w:r>
        <w:t xml:space="preserve">In column 2 replace with: </w:t>
      </w:r>
    </w:p>
    <w:p w14:paraId="5064264D" w14:textId="77777777" w:rsidR="00674E0C" w:rsidRDefault="00674E0C" w:rsidP="00674E0C">
      <w:pPr>
        <w:pStyle w:val="SingleTxtG"/>
        <w:ind w:left="1701" w:right="521"/>
        <w:rPr>
          <w:b/>
          <w:bCs/>
        </w:rPr>
      </w:pPr>
      <w:r>
        <w:t>“</w:t>
      </w:r>
      <w:r w:rsidRPr="0013531D">
        <w:rPr>
          <w:b/>
          <w:bCs/>
        </w:rPr>
        <w:t>IF ON SKIN: Brush off loose particles from skin</w:t>
      </w:r>
      <w:r w:rsidRPr="00B42CCF">
        <w:rPr>
          <w:b/>
          <w:bCs/>
          <w:strike/>
        </w:rPr>
        <w:t>.</w:t>
      </w:r>
      <w:r w:rsidRPr="0013531D">
        <w:rPr>
          <w:b/>
          <w:bCs/>
        </w:rPr>
        <w:t xml:space="preserve"> </w:t>
      </w:r>
      <w:r w:rsidRPr="009D51A2">
        <w:rPr>
          <w:b/>
          <w:bCs/>
          <w:color w:val="0070C0"/>
        </w:rPr>
        <w:t xml:space="preserve">and </w:t>
      </w:r>
      <w:proofErr w:type="spellStart"/>
      <w:r w:rsidRPr="00B42CCF">
        <w:rPr>
          <w:b/>
          <w:bCs/>
          <w:strike/>
        </w:rPr>
        <w:t>I</w:t>
      </w:r>
      <w:r w:rsidRPr="009D51A2">
        <w:rPr>
          <w:b/>
          <w:bCs/>
          <w:color w:val="0070C0"/>
        </w:rPr>
        <w:t>i</w:t>
      </w:r>
      <w:r w:rsidRPr="0013531D">
        <w:rPr>
          <w:b/>
          <w:bCs/>
        </w:rPr>
        <w:t>mmerse</w:t>
      </w:r>
      <w:proofErr w:type="spellEnd"/>
      <w:r w:rsidRPr="0013531D">
        <w:rPr>
          <w:b/>
          <w:bCs/>
        </w:rPr>
        <w:t xml:space="preserve"> in cool water [or wrap in wet bandages].”</w:t>
      </w:r>
    </w:p>
    <w:p w14:paraId="5BFC98E6" w14:textId="77777777" w:rsidR="00977DDF" w:rsidRPr="00524F84" w:rsidRDefault="00977DDF" w:rsidP="00977DDF">
      <w:pPr>
        <w:pStyle w:val="HChG"/>
      </w:pPr>
      <w:r>
        <w:tab/>
      </w:r>
      <w:r>
        <w:tab/>
      </w:r>
      <w:r w:rsidRPr="00977DDF">
        <w:t xml:space="preserve">Section </w:t>
      </w:r>
      <w:r>
        <w:t>3</w:t>
      </w:r>
      <w:r w:rsidRPr="00977DDF">
        <w:t xml:space="preserve"> </w:t>
      </w:r>
      <w:r w:rsidRPr="009D51A2">
        <w:t>(</w:t>
      </w:r>
      <w:r w:rsidRPr="00674E0C">
        <w:rPr>
          <w:b w:val="0"/>
          <w:bCs/>
        </w:rPr>
        <w:t xml:space="preserve">new text in </w:t>
      </w:r>
      <w:r w:rsidRPr="00AA65E3">
        <w:rPr>
          <w:b w:val="0"/>
          <w:bCs/>
          <w:color w:val="4F81BD" w:themeColor="accent1"/>
        </w:rPr>
        <w:t>blue</w:t>
      </w:r>
      <w:r w:rsidRPr="00674E0C">
        <w:rPr>
          <w:b w:val="0"/>
          <w:bCs/>
        </w:rPr>
        <w:t xml:space="preserve">, deleted text in </w:t>
      </w:r>
      <w:r w:rsidRPr="00AA65E3">
        <w:rPr>
          <w:b w:val="0"/>
          <w:bCs/>
          <w:strike/>
        </w:rPr>
        <w:t>strike-through</w:t>
      </w:r>
      <w:r w:rsidRPr="009D51A2">
        <w:t>)</w:t>
      </w:r>
    </w:p>
    <w:p w14:paraId="7D60A817" w14:textId="54B01A08" w:rsidR="00674E0C" w:rsidRDefault="00674E0C" w:rsidP="00674E0C">
      <w:pPr>
        <w:pStyle w:val="SingleTxtG"/>
        <w:ind w:right="521"/>
        <w:rPr>
          <w:bCs/>
        </w:rPr>
      </w:pPr>
      <w:r>
        <w:t xml:space="preserve">In </w:t>
      </w:r>
      <w:r w:rsidR="00977DDF">
        <w:t xml:space="preserve">the </w:t>
      </w:r>
      <w:r>
        <w:t>matrix table for pyrophoric solids (chapter 2.10), hazard category 1</w:t>
      </w:r>
      <w:r>
        <w:rPr>
          <w:bCs/>
        </w:rPr>
        <w:t>, column “Response”, replace the P302 + P335 + P334 entry with:</w:t>
      </w:r>
    </w:p>
    <w:p w14:paraId="001D6C53" w14:textId="77777777" w:rsidR="00674E0C" w:rsidRDefault="00674E0C" w:rsidP="00674E0C">
      <w:pPr>
        <w:spacing w:line="240" w:lineRule="auto"/>
        <w:ind w:left="1701"/>
        <w:jc w:val="both"/>
      </w:pPr>
      <w:r>
        <w:rPr>
          <w:bCs/>
        </w:rPr>
        <w:t>“P302 + P335 + P334</w:t>
      </w:r>
    </w:p>
    <w:p w14:paraId="03D16A46" w14:textId="77777777" w:rsidR="00674E0C" w:rsidRDefault="00674E0C" w:rsidP="00674E0C">
      <w:pPr>
        <w:pStyle w:val="SingleTxtG"/>
        <w:ind w:left="1701" w:right="521"/>
        <w:rPr>
          <w:b/>
          <w:bCs/>
        </w:rPr>
      </w:pPr>
      <w:r>
        <w:t>“</w:t>
      </w:r>
      <w:r w:rsidRPr="0013531D">
        <w:rPr>
          <w:b/>
          <w:bCs/>
        </w:rPr>
        <w:t>IF ON SKIN: Brush off loose particles from skin</w:t>
      </w:r>
      <w:r w:rsidRPr="00B42CCF">
        <w:rPr>
          <w:b/>
          <w:bCs/>
          <w:strike/>
        </w:rPr>
        <w:t>.</w:t>
      </w:r>
      <w:r w:rsidRPr="009D51A2">
        <w:rPr>
          <w:b/>
          <w:bCs/>
          <w:color w:val="0070C0"/>
        </w:rPr>
        <w:t xml:space="preserve"> and</w:t>
      </w:r>
      <w:r w:rsidRPr="0013531D">
        <w:rPr>
          <w:b/>
          <w:bCs/>
        </w:rPr>
        <w:t xml:space="preserve"> </w:t>
      </w:r>
      <w:proofErr w:type="spellStart"/>
      <w:r w:rsidRPr="00B42CCF">
        <w:rPr>
          <w:b/>
          <w:bCs/>
          <w:strike/>
        </w:rPr>
        <w:t>I</w:t>
      </w:r>
      <w:r w:rsidRPr="009D51A2">
        <w:rPr>
          <w:b/>
          <w:bCs/>
          <w:color w:val="0070C0"/>
        </w:rPr>
        <w:t>i</w:t>
      </w:r>
      <w:r w:rsidRPr="0013531D">
        <w:rPr>
          <w:b/>
          <w:bCs/>
        </w:rPr>
        <w:t>mmerse</w:t>
      </w:r>
      <w:proofErr w:type="spellEnd"/>
      <w:r w:rsidRPr="0013531D">
        <w:rPr>
          <w:b/>
          <w:bCs/>
        </w:rPr>
        <w:t xml:space="preserve"> in cool water or wrap in wet bandages.”</w:t>
      </w:r>
    </w:p>
    <w:p w14:paraId="13E6A2CD" w14:textId="49DFDCCA" w:rsidR="00674E0C" w:rsidRPr="000F27ED" w:rsidRDefault="000F27ED" w:rsidP="000F27ED">
      <w:pPr>
        <w:spacing w:before="240"/>
        <w:jc w:val="center"/>
        <w:rPr>
          <w:u w:val="single"/>
        </w:rPr>
      </w:pPr>
      <w:r>
        <w:rPr>
          <w:u w:val="single"/>
        </w:rPr>
        <w:tab/>
      </w:r>
      <w:r>
        <w:rPr>
          <w:u w:val="single"/>
        </w:rPr>
        <w:tab/>
      </w:r>
      <w:r>
        <w:rPr>
          <w:u w:val="single"/>
        </w:rPr>
        <w:tab/>
      </w:r>
    </w:p>
    <w:p w14:paraId="0B26B252" w14:textId="77777777" w:rsidR="00333A50" w:rsidRPr="0064644C" w:rsidRDefault="00333A50" w:rsidP="00333A50">
      <w:pPr>
        <w:pStyle w:val="SingleTxtG"/>
        <w:rPr>
          <w:rStyle w:val="SingleTxtGCar"/>
          <w:u w:val="single"/>
        </w:rPr>
      </w:pPr>
    </w:p>
    <w:sectPr w:rsidR="00333A50" w:rsidRPr="0064644C" w:rsidSect="00C969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763BF" w14:textId="77777777" w:rsidR="00F60A53" w:rsidRDefault="00F60A53" w:rsidP="00760F29">
      <w:pPr>
        <w:spacing w:line="240" w:lineRule="auto"/>
      </w:pPr>
      <w:r>
        <w:separator/>
      </w:r>
    </w:p>
  </w:endnote>
  <w:endnote w:type="continuationSeparator" w:id="0">
    <w:p w14:paraId="5B08ED4F" w14:textId="77777777" w:rsidR="00F60A53" w:rsidRDefault="00F60A53" w:rsidP="00760F29">
      <w:pPr>
        <w:spacing w:line="240" w:lineRule="auto"/>
      </w:pPr>
      <w:r>
        <w:continuationSeparator/>
      </w:r>
    </w:p>
  </w:endnote>
  <w:endnote w:type="continuationNotice" w:id="1">
    <w:p w14:paraId="03F1E541" w14:textId="77777777" w:rsidR="00F60A53" w:rsidRDefault="00F60A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77777777" w:rsidR="0076675C" w:rsidRPr="000216CC" w:rsidRDefault="00A31103" w:rsidP="0076675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77777777" w:rsidR="0076675C" w:rsidRPr="000216CC" w:rsidRDefault="00A31103" w:rsidP="0076675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10C5935" w:rsidR="0076675C" w:rsidRPr="00952862" w:rsidRDefault="0076675C">
    <w:pPr>
      <w:pStyle w:val="Footer"/>
      <w:rPr>
        <w:b/>
        <w:bCs/>
      </w:rPr>
    </w:pPr>
  </w:p>
  <w:p w14:paraId="2D4C9FAC" w14:textId="77777777" w:rsidR="0076675C" w:rsidRDefault="0076675C" w:rsidP="0076675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A586F" w14:textId="77777777" w:rsidR="00F60A53" w:rsidRDefault="00F60A53" w:rsidP="00760F29">
      <w:pPr>
        <w:spacing w:line="240" w:lineRule="auto"/>
      </w:pPr>
      <w:r>
        <w:separator/>
      </w:r>
    </w:p>
  </w:footnote>
  <w:footnote w:type="continuationSeparator" w:id="0">
    <w:p w14:paraId="0516CBCC" w14:textId="77777777" w:rsidR="00F60A53" w:rsidRDefault="00F60A53" w:rsidP="00760F29">
      <w:pPr>
        <w:spacing w:line="240" w:lineRule="auto"/>
      </w:pPr>
      <w:r>
        <w:continuationSeparator/>
      </w:r>
    </w:p>
  </w:footnote>
  <w:footnote w:type="continuationNotice" w:id="1">
    <w:p w14:paraId="2DEEFF64" w14:textId="77777777" w:rsidR="00F60A53" w:rsidRDefault="00F60A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32B8E552" w:rsidR="0076675C" w:rsidRPr="001E5919" w:rsidRDefault="00A31103" w:rsidP="0076675C">
    <w:pPr>
      <w:pStyle w:val="Header"/>
      <w:rPr>
        <w:lang w:val="fr-FR"/>
      </w:rPr>
    </w:pPr>
    <w:r>
      <w:rPr>
        <w:lang w:val="fr-FR"/>
      </w:rPr>
      <w:t>UN/SCEGHS/</w:t>
    </w:r>
    <w:r w:rsidR="00193A30">
      <w:rPr>
        <w:lang w:val="fr-FR"/>
      </w:rPr>
      <w:t>4</w:t>
    </w:r>
    <w:r w:rsidR="000F27ED">
      <w:rPr>
        <w:lang w:val="fr-FR"/>
      </w:rPr>
      <w:t>2</w:t>
    </w:r>
    <w:r>
      <w:rPr>
        <w:lang w:val="fr-FR"/>
      </w:rPr>
      <w:t>/INF.</w:t>
    </w:r>
    <w:r w:rsidR="000F27ED">
      <w:rPr>
        <w:lang w:val="fr-F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4D9F0262" w:rsidR="0076675C" w:rsidRPr="001E5919" w:rsidRDefault="00A31103" w:rsidP="0076675C">
    <w:pPr>
      <w:pStyle w:val="Header"/>
      <w:jc w:val="right"/>
      <w:rPr>
        <w:lang w:val="fr-FR"/>
      </w:rPr>
    </w:pPr>
    <w:r>
      <w:rPr>
        <w:lang w:val="fr-FR"/>
      </w:rPr>
      <w:t>UN/SCEGHS/4</w:t>
    </w:r>
    <w:r w:rsidR="000F27ED">
      <w:rPr>
        <w:lang w:val="fr-FR"/>
      </w:rPr>
      <w:t>2/INF.3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30154839" w:rsidR="0076675C" w:rsidRPr="00C969C0" w:rsidRDefault="0076675C"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F26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52D4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7ED4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1291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4C88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A2F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22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EA0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283A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010671"/>
    <w:multiLevelType w:val="hybridMultilevel"/>
    <w:tmpl w:val="81F6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E55662"/>
    <w:multiLevelType w:val="hybridMultilevel"/>
    <w:tmpl w:val="6EFC11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9"/>
  </w:num>
  <w:num w:numId="2">
    <w:abstractNumId w:val="23"/>
  </w:num>
  <w:num w:numId="3">
    <w:abstractNumId w:val="10"/>
  </w:num>
  <w:num w:numId="4">
    <w:abstractNumId w:val="21"/>
  </w:num>
  <w:num w:numId="5">
    <w:abstractNumId w:val="17"/>
  </w:num>
  <w:num w:numId="6">
    <w:abstractNumId w:val="16"/>
  </w:num>
  <w:num w:numId="7">
    <w:abstractNumId w:val="12"/>
  </w:num>
  <w:num w:numId="8">
    <w:abstractNumId w:val="20"/>
  </w:num>
  <w:num w:numId="9">
    <w:abstractNumId w:val="15"/>
  </w:num>
  <w:num w:numId="10">
    <w:abstractNumId w:val="19"/>
  </w:num>
  <w:num w:numId="11">
    <w:abstractNumId w:val="19"/>
  </w:num>
  <w:num w:numId="12">
    <w:abstractNumId w:val="19"/>
  </w:num>
  <w:num w:numId="13">
    <w:abstractNumId w:val="19"/>
  </w:num>
  <w:num w:numId="14">
    <w:abstractNumId w:val="14"/>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299A"/>
    <w:rsid w:val="000061D1"/>
    <w:rsid w:val="00010BDD"/>
    <w:rsid w:val="00015F9B"/>
    <w:rsid w:val="000214BC"/>
    <w:rsid w:val="000218F8"/>
    <w:rsid w:val="0003079A"/>
    <w:rsid w:val="00040DE3"/>
    <w:rsid w:val="00041403"/>
    <w:rsid w:val="0005653A"/>
    <w:rsid w:val="0006039D"/>
    <w:rsid w:val="0006580F"/>
    <w:rsid w:val="00067399"/>
    <w:rsid w:val="00067AF0"/>
    <w:rsid w:val="00067DD1"/>
    <w:rsid w:val="00086587"/>
    <w:rsid w:val="00092F68"/>
    <w:rsid w:val="0009425C"/>
    <w:rsid w:val="00094BF7"/>
    <w:rsid w:val="00094C7F"/>
    <w:rsid w:val="000A35E5"/>
    <w:rsid w:val="000A6640"/>
    <w:rsid w:val="000B03C5"/>
    <w:rsid w:val="000B2D5C"/>
    <w:rsid w:val="000B6ACF"/>
    <w:rsid w:val="000C55A3"/>
    <w:rsid w:val="000C5F34"/>
    <w:rsid w:val="000C6595"/>
    <w:rsid w:val="000E1E26"/>
    <w:rsid w:val="000F27ED"/>
    <w:rsid w:val="000F29DB"/>
    <w:rsid w:val="00127FC6"/>
    <w:rsid w:val="00136BAB"/>
    <w:rsid w:val="00137021"/>
    <w:rsid w:val="001506E7"/>
    <w:rsid w:val="00162329"/>
    <w:rsid w:val="00163F95"/>
    <w:rsid w:val="00171159"/>
    <w:rsid w:val="001720A7"/>
    <w:rsid w:val="0017322E"/>
    <w:rsid w:val="00184D16"/>
    <w:rsid w:val="001851B2"/>
    <w:rsid w:val="00193A30"/>
    <w:rsid w:val="001B057F"/>
    <w:rsid w:val="001C2B95"/>
    <w:rsid w:val="001C5FE4"/>
    <w:rsid w:val="001E56B5"/>
    <w:rsid w:val="001E750E"/>
    <w:rsid w:val="001E7C2F"/>
    <w:rsid w:val="001F19BA"/>
    <w:rsid w:val="002006B8"/>
    <w:rsid w:val="00202043"/>
    <w:rsid w:val="002164F8"/>
    <w:rsid w:val="002239B8"/>
    <w:rsid w:val="00223F9F"/>
    <w:rsid w:val="002240C4"/>
    <w:rsid w:val="00224956"/>
    <w:rsid w:val="00225747"/>
    <w:rsid w:val="00226CEA"/>
    <w:rsid w:val="00227C4D"/>
    <w:rsid w:val="00235889"/>
    <w:rsid w:val="00236385"/>
    <w:rsid w:val="0024310D"/>
    <w:rsid w:val="00250194"/>
    <w:rsid w:val="00260117"/>
    <w:rsid w:val="00275729"/>
    <w:rsid w:val="00276B4C"/>
    <w:rsid w:val="002804ED"/>
    <w:rsid w:val="00280ED1"/>
    <w:rsid w:val="0028150B"/>
    <w:rsid w:val="002952DA"/>
    <w:rsid w:val="002A01A8"/>
    <w:rsid w:val="002A15A7"/>
    <w:rsid w:val="002A5B7F"/>
    <w:rsid w:val="002B02C4"/>
    <w:rsid w:val="002B4FB4"/>
    <w:rsid w:val="002B7299"/>
    <w:rsid w:val="002D0D9A"/>
    <w:rsid w:val="002D3FC3"/>
    <w:rsid w:val="002E0292"/>
    <w:rsid w:val="002F0C16"/>
    <w:rsid w:val="002F6B4A"/>
    <w:rsid w:val="002F7C78"/>
    <w:rsid w:val="0030509D"/>
    <w:rsid w:val="0030626F"/>
    <w:rsid w:val="00307BE6"/>
    <w:rsid w:val="00313097"/>
    <w:rsid w:val="0031445F"/>
    <w:rsid w:val="00325F26"/>
    <w:rsid w:val="00330944"/>
    <w:rsid w:val="00332450"/>
    <w:rsid w:val="00333A50"/>
    <w:rsid w:val="00340588"/>
    <w:rsid w:val="00346C0F"/>
    <w:rsid w:val="00350C1C"/>
    <w:rsid w:val="00350C57"/>
    <w:rsid w:val="003561D6"/>
    <w:rsid w:val="00363B88"/>
    <w:rsid w:val="00366194"/>
    <w:rsid w:val="00371089"/>
    <w:rsid w:val="00371B0B"/>
    <w:rsid w:val="00372484"/>
    <w:rsid w:val="00374178"/>
    <w:rsid w:val="00381D29"/>
    <w:rsid w:val="00383739"/>
    <w:rsid w:val="00386A0C"/>
    <w:rsid w:val="003A228D"/>
    <w:rsid w:val="003A2720"/>
    <w:rsid w:val="003A2A96"/>
    <w:rsid w:val="003A3245"/>
    <w:rsid w:val="003A75AC"/>
    <w:rsid w:val="003B2653"/>
    <w:rsid w:val="003B3AEF"/>
    <w:rsid w:val="003C10B9"/>
    <w:rsid w:val="003C425A"/>
    <w:rsid w:val="003C4B75"/>
    <w:rsid w:val="003E36B5"/>
    <w:rsid w:val="003E64B9"/>
    <w:rsid w:val="003E7193"/>
    <w:rsid w:val="00402415"/>
    <w:rsid w:val="0040625C"/>
    <w:rsid w:val="00406A6B"/>
    <w:rsid w:val="004110EF"/>
    <w:rsid w:val="004145B4"/>
    <w:rsid w:val="004152C8"/>
    <w:rsid w:val="00416769"/>
    <w:rsid w:val="00423FB4"/>
    <w:rsid w:val="00426B05"/>
    <w:rsid w:val="00437D1D"/>
    <w:rsid w:val="00440F59"/>
    <w:rsid w:val="00447081"/>
    <w:rsid w:val="004473FB"/>
    <w:rsid w:val="00451105"/>
    <w:rsid w:val="00451858"/>
    <w:rsid w:val="00456059"/>
    <w:rsid w:val="0045752F"/>
    <w:rsid w:val="00462A16"/>
    <w:rsid w:val="004656D2"/>
    <w:rsid w:val="004774AF"/>
    <w:rsid w:val="00480595"/>
    <w:rsid w:val="00490887"/>
    <w:rsid w:val="00493CF5"/>
    <w:rsid w:val="004957C8"/>
    <w:rsid w:val="00496520"/>
    <w:rsid w:val="004A6FA4"/>
    <w:rsid w:val="004B2D21"/>
    <w:rsid w:val="004B5A77"/>
    <w:rsid w:val="004C135A"/>
    <w:rsid w:val="004D3744"/>
    <w:rsid w:val="004E0CC0"/>
    <w:rsid w:val="004E7435"/>
    <w:rsid w:val="00501BA0"/>
    <w:rsid w:val="00507870"/>
    <w:rsid w:val="00507FDD"/>
    <w:rsid w:val="00513EED"/>
    <w:rsid w:val="00514588"/>
    <w:rsid w:val="005210E2"/>
    <w:rsid w:val="00522D72"/>
    <w:rsid w:val="00526749"/>
    <w:rsid w:val="00551892"/>
    <w:rsid w:val="005545DE"/>
    <w:rsid w:val="00561E93"/>
    <w:rsid w:val="005632F6"/>
    <w:rsid w:val="00574027"/>
    <w:rsid w:val="005745C7"/>
    <w:rsid w:val="005746FD"/>
    <w:rsid w:val="00581297"/>
    <w:rsid w:val="005821AC"/>
    <w:rsid w:val="00585251"/>
    <w:rsid w:val="00592369"/>
    <w:rsid w:val="0059523F"/>
    <w:rsid w:val="005A5F59"/>
    <w:rsid w:val="005B56D1"/>
    <w:rsid w:val="005C0B65"/>
    <w:rsid w:val="005E79BB"/>
    <w:rsid w:val="005F22CC"/>
    <w:rsid w:val="005F7AE9"/>
    <w:rsid w:val="00607D03"/>
    <w:rsid w:val="0061276A"/>
    <w:rsid w:val="00613BFE"/>
    <w:rsid w:val="006218BA"/>
    <w:rsid w:val="0062268F"/>
    <w:rsid w:val="006231F8"/>
    <w:rsid w:val="0062617C"/>
    <w:rsid w:val="00630265"/>
    <w:rsid w:val="00633F54"/>
    <w:rsid w:val="0064644C"/>
    <w:rsid w:val="00647141"/>
    <w:rsid w:val="00661DE9"/>
    <w:rsid w:val="00674E0C"/>
    <w:rsid w:val="00686B73"/>
    <w:rsid w:val="006919CF"/>
    <w:rsid w:val="00693AB1"/>
    <w:rsid w:val="00695070"/>
    <w:rsid w:val="00695446"/>
    <w:rsid w:val="00697A8B"/>
    <w:rsid w:val="006A2C7D"/>
    <w:rsid w:val="006A730C"/>
    <w:rsid w:val="006C0ABA"/>
    <w:rsid w:val="006D3E76"/>
    <w:rsid w:val="006D7553"/>
    <w:rsid w:val="006E0172"/>
    <w:rsid w:val="00705D5B"/>
    <w:rsid w:val="00717408"/>
    <w:rsid w:val="0072143B"/>
    <w:rsid w:val="007360BB"/>
    <w:rsid w:val="00744B84"/>
    <w:rsid w:val="0075412F"/>
    <w:rsid w:val="007552E9"/>
    <w:rsid w:val="00760F29"/>
    <w:rsid w:val="00764A83"/>
    <w:rsid w:val="00764BF8"/>
    <w:rsid w:val="0076675C"/>
    <w:rsid w:val="007765BF"/>
    <w:rsid w:val="00783749"/>
    <w:rsid w:val="00787CA8"/>
    <w:rsid w:val="007A5031"/>
    <w:rsid w:val="007B431E"/>
    <w:rsid w:val="007C1E4D"/>
    <w:rsid w:val="007C2967"/>
    <w:rsid w:val="007C61DB"/>
    <w:rsid w:val="007C7EE8"/>
    <w:rsid w:val="007D6912"/>
    <w:rsid w:val="007D7B1D"/>
    <w:rsid w:val="007F1D3F"/>
    <w:rsid w:val="007F6C08"/>
    <w:rsid w:val="00800A23"/>
    <w:rsid w:val="00804C4D"/>
    <w:rsid w:val="00820224"/>
    <w:rsid w:val="00822F3B"/>
    <w:rsid w:val="0082334F"/>
    <w:rsid w:val="00823D62"/>
    <w:rsid w:val="00833F47"/>
    <w:rsid w:val="00840982"/>
    <w:rsid w:val="0085283D"/>
    <w:rsid w:val="00862DAD"/>
    <w:rsid w:val="00880A9D"/>
    <w:rsid w:val="0089773A"/>
    <w:rsid w:val="008A7C6D"/>
    <w:rsid w:val="008B5DD0"/>
    <w:rsid w:val="008C0D90"/>
    <w:rsid w:val="008C3F42"/>
    <w:rsid w:val="008E0BFF"/>
    <w:rsid w:val="008E1749"/>
    <w:rsid w:val="008E3269"/>
    <w:rsid w:val="008F0E55"/>
    <w:rsid w:val="008F2BC5"/>
    <w:rsid w:val="008F6F04"/>
    <w:rsid w:val="00901873"/>
    <w:rsid w:val="00910A8F"/>
    <w:rsid w:val="00930F93"/>
    <w:rsid w:val="00932AAB"/>
    <w:rsid w:val="00933123"/>
    <w:rsid w:val="00935F35"/>
    <w:rsid w:val="0094333C"/>
    <w:rsid w:val="0094551F"/>
    <w:rsid w:val="009461EB"/>
    <w:rsid w:val="00951170"/>
    <w:rsid w:val="00953A95"/>
    <w:rsid w:val="00977DDF"/>
    <w:rsid w:val="009855D0"/>
    <w:rsid w:val="009A048B"/>
    <w:rsid w:val="009B11B2"/>
    <w:rsid w:val="009B490C"/>
    <w:rsid w:val="009B7C35"/>
    <w:rsid w:val="009C2C6E"/>
    <w:rsid w:val="009C6587"/>
    <w:rsid w:val="009C6594"/>
    <w:rsid w:val="009D0A39"/>
    <w:rsid w:val="009D759F"/>
    <w:rsid w:val="009E1F11"/>
    <w:rsid w:val="009E245E"/>
    <w:rsid w:val="009E2F3E"/>
    <w:rsid w:val="009E42E4"/>
    <w:rsid w:val="009F0E39"/>
    <w:rsid w:val="00A032F5"/>
    <w:rsid w:val="00A0469A"/>
    <w:rsid w:val="00A0760F"/>
    <w:rsid w:val="00A134F7"/>
    <w:rsid w:val="00A20A07"/>
    <w:rsid w:val="00A25245"/>
    <w:rsid w:val="00A31103"/>
    <w:rsid w:val="00A3176A"/>
    <w:rsid w:val="00A45838"/>
    <w:rsid w:val="00A55BFD"/>
    <w:rsid w:val="00A569B6"/>
    <w:rsid w:val="00A57074"/>
    <w:rsid w:val="00A57ACB"/>
    <w:rsid w:val="00A72105"/>
    <w:rsid w:val="00A75990"/>
    <w:rsid w:val="00A812D4"/>
    <w:rsid w:val="00A83A4A"/>
    <w:rsid w:val="00A84500"/>
    <w:rsid w:val="00A85FC4"/>
    <w:rsid w:val="00A91B52"/>
    <w:rsid w:val="00A951DB"/>
    <w:rsid w:val="00AA3D2B"/>
    <w:rsid w:val="00AA65E3"/>
    <w:rsid w:val="00AB03B2"/>
    <w:rsid w:val="00AC2A15"/>
    <w:rsid w:val="00AC54EC"/>
    <w:rsid w:val="00AC5882"/>
    <w:rsid w:val="00AC7597"/>
    <w:rsid w:val="00AD6C46"/>
    <w:rsid w:val="00AE0560"/>
    <w:rsid w:val="00AE1992"/>
    <w:rsid w:val="00AE35F2"/>
    <w:rsid w:val="00AF56C8"/>
    <w:rsid w:val="00AF779F"/>
    <w:rsid w:val="00B12B8A"/>
    <w:rsid w:val="00B17783"/>
    <w:rsid w:val="00B208F6"/>
    <w:rsid w:val="00B21C0B"/>
    <w:rsid w:val="00B2646C"/>
    <w:rsid w:val="00B5164B"/>
    <w:rsid w:val="00B54183"/>
    <w:rsid w:val="00B552D1"/>
    <w:rsid w:val="00B5674A"/>
    <w:rsid w:val="00B56E76"/>
    <w:rsid w:val="00B64854"/>
    <w:rsid w:val="00B746E6"/>
    <w:rsid w:val="00B77E3D"/>
    <w:rsid w:val="00B80CE0"/>
    <w:rsid w:val="00B85035"/>
    <w:rsid w:val="00B8545A"/>
    <w:rsid w:val="00B85B89"/>
    <w:rsid w:val="00B9564D"/>
    <w:rsid w:val="00B97B41"/>
    <w:rsid w:val="00BA2AD5"/>
    <w:rsid w:val="00BB4D43"/>
    <w:rsid w:val="00BB535D"/>
    <w:rsid w:val="00BB74A5"/>
    <w:rsid w:val="00BC0E29"/>
    <w:rsid w:val="00BE52D6"/>
    <w:rsid w:val="00BF0E50"/>
    <w:rsid w:val="00BF37A2"/>
    <w:rsid w:val="00C030C7"/>
    <w:rsid w:val="00C04B58"/>
    <w:rsid w:val="00C06C5D"/>
    <w:rsid w:val="00C11183"/>
    <w:rsid w:val="00C130FB"/>
    <w:rsid w:val="00C13576"/>
    <w:rsid w:val="00C13F89"/>
    <w:rsid w:val="00C15551"/>
    <w:rsid w:val="00C34EDB"/>
    <w:rsid w:val="00C36081"/>
    <w:rsid w:val="00C37C01"/>
    <w:rsid w:val="00C5116F"/>
    <w:rsid w:val="00C5390E"/>
    <w:rsid w:val="00C53F24"/>
    <w:rsid w:val="00C55D07"/>
    <w:rsid w:val="00C55F0A"/>
    <w:rsid w:val="00C60AE5"/>
    <w:rsid w:val="00C64CCA"/>
    <w:rsid w:val="00C65283"/>
    <w:rsid w:val="00C70A06"/>
    <w:rsid w:val="00C70B7C"/>
    <w:rsid w:val="00C84332"/>
    <w:rsid w:val="00C846BC"/>
    <w:rsid w:val="00C90E4D"/>
    <w:rsid w:val="00C940BF"/>
    <w:rsid w:val="00C969C0"/>
    <w:rsid w:val="00CA28D8"/>
    <w:rsid w:val="00CA5128"/>
    <w:rsid w:val="00CA7831"/>
    <w:rsid w:val="00CB6635"/>
    <w:rsid w:val="00CD0A0B"/>
    <w:rsid w:val="00CE031D"/>
    <w:rsid w:val="00CE5143"/>
    <w:rsid w:val="00CE5440"/>
    <w:rsid w:val="00CE6284"/>
    <w:rsid w:val="00CF5E7D"/>
    <w:rsid w:val="00CF6737"/>
    <w:rsid w:val="00D44C15"/>
    <w:rsid w:val="00D60175"/>
    <w:rsid w:val="00D60488"/>
    <w:rsid w:val="00D63D2E"/>
    <w:rsid w:val="00D660CB"/>
    <w:rsid w:val="00D670CE"/>
    <w:rsid w:val="00D718E5"/>
    <w:rsid w:val="00D767FB"/>
    <w:rsid w:val="00D841B8"/>
    <w:rsid w:val="00D918AD"/>
    <w:rsid w:val="00D9351F"/>
    <w:rsid w:val="00DA2E58"/>
    <w:rsid w:val="00DA6169"/>
    <w:rsid w:val="00DB521F"/>
    <w:rsid w:val="00DC372E"/>
    <w:rsid w:val="00DD0021"/>
    <w:rsid w:val="00DD396E"/>
    <w:rsid w:val="00DE37D5"/>
    <w:rsid w:val="00E002DD"/>
    <w:rsid w:val="00E05466"/>
    <w:rsid w:val="00E11ECF"/>
    <w:rsid w:val="00E15AE8"/>
    <w:rsid w:val="00E1727E"/>
    <w:rsid w:val="00E26063"/>
    <w:rsid w:val="00E319C2"/>
    <w:rsid w:val="00E37BDF"/>
    <w:rsid w:val="00E41600"/>
    <w:rsid w:val="00E43205"/>
    <w:rsid w:val="00E449C3"/>
    <w:rsid w:val="00E50EE8"/>
    <w:rsid w:val="00E67F2E"/>
    <w:rsid w:val="00E70C2F"/>
    <w:rsid w:val="00E76A5B"/>
    <w:rsid w:val="00E86FBA"/>
    <w:rsid w:val="00E93287"/>
    <w:rsid w:val="00E97BCE"/>
    <w:rsid w:val="00EA3F81"/>
    <w:rsid w:val="00EA5B52"/>
    <w:rsid w:val="00EB1291"/>
    <w:rsid w:val="00ED69FE"/>
    <w:rsid w:val="00ED752F"/>
    <w:rsid w:val="00EF35EF"/>
    <w:rsid w:val="00F01B28"/>
    <w:rsid w:val="00F01DF9"/>
    <w:rsid w:val="00F02DE0"/>
    <w:rsid w:val="00F035D0"/>
    <w:rsid w:val="00F06765"/>
    <w:rsid w:val="00F22714"/>
    <w:rsid w:val="00F2782B"/>
    <w:rsid w:val="00F27F2C"/>
    <w:rsid w:val="00F311DD"/>
    <w:rsid w:val="00F32B41"/>
    <w:rsid w:val="00F414FF"/>
    <w:rsid w:val="00F41B6B"/>
    <w:rsid w:val="00F60A53"/>
    <w:rsid w:val="00F717DC"/>
    <w:rsid w:val="00F84D75"/>
    <w:rsid w:val="00F85DE2"/>
    <w:rsid w:val="00FA0F0E"/>
    <w:rsid w:val="00FA1604"/>
    <w:rsid w:val="00FA63B2"/>
    <w:rsid w:val="00FB0354"/>
    <w:rsid w:val="00FB0F9F"/>
    <w:rsid w:val="00FD4302"/>
    <w:rsid w:val="00FE179E"/>
    <w:rsid w:val="00FF508A"/>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DCCC7"/>
  <w15:docId w15:val="{D311CA43-17F3-4F92-B5EC-3995351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link w:val="ListParagraphChar"/>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 w:type="character" w:customStyle="1" w:styleId="ListParagraphChar">
    <w:name w:val="List Paragraph Char"/>
    <w:basedOn w:val="DefaultParagraphFont"/>
    <w:link w:val="ListParagraph"/>
    <w:uiPriority w:val="34"/>
    <w:locked/>
    <w:rsid w:val="00507870"/>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531697593">
      <w:bodyDiv w:val="1"/>
      <w:marLeft w:val="0"/>
      <w:marRight w:val="0"/>
      <w:marTop w:val="0"/>
      <w:marBottom w:val="0"/>
      <w:divBdr>
        <w:top w:val="none" w:sz="0" w:space="0" w:color="auto"/>
        <w:left w:val="none" w:sz="0" w:space="0" w:color="auto"/>
        <w:bottom w:val="none" w:sz="0" w:space="0" w:color="auto"/>
        <w:right w:val="none" w:sz="0" w:space="0" w:color="auto"/>
      </w:divBdr>
    </w:div>
    <w:div w:id="18354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0C57C-EADC-4D61-AA9B-CFCAED1C711A}">
  <ds:schemaRefs>
    <ds:schemaRef ds:uri="http://schemas.openxmlformats.org/officeDocument/2006/bibliography"/>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D41E92-F2C9-42EA-B322-36B38285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Rosa Garcia Couto</cp:lastModifiedBy>
  <cp:revision>12</cp:revision>
  <cp:lastPrinted>2021-12-01T12:07:00Z</cp:lastPrinted>
  <dcterms:created xsi:type="dcterms:W3CDTF">2022-04-08T11:04:00Z</dcterms:created>
  <dcterms:modified xsi:type="dcterms:W3CDTF">2022-04-19T09:50:00Z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