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16617182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422EADF" w14:textId="77777777" w:rsidR="00132EA9" w:rsidRPr="00DB58B5" w:rsidRDefault="00132EA9" w:rsidP="0052653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A99431B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4B03156" w14:textId="35BEB5AA" w:rsidR="00132EA9" w:rsidRPr="00DB58B5" w:rsidRDefault="0052653E" w:rsidP="0052653E">
            <w:pPr>
              <w:jc w:val="right"/>
            </w:pPr>
            <w:r w:rsidRPr="0052653E">
              <w:rPr>
                <w:sz w:val="40"/>
              </w:rPr>
              <w:t>ST</w:t>
            </w:r>
            <w:r>
              <w:t>/SG/AC.10/C.3/119</w:t>
            </w:r>
          </w:p>
        </w:tc>
      </w:tr>
      <w:tr w:rsidR="00132EA9" w:rsidRPr="00DB58B5" w14:paraId="6B908BCF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34C43B9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1DD61C8" wp14:editId="04FD2D1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CECC3A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DD1FFE5" w14:textId="77777777" w:rsidR="00132EA9" w:rsidRDefault="0052653E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1E7FBE32" w14:textId="77777777" w:rsidR="0052653E" w:rsidRDefault="0052653E" w:rsidP="0052653E">
            <w:pPr>
              <w:spacing w:line="240" w:lineRule="exact"/>
            </w:pPr>
            <w:r>
              <w:t>17 février 2022</w:t>
            </w:r>
          </w:p>
          <w:p w14:paraId="117B95B2" w14:textId="77777777" w:rsidR="0052653E" w:rsidRDefault="0052653E" w:rsidP="0052653E">
            <w:pPr>
              <w:spacing w:line="240" w:lineRule="exact"/>
            </w:pPr>
            <w:r>
              <w:t>Français</w:t>
            </w:r>
          </w:p>
          <w:p w14:paraId="0B7D9382" w14:textId="77DF87C3" w:rsidR="0052653E" w:rsidRPr="00DB58B5" w:rsidRDefault="0052653E" w:rsidP="0052653E">
            <w:pPr>
              <w:spacing w:line="240" w:lineRule="exact"/>
            </w:pPr>
            <w:r>
              <w:t>Original</w:t>
            </w:r>
            <w:r w:rsidR="00726508">
              <w:t> :</w:t>
            </w:r>
            <w:r>
              <w:t xml:space="preserve"> anglais</w:t>
            </w:r>
          </w:p>
        </w:tc>
      </w:tr>
    </w:tbl>
    <w:p w14:paraId="1588AE3C" w14:textId="77777777" w:rsidR="00EA50C4" w:rsidRPr="00CA0680" w:rsidRDefault="00EA50C4" w:rsidP="00EA50C4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3790F8F5" w14:textId="77777777" w:rsidR="00EA50C4" w:rsidRPr="00CA0680" w:rsidRDefault="00EA50C4" w:rsidP="00EA50C4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4FAB9B94" w14:textId="77777777" w:rsidR="00EA50C4" w:rsidRPr="00CE12D7" w:rsidRDefault="00EA50C4" w:rsidP="00EA50C4">
      <w:pPr>
        <w:spacing w:before="120"/>
        <w:rPr>
          <w:b/>
        </w:rPr>
      </w:pPr>
      <w:r>
        <w:rPr>
          <w:b/>
          <w:bCs/>
          <w:lang w:val="fr-FR"/>
        </w:rPr>
        <w:t>Soixantième session</w:t>
      </w:r>
    </w:p>
    <w:p w14:paraId="057C6F09" w14:textId="77777777" w:rsidR="00EA50C4" w:rsidRDefault="00EA50C4" w:rsidP="00EA50C4">
      <w:pPr>
        <w:rPr>
          <w:lang w:val="fr-FR"/>
        </w:rPr>
      </w:pPr>
      <w:r>
        <w:rPr>
          <w:lang w:val="fr-FR"/>
        </w:rPr>
        <w:t>Genève, 27 juin-6 juillet 2022</w:t>
      </w:r>
    </w:p>
    <w:p w14:paraId="11BC5FD3" w14:textId="04161887" w:rsidR="00EA50C4" w:rsidRPr="00CE12D7" w:rsidRDefault="00EA50C4" w:rsidP="00EA50C4">
      <w:r>
        <w:rPr>
          <w:lang w:val="fr-FR"/>
        </w:rPr>
        <w:t>Point</w:t>
      </w:r>
      <w:r w:rsidR="00E50945">
        <w:rPr>
          <w:lang w:val="fr-FR"/>
        </w:rPr>
        <w:t xml:space="preserve"> </w:t>
      </w:r>
      <w:r>
        <w:rPr>
          <w:lang w:val="fr-FR"/>
        </w:rPr>
        <w:t>1 de l’ordre du jour provisoire</w:t>
      </w:r>
    </w:p>
    <w:p w14:paraId="02B4D3EF" w14:textId="77777777" w:rsidR="00EA50C4" w:rsidRDefault="00EA50C4" w:rsidP="00EA50C4">
      <w:r>
        <w:rPr>
          <w:b/>
          <w:bCs/>
          <w:lang w:val="fr-FR"/>
        </w:rPr>
        <w:t>Adoption de l’ordre du jour</w:t>
      </w:r>
    </w:p>
    <w:p w14:paraId="6E3326BA" w14:textId="62A88554" w:rsidR="00EA50C4" w:rsidRPr="00E442BA" w:rsidRDefault="00EA50C4" w:rsidP="00E50945">
      <w:pPr>
        <w:pStyle w:val="HChG"/>
        <w:rPr>
          <w:sz w:val="20"/>
        </w:rPr>
      </w:pPr>
      <w:r>
        <w:rPr>
          <w:lang w:val="fr-FR"/>
        </w:rPr>
        <w:tab/>
      </w:r>
      <w:r>
        <w:rPr>
          <w:lang w:val="fr-FR"/>
        </w:rPr>
        <w:tab/>
      </w:r>
      <w:r w:rsidRPr="00E442BA">
        <w:rPr>
          <w:lang w:val="fr-FR"/>
        </w:rPr>
        <w:t xml:space="preserve">Ordre du jour provisoire de la </w:t>
      </w:r>
      <w:r>
        <w:rPr>
          <w:lang w:val="fr-FR"/>
        </w:rPr>
        <w:t>s</w:t>
      </w:r>
      <w:r w:rsidRPr="0040198B">
        <w:rPr>
          <w:lang w:val="fr-FR"/>
        </w:rPr>
        <w:t xml:space="preserve">oixantième </w:t>
      </w:r>
      <w:r w:rsidRPr="00E442BA">
        <w:rPr>
          <w:lang w:val="fr-FR"/>
        </w:rPr>
        <w:t>session</w:t>
      </w:r>
      <w:r w:rsidRPr="00E50945">
        <w:rPr>
          <w:b w:val="0"/>
          <w:bCs/>
          <w:sz w:val="20"/>
          <w:lang w:val="fr-FR"/>
        </w:rPr>
        <w:footnoteReference w:customMarkFollows="1" w:id="2"/>
        <w:t>*</w:t>
      </w:r>
      <w:r w:rsidRPr="00E442BA">
        <w:rPr>
          <w:position w:val="6"/>
          <w:sz w:val="20"/>
          <w:lang w:val="fr-FR"/>
        </w:rPr>
        <w:t xml:space="preserve">, </w:t>
      </w:r>
      <w:r w:rsidRPr="00E50945">
        <w:rPr>
          <w:b w:val="0"/>
          <w:bCs/>
          <w:sz w:val="20"/>
          <w:lang w:val="fr-FR"/>
        </w:rPr>
        <w:footnoteReference w:customMarkFollows="1" w:id="3"/>
        <w:t>**</w:t>
      </w:r>
      <w:r w:rsidRPr="00E442BA">
        <w:rPr>
          <w:position w:val="6"/>
          <w:sz w:val="20"/>
          <w:lang w:val="fr-FR"/>
        </w:rPr>
        <w:t>,</w:t>
      </w:r>
      <w:r w:rsidRPr="00E442BA">
        <w:rPr>
          <w:sz w:val="20"/>
          <w:lang w:val="fr-FR"/>
        </w:rPr>
        <w:t xml:space="preserve"> </w:t>
      </w:r>
      <w:r w:rsidRPr="00E50945">
        <w:rPr>
          <w:b w:val="0"/>
          <w:bCs/>
          <w:sz w:val="20"/>
          <w:lang w:val="fr-FR"/>
        </w:rPr>
        <w:footnoteReference w:customMarkFollows="1" w:id="4"/>
        <w:t>***</w:t>
      </w:r>
    </w:p>
    <w:p w14:paraId="3B61A289" w14:textId="3B0348F8" w:rsidR="00EA50C4" w:rsidRPr="00E442BA" w:rsidRDefault="00EA50C4" w:rsidP="00E50945">
      <w:pPr>
        <w:pStyle w:val="H56G"/>
      </w:pPr>
      <w:r>
        <w:rPr>
          <w:lang w:val="fr-FR"/>
        </w:rPr>
        <w:tab/>
      </w:r>
      <w:r>
        <w:rPr>
          <w:lang w:val="fr-FR"/>
        </w:rPr>
        <w:tab/>
      </w:r>
      <w:r w:rsidR="00E50945">
        <w:rPr>
          <w:lang w:val="fr-FR"/>
        </w:rPr>
        <w:t>Q</w:t>
      </w:r>
      <w:r w:rsidRPr="00E442BA">
        <w:rPr>
          <w:lang w:val="fr-FR"/>
        </w:rPr>
        <w:t>ui s</w:t>
      </w:r>
      <w:r>
        <w:rPr>
          <w:lang w:val="fr-FR"/>
        </w:rPr>
        <w:t>’</w:t>
      </w:r>
      <w:r w:rsidRPr="00E442BA">
        <w:rPr>
          <w:lang w:val="fr-FR"/>
        </w:rPr>
        <w:t>ouvrira au Palais des Nations, à Genève, le lundi 2</w:t>
      </w:r>
      <w:r>
        <w:rPr>
          <w:lang w:val="fr-FR"/>
        </w:rPr>
        <w:t>7 </w:t>
      </w:r>
      <w:r w:rsidRPr="00E442BA">
        <w:rPr>
          <w:lang w:val="fr-FR"/>
        </w:rPr>
        <w:t>juin 202</w:t>
      </w:r>
      <w:r>
        <w:rPr>
          <w:lang w:val="fr-FR"/>
        </w:rPr>
        <w:t>2</w:t>
      </w:r>
      <w:r w:rsidRPr="00E442BA">
        <w:rPr>
          <w:lang w:val="fr-FR"/>
        </w:rPr>
        <w:t>, à 10</w:t>
      </w:r>
      <w:r>
        <w:rPr>
          <w:lang w:val="fr-FR"/>
        </w:rPr>
        <w:t> </w:t>
      </w:r>
      <w:r w:rsidRPr="00E442BA">
        <w:rPr>
          <w:lang w:val="fr-FR"/>
        </w:rPr>
        <w:t>heures</w:t>
      </w:r>
    </w:p>
    <w:p w14:paraId="2BA54101" w14:textId="77777777" w:rsidR="00EA50C4" w:rsidRPr="00E442BA" w:rsidRDefault="00EA50C4" w:rsidP="00726508">
      <w:pPr>
        <w:pStyle w:val="SingleTxtG"/>
        <w:ind w:left="1701" w:hanging="567"/>
        <w:jc w:val="left"/>
      </w:pPr>
      <w:r w:rsidRPr="00E442BA">
        <w:rPr>
          <w:lang w:val="fr-FR"/>
        </w:rPr>
        <w:t>1.</w:t>
      </w:r>
      <w:r w:rsidRPr="00E442BA">
        <w:rPr>
          <w:lang w:val="fr-FR"/>
        </w:rPr>
        <w:tab/>
        <w:t>Adoption de l</w:t>
      </w:r>
      <w:r>
        <w:rPr>
          <w:lang w:val="fr-FR"/>
        </w:rPr>
        <w:t>’</w:t>
      </w:r>
      <w:r w:rsidRPr="00E442BA">
        <w:rPr>
          <w:lang w:val="fr-FR"/>
        </w:rPr>
        <w:t>ordre du jour.</w:t>
      </w:r>
    </w:p>
    <w:p w14:paraId="7DBB9807" w14:textId="1D65DBF8" w:rsidR="00EA50C4" w:rsidRPr="00E442BA" w:rsidRDefault="00EA50C4" w:rsidP="00C32529">
      <w:pPr>
        <w:pStyle w:val="SingleTxtG"/>
        <w:keepNext/>
        <w:ind w:left="1701" w:hanging="567"/>
        <w:jc w:val="left"/>
      </w:pPr>
      <w:r w:rsidRPr="00E442BA">
        <w:rPr>
          <w:lang w:val="fr-FR"/>
        </w:rPr>
        <w:t>2.</w:t>
      </w:r>
      <w:r w:rsidRPr="00E442BA">
        <w:rPr>
          <w:lang w:val="fr-FR"/>
        </w:rPr>
        <w:tab/>
        <w:t>Explosifs et questions connexes</w:t>
      </w:r>
      <w:r w:rsidR="00726508">
        <w:rPr>
          <w:lang w:val="fr-FR"/>
        </w:rPr>
        <w:t> :</w:t>
      </w:r>
    </w:p>
    <w:p w14:paraId="20C44E7D" w14:textId="1E032206" w:rsidR="00EA50C4" w:rsidRPr="00E442BA" w:rsidRDefault="00EA50C4" w:rsidP="00726508">
      <w:pPr>
        <w:pStyle w:val="SingleTxtG"/>
        <w:ind w:left="2268" w:hanging="567"/>
        <w:jc w:val="left"/>
      </w:pPr>
      <w:r w:rsidRPr="00E442BA">
        <w:rPr>
          <w:lang w:val="fr-FR"/>
        </w:rPr>
        <w:t>a)</w:t>
      </w:r>
      <w:r w:rsidRPr="00E442BA">
        <w:rPr>
          <w:lang w:val="fr-FR"/>
        </w:rPr>
        <w:tab/>
        <w:t>Examen des épreuves de la série</w:t>
      </w:r>
      <w:r>
        <w:rPr>
          <w:lang w:val="fr-FR"/>
        </w:rPr>
        <w:t> </w:t>
      </w:r>
      <w:r w:rsidRPr="00E442BA">
        <w:rPr>
          <w:lang w:val="fr-FR"/>
        </w:rPr>
        <w:t>6</w:t>
      </w:r>
      <w:r w:rsidR="00726508">
        <w:rPr>
          <w:lang w:val="fr-FR"/>
        </w:rPr>
        <w:t> ;</w:t>
      </w:r>
    </w:p>
    <w:p w14:paraId="2603D453" w14:textId="353944BA" w:rsidR="00EA50C4" w:rsidRPr="00E442BA" w:rsidRDefault="00EA50C4" w:rsidP="00726508">
      <w:pPr>
        <w:pStyle w:val="SingleTxtG"/>
        <w:ind w:left="2268" w:hanging="567"/>
        <w:jc w:val="left"/>
      </w:pPr>
      <w:r w:rsidRPr="00E442BA">
        <w:rPr>
          <w:lang w:val="fr-FR"/>
        </w:rPr>
        <w:t>b)</w:t>
      </w:r>
      <w:r w:rsidRPr="00E442BA">
        <w:rPr>
          <w:lang w:val="fr-FR"/>
        </w:rPr>
        <w:tab/>
        <w:t>Amélioration des essais de la série</w:t>
      </w:r>
      <w:r>
        <w:rPr>
          <w:lang w:val="fr-FR"/>
        </w:rPr>
        <w:t> </w:t>
      </w:r>
      <w:r w:rsidRPr="00E442BA">
        <w:rPr>
          <w:lang w:val="fr-FR"/>
        </w:rPr>
        <w:t>8</w:t>
      </w:r>
      <w:r w:rsidR="00726508">
        <w:rPr>
          <w:lang w:val="fr-FR"/>
        </w:rPr>
        <w:t> ;</w:t>
      </w:r>
    </w:p>
    <w:p w14:paraId="7BF52F7E" w14:textId="3D121991" w:rsidR="00EA50C4" w:rsidRPr="00E442BA" w:rsidRDefault="00EA50C4" w:rsidP="00726508">
      <w:pPr>
        <w:pStyle w:val="SingleTxtG"/>
        <w:ind w:left="2268" w:hanging="567"/>
        <w:jc w:val="left"/>
      </w:pPr>
      <w:r w:rsidRPr="00E442BA">
        <w:rPr>
          <w:lang w:val="fr-FR"/>
        </w:rPr>
        <w:t>c)</w:t>
      </w:r>
      <w:r w:rsidRPr="00E442BA">
        <w:rPr>
          <w:lang w:val="fr-FR"/>
        </w:rPr>
        <w:tab/>
        <w:t>Révision des épreuves des parties</w:t>
      </w:r>
      <w:r>
        <w:rPr>
          <w:lang w:val="fr-FR"/>
        </w:rPr>
        <w:t> </w:t>
      </w:r>
      <w:r w:rsidRPr="00E442BA">
        <w:rPr>
          <w:lang w:val="fr-FR"/>
        </w:rPr>
        <w:t>I, II et III du Manuel d</w:t>
      </w:r>
      <w:r>
        <w:rPr>
          <w:lang w:val="fr-FR"/>
        </w:rPr>
        <w:t>’</w:t>
      </w:r>
      <w:r w:rsidRPr="00E442BA">
        <w:rPr>
          <w:lang w:val="fr-FR"/>
        </w:rPr>
        <w:t xml:space="preserve">épreuves </w:t>
      </w:r>
      <w:r w:rsidR="00C32529">
        <w:rPr>
          <w:lang w:val="fr-FR"/>
        </w:rPr>
        <w:br/>
      </w:r>
      <w:r w:rsidRPr="00E442BA">
        <w:rPr>
          <w:lang w:val="fr-FR"/>
        </w:rPr>
        <w:t>et de critères</w:t>
      </w:r>
      <w:r w:rsidR="00726508">
        <w:rPr>
          <w:lang w:val="fr-FR"/>
        </w:rPr>
        <w:t> ;</w:t>
      </w:r>
    </w:p>
    <w:p w14:paraId="082BEF96" w14:textId="4311DCE2" w:rsidR="00EA50C4" w:rsidRPr="00E442BA" w:rsidRDefault="00EA50C4" w:rsidP="00726508">
      <w:pPr>
        <w:pStyle w:val="SingleTxtG"/>
        <w:ind w:left="2268" w:hanging="567"/>
        <w:jc w:val="left"/>
      </w:pPr>
      <w:r w:rsidRPr="00E442BA">
        <w:rPr>
          <w:lang w:val="fr-FR"/>
        </w:rPr>
        <w:t>d)</w:t>
      </w:r>
      <w:r w:rsidRPr="00E442BA">
        <w:rPr>
          <w:lang w:val="fr-FR"/>
        </w:rPr>
        <w:tab/>
        <w:t>Détonateurs normalisés «</w:t>
      </w:r>
      <w:r>
        <w:rPr>
          <w:lang w:val="fr-FR"/>
        </w:rPr>
        <w:t> </w:t>
      </w:r>
      <w:r w:rsidRPr="00E442BA">
        <w:rPr>
          <w:lang w:val="fr-FR"/>
        </w:rPr>
        <w:t>UN</w:t>
      </w:r>
      <w:r>
        <w:rPr>
          <w:lang w:val="fr-FR"/>
        </w:rPr>
        <w:t> </w:t>
      </w:r>
      <w:r w:rsidRPr="00E442BA">
        <w:rPr>
          <w:lang w:val="fr-FR"/>
        </w:rPr>
        <w:t>»</w:t>
      </w:r>
      <w:r w:rsidR="00726508">
        <w:rPr>
          <w:lang w:val="fr-FR"/>
        </w:rPr>
        <w:t> ;</w:t>
      </w:r>
      <w:r w:rsidRPr="00E442BA">
        <w:rPr>
          <w:lang w:val="fr-FR"/>
        </w:rPr>
        <w:t xml:space="preserve"> </w:t>
      </w:r>
    </w:p>
    <w:p w14:paraId="1892F5E2" w14:textId="6424847C" w:rsidR="00EA50C4" w:rsidRPr="00E442BA" w:rsidRDefault="00EA50C4" w:rsidP="00726508">
      <w:pPr>
        <w:pStyle w:val="SingleTxtG"/>
        <w:ind w:left="2268" w:hanging="567"/>
        <w:jc w:val="left"/>
      </w:pPr>
      <w:r w:rsidRPr="00E442BA">
        <w:rPr>
          <w:lang w:val="fr-FR"/>
        </w:rPr>
        <w:t>e)</w:t>
      </w:r>
      <w:r w:rsidRPr="00E442BA">
        <w:rPr>
          <w:lang w:val="fr-FR"/>
        </w:rPr>
        <w:tab/>
        <w:t>Révision des instructions d</w:t>
      </w:r>
      <w:r>
        <w:rPr>
          <w:lang w:val="fr-FR"/>
        </w:rPr>
        <w:t>’</w:t>
      </w:r>
      <w:r w:rsidRPr="00E442BA">
        <w:rPr>
          <w:lang w:val="fr-FR"/>
        </w:rPr>
        <w:t>emballage relatives aux explosifs</w:t>
      </w:r>
      <w:r w:rsidR="00726508">
        <w:rPr>
          <w:lang w:val="fr-FR"/>
        </w:rPr>
        <w:t> ;</w:t>
      </w:r>
      <w:r w:rsidRPr="00E442BA">
        <w:rPr>
          <w:lang w:val="fr-FR"/>
        </w:rPr>
        <w:t xml:space="preserve"> </w:t>
      </w:r>
    </w:p>
    <w:p w14:paraId="58EF8EE8" w14:textId="32C567DC" w:rsidR="00EA50C4" w:rsidRPr="00E442BA" w:rsidRDefault="00EA50C4" w:rsidP="00726508">
      <w:pPr>
        <w:pStyle w:val="SingleTxtG"/>
        <w:ind w:left="2268" w:hanging="567"/>
        <w:jc w:val="left"/>
      </w:pPr>
      <w:r w:rsidRPr="00E442BA">
        <w:rPr>
          <w:lang w:val="fr-FR"/>
        </w:rPr>
        <w:t>f)</w:t>
      </w:r>
      <w:r w:rsidRPr="00E442BA">
        <w:rPr>
          <w:lang w:val="fr-FR"/>
        </w:rPr>
        <w:tab/>
      </w:r>
      <w:r w:rsidRPr="0040198B">
        <w:rPr>
          <w:lang w:val="fr-FR"/>
        </w:rPr>
        <w:t>Échantillons énergétiques</w:t>
      </w:r>
      <w:r w:rsidR="00726508">
        <w:rPr>
          <w:lang w:val="fr-FR"/>
        </w:rPr>
        <w:t> ;</w:t>
      </w:r>
    </w:p>
    <w:p w14:paraId="794A2FC5" w14:textId="3B848F03" w:rsidR="00EA50C4" w:rsidRPr="00E442BA" w:rsidRDefault="00EA50C4" w:rsidP="00726508">
      <w:pPr>
        <w:pStyle w:val="SingleTxtG"/>
        <w:ind w:left="2268" w:hanging="567"/>
        <w:jc w:val="left"/>
      </w:pPr>
      <w:r>
        <w:rPr>
          <w:lang w:val="fr-FR"/>
        </w:rPr>
        <w:t>g</w:t>
      </w:r>
      <w:r w:rsidRPr="00E442BA">
        <w:rPr>
          <w:lang w:val="fr-FR"/>
        </w:rPr>
        <w:t>)</w:t>
      </w:r>
      <w:r w:rsidRPr="00E442BA">
        <w:rPr>
          <w:lang w:val="fr-FR"/>
        </w:rPr>
        <w:tab/>
        <w:t>Questions liées à la définition des explosifs</w:t>
      </w:r>
      <w:r w:rsidR="00726508">
        <w:rPr>
          <w:lang w:val="fr-FR"/>
        </w:rPr>
        <w:t> ;</w:t>
      </w:r>
      <w:r w:rsidRPr="00E442BA">
        <w:rPr>
          <w:lang w:val="fr-FR"/>
        </w:rPr>
        <w:t xml:space="preserve"> </w:t>
      </w:r>
    </w:p>
    <w:p w14:paraId="2E17A270" w14:textId="308FEF2C" w:rsidR="00EA50C4" w:rsidRPr="00E442BA" w:rsidRDefault="00EA50C4" w:rsidP="00726508">
      <w:pPr>
        <w:pStyle w:val="SingleTxtG"/>
        <w:ind w:left="2268" w:hanging="567"/>
        <w:jc w:val="left"/>
      </w:pPr>
      <w:r>
        <w:rPr>
          <w:lang w:val="fr-FR"/>
        </w:rPr>
        <w:t>h</w:t>
      </w:r>
      <w:r w:rsidRPr="00E442BA">
        <w:rPr>
          <w:lang w:val="fr-FR"/>
        </w:rPr>
        <w:t>)</w:t>
      </w:r>
      <w:r w:rsidRPr="00E442BA">
        <w:rPr>
          <w:lang w:val="fr-FR"/>
        </w:rPr>
        <w:tab/>
        <w:t>Examen des prescriptions en matière d</w:t>
      </w:r>
      <w:r>
        <w:rPr>
          <w:lang w:val="fr-FR"/>
        </w:rPr>
        <w:t>’</w:t>
      </w:r>
      <w:r w:rsidRPr="00E442BA">
        <w:rPr>
          <w:lang w:val="fr-FR"/>
        </w:rPr>
        <w:t>emballage et de transport des émulsions de nitrate d</w:t>
      </w:r>
      <w:r>
        <w:rPr>
          <w:lang w:val="fr-FR"/>
        </w:rPr>
        <w:t>’</w:t>
      </w:r>
      <w:r w:rsidRPr="00E442BA">
        <w:rPr>
          <w:lang w:val="fr-FR"/>
        </w:rPr>
        <w:t>ammonium</w:t>
      </w:r>
      <w:r w:rsidR="00726508">
        <w:rPr>
          <w:lang w:val="fr-FR"/>
        </w:rPr>
        <w:t> ;</w:t>
      </w:r>
    </w:p>
    <w:p w14:paraId="5BBF5E8E" w14:textId="77777777" w:rsidR="00EA50C4" w:rsidRPr="00E442BA" w:rsidRDefault="00EA50C4" w:rsidP="00726508">
      <w:pPr>
        <w:pStyle w:val="SingleTxtG"/>
        <w:ind w:left="2268" w:hanging="567"/>
        <w:jc w:val="left"/>
      </w:pPr>
      <w:r>
        <w:rPr>
          <w:lang w:val="fr-FR"/>
        </w:rPr>
        <w:t>i</w:t>
      </w:r>
      <w:r w:rsidRPr="00E442BA">
        <w:rPr>
          <w:lang w:val="fr-FR"/>
        </w:rPr>
        <w:t>)</w:t>
      </w:r>
      <w:r w:rsidRPr="00E442BA">
        <w:rPr>
          <w:lang w:val="fr-FR"/>
        </w:rPr>
        <w:tab/>
        <w:t>Autres questions.</w:t>
      </w:r>
    </w:p>
    <w:p w14:paraId="579B4C72" w14:textId="77777777" w:rsidR="00EA50C4" w:rsidRPr="00E442BA" w:rsidRDefault="00EA50C4" w:rsidP="00C32529">
      <w:pPr>
        <w:pStyle w:val="SingleTxtG"/>
        <w:keepNext/>
        <w:ind w:left="1701" w:hanging="567"/>
        <w:jc w:val="left"/>
      </w:pPr>
      <w:r w:rsidRPr="00E442BA">
        <w:rPr>
          <w:lang w:val="fr-FR"/>
        </w:rPr>
        <w:lastRenderedPageBreak/>
        <w:t>3.</w:t>
      </w:r>
      <w:r w:rsidRPr="00E442BA">
        <w:rPr>
          <w:lang w:val="fr-FR"/>
        </w:rPr>
        <w:tab/>
        <w:t>Inscription, classement et emballage.</w:t>
      </w:r>
    </w:p>
    <w:p w14:paraId="7BD0899A" w14:textId="1014CA72" w:rsidR="00EA50C4" w:rsidRPr="00E442BA" w:rsidRDefault="00EA50C4" w:rsidP="00A63715">
      <w:pPr>
        <w:pStyle w:val="SingleTxtG"/>
        <w:keepNext/>
        <w:ind w:left="1701" w:hanging="567"/>
        <w:jc w:val="left"/>
      </w:pPr>
      <w:r w:rsidRPr="00E442BA">
        <w:rPr>
          <w:lang w:val="fr-FR"/>
        </w:rPr>
        <w:t>4.</w:t>
      </w:r>
      <w:r w:rsidRPr="00E442BA">
        <w:rPr>
          <w:lang w:val="fr-FR"/>
        </w:rPr>
        <w:tab/>
        <w:t>Systèmes de stockage de l</w:t>
      </w:r>
      <w:r>
        <w:rPr>
          <w:lang w:val="fr-FR"/>
        </w:rPr>
        <w:t>’</w:t>
      </w:r>
      <w:r w:rsidRPr="00E442BA">
        <w:rPr>
          <w:lang w:val="fr-FR"/>
        </w:rPr>
        <w:t>électricité</w:t>
      </w:r>
      <w:r w:rsidR="00726508">
        <w:rPr>
          <w:lang w:val="fr-FR"/>
        </w:rPr>
        <w:t> :</w:t>
      </w:r>
    </w:p>
    <w:p w14:paraId="0A3BD122" w14:textId="057E921C" w:rsidR="00EA50C4" w:rsidRPr="00E442BA" w:rsidRDefault="00EA50C4" w:rsidP="00726508">
      <w:pPr>
        <w:pStyle w:val="SingleTxtG"/>
        <w:ind w:left="2268" w:hanging="567"/>
        <w:jc w:val="left"/>
      </w:pPr>
      <w:r w:rsidRPr="00E442BA">
        <w:rPr>
          <w:lang w:val="fr-FR"/>
        </w:rPr>
        <w:t>a)</w:t>
      </w:r>
      <w:r w:rsidRPr="00E442BA">
        <w:rPr>
          <w:lang w:val="fr-FR"/>
        </w:rPr>
        <w:tab/>
        <w:t>Épreuves pour les batteries au lithium</w:t>
      </w:r>
      <w:r w:rsidR="00726508">
        <w:rPr>
          <w:lang w:val="fr-FR"/>
        </w:rPr>
        <w:t> ;</w:t>
      </w:r>
    </w:p>
    <w:p w14:paraId="33D2C651" w14:textId="228883F2" w:rsidR="00EA50C4" w:rsidRPr="00E442BA" w:rsidRDefault="00EA50C4" w:rsidP="00726508">
      <w:pPr>
        <w:pStyle w:val="SingleTxtG"/>
        <w:ind w:left="2268" w:hanging="567"/>
        <w:jc w:val="left"/>
      </w:pPr>
      <w:r w:rsidRPr="00E442BA">
        <w:t>b)</w:t>
      </w:r>
      <w:r w:rsidRPr="00E442BA">
        <w:tab/>
        <w:t>Système de classification des batteries au lithium en fonction du danger</w:t>
      </w:r>
      <w:r w:rsidR="00726508">
        <w:t> ;</w:t>
      </w:r>
    </w:p>
    <w:p w14:paraId="380ED769" w14:textId="64331B76" w:rsidR="00EA50C4" w:rsidRPr="00E442BA" w:rsidRDefault="00EA50C4" w:rsidP="00726508">
      <w:pPr>
        <w:pStyle w:val="SingleTxtG"/>
        <w:ind w:left="2268" w:hanging="567"/>
        <w:jc w:val="left"/>
      </w:pPr>
      <w:r w:rsidRPr="00E442BA">
        <w:t>c)</w:t>
      </w:r>
      <w:r w:rsidRPr="00E442BA">
        <w:tab/>
        <w:t>Dispositions relatives au transport</w:t>
      </w:r>
      <w:r w:rsidR="00726508">
        <w:t> ;</w:t>
      </w:r>
    </w:p>
    <w:p w14:paraId="2C6AA3A6" w14:textId="0EA8D0F0" w:rsidR="00EA50C4" w:rsidRPr="00E442BA" w:rsidRDefault="00EA50C4" w:rsidP="00726508">
      <w:pPr>
        <w:pStyle w:val="SingleTxtG"/>
        <w:ind w:left="2268" w:hanging="567"/>
        <w:jc w:val="left"/>
      </w:pPr>
      <w:r w:rsidRPr="00E442BA">
        <w:t>d)</w:t>
      </w:r>
      <w:r w:rsidRPr="00E442BA">
        <w:tab/>
        <w:t>Batteries au lithium endommagées ou défectueuses</w:t>
      </w:r>
      <w:r w:rsidR="00726508">
        <w:t> ;</w:t>
      </w:r>
    </w:p>
    <w:p w14:paraId="1214DC3E" w14:textId="0C787769" w:rsidR="00EA50C4" w:rsidRPr="00E442BA" w:rsidRDefault="00EA50C4" w:rsidP="00726508">
      <w:pPr>
        <w:pStyle w:val="SingleTxtG"/>
        <w:ind w:left="2268" w:hanging="567"/>
        <w:jc w:val="left"/>
      </w:pPr>
      <w:r w:rsidRPr="00E442BA">
        <w:t>e)</w:t>
      </w:r>
      <w:r w:rsidRPr="00E442BA">
        <w:tab/>
        <w:t>Batteries au sodium ionique</w:t>
      </w:r>
      <w:r w:rsidR="00726508">
        <w:t> ;</w:t>
      </w:r>
    </w:p>
    <w:p w14:paraId="4551EE32" w14:textId="77777777" w:rsidR="00EA50C4" w:rsidRPr="00E442BA" w:rsidRDefault="00EA50C4" w:rsidP="00726508">
      <w:pPr>
        <w:pStyle w:val="SingleTxtG"/>
        <w:ind w:left="2268" w:hanging="567"/>
        <w:jc w:val="left"/>
      </w:pPr>
      <w:r w:rsidRPr="00E442BA">
        <w:t>f)</w:t>
      </w:r>
      <w:r w:rsidRPr="00E442BA">
        <w:tab/>
        <w:t>Autres questions.</w:t>
      </w:r>
    </w:p>
    <w:p w14:paraId="732BCC6D" w14:textId="12B1C125" w:rsidR="00EA50C4" w:rsidRPr="00E442BA" w:rsidRDefault="00EA50C4" w:rsidP="00EE7595">
      <w:pPr>
        <w:pStyle w:val="SingleTxtG"/>
        <w:keepNext/>
        <w:ind w:left="1701" w:hanging="567"/>
        <w:jc w:val="left"/>
      </w:pPr>
      <w:r w:rsidRPr="00E442BA">
        <w:rPr>
          <w:lang w:val="fr-FR"/>
        </w:rPr>
        <w:t>5.</w:t>
      </w:r>
      <w:r w:rsidRPr="00E442BA">
        <w:rPr>
          <w:lang w:val="fr-FR"/>
        </w:rPr>
        <w:tab/>
        <w:t>Transport de gaz</w:t>
      </w:r>
      <w:r w:rsidR="00726508">
        <w:rPr>
          <w:lang w:val="fr-FR"/>
        </w:rPr>
        <w:t> :</w:t>
      </w:r>
    </w:p>
    <w:p w14:paraId="724E70C0" w14:textId="32B94C89" w:rsidR="00EA50C4" w:rsidRDefault="00EA50C4" w:rsidP="00726508">
      <w:pPr>
        <w:pStyle w:val="SingleTxtG"/>
        <w:ind w:left="2268" w:hanging="567"/>
        <w:jc w:val="left"/>
        <w:rPr>
          <w:lang w:val="fr-FR"/>
        </w:rPr>
      </w:pPr>
      <w:r w:rsidRPr="00E442BA">
        <w:rPr>
          <w:lang w:val="fr-FR"/>
        </w:rPr>
        <w:t>a)</w:t>
      </w:r>
      <w:r w:rsidRPr="00E442BA">
        <w:rPr>
          <w:lang w:val="fr-FR"/>
        </w:rPr>
        <w:tab/>
        <w:t xml:space="preserve">Reconnaissance universelle des récipients à pression </w:t>
      </w:r>
      <w:r w:rsidRPr="0023401E">
        <w:rPr>
          <w:lang w:val="fr-FR"/>
        </w:rPr>
        <w:t>ONU</w:t>
      </w:r>
      <w:r w:rsidRPr="00E442BA">
        <w:rPr>
          <w:lang w:val="fr-FR"/>
        </w:rPr>
        <w:t xml:space="preserve"> et non ONU</w:t>
      </w:r>
      <w:r w:rsidR="00726508">
        <w:rPr>
          <w:lang w:val="fr-FR"/>
        </w:rPr>
        <w:t> ;</w:t>
      </w:r>
    </w:p>
    <w:p w14:paraId="46485908" w14:textId="3D37F2E2" w:rsidR="00EA50C4" w:rsidRPr="00E442BA" w:rsidRDefault="00EA50C4" w:rsidP="00726508">
      <w:pPr>
        <w:pStyle w:val="SingleTxtG"/>
        <w:ind w:left="2268" w:hanging="567"/>
        <w:jc w:val="left"/>
      </w:pPr>
      <w:r w:rsidRPr="0023401E">
        <w:rPr>
          <w:lang w:val="fr-FR"/>
        </w:rPr>
        <w:t>b)</w:t>
      </w:r>
      <w:r>
        <w:rPr>
          <w:lang w:val="fr-FR"/>
        </w:rPr>
        <w:tab/>
      </w:r>
      <w:r w:rsidRPr="0023401E">
        <w:rPr>
          <w:lang w:val="fr-FR"/>
        </w:rPr>
        <w:t>Gaz de la division 2.2 transportés en quantités limitées</w:t>
      </w:r>
      <w:r w:rsidR="00726508">
        <w:rPr>
          <w:lang w:val="fr-FR"/>
        </w:rPr>
        <w:t> ;</w:t>
      </w:r>
    </w:p>
    <w:p w14:paraId="608C554E" w14:textId="77777777" w:rsidR="00EA50C4" w:rsidRPr="00E442BA" w:rsidRDefault="00EA50C4" w:rsidP="00726508">
      <w:pPr>
        <w:pStyle w:val="SingleTxtG"/>
        <w:ind w:left="2268" w:hanging="567"/>
        <w:jc w:val="left"/>
      </w:pPr>
      <w:r>
        <w:t>c</w:t>
      </w:r>
      <w:r w:rsidRPr="00E442BA">
        <w:t>)</w:t>
      </w:r>
      <w:r w:rsidRPr="00E442BA">
        <w:tab/>
        <w:t>Autres questions.</w:t>
      </w:r>
    </w:p>
    <w:p w14:paraId="02B18388" w14:textId="2D85F161" w:rsidR="00EA50C4" w:rsidRPr="00E442BA" w:rsidRDefault="00EA50C4" w:rsidP="00EE7595">
      <w:pPr>
        <w:pStyle w:val="SingleTxtG"/>
        <w:keepNext/>
        <w:ind w:left="1701" w:hanging="567"/>
        <w:jc w:val="left"/>
      </w:pPr>
      <w:r w:rsidRPr="00E442BA">
        <w:rPr>
          <w:lang w:val="fr-FR"/>
        </w:rPr>
        <w:t>6.</w:t>
      </w:r>
      <w:r w:rsidRPr="00E442BA">
        <w:rPr>
          <w:lang w:val="fr-FR"/>
        </w:rPr>
        <w:tab/>
        <w:t>Propositions diverses d</w:t>
      </w:r>
      <w:r>
        <w:rPr>
          <w:lang w:val="fr-FR"/>
        </w:rPr>
        <w:t>’</w:t>
      </w:r>
      <w:r w:rsidRPr="00E442BA">
        <w:rPr>
          <w:lang w:val="fr-FR"/>
        </w:rPr>
        <w:t xml:space="preserve">amendements au Règlement type pour le transport </w:t>
      </w:r>
      <w:r w:rsidR="00EE7595">
        <w:rPr>
          <w:lang w:val="fr-FR"/>
        </w:rPr>
        <w:br/>
      </w:r>
      <w:r w:rsidRPr="00E442BA">
        <w:rPr>
          <w:lang w:val="fr-FR"/>
        </w:rPr>
        <w:t>des marchandises dangereuses</w:t>
      </w:r>
      <w:r w:rsidR="00726508">
        <w:rPr>
          <w:lang w:val="fr-FR"/>
        </w:rPr>
        <w:t> :</w:t>
      </w:r>
    </w:p>
    <w:p w14:paraId="6F0FA4FC" w14:textId="54440ABE" w:rsidR="00EA50C4" w:rsidRPr="00E442BA" w:rsidRDefault="00EA50C4" w:rsidP="00726508">
      <w:pPr>
        <w:pStyle w:val="SingleTxtG"/>
        <w:ind w:left="2268" w:hanging="567"/>
        <w:jc w:val="left"/>
      </w:pPr>
      <w:r w:rsidRPr="00E442BA">
        <w:rPr>
          <w:lang w:val="fr-FR"/>
        </w:rPr>
        <w:t>a)</w:t>
      </w:r>
      <w:r w:rsidRPr="00E442BA">
        <w:rPr>
          <w:lang w:val="fr-FR"/>
        </w:rPr>
        <w:tab/>
        <w:t>Marquage et étiquetage</w:t>
      </w:r>
      <w:r w:rsidR="00726508">
        <w:rPr>
          <w:lang w:val="fr-FR"/>
        </w:rPr>
        <w:t> ;</w:t>
      </w:r>
    </w:p>
    <w:p w14:paraId="46395AAC" w14:textId="781EBD74" w:rsidR="00EA50C4" w:rsidRPr="00E442BA" w:rsidRDefault="00EA50C4" w:rsidP="00726508">
      <w:pPr>
        <w:pStyle w:val="SingleTxtG"/>
        <w:ind w:left="2268" w:hanging="567"/>
        <w:jc w:val="left"/>
      </w:pPr>
      <w:r w:rsidRPr="00E442BA">
        <w:t>b)</w:t>
      </w:r>
      <w:r w:rsidRPr="00E442BA">
        <w:tab/>
      </w:r>
      <w:r w:rsidRPr="00956234">
        <w:t>Emballages, y compris l</w:t>
      </w:r>
      <w:r>
        <w:t>’</w:t>
      </w:r>
      <w:r w:rsidRPr="00956234">
        <w:t>utilisation des matières plastiques recyclées</w:t>
      </w:r>
      <w:r w:rsidR="00726508">
        <w:t> ;</w:t>
      </w:r>
    </w:p>
    <w:p w14:paraId="21586475" w14:textId="78502F45" w:rsidR="00EA50C4" w:rsidRPr="00E442BA" w:rsidRDefault="00EA50C4" w:rsidP="00726508">
      <w:pPr>
        <w:pStyle w:val="SingleTxtG"/>
        <w:ind w:left="2268" w:hanging="567"/>
        <w:jc w:val="left"/>
      </w:pPr>
      <w:r>
        <w:t>c</w:t>
      </w:r>
      <w:r w:rsidRPr="00E442BA">
        <w:t>)</w:t>
      </w:r>
      <w:r w:rsidRPr="00E442BA">
        <w:tab/>
        <w:t>Citernes mobiles</w:t>
      </w:r>
      <w:r w:rsidR="00726508">
        <w:t> ;</w:t>
      </w:r>
    </w:p>
    <w:p w14:paraId="5712AC87" w14:textId="77777777" w:rsidR="00EA50C4" w:rsidRPr="00E442BA" w:rsidRDefault="00EA50C4" w:rsidP="00726508">
      <w:pPr>
        <w:pStyle w:val="SingleTxtG"/>
        <w:ind w:left="2268" w:hanging="567"/>
        <w:jc w:val="left"/>
      </w:pPr>
      <w:r>
        <w:t>d</w:t>
      </w:r>
      <w:r w:rsidRPr="00E442BA">
        <w:t>)</w:t>
      </w:r>
      <w:r w:rsidRPr="00E442BA">
        <w:tab/>
        <w:t>Autres propositions diverses.</w:t>
      </w:r>
    </w:p>
    <w:p w14:paraId="02719096" w14:textId="77777777" w:rsidR="00EA50C4" w:rsidRPr="00E442BA" w:rsidRDefault="00EA50C4" w:rsidP="00726508">
      <w:pPr>
        <w:pStyle w:val="SingleTxtG"/>
        <w:ind w:left="1701" w:hanging="567"/>
        <w:jc w:val="left"/>
      </w:pPr>
      <w:r w:rsidRPr="00E442BA">
        <w:rPr>
          <w:lang w:val="fr-FR"/>
        </w:rPr>
        <w:t>7.</w:t>
      </w:r>
      <w:r w:rsidRPr="00E442BA">
        <w:rPr>
          <w:lang w:val="fr-FR"/>
        </w:rPr>
        <w:tab/>
        <w:t>Harmonisation générale des Règlements relatifs au transport des marchandises dangereuses avec le Règlement type.</w:t>
      </w:r>
    </w:p>
    <w:p w14:paraId="59C4804A" w14:textId="77777777" w:rsidR="00EA50C4" w:rsidRPr="00E442BA" w:rsidRDefault="00EA50C4" w:rsidP="00726508">
      <w:pPr>
        <w:pStyle w:val="SingleTxtG"/>
        <w:ind w:left="1701" w:hanging="567"/>
        <w:jc w:val="left"/>
      </w:pPr>
      <w:r w:rsidRPr="00E442BA">
        <w:rPr>
          <w:lang w:val="fr-FR"/>
        </w:rPr>
        <w:t>8.</w:t>
      </w:r>
      <w:r w:rsidRPr="00E442BA">
        <w:rPr>
          <w:lang w:val="fr-FR"/>
        </w:rPr>
        <w:tab/>
        <w:t>Coopération avec l</w:t>
      </w:r>
      <w:r>
        <w:rPr>
          <w:lang w:val="fr-FR"/>
        </w:rPr>
        <w:t>’</w:t>
      </w:r>
      <w:r w:rsidRPr="00E442BA">
        <w:rPr>
          <w:lang w:val="fr-FR"/>
        </w:rPr>
        <w:t>Agence internationale de l</w:t>
      </w:r>
      <w:r>
        <w:rPr>
          <w:lang w:val="fr-FR"/>
        </w:rPr>
        <w:t>’</w:t>
      </w:r>
      <w:r w:rsidRPr="00E442BA">
        <w:rPr>
          <w:lang w:val="fr-FR"/>
        </w:rPr>
        <w:t>énergie atomique.</w:t>
      </w:r>
    </w:p>
    <w:p w14:paraId="627A80C2" w14:textId="77777777" w:rsidR="00EA50C4" w:rsidRPr="00E442BA" w:rsidRDefault="00EA50C4" w:rsidP="00726508">
      <w:pPr>
        <w:pStyle w:val="SingleTxtG"/>
        <w:ind w:left="1701" w:hanging="567"/>
        <w:jc w:val="left"/>
      </w:pPr>
      <w:r w:rsidRPr="00E442BA">
        <w:rPr>
          <w:lang w:val="fr-FR"/>
        </w:rPr>
        <w:t>9.</w:t>
      </w:r>
      <w:r w:rsidRPr="00E442BA">
        <w:rPr>
          <w:lang w:val="fr-FR"/>
        </w:rPr>
        <w:tab/>
        <w:t>Principes directeurs du Règlement type.</w:t>
      </w:r>
    </w:p>
    <w:p w14:paraId="10AA7636" w14:textId="515AD6B3" w:rsidR="00EA50C4" w:rsidRPr="00E442BA" w:rsidRDefault="00EA50C4" w:rsidP="00EE7595">
      <w:pPr>
        <w:pStyle w:val="SingleTxtG"/>
        <w:keepNext/>
        <w:ind w:left="1701" w:hanging="567"/>
        <w:jc w:val="left"/>
      </w:pPr>
      <w:r w:rsidRPr="00E442BA">
        <w:rPr>
          <w:lang w:val="fr-FR"/>
        </w:rPr>
        <w:t>10.</w:t>
      </w:r>
      <w:r w:rsidRPr="00E442BA">
        <w:rPr>
          <w:lang w:val="fr-FR"/>
        </w:rPr>
        <w:tab/>
        <w:t>Questions relatives au Système général harmonisé de classification et d</w:t>
      </w:r>
      <w:r>
        <w:rPr>
          <w:lang w:val="fr-FR"/>
        </w:rPr>
        <w:t>’</w:t>
      </w:r>
      <w:r w:rsidRPr="00E442BA">
        <w:rPr>
          <w:lang w:val="fr-FR"/>
        </w:rPr>
        <w:t>étiquetage des produits chimiques (SGH)</w:t>
      </w:r>
      <w:r w:rsidRPr="0070756B">
        <w:rPr>
          <w:rStyle w:val="FootnoteReference"/>
        </w:rPr>
        <w:footnoteReference w:id="5"/>
      </w:r>
      <w:r w:rsidR="00726508">
        <w:rPr>
          <w:lang w:val="fr-FR"/>
        </w:rPr>
        <w:t> :</w:t>
      </w:r>
    </w:p>
    <w:p w14:paraId="7685A006" w14:textId="28283E78" w:rsidR="00EA50C4" w:rsidRPr="00E442BA" w:rsidRDefault="00EA50C4" w:rsidP="00726508">
      <w:pPr>
        <w:pStyle w:val="SingleTxtG"/>
        <w:ind w:left="2268" w:hanging="567"/>
        <w:jc w:val="left"/>
      </w:pPr>
      <w:r>
        <w:t>a</w:t>
      </w:r>
      <w:r w:rsidRPr="00E442BA">
        <w:t>)</w:t>
      </w:r>
      <w:r w:rsidRPr="00E442BA">
        <w:tab/>
        <w:t xml:space="preserve">Épreuves relatives aux </w:t>
      </w:r>
      <w:r w:rsidRPr="00956234">
        <w:t>matières comburantes</w:t>
      </w:r>
      <w:r w:rsidR="00726508">
        <w:t> ;</w:t>
      </w:r>
    </w:p>
    <w:p w14:paraId="7F58FF09" w14:textId="07B529DB" w:rsidR="00EA50C4" w:rsidRPr="00E442BA" w:rsidRDefault="00EA50C4" w:rsidP="00726508">
      <w:pPr>
        <w:pStyle w:val="SingleTxtG"/>
        <w:ind w:left="2268" w:hanging="567"/>
        <w:jc w:val="left"/>
      </w:pPr>
      <w:r>
        <w:t>b</w:t>
      </w:r>
      <w:r w:rsidRPr="00E442BA">
        <w:t>)</w:t>
      </w:r>
      <w:r w:rsidRPr="00E442BA">
        <w:tab/>
        <w:t>Classification simultanée des dangers physiques et ordre de prépondérance des dangers</w:t>
      </w:r>
      <w:r w:rsidR="00726508">
        <w:t> ;</w:t>
      </w:r>
    </w:p>
    <w:p w14:paraId="143CFC06" w14:textId="77777777" w:rsidR="00EA50C4" w:rsidRPr="00E442BA" w:rsidRDefault="00EA50C4" w:rsidP="00726508">
      <w:pPr>
        <w:pStyle w:val="SingleTxtG"/>
        <w:ind w:left="2268" w:hanging="567"/>
        <w:jc w:val="left"/>
      </w:pPr>
      <w:r>
        <w:t>c</w:t>
      </w:r>
      <w:r w:rsidRPr="00E442BA">
        <w:t>)</w:t>
      </w:r>
      <w:r w:rsidRPr="00E442BA">
        <w:tab/>
        <w:t>Autres questions.</w:t>
      </w:r>
    </w:p>
    <w:p w14:paraId="029D407C" w14:textId="77777777" w:rsidR="00EA50C4" w:rsidRPr="00C16069" w:rsidRDefault="00EA50C4" w:rsidP="00726508">
      <w:pPr>
        <w:pStyle w:val="SingleTxtG"/>
        <w:ind w:left="1701" w:hanging="567"/>
        <w:jc w:val="left"/>
      </w:pPr>
      <w:r w:rsidRPr="00C16069">
        <w:t>11.</w:t>
      </w:r>
      <w:r w:rsidRPr="00C16069">
        <w:tab/>
        <w:t>Uniformisation des interprétations du Règlement type.</w:t>
      </w:r>
    </w:p>
    <w:p w14:paraId="65BF8167" w14:textId="77777777" w:rsidR="00EA50C4" w:rsidRPr="00C16069" w:rsidRDefault="00EA50C4" w:rsidP="00726508">
      <w:pPr>
        <w:pStyle w:val="SingleTxtG"/>
        <w:ind w:left="1701" w:hanging="567"/>
        <w:jc w:val="left"/>
      </w:pPr>
      <w:r w:rsidRPr="00C16069">
        <w:t>12.</w:t>
      </w:r>
      <w:r w:rsidRPr="00C16069">
        <w:tab/>
        <w:t>Application du Règlement type.</w:t>
      </w:r>
    </w:p>
    <w:p w14:paraId="7ED43AA3" w14:textId="3265A42E" w:rsidR="00EA50C4" w:rsidRDefault="00EA50C4" w:rsidP="00726508">
      <w:pPr>
        <w:pStyle w:val="SingleTxtG"/>
        <w:ind w:left="1701" w:hanging="567"/>
        <w:jc w:val="left"/>
      </w:pPr>
      <w:r w:rsidRPr="00C16069">
        <w:t>13.</w:t>
      </w:r>
      <w:r w:rsidRPr="00C16069">
        <w:tab/>
        <w:t xml:space="preserve">Formation à la sécurité et renforcement des capacités en ce qui concerne </w:t>
      </w:r>
      <w:r w:rsidR="00264C60">
        <w:br/>
      </w:r>
      <w:r w:rsidRPr="00C16069">
        <w:t>les marchandises dangereuses.</w:t>
      </w:r>
    </w:p>
    <w:p w14:paraId="2EDA777A" w14:textId="77777777" w:rsidR="00EA50C4" w:rsidRPr="00E442BA" w:rsidRDefault="00EA50C4" w:rsidP="00726508">
      <w:pPr>
        <w:pStyle w:val="SingleTxtG"/>
        <w:ind w:left="1701" w:hanging="567"/>
        <w:jc w:val="left"/>
      </w:pPr>
      <w:r w:rsidRPr="00E442BA">
        <w:rPr>
          <w:lang w:val="fr-FR"/>
        </w:rPr>
        <w:t>1</w:t>
      </w:r>
      <w:r>
        <w:rPr>
          <w:lang w:val="fr-FR"/>
        </w:rPr>
        <w:t>4</w:t>
      </w:r>
      <w:r w:rsidRPr="00E442BA">
        <w:rPr>
          <w:lang w:val="fr-FR"/>
        </w:rPr>
        <w:t>.</w:t>
      </w:r>
      <w:r w:rsidRPr="00E442BA">
        <w:rPr>
          <w:lang w:val="fr-FR"/>
        </w:rPr>
        <w:tab/>
        <w:t>Questions diverses.</w:t>
      </w:r>
    </w:p>
    <w:p w14:paraId="23507D23" w14:textId="0E264B54" w:rsidR="0052653E" w:rsidRDefault="00EA50C4" w:rsidP="00726508">
      <w:pPr>
        <w:pStyle w:val="SingleTxtG"/>
        <w:ind w:left="1701" w:hanging="567"/>
        <w:jc w:val="left"/>
      </w:pPr>
      <w:r w:rsidRPr="00E442BA">
        <w:rPr>
          <w:lang w:val="fr-FR"/>
        </w:rPr>
        <w:t>1</w:t>
      </w:r>
      <w:r>
        <w:rPr>
          <w:lang w:val="fr-FR"/>
        </w:rPr>
        <w:t>5</w:t>
      </w:r>
      <w:r w:rsidRPr="00E442BA">
        <w:rPr>
          <w:lang w:val="fr-FR"/>
        </w:rPr>
        <w:t>.</w:t>
      </w:r>
      <w:r w:rsidRPr="00E442BA">
        <w:rPr>
          <w:lang w:val="fr-FR"/>
        </w:rPr>
        <w:tab/>
        <w:t>Adoption du rapport.</w:t>
      </w:r>
    </w:p>
    <w:p w14:paraId="4D4DC91A" w14:textId="00584A89" w:rsidR="00446FE5" w:rsidRPr="00264C60" w:rsidRDefault="00264C60" w:rsidP="00264C6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264C60" w:rsidSect="0052653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CE58" w14:textId="77777777" w:rsidR="00F75837" w:rsidRDefault="00F75837" w:rsidP="00F95C08">
      <w:pPr>
        <w:spacing w:line="240" w:lineRule="auto"/>
      </w:pPr>
    </w:p>
  </w:endnote>
  <w:endnote w:type="continuationSeparator" w:id="0">
    <w:p w14:paraId="66674297" w14:textId="77777777" w:rsidR="00F75837" w:rsidRPr="00AC3823" w:rsidRDefault="00F75837" w:rsidP="00AC3823">
      <w:pPr>
        <w:pStyle w:val="Footer"/>
      </w:pPr>
    </w:p>
  </w:endnote>
  <w:endnote w:type="continuationNotice" w:id="1">
    <w:p w14:paraId="1FB3B725" w14:textId="77777777" w:rsidR="00F75837" w:rsidRDefault="00F758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3E70" w14:textId="649A1639" w:rsidR="0052653E" w:rsidRPr="0052653E" w:rsidRDefault="0052653E" w:rsidP="0052653E">
    <w:pPr>
      <w:pStyle w:val="Footer"/>
      <w:tabs>
        <w:tab w:val="right" w:pos="9638"/>
      </w:tabs>
    </w:pPr>
    <w:r w:rsidRPr="0052653E">
      <w:rPr>
        <w:b/>
        <w:sz w:val="18"/>
      </w:rPr>
      <w:fldChar w:fldCharType="begin"/>
    </w:r>
    <w:r w:rsidRPr="0052653E">
      <w:rPr>
        <w:b/>
        <w:sz w:val="18"/>
      </w:rPr>
      <w:instrText xml:space="preserve"> PAGE  \* MERGEFORMAT </w:instrText>
    </w:r>
    <w:r w:rsidRPr="0052653E">
      <w:rPr>
        <w:b/>
        <w:sz w:val="18"/>
      </w:rPr>
      <w:fldChar w:fldCharType="separate"/>
    </w:r>
    <w:r w:rsidRPr="0052653E">
      <w:rPr>
        <w:b/>
        <w:noProof/>
        <w:sz w:val="18"/>
      </w:rPr>
      <w:t>2</w:t>
    </w:r>
    <w:r w:rsidRPr="0052653E">
      <w:rPr>
        <w:b/>
        <w:sz w:val="18"/>
      </w:rPr>
      <w:fldChar w:fldCharType="end"/>
    </w:r>
    <w:r>
      <w:rPr>
        <w:b/>
        <w:sz w:val="18"/>
      </w:rPr>
      <w:tab/>
    </w:r>
    <w:r>
      <w:t>GE.22-02207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7373" w14:textId="7CED11F8" w:rsidR="0052653E" w:rsidRPr="0052653E" w:rsidRDefault="0052653E" w:rsidP="0052653E">
    <w:pPr>
      <w:pStyle w:val="Footer"/>
      <w:tabs>
        <w:tab w:val="right" w:pos="9638"/>
      </w:tabs>
      <w:rPr>
        <w:b/>
        <w:sz w:val="18"/>
      </w:rPr>
    </w:pPr>
    <w:r>
      <w:t>GE.22-02207</w:t>
    </w:r>
    <w:r>
      <w:tab/>
    </w:r>
    <w:r w:rsidRPr="0052653E">
      <w:rPr>
        <w:b/>
        <w:sz w:val="18"/>
      </w:rPr>
      <w:fldChar w:fldCharType="begin"/>
    </w:r>
    <w:r w:rsidRPr="0052653E">
      <w:rPr>
        <w:b/>
        <w:sz w:val="18"/>
      </w:rPr>
      <w:instrText xml:space="preserve"> PAGE  \* MERGEFORMAT </w:instrText>
    </w:r>
    <w:r w:rsidRPr="0052653E">
      <w:rPr>
        <w:b/>
        <w:sz w:val="18"/>
      </w:rPr>
      <w:fldChar w:fldCharType="separate"/>
    </w:r>
    <w:r w:rsidRPr="0052653E">
      <w:rPr>
        <w:b/>
        <w:noProof/>
        <w:sz w:val="18"/>
      </w:rPr>
      <w:t>3</w:t>
    </w:r>
    <w:r w:rsidRPr="005265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B701" w14:textId="05C3C700" w:rsidR="0068456F" w:rsidRPr="0052653E" w:rsidRDefault="0052653E" w:rsidP="0052653E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05900C9" wp14:editId="036984F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02207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7F2501B" wp14:editId="53B02A5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120422    120422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BE1F" w14:textId="77777777" w:rsidR="00F75837" w:rsidRPr="00AC3823" w:rsidRDefault="00F7583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D6F380" w14:textId="77777777" w:rsidR="00F75837" w:rsidRPr="00AC3823" w:rsidRDefault="00F7583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0FEAF72" w14:textId="77777777" w:rsidR="00F75837" w:rsidRPr="00AC3823" w:rsidRDefault="00F75837">
      <w:pPr>
        <w:spacing w:line="240" w:lineRule="auto"/>
        <w:rPr>
          <w:sz w:val="2"/>
          <w:szCs w:val="2"/>
        </w:rPr>
      </w:pPr>
    </w:p>
  </w:footnote>
  <w:footnote w:id="2">
    <w:p w14:paraId="6E249E58" w14:textId="45D66B12" w:rsidR="00EA50C4" w:rsidRPr="00CE12D7" w:rsidRDefault="00EA50C4" w:rsidP="00EA50C4">
      <w:pPr>
        <w:pStyle w:val="FootnoteText"/>
      </w:pPr>
      <w:r>
        <w:rPr>
          <w:lang w:val="fr-FR"/>
        </w:rPr>
        <w:tab/>
      </w:r>
      <w:r w:rsidRPr="00634CCF">
        <w:rPr>
          <w:sz w:val="20"/>
          <w:lang w:val="fr-FR"/>
        </w:rPr>
        <w:t>*</w:t>
      </w:r>
      <w:r>
        <w:rPr>
          <w:lang w:val="fr-FR"/>
        </w:rPr>
        <w:tab/>
        <w:t>Les notes explicatives seront distribuées sous la cote ST/SG/AC.10/C.3/119/Add.1. La date limite de soumission des documents est le 1</w:t>
      </w:r>
      <w:r w:rsidRPr="0084367A">
        <w:rPr>
          <w:vertAlign w:val="superscript"/>
          <w:lang w:val="fr-FR"/>
        </w:rPr>
        <w:t>er</w:t>
      </w:r>
      <w:r w:rsidR="00634CCF">
        <w:rPr>
          <w:lang w:val="fr-FR"/>
        </w:rPr>
        <w:t> </w:t>
      </w:r>
      <w:r>
        <w:rPr>
          <w:lang w:val="fr-FR"/>
        </w:rPr>
        <w:t>avril 2022.</w:t>
      </w:r>
    </w:p>
  </w:footnote>
  <w:footnote w:id="3">
    <w:p w14:paraId="0DDB8517" w14:textId="00FE58C5" w:rsidR="00EA50C4" w:rsidRPr="00E720A7" w:rsidRDefault="00EA50C4" w:rsidP="00EA50C4">
      <w:pPr>
        <w:pStyle w:val="FootnoteText"/>
        <w:rPr>
          <w:highlight w:val="yellow"/>
        </w:rPr>
      </w:pPr>
      <w:r>
        <w:rPr>
          <w:lang w:val="fr-FR"/>
        </w:rPr>
        <w:tab/>
      </w:r>
      <w:r w:rsidRPr="00634CCF">
        <w:rPr>
          <w:sz w:val="20"/>
          <w:lang w:val="fr-FR"/>
        </w:rPr>
        <w:t>**</w:t>
      </w:r>
      <w:r w:rsidRPr="00983ED0">
        <w:rPr>
          <w:lang w:val="fr-FR"/>
        </w:rPr>
        <w:tab/>
        <w:t>Les documents de la session seront disponibles en ligne à l’adresse suivante</w:t>
      </w:r>
      <w:r w:rsidR="00726508">
        <w:rPr>
          <w:lang w:val="fr-FR"/>
        </w:rPr>
        <w:t> :</w:t>
      </w:r>
      <w:r w:rsidRPr="00983ED0">
        <w:rPr>
          <w:lang w:val="fr-FR"/>
        </w:rPr>
        <w:t xml:space="preserve"> </w:t>
      </w:r>
      <w:hyperlink r:id="rId1" w:history="1">
        <w:r w:rsidRPr="00634CCF">
          <w:rPr>
            <w:rStyle w:val="Hyperlink"/>
            <w:lang w:val="fr-FR"/>
          </w:rPr>
          <w:t>https</w:t>
        </w:r>
        <w:r w:rsidR="00726508" w:rsidRPr="00634CCF">
          <w:rPr>
            <w:rStyle w:val="Hyperlink"/>
            <w:lang w:val="fr-FR"/>
          </w:rPr>
          <w:t>:</w:t>
        </w:r>
        <w:r w:rsidRPr="00634CCF">
          <w:rPr>
            <w:rStyle w:val="Hyperlink"/>
            <w:lang w:val="fr-FR"/>
          </w:rPr>
          <w:t>//unece.org/</w:t>
        </w:r>
        <w:r w:rsidR="00634CCF">
          <w:rPr>
            <w:rStyle w:val="Hyperlink"/>
            <w:lang w:val="fr-FR"/>
          </w:rPr>
          <w:t xml:space="preserve"> </w:t>
        </w:r>
        <w:r w:rsidRPr="00634CCF">
          <w:rPr>
            <w:rStyle w:val="Hyperlink"/>
            <w:lang w:val="fr-FR"/>
          </w:rPr>
          <w:t>transport/</w:t>
        </w:r>
        <w:proofErr w:type="spellStart"/>
        <w:r w:rsidRPr="00634CCF">
          <w:rPr>
            <w:rStyle w:val="Hyperlink"/>
            <w:lang w:val="fr-FR"/>
          </w:rPr>
          <w:t>dangerous-goods</w:t>
        </w:r>
        <w:proofErr w:type="spellEnd"/>
      </w:hyperlink>
      <w:r w:rsidRPr="00983ED0">
        <w:rPr>
          <w:lang w:val="fr-FR"/>
        </w:rPr>
        <w:t>. Cette réunion se déroulera sans support papier. Il n’y aura pas d’exemplaires des documents dans la salle de réunion.</w:t>
      </w:r>
    </w:p>
  </w:footnote>
  <w:footnote w:id="4">
    <w:p w14:paraId="398D8538" w14:textId="553BDB70" w:rsidR="00EA50C4" w:rsidRDefault="00EA50C4" w:rsidP="00EA50C4">
      <w:pPr>
        <w:pStyle w:val="FootnoteText"/>
        <w:rPr>
          <w:color w:val="000000"/>
        </w:rPr>
      </w:pPr>
      <w:r w:rsidRPr="00A17415">
        <w:rPr>
          <w:lang w:val="fr-FR"/>
        </w:rPr>
        <w:tab/>
      </w:r>
      <w:r w:rsidRPr="00634CCF">
        <w:rPr>
          <w:sz w:val="20"/>
          <w:lang w:val="fr-FR"/>
        </w:rPr>
        <w:t>***</w:t>
      </w:r>
      <w:r w:rsidRPr="00A17415">
        <w:rPr>
          <w:lang w:val="fr-FR"/>
        </w:rPr>
        <w:tab/>
      </w:r>
      <w:r>
        <w:rPr>
          <w:lang w:val="fr-FR"/>
        </w:rPr>
        <w:t>Seuls les représentants inscrits pourront y participer. Les représentants désirant participer à la réunion en présentiel ou en ligne sont priés de s'inscrire en utilisant le nouveau système d’inscription de la CEE, à l'adresse suivante</w:t>
      </w:r>
      <w:r w:rsidR="00726508">
        <w:rPr>
          <w:lang w:val="fr-FR"/>
        </w:rPr>
        <w:t> :</w:t>
      </w:r>
      <w:r>
        <w:rPr>
          <w:lang w:val="fr-FR"/>
        </w:rPr>
        <w:t xml:space="preserve"> </w:t>
      </w:r>
      <w:hyperlink r:id="rId2" w:history="1">
        <w:r w:rsidRPr="00EC282C">
          <w:rPr>
            <w:rStyle w:val="Hyperlink"/>
            <w:lang w:val="fr-FR"/>
          </w:rPr>
          <w:t>https</w:t>
        </w:r>
        <w:r w:rsidR="00726508" w:rsidRPr="00EC282C">
          <w:rPr>
            <w:rStyle w:val="Hyperlink"/>
            <w:lang w:val="fr-FR"/>
          </w:rPr>
          <w:t>:</w:t>
        </w:r>
        <w:r w:rsidRPr="00EC282C">
          <w:rPr>
            <w:rStyle w:val="Hyperlink"/>
            <w:lang w:val="fr-FR"/>
          </w:rPr>
          <w:t>//indico.un.org/event/1000393</w:t>
        </w:r>
      </w:hyperlink>
      <w:r>
        <w:rPr>
          <w:lang w:val="fr-FR"/>
        </w:rPr>
        <w:t>.</w:t>
      </w:r>
    </w:p>
    <w:p w14:paraId="053C8239" w14:textId="6953126E" w:rsidR="00EA50C4" w:rsidRPr="00CE12D7" w:rsidRDefault="00EA50C4" w:rsidP="00EC282C">
      <w:pPr>
        <w:pStyle w:val="FootnoteText"/>
        <w:ind w:firstLine="0"/>
      </w:pPr>
      <w:r>
        <w:rPr>
          <w:lang w:val="fr-FR"/>
        </w:rPr>
        <w:tab/>
      </w:r>
      <w:r w:rsidR="00EC282C">
        <w:rPr>
          <w:lang w:val="fr-FR"/>
        </w:rPr>
        <w:t>L</w:t>
      </w:r>
      <w:r>
        <w:rPr>
          <w:lang w:val="fr-FR"/>
        </w:rPr>
        <w:t xml:space="preserve">es représentants assistant en présentiel à la session doivent, à leur arrivée au Palais des Nations, se faire délivrer un badge auprès de la Section de la sécurité et de la sûreté située au Portail de </w:t>
      </w:r>
      <w:proofErr w:type="spellStart"/>
      <w:r>
        <w:rPr>
          <w:lang w:val="fr-FR"/>
        </w:rPr>
        <w:t>Pregny</w:t>
      </w:r>
      <w:proofErr w:type="spellEnd"/>
      <w:r>
        <w:rPr>
          <w:lang w:val="fr-FR"/>
        </w:rPr>
        <w:t xml:space="preserve"> (14, avenue de la Paix). En cas de difficulté, ils sont invités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̀ contacter le secrétariat par téléphone (poste 72106). Un plan du Palais des Nations et d’autres renseignements utiles sont disponibles à l’adresse </w:t>
      </w:r>
      <w:hyperlink r:id="rId3" w:history="1">
        <w:r w:rsidRPr="00A63715">
          <w:rPr>
            <w:rStyle w:val="Hyperlink"/>
            <w:lang w:val="fr-FR"/>
          </w:rPr>
          <w:t>https</w:t>
        </w:r>
        <w:r w:rsidR="00726508" w:rsidRPr="00A63715">
          <w:rPr>
            <w:rStyle w:val="Hyperlink"/>
            <w:lang w:val="fr-FR"/>
          </w:rPr>
          <w:t>:</w:t>
        </w:r>
        <w:r w:rsidRPr="00A63715">
          <w:rPr>
            <w:rStyle w:val="Hyperlink"/>
            <w:lang w:val="fr-FR"/>
          </w:rPr>
          <w:t>//unece.org/practical-information-delegates</w:t>
        </w:r>
      </w:hyperlink>
      <w:r>
        <w:rPr>
          <w:lang w:val="fr-FR"/>
        </w:rPr>
        <w:t>.</w:t>
      </w:r>
    </w:p>
  </w:footnote>
  <w:footnote w:id="5">
    <w:p w14:paraId="7D5C861E" w14:textId="55A38F63" w:rsidR="00EA50C4" w:rsidRPr="00CE12D7" w:rsidRDefault="00EA50C4" w:rsidP="00EA50C4">
      <w:pPr>
        <w:pStyle w:val="FootnoteText"/>
      </w:pPr>
      <w:r>
        <w:rPr>
          <w:lang w:val="fr-FR"/>
        </w:rPr>
        <w:tab/>
      </w:r>
      <w:r w:rsidRPr="0070756B">
        <w:rPr>
          <w:rStyle w:val="FootnoteReference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</w:r>
      <w:r w:rsidRPr="00C16069">
        <w:rPr>
          <w:lang w:val="fr-FR"/>
        </w:rPr>
        <w:t>Les participants aux travaux du Sous-Comité d’experts du Système général harmonisé de classification et d’étiquetage des produits chimiques (Sous-Comité SGH) qui ne participent pas habituellement aux travaux du Sous-Comité d'experts du transport des marchandises dangereuses (Sous-Comité TMD</w:t>
      </w:r>
      <w:r>
        <w:rPr>
          <w:lang w:val="fr-FR"/>
        </w:rPr>
        <w:t>)</w:t>
      </w:r>
      <w:r w:rsidRPr="00C16069">
        <w:rPr>
          <w:lang w:val="fr-FR"/>
        </w:rPr>
        <w:t xml:space="preserve"> sont invités à participer aux travaux de ce dernier quand il examine la question des dangers physiques en qualité de centre</w:t>
      </w:r>
      <w:r>
        <w:rPr>
          <w:lang w:val="fr-FR"/>
        </w:rPr>
        <w:t xml:space="preserve"> de liaison pour le SGH (voir aussi ST/SG/AC.10/C.4/2, par. 43</w:t>
      </w:r>
      <w:r w:rsidR="00CB54E3">
        <w:rPr>
          <w:lang w:val="fr-FR"/>
        </w:rPr>
        <w:t> </w:t>
      </w:r>
      <w:r>
        <w:rPr>
          <w:lang w:val="fr-FR"/>
        </w:rPr>
        <w:t>b)).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49BC" w14:textId="2E0B20AC" w:rsidR="0052653E" w:rsidRPr="0052653E" w:rsidRDefault="00F7583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94FDD">
      <w:t>ST/SG/AC.10/C.3/119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58A7" w14:textId="6FCD9260" w:rsidR="0052653E" w:rsidRPr="0052653E" w:rsidRDefault="00F75837" w:rsidP="0052653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94FDD">
      <w:t>ST/SG/AC.10/C.3/119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1C"/>
    <w:rsid w:val="00017F94"/>
    <w:rsid w:val="00023842"/>
    <w:rsid w:val="000305D3"/>
    <w:rsid w:val="000334F9"/>
    <w:rsid w:val="0007796D"/>
    <w:rsid w:val="000B7790"/>
    <w:rsid w:val="000B7CD0"/>
    <w:rsid w:val="00111F2F"/>
    <w:rsid w:val="00132EA9"/>
    <w:rsid w:val="0014365E"/>
    <w:rsid w:val="00172E49"/>
    <w:rsid w:val="00176178"/>
    <w:rsid w:val="001F525A"/>
    <w:rsid w:val="00223272"/>
    <w:rsid w:val="0023501C"/>
    <w:rsid w:val="0024779E"/>
    <w:rsid w:val="00264C60"/>
    <w:rsid w:val="00283190"/>
    <w:rsid w:val="002832AC"/>
    <w:rsid w:val="002D7C93"/>
    <w:rsid w:val="00441C3B"/>
    <w:rsid w:val="00446FE5"/>
    <w:rsid w:val="00452396"/>
    <w:rsid w:val="004E468C"/>
    <w:rsid w:val="0052653E"/>
    <w:rsid w:val="005505B7"/>
    <w:rsid w:val="00573BE5"/>
    <w:rsid w:val="00584DC4"/>
    <w:rsid w:val="00586ED3"/>
    <w:rsid w:val="00596AA9"/>
    <w:rsid w:val="00634CCF"/>
    <w:rsid w:val="0068456F"/>
    <w:rsid w:val="0071601D"/>
    <w:rsid w:val="00726508"/>
    <w:rsid w:val="007A62E6"/>
    <w:rsid w:val="00806191"/>
    <w:rsid w:val="0080684C"/>
    <w:rsid w:val="008123E0"/>
    <w:rsid w:val="00871C75"/>
    <w:rsid w:val="008776DC"/>
    <w:rsid w:val="00894FDD"/>
    <w:rsid w:val="008B40CD"/>
    <w:rsid w:val="008C4046"/>
    <w:rsid w:val="009705C8"/>
    <w:rsid w:val="009C1CF4"/>
    <w:rsid w:val="00A30353"/>
    <w:rsid w:val="00A63715"/>
    <w:rsid w:val="00A81281"/>
    <w:rsid w:val="00AC3823"/>
    <w:rsid w:val="00AE323C"/>
    <w:rsid w:val="00B00181"/>
    <w:rsid w:val="00B00B0D"/>
    <w:rsid w:val="00B765F7"/>
    <w:rsid w:val="00BA0CA9"/>
    <w:rsid w:val="00C02897"/>
    <w:rsid w:val="00C32529"/>
    <w:rsid w:val="00CB54E3"/>
    <w:rsid w:val="00D3439C"/>
    <w:rsid w:val="00DB1831"/>
    <w:rsid w:val="00DD3BFD"/>
    <w:rsid w:val="00DF6678"/>
    <w:rsid w:val="00E50945"/>
    <w:rsid w:val="00EA50C4"/>
    <w:rsid w:val="00EC282C"/>
    <w:rsid w:val="00EE7595"/>
    <w:rsid w:val="00EF2E22"/>
    <w:rsid w:val="00F01738"/>
    <w:rsid w:val="00F660DF"/>
    <w:rsid w:val="00F730C8"/>
    <w:rsid w:val="00F75837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E1581"/>
  <w15:docId w15:val="{229C4A9F-3E0E-41D5-A827-DB0DA1ED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4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ece.org/practical-information-delegates" TargetMode="External"/><Relationship Id="rId2" Type="http://schemas.openxmlformats.org/officeDocument/2006/relationships/hyperlink" Target="https://indico.un.org/event/1000393" TargetMode="External"/><Relationship Id="rId1" Type="http://schemas.openxmlformats.org/officeDocument/2006/relationships/hyperlink" Target="https://unece.org/transport/dangerous-goo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ST/SG/AC.10/C.3/119</vt:lpstr>
    </vt:vector>
  </TitlesOfParts>
  <Company>DCM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ST/SG/AC.10/C.3/119</dc:title>
  <dc:subject/>
  <dc:creator>Nathalie VITTOZ</dc:creator>
  <cp:keywords/>
  <cp:lastModifiedBy>Laurence Berthet</cp:lastModifiedBy>
  <cp:revision>4</cp:revision>
  <cp:lastPrinted>2022-04-12T13:30:00Z</cp:lastPrinted>
  <dcterms:created xsi:type="dcterms:W3CDTF">2022-04-12T13:27:00Z</dcterms:created>
  <dcterms:modified xsi:type="dcterms:W3CDTF">2022-04-12T13:30:00Z</dcterms:modified>
</cp:coreProperties>
</file>