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F05ABA0" w14:textId="77777777" w:rsidTr="006476E1">
        <w:trPr>
          <w:trHeight w:val="851"/>
        </w:trPr>
        <w:tc>
          <w:tcPr>
            <w:tcW w:w="1259" w:type="dxa"/>
            <w:tcBorders>
              <w:top w:val="nil"/>
              <w:left w:val="nil"/>
              <w:bottom w:val="single" w:sz="4" w:space="0" w:color="auto"/>
              <w:right w:val="nil"/>
            </w:tcBorders>
          </w:tcPr>
          <w:p w14:paraId="3E5E8138" w14:textId="77777777" w:rsidR="00E52109" w:rsidRPr="002A32CB" w:rsidRDefault="00E52109" w:rsidP="004858F5"/>
        </w:tc>
        <w:tc>
          <w:tcPr>
            <w:tcW w:w="2236" w:type="dxa"/>
            <w:tcBorders>
              <w:top w:val="nil"/>
              <w:left w:val="nil"/>
              <w:bottom w:val="single" w:sz="4" w:space="0" w:color="auto"/>
              <w:right w:val="nil"/>
            </w:tcBorders>
            <w:vAlign w:val="bottom"/>
          </w:tcPr>
          <w:p w14:paraId="4A9006B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25EEF0E" w14:textId="58613056" w:rsidR="00E52109" w:rsidRDefault="008209A2" w:rsidP="008209A2">
            <w:pPr>
              <w:suppressAutoHyphens w:val="0"/>
              <w:jc w:val="right"/>
            </w:pPr>
            <w:r w:rsidRPr="008209A2">
              <w:rPr>
                <w:sz w:val="40"/>
              </w:rPr>
              <w:t>ST</w:t>
            </w:r>
            <w:r>
              <w:t>/SG/AC.10/C.4/2022/7</w:t>
            </w:r>
          </w:p>
        </w:tc>
      </w:tr>
      <w:tr w:rsidR="00E52109" w14:paraId="5C4BB569" w14:textId="77777777" w:rsidTr="006476E1">
        <w:trPr>
          <w:trHeight w:val="2835"/>
        </w:trPr>
        <w:tc>
          <w:tcPr>
            <w:tcW w:w="1259" w:type="dxa"/>
            <w:tcBorders>
              <w:top w:val="single" w:sz="4" w:space="0" w:color="auto"/>
              <w:left w:val="nil"/>
              <w:bottom w:val="single" w:sz="12" w:space="0" w:color="auto"/>
              <w:right w:val="nil"/>
            </w:tcBorders>
          </w:tcPr>
          <w:p w14:paraId="7795F429" w14:textId="77777777" w:rsidR="00E52109" w:rsidRDefault="00E52109" w:rsidP="006476E1">
            <w:pPr>
              <w:spacing w:before="120"/>
              <w:jc w:val="center"/>
            </w:pPr>
            <w:r>
              <w:rPr>
                <w:noProof/>
                <w:lang w:val="fr-CH" w:eastAsia="fr-CH"/>
              </w:rPr>
              <w:drawing>
                <wp:inline distT="0" distB="0" distL="0" distR="0" wp14:anchorId="197FD653" wp14:editId="584DF75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EC4BD5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CA8DAF1" w14:textId="77777777" w:rsidR="00D94B05" w:rsidRDefault="008209A2" w:rsidP="008209A2">
            <w:pPr>
              <w:suppressAutoHyphens w:val="0"/>
              <w:spacing w:before="240" w:line="240" w:lineRule="exact"/>
            </w:pPr>
            <w:r>
              <w:t>Distr.: General</w:t>
            </w:r>
          </w:p>
          <w:p w14:paraId="543C0854" w14:textId="332D0E4F" w:rsidR="008209A2" w:rsidRDefault="008209A2" w:rsidP="008209A2">
            <w:pPr>
              <w:suppressAutoHyphens w:val="0"/>
              <w:spacing w:line="240" w:lineRule="exact"/>
            </w:pPr>
            <w:r>
              <w:t>2</w:t>
            </w:r>
            <w:r w:rsidR="009E37C2">
              <w:t>1</w:t>
            </w:r>
            <w:r>
              <w:t xml:space="preserve"> April 2022</w:t>
            </w:r>
          </w:p>
          <w:p w14:paraId="262236D2" w14:textId="77777777" w:rsidR="008209A2" w:rsidRDefault="008209A2" w:rsidP="008209A2">
            <w:pPr>
              <w:suppressAutoHyphens w:val="0"/>
              <w:spacing w:line="240" w:lineRule="exact"/>
            </w:pPr>
          </w:p>
          <w:p w14:paraId="6CA04A35" w14:textId="099DD7DB" w:rsidR="008209A2" w:rsidRDefault="008209A2" w:rsidP="008209A2">
            <w:pPr>
              <w:suppressAutoHyphens w:val="0"/>
              <w:spacing w:line="240" w:lineRule="exact"/>
            </w:pPr>
            <w:r>
              <w:t>Original: English</w:t>
            </w:r>
          </w:p>
        </w:tc>
      </w:tr>
    </w:tbl>
    <w:p w14:paraId="0435958D" w14:textId="77777777" w:rsidR="008209A2" w:rsidRPr="009F0F06" w:rsidRDefault="008209A2" w:rsidP="008209A2">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16B7037D" w14:textId="77777777" w:rsidR="008209A2" w:rsidRPr="009F0F06" w:rsidRDefault="008209A2" w:rsidP="008209A2">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060D8DE8" w14:textId="77777777" w:rsidR="008209A2" w:rsidRDefault="008209A2" w:rsidP="008209A2">
      <w:pPr>
        <w:spacing w:before="120"/>
        <w:rPr>
          <w:b/>
        </w:rPr>
      </w:pPr>
      <w:r>
        <w:rPr>
          <w:b/>
        </w:rPr>
        <w:t>Forty-second session</w:t>
      </w:r>
    </w:p>
    <w:p w14:paraId="5109B94C" w14:textId="77777777" w:rsidR="008209A2" w:rsidRDefault="008209A2" w:rsidP="008209A2">
      <w:r>
        <w:t xml:space="preserve">Geneva, 6-8 July 2022 </w:t>
      </w:r>
    </w:p>
    <w:p w14:paraId="7D168567" w14:textId="02AA66C4" w:rsidR="008209A2" w:rsidRDefault="008209A2" w:rsidP="008209A2">
      <w:r>
        <w:t xml:space="preserve">Item </w:t>
      </w:r>
      <w:r w:rsidR="00E94077">
        <w:t>2</w:t>
      </w:r>
      <w:r>
        <w:t xml:space="preserve"> (</w:t>
      </w:r>
      <w:r w:rsidR="00E94077">
        <w:t>d</w:t>
      </w:r>
      <w:r>
        <w:t>) of the provisional agenda</w:t>
      </w:r>
    </w:p>
    <w:p w14:paraId="3B95CF12" w14:textId="77777777" w:rsidR="00CD540D" w:rsidRPr="00B85976" w:rsidRDefault="00E21AA7" w:rsidP="008209A2">
      <w:pPr>
        <w:rPr>
          <w:b/>
          <w:bCs/>
        </w:rPr>
      </w:pPr>
      <w:r w:rsidRPr="00B85976">
        <w:rPr>
          <w:b/>
          <w:bCs/>
        </w:rPr>
        <w:t xml:space="preserve">Classification of skin sensitizers using the results of local lymph node assays test methods </w:t>
      </w:r>
    </w:p>
    <w:p w14:paraId="6408B6BA" w14:textId="36B7EA72" w:rsidR="008209A2" w:rsidRDefault="00E21AA7" w:rsidP="008209A2">
      <w:pPr>
        <w:rPr>
          <w:b/>
          <w:bCs/>
        </w:rPr>
      </w:pPr>
      <w:r w:rsidRPr="00B85976">
        <w:rPr>
          <w:b/>
          <w:bCs/>
        </w:rPr>
        <w:t>in accordance with OECD Test Guideline 442B</w:t>
      </w:r>
    </w:p>
    <w:p w14:paraId="74274E28" w14:textId="2D67E6CE" w:rsidR="008209A2" w:rsidRPr="00546BBA" w:rsidRDefault="008209A2" w:rsidP="008209A2">
      <w:pPr>
        <w:pStyle w:val="HChG"/>
        <w:ind w:left="1138" w:right="1138" w:hanging="4"/>
        <w:rPr>
          <w:color w:val="000000" w:themeColor="text1"/>
          <w:lang w:eastAsia="ja-JP"/>
        </w:rPr>
      </w:pPr>
      <w:r w:rsidRPr="00546BBA">
        <w:rPr>
          <w:color w:val="000000" w:themeColor="text1"/>
          <w:szCs w:val="28"/>
        </w:rPr>
        <w:t>Clarification of the criteria for classification for skin sensitization using animal studies</w:t>
      </w:r>
    </w:p>
    <w:p w14:paraId="22EE43A7" w14:textId="48A9F932" w:rsidR="008209A2" w:rsidRPr="00546BBA" w:rsidRDefault="008209A2" w:rsidP="008209A2">
      <w:pPr>
        <w:pStyle w:val="H1G"/>
        <w:ind w:left="1138" w:right="1138" w:hanging="1138"/>
        <w:rPr>
          <w:color w:val="000000" w:themeColor="text1"/>
        </w:rPr>
      </w:pPr>
      <w:r w:rsidRPr="00546BBA">
        <w:rPr>
          <w:color w:val="000000" w:themeColor="text1"/>
        </w:rPr>
        <w:tab/>
      </w:r>
      <w:r w:rsidRPr="00546BBA">
        <w:rPr>
          <w:color w:val="000000" w:themeColor="text1"/>
        </w:rPr>
        <w:tab/>
      </w:r>
      <w:r w:rsidRPr="00546BBA">
        <w:rPr>
          <w:color w:val="000000" w:themeColor="text1"/>
          <w:szCs w:val="24"/>
        </w:rPr>
        <w:t>Transmitted by the expert from Japan</w:t>
      </w:r>
      <w:r w:rsidRPr="00546BBA">
        <w:rPr>
          <w:color w:val="000000" w:themeColor="text1"/>
          <w:szCs w:val="24"/>
          <w:lang w:eastAsia="de-DE"/>
        </w:rPr>
        <w:t xml:space="preserve"> </w:t>
      </w:r>
    </w:p>
    <w:p w14:paraId="29A61F88" w14:textId="77777777" w:rsidR="008209A2" w:rsidRPr="00546BBA" w:rsidRDefault="008209A2" w:rsidP="008209A2">
      <w:pPr>
        <w:pStyle w:val="HChG"/>
        <w:ind w:left="1138" w:right="1138" w:hanging="1138"/>
        <w:rPr>
          <w:color w:val="000000" w:themeColor="text1"/>
        </w:rPr>
      </w:pPr>
      <w:r w:rsidRPr="00546BBA">
        <w:rPr>
          <w:color w:val="000000" w:themeColor="text1"/>
        </w:rPr>
        <w:tab/>
      </w:r>
      <w:r w:rsidRPr="00546BBA">
        <w:rPr>
          <w:color w:val="000000" w:themeColor="text1"/>
        </w:rPr>
        <w:tab/>
        <w:t>Introduction</w:t>
      </w:r>
    </w:p>
    <w:p w14:paraId="65147148" w14:textId="77777777" w:rsidR="008209A2" w:rsidRPr="003B5C03" w:rsidRDefault="008209A2" w:rsidP="004C70B6">
      <w:pPr>
        <w:pStyle w:val="SingleTxtG"/>
      </w:pPr>
      <w:r w:rsidRPr="003B5C03">
        <w:t>1.</w:t>
      </w:r>
      <w:r w:rsidRPr="003B5C03">
        <w:tab/>
        <w:t xml:space="preserve">This document provides the outcome of the work undertaken by Japan to clarify the criteria for classification for skin sensitization using animal studies. Japan wishes to take the opportunity to thank the secretariat and all the experts considering our proposal to clarify the criteria for classification for skin sensitization using animal studies. </w:t>
      </w:r>
    </w:p>
    <w:p w14:paraId="3A8BA041" w14:textId="77777777" w:rsidR="008209A2" w:rsidRPr="00546BBA" w:rsidRDefault="008209A2" w:rsidP="008209A2">
      <w:pPr>
        <w:pStyle w:val="SingleTxtG"/>
        <w:spacing w:before="360" w:after="240" w:line="240" w:lineRule="exact"/>
        <w:rPr>
          <w:rFonts w:eastAsia="MS PMincho"/>
          <w:b/>
          <w:bCs/>
          <w:color w:val="000000" w:themeColor="text1"/>
          <w:sz w:val="28"/>
          <w:szCs w:val="28"/>
          <w:lang w:eastAsia="x-none"/>
        </w:rPr>
      </w:pPr>
      <w:r w:rsidRPr="00546BBA">
        <w:rPr>
          <w:b/>
          <w:bCs/>
          <w:color w:val="000000" w:themeColor="text1"/>
          <w:sz w:val="28"/>
          <w:szCs w:val="28"/>
        </w:rPr>
        <w:t>Discussion</w:t>
      </w:r>
    </w:p>
    <w:p w14:paraId="198FB7C1" w14:textId="360F7B66" w:rsidR="008209A2" w:rsidRPr="003B5C03" w:rsidRDefault="008209A2" w:rsidP="004C70B6">
      <w:pPr>
        <w:pStyle w:val="SingleTxtG"/>
      </w:pPr>
      <w:r w:rsidRPr="003B5C03">
        <w:t>2.</w:t>
      </w:r>
      <w:r w:rsidRPr="003B5C03">
        <w:tab/>
      </w:r>
      <w:r w:rsidRPr="003B5C03">
        <w:rPr>
          <w:rFonts w:hint="eastAsia"/>
        </w:rPr>
        <w:t>In Chapter 3.4 of</w:t>
      </w:r>
      <w:r w:rsidRPr="003B5C03">
        <w:t xml:space="preserve"> the </w:t>
      </w:r>
      <w:r w:rsidRPr="003B5C03">
        <w:rPr>
          <w:rFonts w:hint="eastAsia"/>
        </w:rPr>
        <w:t>G</w:t>
      </w:r>
      <w:r w:rsidR="00BC69D7">
        <w:t xml:space="preserve">lobally </w:t>
      </w:r>
      <w:proofErr w:type="spellStart"/>
      <w:r w:rsidR="00BC69D7">
        <w:t>Hamonized</w:t>
      </w:r>
      <w:proofErr w:type="spellEnd"/>
      <w:r w:rsidR="00BC69D7">
        <w:t xml:space="preserve"> System of Classification and Labelling of Chemicals (G</w:t>
      </w:r>
      <w:r w:rsidRPr="003B5C03">
        <w:rPr>
          <w:rFonts w:hint="eastAsia"/>
        </w:rPr>
        <w:t>HS</w:t>
      </w:r>
      <w:r w:rsidR="00BC69D7">
        <w:t>)</w:t>
      </w:r>
      <w:r w:rsidRPr="003B5C03">
        <w:t xml:space="preserve">, three skin sensitization test methods are listed as test methods to classify GHS category 1 chemicals. These include two guinea pig prediction tests (the guinea pig maximization test and the Buehler test), known as the official test guidelines (TG) 406 of the Organization of Economic Cooperation and Development (OECD), and the </w:t>
      </w:r>
      <w:proofErr w:type="spellStart"/>
      <w:r w:rsidRPr="003B5C03">
        <w:t>radioisotopic</w:t>
      </w:r>
      <w:proofErr w:type="spellEnd"/>
      <w:r w:rsidRPr="003B5C03">
        <w:t xml:space="preserve"> (RI) Local Lymph Node Assay (LLNA), known as OECD TG 429 (OECD, 2010). These three methods can be further applied for GHS sub-categorization 1A/1B to provide information on the skin sensitization potency of chemicals (United Nations, 2021).</w:t>
      </w:r>
    </w:p>
    <w:p w14:paraId="39892E4C" w14:textId="4A219A1C" w:rsidR="008209A2" w:rsidRPr="003B5C03" w:rsidRDefault="008209A2" w:rsidP="00562A50">
      <w:pPr>
        <w:pStyle w:val="SingleTxtG"/>
      </w:pPr>
      <w:r w:rsidRPr="003B5C03">
        <w:t>3.</w:t>
      </w:r>
      <w:r w:rsidRPr="003B5C03">
        <w:tab/>
      </w:r>
      <w:r w:rsidRPr="003B5C03">
        <w:rPr>
          <w:rFonts w:hint="eastAsia"/>
        </w:rPr>
        <w:t>Currently, t</w:t>
      </w:r>
      <w:r w:rsidRPr="003B5C03">
        <w:t xml:space="preserve">hree </w:t>
      </w:r>
      <w:bookmarkStart w:id="0" w:name="_Hlk95747477"/>
      <w:r w:rsidRPr="003B5C03">
        <w:t>non-</w:t>
      </w:r>
      <w:proofErr w:type="spellStart"/>
      <w:r w:rsidRPr="003B5C03">
        <w:t>radioisotopic</w:t>
      </w:r>
      <w:proofErr w:type="spellEnd"/>
      <w:r w:rsidRPr="003B5C03">
        <w:t xml:space="preserve"> alternatives to the LLNA</w:t>
      </w:r>
      <w:bookmarkEnd w:id="0"/>
      <w:r w:rsidRPr="003B5C03">
        <w:t xml:space="preserve"> (OECD TG429), LLNA: DA, LLNA: </w:t>
      </w:r>
      <w:proofErr w:type="spellStart"/>
      <w:r w:rsidRPr="003B5C03">
        <w:t>BrdU</w:t>
      </w:r>
      <w:proofErr w:type="spellEnd"/>
      <w:r w:rsidRPr="003B5C03">
        <w:t xml:space="preserve">-ELISA and LLNA: </w:t>
      </w:r>
      <w:proofErr w:type="spellStart"/>
      <w:r w:rsidRPr="003B5C03">
        <w:t>BrdU</w:t>
      </w:r>
      <w:proofErr w:type="spellEnd"/>
      <w:r w:rsidRPr="003B5C03">
        <w:t>-FCM, are</w:t>
      </w:r>
      <w:r w:rsidRPr="003B5C03">
        <w:rPr>
          <w:rFonts w:hint="eastAsia"/>
        </w:rPr>
        <w:t xml:space="preserve"> listed in</w:t>
      </w:r>
      <w:r w:rsidRPr="003B5C03">
        <w:t xml:space="preserve"> OECD TG as TG 442A and 442B (OECD, 2018). Although these non-</w:t>
      </w:r>
      <w:proofErr w:type="spellStart"/>
      <w:r w:rsidRPr="003B5C03">
        <w:t>radioisotopic</w:t>
      </w:r>
      <w:proofErr w:type="spellEnd"/>
      <w:r w:rsidRPr="003B5C03">
        <w:t xml:space="preserve"> alternatives of the LLNA are scientifically validated and can be used to classify GHS category 1 versus </w:t>
      </w:r>
      <w:r w:rsidR="006C2C5A" w:rsidRPr="003B5C03">
        <w:t>“</w:t>
      </w:r>
      <w:r w:rsidRPr="003B5C03">
        <w:rPr>
          <w:rFonts w:hint="eastAsia"/>
        </w:rPr>
        <w:t>Not classified</w:t>
      </w:r>
      <w:r w:rsidR="006C2C5A" w:rsidRPr="003B5C03">
        <w:t>”</w:t>
      </w:r>
      <w:r w:rsidRPr="003B5C03">
        <w:t xml:space="preserve">. However, the </w:t>
      </w:r>
      <w:proofErr w:type="gramStart"/>
      <w:r w:rsidRPr="003B5C03">
        <w:t>current status</w:t>
      </w:r>
      <w:proofErr w:type="gramEnd"/>
      <w:r w:rsidRPr="003B5C03">
        <w:t xml:space="preserve"> of their applicability to the GHS classification is not clearly described in the GHS.</w:t>
      </w:r>
    </w:p>
    <w:p w14:paraId="5EC1E283" w14:textId="77777777" w:rsidR="008209A2" w:rsidRPr="00546BBA" w:rsidRDefault="008209A2" w:rsidP="003B5C03">
      <w:pPr>
        <w:pStyle w:val="SingleTxtG"/>
        <w:spacing w:before="240"/>
      </w:pPr>
      <w:r w:rsidRPr="003B5C03">
        <w:t>4.</w:t>
      </w:r>
      <w:r w:rsidRPr="003B5C03">
        <w:tab/>
        <w:t xml:space="preserve">In addition, Japanese researchers investigated about the applicability of the data derived from LLNA: </w:t>
      </w:r>
      <w:proofErr w:type="spellStart"/>
      <w:r w:rsidRPr="003B5C03">
        <w:t>BrdU</w:t>
      </w:r>
      <w:proofErr w:type="spellEnd"/>
      <w:r w:rsidRPr="003B5C03">
        <w:t xml:space="preserve">-ELISA to GHS sub-categorization and attempted to determine optimal criterion for GHS sub-categorization using this method (Maeda and </w:t>
      </w:r>
      <w:proofErr w:type="spellStart"/>
      <w:r w:rsidRPr="003B5C03">
        <w:t>Takeyoshi</w:t>
      </w:r>
      <w:proofErr w:type="spellEnd"/>
      <w:r w:rsidRPr="003B5C03">
        <w:t>,</w:t>
      </w:r>
      <w:r w:rsidRPr="00546BBA">
        <w:t xml:space="preserve"> </w:t>
      </w:r>
      <w:r w:rsidRPr="004C70B6">
        <w:lastRenderedPageBreak/>
        <w:t>2019).  And the newly developed GHS sub-categorization criterion was further confirmed to be applicable to the commonly used mouse strain (Kobayashi et al., 2020).</w:t>
      </w:r>
    </w:p>
    <w:p w14:paraId="747C1DE0" w14:textId="6716C451" w:rsidR="008209A2" w:rsidRPr="00546BBA" w:rsidRDefault="008209A2" w:rsidP="008209A2">
      <w:pPr>
        <w:pStyle w:val="SingleTxtG"/>
        <w:jc w:val="center"/>
        <w:rPr>
          <w:color w:val="000000" w:themeColor="text1"/>
        </w:rPr>
      </w:pPr>
      <w:r w:rsidRPr="00546BBA">
        <w:rPr>
          <w:color w:val="000000" w:themeColor="text1"/>
        </w:rPr>
        <w:t>Table 1</w:t>
      </w:r>
      <w:r w:rsidR="00C00BD5">
        <w:rPr>
          <w:color w:val="000000" w:themeColor="text1"/>
        </w:rPr>
        <w:t>:</w:t>
      </w:r>
      <w:r w:rsidRPr="00546BBA">
        <w:rPr>
          <w:color w:val="000000" w:themeColor="text1"/>
        </w:rPr>
        <w:t xml:space="preserve">  Newly developed GHS sub-categorization criterion for LLNA: </w:t>
      </w:r>
      <w:proofErr w:type="spellStart"/>
      <w:r w:rsidRPr="00546BBA">
        <w:rPr>
          <w:color w:val="000000" w:themeColor="text1"/>
        </w:rPr>
        <w:t>BrdU</w:t>
      </w:r>
      <w:proofErr w:type="spellEnd"/>
      <w:r w:rsidRPr="00546BBA">
        <w:rPr>
          <w:color w:val="000000" w:themeColor="text1"/>
        </w:rPr>
        <w:t>-ELISA</w:t>
      </w:r>
    </w:p>
    <w:tbl>
      <w:tblPr>
        <w:tblW w:w="5780" w:type="dxa"/>
        <w:jc w:val="center"/>
        <w:tblCellMar>
          <w:left w:w="99" w:type="dxa"/>
          <w:right w:w="99" w:type="dxa"/>
        </w:tblCellMar>
        <w:tblLook w:val="04A0" w:firstRow="1" w:lastRow="0" w:firstColumn="1" w:lastColumn="0" w:noHBand="0" w:noVBand="1"/>
      </w:tblPr>
      <w:tblGrid>
        <w:gridCol w:w="3200"/>
        <w:gridCol w:w="3189"/>
      </w:tblGrid>
      <w:tr w:rsidR="008209A2" w:rsidRPr="00546BBA" w14:paraId="469B795B" w14:textId="77777777" w:rsidTr="00D645D8">
        <w:trPr>
          <w:trHeight w:val="285"/>
          <w:jc w:val="center"/>
        </w:trPr>
        <w:tc>
          <w:tcPr>
            <w:tcW w:w="13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930705" w14:textId="77777777" w:rsidR="008209A2" w:rsidRPr="00546BBA" w:rsidRDefault="008209A2" w:rsidP="00D645D8">
            <w:pPr>
              <w:pStyle w:val="SingleTxtG"/>
              <w:rPr>
                <w:color w:val="000000" w:themeColor="text1"/>
              </w:rPr>
            </w:pPr>
            <w:r w:rsidRPr="00546BBA">
              <w:rPr>
                <w:color w:val="000000" w:themeColor="text1"/>
              </w:rPr>
              <w:t>Category</w:t>
            </w:r>
          </w:p>
        </w:tc>
        <w:tc>
          <w:tcPr>
            <w:tcW w:w="4480" w:type="dxa"/>
            <w:tcBorders>
              <w:top w:val="single" w:sz="8" w:space="0" w:color="000000"/>
              <w:left w:val="nil"/>
              <w:bottom w:val="single" w:sz="8" w:space="0" w:color="000000"/>
              <w:right w:val="single" w:sz="8" w:space="0" w:color="000000"/>
            </w:tcBorders>
            <w:shd w:val="clear" w:color="auto" w:fill="auto"/>
            <w:vAlign w:val="center"/>
            <w:hideMark/>
          </w:tcPr>
          <w:p w14:paraId="1B813358" w14:textId="77777777" w:rsidR="008209A2" w:rsidRPr="00546BBA" w:rsidRDefault="008209A2" w:rsidP="00D645D8">
            <w:pPr>
              <w:pStyle w:val="SingleTxtG"/>
              <w:rPr>
                <w:color w:val="000000" w:themeColor="text1"/>
              </w:rPr>
            </w:pPr>
            <w:r w:rsidRPr="00546BBA">
              <w:rPr>
                <w:color w:val="000000" w:themeColor="text1"/>
              </w:rPr>
              <w:t>Criterion</w:t>
            </w:r>
          </w:p>
        </w:tc>
      </w:tr>
      <w:tr w:rsidR="008209A2" w:rsidRPr="00546BBA" w14:paraId="46A7B82D" w14:textId="77777777" w:rsidTr="00D645D8">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58B6F59" w14:textId="77777777" w:rsidR="008209A2" w:rsidRPr="00546BBA" w:rsidRDefault="008209A2" w:rsidP="00D645D8">
            <w:pPr>
              <w:pStyle w:val="SingleTxtG"/>
              <w:rPr>
                <w:color w:val="000000" w:themeColor="text1"/>
              </w:rPr>
            </w:pPr>
            <w:r w:rsidRPr="00546BBA">
              <w:rPr>
                <w:color w:val="000000" w:themeColor="text1"/>
              </w:rPr>
              <w:t>Cat.1</w:t>
            </w:r>
          </w:p>
        </w:tc>
        <w:tc>
          <w:tcPr>
            <w:tcW w:w="4480" w:type="dxa"/>
            <w:tcBorders>
              <w:top w:val="nil"/>
              <w:left w:val="nil"/>
              <w:bottom w:val="single" w:sz="8" w:space="0" w:color="000000"/>
              <w:right w:val="single" w:sz="8" w:space="0" w:color="000000"/>
            </w:tcBorders>
            <w:shd w:val="clear" w:color="auto" w:fill="auto"/>
            <w:vAlign w:val="center"/>
            <w:hideMark/>
          </w:tcPr>
          <w:p w14:paraId="613B9A9F" w14:textId="77777777" w:rsidR="008209A2" w:rsidRPr="00546BBA" w:rsidRDefault="008209A2" w:rsidP="00D645D8">
            <w:pPr>
              <w:pStyle w:val="SingleTxtG"/>
              <w:ind w:left="321" w:right="544"/>
              <w:rPr>
                <w:color w:val="000000" w:themeColor="text1"/>
              </w:rPr>
            </w:pPr>
            <w:r w:rsidRPr="00546BBA">
              <w:rPr>
                <w:color w:val="000000" w:themeColor="text1"/>
              </w:rPr>
              <w:t>SI ≥ 1.6</w:t>
            </w:r>
          </w:p>
        </w:tc>
      </w:tr>
      <w:tr w:rsidR="008209A2" w:rsidRPr="00546BBA" w14:paraId="29D86C1E" w14:textId="77777777" w:rsidTr="00D645D8">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B517E33" w14:textId="77777777" w:rsidR="008209A2" w:rsidRPr="00546BBA" w:rsidRDefault="008209A2" w:rsidP="00D645D8">
            <w:pPr>
              <w:pStyle w:val="SingleTxtG"/>
              <w:rPr>
                <w:color w:val="000000" w:themeColor="text1"/>
              </w:rPr>
            </w:pPr>
            <w:r w:rsidRPr="00546BBA">
              <w:rPr>
                <w:color w:val="000000" w:themeColor="text1"/>
              </w:rPr>
              <w:t>Cat.1A</w:t>
            </w:r>
          </w:p>
        </w:tc>
        <w:tc>
          <w:tcPr>
            <w:tcW w:w="4480" w:type="dxa"/>
            <w:tcBorders>
              <w:top w:val="nil"/>
              <w:left w:val="nil"/>
              <w:bottom w:val="single" w:sz="8" w:space="0" w:color="000000"/>
              <w:right w:val="single" w:sz="8" w:space="0" w:color="000000"/>
            </w:tcBorders>
            <w:shd w:val="clear" w:color="auto" w:fill="auto"/>
            <w:vAlign w:val="center"/>
            <w:hideMark/>
          </w:tcPr>
          <w:p w14:paraId="70633AEC" w14:textId="77777777" w:rsidR="008209A2" w:rsidRPr="00546BBA" w:rsidRDefault="008209A2" w:rsidP="00D645D8">
            <w:pPr>
              <w:pStyle w:val="SingleTxtG"/>
              <w:ind w:left="321" w:right="544"/>
              <w:rPr>
                <w:color w:val="000000" w:themeColor="text1"/>
              </w:rPr>
            </w:pPr>
            <w:r w:rsidRPr="00546BBA">
              <w:rPr>
                <w:color w:val="000000" w:themeColor="text1"/>
              </w:rPr>
              <w:t>EC1.6 value ≤ 6%</w:t>
            </w:r>
          </w:p>
        </w:tc>
      </w:tr>
      <w:tr w:rsidR="008209A2" w:rsidRPr="00546BBA" w14:paraId="1976F119" w14:textId="77777777" w:rsidTr="00D645D8">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EB88274" w14:textId="77777777" w:rsidR="008209A2" w:rsidRPr="00546BBA" w:rsidRDefault="008209A2" w:rsidP="00D645D8">
            <w:pPr>
              <w:pStyle w:val="SingleTxtG"/>
              <w:rPr>
                <w:color w:val="000000" w:themeColor="text1"/>
              </w:rPr>
            </w:pPr>
            <w:r w:rsidRPr="00546BBA">
              <w:rPr>
                <w:color w:val="000000" w:themeColor="text1"/>
              </w:rPr>
              <w:t>Cat.1B</w:t>
            </w:r>
          </w:p>
        </w:tc>
        <w:tc>
          <w:tcPr>
            <w:tcW w:w="4480" w:type="dxa"/>
            <w:tcBorders>
              <w:top w:val="nil"/>
              <w:left w:val="nil"/>
              <w:bottom w:val="single" w:sz="8" w:space="0" w:color="000000"/>
              <w:right w:val="single" w:sz="8" w:space="0" w:color="000000"/>
            </w:tcBorders>
            <w:shd w:val="clear" w:color="auto" w:fill="auto"/>
            <w:vAlign w:val="center"/>
            <w:hideMark/>
          </w:tcPr>
          <w:p w14:paraId="377187E3" w14:textId="77777777" w:rsidR="008209A2" w:rsidRPr="00546BBA" w:rsidRDefault="008209A2" w:rsidP="00D645D8">
            <w:pPr>
              <w:pStyle w:val="SingleTxtG"/>
              <w:ind w:left="321" w:right="544"/>
              <w:rPr>
                <w:color w:val="000000" w:themeColor="text1"/>
              </w:rPr>
            </w:pPr>
            <w:r w:rsidRPr="00546BBA">
              <w:rPr>
                <w:color w:val="000000" w:themeColor="text1"/>
              </w:rPr>
              <w:t>EC1.6 value &gt; 6%</w:t>
            </w:r>
          </w:p>
        </w:tc>
      </w:tr>
    </w:tbl>
    <w:p w14:paraId="7390C04F" w14:textId="77777777" w:rsidR="004C70B6" w:rsidRDefault="004C70B6" w:rsidP="004C70B6">
      <w:pPr>
        <w:pStyle w:val="SingleTxtG"/>
      </w:pPr>
    </w:p>
    <w:p w14:paraId="023D55C0" w14:textId="719E8F27" w:rsidR="008209A2" w:rsidRPr="00DF709E" w:rsidRDefault="008209A2" w:rsidP="003B5C03">
      <w:pPr>
        <w:pStyle w:val="SingleTxtG"/>
      </w:pPr>
      <w:r w:rsidRPr="003B5C03">
        <w:t xml:space="preserve">5. </w:t>
      </w:r>
      <w:r w:rsidRPr="003B5C03">
        <w:tab/>
      </w:r>
      <w:r w:rsidR="007F6867" w:rsidRPr="003B5C03">
        <w:t>Japan proposed to include t</w:t>
      </w:r>
      <w:r w:rsidR="00447CC6" w:rsidRPr="003B5C03">
        <w:t xml:space="preserve">he </w:t>
      </w:r>
      <w:r w:rsidR="004C510F" w:rsidRPr="003B5C03">
        <w:t>a</w:t>
      </w:r>
      <w:r w:rsidRPr="003B5C03">
        <w:t xml:space="preserve">bove newly developed criterion in Chapter 3.4 at the </w:t>
      </w:r>
      <w:r w:rsidR="00C00BD5" w:rsidRPr="00DF709E">
        <w:t>thirty-ninth session of the Sub-Committee</w:t>
      </w:r>
      <w:r w:rsidR="00A75959" w:rsidRPr="00DF709E">
        <w:t>.</w:t>
      </w:r>
      <w:r w:rsidRPr="00DF709E">
        <w:t xml:space="preserve"> </w:t>
      </w:r>
      <w:r w:rsidR="00F2097D" w:rsidRPr="00DF709E">
        <w:t>I</w:t>
      </w:r>
      <w:r w:rsidR="00A75959" w:rsidRPr="00DF709E">
        <w:t xml:space="preserve">t </w:t>
      </w:r>
      <w:r w:rsidRPr="00DF709E">
        <w:t xml:space="preserve">was agreed to include </w:t>
      </w:r>
      <w:r w:rsidR="00F2097D" w:rsidRPr="00DF709E">
        <w:t xml:space="preserve">it </w:t>
      </w:r>
      <w:r w:rsidRPr="00DF709E">
        <w:t xml:space="preserve">in the two-year work plan for 2021-2022. Then Japan led the work in parallel and in coordination with the on-going work led by the </w:t>
      </w:r>
      <w:r w:rsidR="00F2097D" w:rsidRPr="00DF709E">
        <w:t>United Kin</w:t>
      </w:r>
      <w:r w:rsidR="00A92C48" w:rsidRPr="00DF709E">
        <w:t>gdom</w:t>
      </w:r>
      <w:r w:rsidR="00F2097D" w:rsidRPr="00DF709E">
        <w:t xml:space="preserve"> </w:t>
      </w:r>
      <w:r w:rsidRPr="00DF709E">
        <w:t>and the Netherlands.</w:t>
      </w:r>
    </w:p>
    <w:p w14:paraId="060F4F38" w14:textId="74B5C2A5" w:rsidR="008209A2" w:rsidRPr="003B5C03" w:rsidRDefault="008209A2" w:rsidP="004C70B6">
      <w:pPr>
        <w:pStyle w:val="SingleTxtG"/>
      </w:pPr>
      <w:r w:rsidRPr="004C70B6">
        <w:t>6.</w:t>
      </w:r>
      <w:r w:rsidRPr="004C70B6">
        <w:tab/>
        <w:t xml:space="preserve">Meanwhile, the </w:t>
      </w:r>
      <w:r w:rsidRPr="003B5C03">
        <w:rPr>
          <w:rFonts w:hint="eastAsia"/>
        </w:rPr>
        <w:t>OECD</w:t>
      </w:r>
      <w:r w:rsidRPr="003B5C03">
        <w:t xml:space="preserve"> secretariat</w:t>
      </w:r>
      <w:r w:rsidRPr="003B5C03">
        <w:rPr>
          <w:rFonts w:hint="eastAsia"/>
        </w:rPr>
        <w:t xml:space="preserve"> </w:t>
      </w:r>
      <w:r w:rsidRPr="003B5C03">
        <w:t xml:space="preserve">kindly coordinated the </w:t>
      </w:r>
      <w:r w:rsidR="00A92C48" w:rsidRPr="003B5C03">
        <w:t>p</w:t>
      </w:r>
      <w:r w:rsidRPr="003B5C03">
        <w:t xml:space="preserve">eer </w:t>
      </w:r>
      <w:r w:rsidR="00A92C48" w:rsidRPr="003B5C03">
        <w:t>r</w:t>
      </w:r>
      <w:r w:rsidRPr="003B5C03">
        <w:t>eview work</w:t>
      </w:r>
      <w:r w:rsidRPr="003B5C03">
        <w:rPr>
          <w:rFonts w:hint="eastAsia"/>
        </w:rPr>
        <w:t xml:space="preserve"> to </w:t>
      </w:r>
      <w:r w:rsidRPr="003B5C03">
        <w:t>evaluate</w:t>
      </w:r>
      <w:r w:rsidRPr="003B5C03">
        <w:rPr>
          <w:rFonts w:hint="eastAsia"/>
        </w:rPr>
        <w:t xml:space="preserve"> the rationale</w:t>
      </w:r>
      <w:r w:rsidRPr="003B5C03">
        <w:t>, validity, and the applicability</w:t>
      </w:r>
      <w:r w:rsidRPr="003B5C03">
        <w:rPr>
          <w:rFonts w:hint="eastAsia"/>
        </w:rPr>
        <w:t xml:space="preserve"> </w:t>
      </w:r>
      <w:r w:rsidRPr="003B5C03">
        <w:t>of</w:t>
      </w:r>
      <w:r w:rsidRPr="003B5C03">
        <w:rPr>
          <w:rFonts w:hint="eastAsia"/>
        </w:rPr>
        <w:t xml:space="preserve"> the proposed criterion</w:t>
      </w:r>
      <w:r w:rsidRPr="003B5C03">
        <w:t xml:space="preserve">, and the review work was conducted from June 2021 to October 2021 by the Peer Review Panel (PRP), composed of five experts from the OECD Expert Group on Skin Sensitization. The PRP concluded in the </w:t>
      </w:r>
      <w:r w:rsidR="00A92C48" w:rsidRPr="003B5C03">
        <w:t>p</w:t>
      </w:r>
      <w:r w:rsidRPr="003B5C03">
        <w:t xml:space="preserve">eer </w:t>
      </w:r>
      <w:r w:rsidR="00A92C48" w:rsidRPr="003B5C03">
        <w:t>r</w:t>
      </w:r>
      <w:r w:rsidRPr="003B5C03">
        <w:t xml:space="preserve">eview </w:t>
      </w:r>
      <w:r w:rsidR="00A92C48" w:rsidRPr="003B5C03">
        <w:t>r</w:t>
      </w:r>
      <w:r w:rsidRPr="003B5C03">
        <w:t xml:space="preserve">eport (see </w:t>
      </w:r>
      <w:r w:rsidR="00A92C48" w:rsidRPr="003B5C03">
        <w:t xml:space="preserve">informal document </w:t>
      </w:r>
      <w:r w:rsidRPr="003B5C03">
        <w:t>INF.</w:t>
      </w:r>
      <w:r w:rsidR="006946DA" w:rsidRPr="004C70B6">
        <w:t>4</w:t>
      </w:r>
      <w:r w:rsidRPr="004C70B6">
        <w:t>)</w:t>
      </w:r>
      <w:r w:rsidRPr="00562A50">
        <w:t xml:space="preserve"> that the proposed criterion, evaluated based on the materials submitted, met the validation principles of OECD </w:t>
      </w:r>
      <w:r w:rsidR="003752FE">
        <w:t>Guidance Document</w:t>
      </w:r>
      <w:r w:rsidRPr="00562A50">
        <w:t xml:space="preserve"> 34. </w:t>
      </w:r>
      <w:r w:rsidRPr="003B5C03">
        <w:rPr>
          <w:rFonts w:hint="eastAsia"/>
        </w:rPr>
        <w:t xml:space="preserve"> </w:t>
      </w:r>
      <w:r w:rsidRPr="003B5C03">
        <w:t>Japanese response</w:t>
      </w:r>
      <w:r w:rsidRPr="003B5C03">
        <w:rPr>
          <w:rFonts w:hint="eastAsia"/>
        </w:rPr>
        <w:t>s</w:t>
      </w:r>
      <w:r w:rsidRPr="003B5C03">
        <w:t xml:space="preserve"> to comments from the PRP are provided in </w:t>
      </w:r>
      <w:r w:rsidR="00372CC9" w:rsidRPr="003B5C03">
        <w:t xml:space="preserve">informal document </w:t>
      </w:r>
      <w:r w:rsidRPr="003B5C03">
        <w:t>INF.</w:t>
      </w:r>
      <w:r w:rsidR="00F07419" w:rsidRPr="003B5C03">
        <w:t>5</w:t>
      </w:r>
      <w:r w:rsidRPr="003B5C03">
        <w:t>.</w:t>
      </w:r>
    </w:p>
    <w:p w14:paraId="145EBEC1" w14:textId="479F725A" w:rsidR="008209A2" w:rsidRPr="003B5C03" w:rsidRDefault="008209A2" w:rsidP="003B5C03">
      <w:pPr>
        <w:pStyle w:val="SingleTxtG"/>
      </w:pPr>
      <w:r w:rsidRPr="003B5C03">
        <w:t xml:space="preserve">7. </w:t>
      </w:r>
      <w:r w:rsidRPr="003B5C03">
        <w:tab/>
        <w:t xml:space="preserve">As for the additional information, Japanese researchers conducted the survey on the OECD </w:t>
      </w:r>
      <w:proofErr w:type="spellStart"/>
      <w:r w:rsidRPr="003B5C03">
        <w:t>eChemPortal</w:t>
      </w:r>
      <w:proofErr w:type="spellEnd"/>
      <w:r w:rsidRPr="003B5C03">
        <w:t xml:space="preserve"> to find skin sensitisation test data obtained by the LLNA: </w:t>
      </w:r>
      <w:proofErr w:type="spellStart"/>
      <w:r w:rsidRPr="003B5C03">
        <w:t>BrdU</w:t>
      </w:r>
      <w:proofErr w:type="spellEnd"/>
      <w:r w:rsidRPr="003B5C03">
        <w:t>-ELISA registered in the REACH (</w:t>
      </w:r>
      <w:proofErr w:type="spellStart"/>
      <w:r w:rsidRPr="003B5C03">
        <w:t>Takeyoshi</w:t>
      </w:r>
      <w:proofErr w:type="spellEnd"/>
      <w:r w:rsidRPr="003B5C03">
        <w:t xml:space="preserve"> and Nara, 2021), and they found an issue of incorrect application of the existing sub-categorisation criteria for LLNA-RI to the data derived from the LLNA: </w:t>
      </w:r>
      <w:proofErr w:type="spellStart"/>
      <w:r w:rsidRPr="003B5C03">
        <w:t>BrdU</w:t>
      </w:r>
      <w:proofErr w:type="spellEnd"/>
      <w:r w:rsidRPr="003B5C03">
        <w:t xml:space="preserve">-ELISA, using EC1.6 with </w:t>
      </w:r>
      <w:r w:rsidR="00E03EF1" w:rsidRPr="003B5C03">
        <w:t xml:space="preserve">a </w:t>
      </w:r>
      <w:r w:rsidRPr="003B5C03">
        <w:t xml:space="preserve">cut-off of 2%. The survey reported that some chemicals predicted based on EC1.6 range from 2% to 6% may be underestimated for their sensitization potential. </w:t>
      </w:r>
      <w:proofErr w:type="gramStart"/>
      <w:r w:rsidRPr="003B5C03">
        <w:t>In order to</w:t>
      </w:r>
      <w:proofErr w:type="gramEnd"/>
      <w:r w:rsidRPr="003B5C03">
        <w:t xml:space="preserve"> avoid incorrect application of the GHS criteria and incorrect </w:t>
      </w:r>
      <w:r w:rsidRPr="003B5C03">
        <w:rPr>
          <w:rFonts w:hint="eastAsia"/>
        </w:rPr>
        <w:t>h</w:t>
      </w:r>
      <w:r w:rsidRPr="003B5C03">
        <w:t>azard communication for the chemicals, a speedy and appropriate revision of the GHS would be desirable.</w:t>
      </w:r>
      <w:r w:rsidRPr="003B5C03">
        <w:rPr>
          <w:rFonts w:hint="eastAsia"/>
        </w:rPr>
        <w:t xml:space="preserve"> </w:t>
      </w:r>
      <w:r w:rsidRPr="003B5C03">
        <w:t xml:space="preserve">Application of the sub-categorisation criterion will also allow for making correct classification for existing data that have been obtained and accumulated from using LLNA: </w:t>
      </w:r>
      <w:proofErr w:type="spellStart"/>
      <w:r w:rsidRPr="003B5C03">
        <w:t>BrdU</w:t>
      </w:r>
      <w:proofErr w:type="spellEnd"/>
      <w:r w:rsidRPr="003B5C03">
        <w:t>-ELISA.</w:t>
      </w:r>
    </w:p>
    <w:p w14:paraId="11C8B2CB" w14:textId="61058148" w:rsidR="008209A2" w:rsidRPr="003B5C03" w:rsidRDefault="008209A2" w:rsidP="003B5C03">
      <w:pPr>
        <w:pStyle w:val="SingleTxtG"/>
      </w:pPr>
      <w:r w:rsidRPr="003B5C03">
        <w:t>8</w:t>
      </w:r>
      <w:r w:rsidRPr="003B5C03">
        <w:rPr>
          <w:rFonts w:hint="eastAsia"/>
        </w:rPr>
        <w:t xml:space="preserve">. </w:t>
      </w:r>
      <w:r w:rsidRPr="003B5C03">
        <w:rPr>
          <w:rFonts w:hint="eastAsia"/>
        </w:rPr>
        <w:tab/>
      </w:r>
      <w:r w:rsidRPr="003B5C03">
        <w:t>Taken together the above situations of the non-</w:t>
      </w:r>
      <w:proofErr w:type="spellStart"/>
      <w:r w:rsidRPr="003B5C03">
        <w:t>radioisotopic</w:t>
      </w:r>
      <w:proofErr w:type="spellEnd"/>
      <w:r w:rsidRPr="003B5C03">
        <w:t xml:space="preserve"> alternatives to LLNA listed in OECD TG442A/B,</w:t>
      </w:r>
      <w:r w:rsidRPr="003B5C03" w:rsidDel="00C44F94">
        <w:t xml:space="preserve"> </w:t>
      </w:r>
      <w:r w:rsidRPr="003B5C03">
        <w:t xml:space="preserve">we propose to add the descriptions of </w:t>
      </w:r>
      <w:r w:rsidR="0067611D" w:rsidRPr="003B5C03">
        <w:t xml:space="preserve">the </w:t>
      </w:r>
      <w:r w:rsidRPr="003B5C03">
        <w:t>criteria for these methods. In addition, we also propose to add</w:t>
      </w:r>
      <w:r w:rsidR="00761BFA" w:rsidRPr="003B5C03">
        <w:t xml:space="preserve"> the</w:t>
      </w:r>
      <w:r w:rsidRPr="003B5C03">
        <w:t xml:space="preserve"> sub-categorization criterion using the data derived from LLNA: </w:t>
      </w:r>
      <w:proofErr w:type="spellStart"/>
      <w:r w:rsidRPr="003B5C03">
        <w:t>BrdU</w:t>
      </w:r>
      <w:proofErr w:type="spellEnd"/>
      <w:r w:rsidRPr="003B5C03">
        <w:t>-ELISA listed in OECD TG442B. This approach would achieve a clarification of the GHS categorization when using the non-</w:t>
      </w:r>
      <w:proofErr w:type="spellStart"/>
      <w:r w:rsidRPr="003B5C03">
        <w:t>radioisotopic</w:t>
      </w:r>
      <w:proofErr w:type="spellEnd"/>
      <w:r w:rsidRPr="003B5C03">
        <w:t xml:space="preserve"> alternatives to LLNA, and the further sub-categorization of GHS</w:t>
      </w:r>
      <w:r w:rsidR="00761BFA" w:rsidRPr="003B5C03">
        <w:t xml:space="preserve"> </w:t>
      </w:r>
      <w:r w:rsidRPr="003B5C03">
        <w:t xml:space="preserve">1A/1B </w:t>
      </w:r>
      <w:r w:rsidR="00761BFA" w:rsidRPr="003B5C03">
        <w:t xml:space="preserve">sub-categories </w:t>
      </w:r>
      <w:r w:rsidRPr="003B5C03">
        <w:t xml:space="preserve">by using LLNA: </w:t>
      </w:r>
      <w:proofErr w:type="spellStart"/>
      <w:r w:rsidRPr="003B5C03">
        <w:t>BrdU</w:t>
      </w:r>
      <w:proofErr w:type="spellEnd"/>
      <w:r w:rsidRPr="003B5C03">
        <w:t>-ELISA. Then this approach would be helpful for avoiding incorrect application of the GHS criteria and incorrect hazard communication for the chemicals.</w:t>
      </w:r>
    </w:p>
    <w:p w14:paraId="525E3A09" w14:textId="614866FB" w:rsidR="008209A2" w:rsidRPr="004C70B6" w:rsidRDefault="008209A2" w:rsidP="003B5C03">
      <w:pPr>
        <w:pStyle w:val="SingleTxtG"/>
      </w:pPr>
      <w:r w:rsidRPr="003B5C03">
        <w:t xml:space="preserve">9. </w:t>
      </w:r>
      <w:r w:rsidRPr="003B5C03">
        <w:tab/>
        <w:t xml:space="preserve">To provide clarity on </w:t>
      </w:r>
      <w:r w:rsidRPr="004C70B6">
        <w:t xml:space="preserve">the classification of skin sensitization in Category 1 using animal studies, it is </w:t>
      </w:r>
      <w:r w:rsidRPr="003B5C03">
        <w:t>proposed to amend</w:t>
      </w:r>
      <w:r w:rsidRPr="004C70B6">
        <w:t xml:space="preserve"> paragraph 3.4.2.2.3.1 </w:t>
      </w:r>
      <w:r w:rsidR="00DD5EB9" w:rsidRPr="004C70B6">
        <w:t xml:space="preserve">of </w:t>
      </w:r>
      <w:r w:rsidR="0069649E" w:rsidRPr="00562A50">
        <w:t xml:space="preserve">the </w:t>
      </w:r>
      <w:r w:rsidR="00DD5EB9" w:rsidRPr="003B5C03">
        <w:t xml:space="preserve">GHS </w:t>
      </w:r>
      <w:r w:rsidR="0069649E" w:rsidRPr="003B5C03">
        <w:t>(see proposal in paragraph</w:t>
      </w:r>
      <w:r w:rsidR="00ED5FF6" w:rsidRPr="003B5C03">
        <w:t xml:space="preserve"> 13 below</w:t>
      </w:r>
      <w:r w:rsidR="00DD5EB9" w:rsidRPr="003B5C03">
        <w:t xml:space="preserve">. </w:t>
      </w:r>
      <w:bookmarkStart w:id="1" w:name="_Hlk98840877"/>
    </w:p>
    <w:bookmarkEnd w:id="1"/>
    <w:p w14:paraId="03E548EF" w14:textId="6AE6B2DE" w:rsidR="008209A2" w:rsidRPr="004C70B6" w:rsidRDefault="008209A2" w:rsidP="003B5C03">
      <w:pPr>
        <w:pStyle w:val="SingleTxtG"/>
      </w:pPr>
      <w:r w:rsidRPr="004C70B6">
        <w:t>10.</w:t>
      </w:r>
      <w:r w:rsidRPr="004C70B6">
        <w:tab/>
        <w:t>To assist classifiers and users of the GHS, it was also considered appropriate to present this information in a table format</w:t>
      </w:r>
      <w:r w:rsidR="00C84799" w:rsidRPr="004C70B6">
        <w:t xml:space="preserve">. Therefore, </w:t>
      </w:r>
      <w:r w:rsidRPr="004C70B6">
        <w:t>it is proposed to insert a new</w:t>
      </w:r>
      <w:r w:rsidR="00AE62D0" w:rsidRPr="004C70B6">
        <w:t xml:space="preserve"> </w:t>
      </w:r>
      <w:r w:rsidRPr="004C70B6">
        <w:t xml:space="preserve">Table 3.4.3 </w:t>
      </w:r>
      <w:r w:rsidR="000635A7" w:rsidRPr="004C70B6">
        <w:t>(</w:t>
      </w:r>
      <w:r w:rsidRPr="004C70B6">
        <w:t>on animal study test results for category 1</w:t>
      </w:r>
      <w:r w:rsidR="000635A7" w:rsidRPr="004C70B6">
        <w:t xml:space="preserve">) </w:t>
      </w:r>
      <w:r w:rsidR="006C7E7C" w:rsidRPr="004C70B6">
        <w:t>under 3.4.2.2.3.1 (see proposal in paragraph 14).</w:t>
      </w:r>
    </w:p>
    <w:p w14:paraId="693DC2A9" w14:textId="0F5FE350" w:rsidR="008209A2" w:rsidRPr="004C70B6" w:rsidRDefault="008209A2" w:rsidP="00DF709E">
      <w:pPr>
        <w:pStyle w:val="SingleTxtG"/>
        <w:spacing w:before="240"/>
      </w:pPr>
      <w:r w:rsidRPr="004C70B6">
        <w:t>11.</w:t>
      </w:r>
      <w:r w:rsidRPr="004C70B6">
        <w:tab/>
        <w:t>This new table would also require consequential amendments to renumber the existing tables, together with the related table references that are provided in</w:t>
      </w:r>
      <w:r w:rsidR="00042C77" w:rsidRPr="004C70B6">
        <w:t xml:space="preserve">  3.4.2.2.3.2</w:t>
      </w:r>
      <w:r w:rsidR="00EE0D75" w:rsidRPr="004C70B6">
        <w:t xml:space="preserve">, (table on animal test results for sub-category 1A),  3.4.2.2.3.3 (table on animal test results for sub-category 1B); </w:t>
      </w:r>
      <w:r w:rsidR="00F13DC3" w:rsidRPr="004C70B6">
        <w:t>3.4.3.3 (table on “Cut-off values/concentration limits of ingredients of a mixture classified as either respiratory sensitizer or skin sensitizer that would trigger classification of the mixture”), 3.4.4.1 (table on label elements for respiratory or skin sensitization)</w:t>
      </w:r>
      <w:r w:rsidR="00FE45B9" w:rsidRPr="004C70B6">
        <w:t xml:space="preserve"> and decision logics 3.4.1 and 3.4.2. The required consequential amendments are listed in paragraphs </w:t>
      </w:r>
      <w:r w:rsidR="00CB3BDC" w:rsidRPr="004C70B6">
        <w:t>15 to 20 below.</w:t>
      </w:r>
    </w:p>
    <w:p w14:paraId="5104A102" w14:textId="7C570F07" w:rsidR="004C70B6" w:rsidRDefault="008209A2" w:rsidP="00562A50">
      <w:pPr>
        <w:pStyle w:val="SingleTxtG"/>
      </w:pPr>
      <w:r w:rsidRPr="00546BBA">
        <w:lastRenderedPageBreak/>
        <w:t xml:space="preserve">12. </w:t>
      </w:r>
      <w:r w:rsidRPr="00546BBA">
        <w:tab/>
        <w:t xml:space="preserve">For the tables on animal test results for sub-category 1A and 1B it is proposed to insert new criteria </w:t>
      </w:r>
      <w:r w:rsidR="00B57646" w:rsidRPr="00DF709E">
        <w:t>(</w:t>
      </w:r>
      <w:r w:rsidR="004C70B6" w:rsidRPr="00DF709E">
        <w:t>“</w:t>
      </w:r>
      <w:r w:rsidR="00B57646" w:rsidRPr="00DF709E">
        <w:rPr>
          <w:spacing w:val="-8"/>
        </w:rPr>
        <w:t xml:space="preserve">EC1.6 value </w:t>
      </w:r>
      <w:r w:rsidR="00DF709E">
        <w:rPr>
          <w:spacing w:val="-8"/>
        </w:rPr>
        <w:t>≤</w:t>
      </w:r>
      <w:r w:rsidR="00B57646" w:rsidRPr="00DF709E">
        <w:rPr>
          <w:spacing w:val="-8"/>
        </w:rPr>
        <w:t xml:space="preserve"> 6%</w:t>
      </w:r>
      <w:r w:rsidR="004C70B6" w:rsidRPr="00DF709E">
        <w:rPr>
          <w:spacing w:val="-8"/>
        </w:rPr>
        <w:t>”</w:t>
      </w:r>
      <w:r w:rsidR="00DF709E">
        <w:rPr>
          <w:spacing w:val="-8"/>
        </w:rPr>
        <w:t xml:space="preserve"> and </w:t>
      </w:r>
      <w:r w:rsidR="00DF709E" w:rsidRPr="00DF709E">
        <w:t>“</w:t>
      </w:r>
      <w:r w:rsidR="00DF709E" w:rsidRPr="00DF709E">
        <w:rPr>
          <w:spacing w:val="-8"/>
        </w:rPr>
        <w:t xml:space="preserve">EC1.6 value </w:t>
      </w:r>
      <w:proofErr w:type="gramStart"/>
      <w:r w:rsidR="00DF709E" w:rsidRPr="00DF709E">
        <w:rPr>
          <w:b/>
          <w:bCs/>
          <w:color w:val="000000" w:themeColor="text1"/>
          <w:spacing w:val="-8"/>
          <w:sz w:val="19"/>
        </w:rPr>
        <w:t xml:space="preserve">&gt; </w:t>
      </w:r>
      <w:r w:rsidR="00DF709E">
        <w:rPr>
          <w:spacing w:val="-8"/>
        </w:rPr>
        <w:t> </w:t>
      </w:r>
      <w:r w:rsidR="00DF709E" w:rsidRPr="00DF709E">
        <w:rPr>
          <w:spacing w:val="-8"/>
        </w:rPr>
        <w:t>6</w:t>
      </w:r>
      <w:proofErr w:type="gramEnd"/>
      <w:r w:rsidR="00DF709E" w:rsidRPr="00DF709E">
        <w:rPr>
          <w:spacing w:val="-8"/>
        </w:rPr>
        <w:t>%”</w:t>
      </w:r>
      <w:r w:rsidR="00DF709E">
        <w:rPr>
          <w:spacing w:val="-8"/>
        </w:rPr>
        <w:t xml:space="preserve"> respectively</w:t>
      </w:r>
      <w:r w:rsidR="00B57646" w:rsidRPr="00DF709E">
        <w:rPr>
          <w:spacing w:val="-8"/>
        </w:rPr>
        <w:t>)</w:t>
      </w:r>
      <w:r w:rsidR="00B57646">
        <w:rPr>
          <w:b/>
          <w:bCs/>
          <w:spacing w:val="-8"/>
          <w:u w:val="single"/>
        </w:rPr>
        <w:t xml:space="preserve"> </w:t>
      </w:r>
      <w:r w:rsidRPr="00546BBA">
        <w:t xml:space="preserve">for the Local lymph node assay: </w:t>
      </w:r>
      <w:proofErr w:type="spellStart"/>
      <w:r w:rsidRPr="00546BBA">
        <w:t>BrdU</w:t>
      </w:r>
      <w:proofErr w:type="spellEnd"/>
      <w:r w:rsidRPr="00546BBA">
        <w:t>-ELISA</w:t>
      </w:r>
      <w:r w:rsidR="00A71FF1">
        <w:t xml:space="preserve"> (</w:t>
      </w:r>
      <w:r w:rsidR="00CB3BDC">
        <w:t xml:space="preserve">See </w:t>
      </w:r>
      <w:r w:rsidR="00A71FF1">
        <w:t>proposal</w:t>
      </w:r>
      <w:r w:rsidR="00CB3BDC">
        <w:t xml:space="preserve"> in paragraphs </w:t>
      </w:r>
      <w:r w:rsidR="003268E5">
        <w:t>15 and 16 below</w:t>
      </w:r>
      <w:r w:rsidR="00A71FF1">
        <w:t>)</w:t>
      </w:r>
      <w:r w:rsidR="003268E5">
        <w:t>.</w:t>
      </w:r>
      <w:r w:rsidR="004C70B6">
        <w:t xml:space="preserve"> </w:t>
      </w:r>
    </w:p>
    <w:p w14:paraId="09376646" w14:textId="10284E7A" w:rsidR="008209A2" w:rsidRPr="004C70B6" w:rsidRDefault="004C70B6" w:rsidP="00DF709E">
      <w:pPr>
        <w:pStyle w:val="SingleTxtG"/>
      </w:pPr>
      <w:r>
        <w:t xml:space="preserve"> In </w:t>
      </w:r>
      <w:r w:rsidR="008209A2" w:rsidRPr="004C70B6">
        <w:t>In</w:t>
      </w:r>
      <w:r w:rsidR="008209A2" w:rsidRPr="00562A50">
        <w:t xml:space="preserve"> addition, it is proposed to insert a new </w:t>
      </w:r>
      <w:r w:rsidR="008209A2" w:rsidRPr="004C70B6">
        <w:t>note beneath each of these tables providing additional information that currently</w:t>
      </w:r>
      <w:r w:rsidR="003268E5" w:rsidRPr="004C70B6">
        <w:t>,</w:t>
      </w:r>
      <w:r w:rsidR="008209A2" w:rsidRPr="004C70B6">
        <w:t xml:space="preserve"> there is no validated and internationally agreed criteria for subcategorization of skin sensitizers for LLNA: DA and LLNA: </w:t>
      </w:r>
      <w:proofErr w:type="spellStart"/>
      <w:r w:rsidR="008209A2" w:rsidRPr="004C70B6">
        <w:t>BrdU</w:t>
      </w:r>
      <w:proofErr w:type="spellEnd"/>
      <w:r w:rsidR="008209A2" w:rsidRPr="004C70B6">
        <w:t>-FCM as detailed in paragraphs 15 and 16 to avoid incorrect sub-categorization with these methods.</w:t>
      </w:r>
    </w:p>
    <w:p w14:paraId="5CC8ED28" w14:textId="77777777" w:rsidR="00BD1275" w:rsidRDefault="008209A2" w:rsidP="00591F38">
      <w:pPr>
        <w:pStyle w:val="SingleTxtG"/>
        <w:rPr>
          <w:b/>
          <w:bCs/>
          <w:color w:val="000000" w:themeColor="text1"/>
          <w:sz w:val="28"/>
          <w:szCs w:val="28"/>
        </w:rPr>
      </w:pPr>
      <w:r w:rsidRPr="00546BBA">
        <w:rPr>
          <w:b/>
          <w:bCs/>
          <w:color w:val="000000" w:themeColor="text1"/>
          <w:sz w:val="28"/>
          <w:szCs w:val="28"/>
        </w:rPr>
        <w:t xml:space="preserve">Proposed amendments </w:t>
      </w:r>
    </w:p>
    <w:p w14:paraId="1E2D771D" w14:textId="55932A32" w:rsidR="008209A2" w:rsidRPr="00546BBA" w:rsidRDefault="00205D07" w:rsidP="00591F38">
      <w:pPr>
        <w:pStyle w:val="SingleTxtG"/>
        <w:rPr>
          <w:b/>
          <w:bCs/>
          <w:color w:val="000000" w:themeColor="text1"/>
          <w:sz w:val="28"/>
          <w:szCs w:val="28"/>
        </w:rPr>
      </w:pPr>
      <w:r w:rsidRPr="00BD1275">
        <w:rPr>
          <w:i/>
          <w:iCs/>
        </w:rPr>
        <w:t>(</w:t>
      </w:r>
      <w:proofErr w:type="gramStart"/>
      <w:r w:rsidRPr="00BD1275">
        <w:rPr>
          <w:i/>
          <w:iCs/>
        </w:rPr>
        <w:t>new</w:t>
      </w:r>
      <w:proofErr w:type="gramEnd"/>
      <w:r w:rsidRPr="00BD1275">
        <w:rPr>
          <w:i/>
          <w:iCs/>
        </w:rPr>
        <w:t xml:space="preserve"> text is shown in bold, underlined)</w:t>
      </w:r>
      <w:r>
        <w:rPr>
          <w:b/>
          <w:bCs/>
          <w:color w:val="000000" w:themeColor="text1"/>
          <w:sz w:val="28"/>
          <w:szCs w:val="28"/>
        </w:rPr>
        <w:t xml:space="preserve"> </w:t>
      </w:r>
    </w:p>
    <w:p w14:paraId="513F5BFD" w14:textId="77777777" w:rsidR="008209A2" w:rsidRPr="00546BBA" w:rsidRDefault="008209A2" w:rsidP="008209A2">
      <w:pPr>
        <w:pStyle w:val="SingleTxtG"/>
        <w:rPr>
          <w:color w:val="000000" w:themeColor="text1"/>
        </w:rPr>
      </w:pPr>
      <w:r w:rsidRPr="00546BBA">
        <w:rPr>
          <w:color w:val="000000" w:themeColor="text1"/>
        </w:rPr>
        <w:t>13.</w:t>
      </w:r>
      <w:r w:rsidRPr="00546BBA">
        <w:rPr>
          <w:color w:val="000000" w:themeColor="text1"/>
        </w:rPr>
        <w:tab/>
        <w:t>Replace paragraph 3.4.2.2.3.1 with:</w:t>
      </w:r>
    </w:p>
    <w:p w14:paraId="06B8EB8E" w14:textId="2FE995D5" w:rsidR="008209A2" w:rsidRPr="00546BBA" w:rsidRDefault="008209A2" w:rsidP="008209A2">
      <w:pPr>
        <w:spacing w:before="216" w:line="240" w:lineRule="exact"/>
        <w:ind w:left="1418" w:right="1134"/>
        <w:jc w:val="both"/>
        <w:rPr>
          <w:color w:val="000000" w:themeColor="text1"/>
          <w:sz w:val="19"/>
        </w:rPr>
      </w:pPr>
      <w:r w:rsidRPr="00546BBA">
        <w:rPr>
          <w:color w:val="000000" w:themeColor="text1"/>
          <w:spacing w:val="-6"/>
          <w:sz w:val="19"/>
        </w:rPr>
        <w:t xml:space="preserve">“3.4.2.2.3.1 </w:t>
      </w:r>
      <w:r w:rsidRPr="00546BBA">
        <w:rPr>
          <w:color w:val="000000" w:themeColor="text1"/>
          <w:spacing w:val="-6"/>
          <w:sz w:val="19"/>
        </w:rPr>
        <w:tab/>
      </w:r>
      <w:r w:rsidRPr="00546BBA">
        <w:rPr>
          <w:color w:val="000000" w:themeColor="text1"/>
          <w:sz w:val="19"/>
        </w:rPr>
        <w:t>For Category 1, when an adjuvant type test method for skin sensitization is used, a response of at least</w:t>
      </w:r>
      <w:r w:rsidRPr="00546BBA">
        <w:rPr>
          <w:rFonts w:hint="eastAsia"/>
          <w:color w:val="000000" w:themeColor="text1"/>
          <w:sz w:val="19"/>
        </w:rPr>
        <w:t xml:space="preserve"> </w:t>
      </w:r>
      <w:r w:rsidRPr="00546BBA">
        <w:rPr>
          <w:color w:val="000000" w:themeColor="text1"/>
          <w:spacing w:val="1"/>
          <w:sz w:val="19"/>
        </w:rPr>
        <w:t xml:space="preserve">30% of the animals is considered as positive. For a non-adjuvant Guinea pig test </w:t>
      </w:r>
      <w:proofErr w:type="gramStart"/>
      <w:r w:rsidRPr="00546BBA">
        <w:rPr>
          <w:color w:val="000000" w:themeColor="text1"/>
          <w:spacing w:val="1"/>
          <w:sz w:val="19"/>
        </w:rPr>
        <w:t>method</w:t>
      </w:r>
      <w:proofErr w:type="gramEnd"/>
      <w:r w:rsidRPr="00546BBA">
        <w:rPr>
          <w:color w:val="000000" w:themeColor="text1"/>
          <w:spacing w:val="1"/>
          <w:sz w:val="19"/>
        </w:rPr>
        <w:t xml:space="preserve"> a response of at least 15% of </w:t>
      </w:r>
      <w:r w:rsidRPr="00546BBA">
        <w:rPr>
          <w:color w:val="000000" w:themeColor="text1"/>
          <w:spacing w:val="3"/>
          <w:sz w:val="19"/>
        </w:rPr>
        <w:t xml:space="preserve">the animals is considered positive. For Category 1, a stimulation index of three or more is considered a positive </w:t>
      </w:r>
      <w:r w:rsidRPr="00546BBA">
        <w:rPr>
          <w:color w:val="000000" w:themeColor="text1"/>
          <w:spacing w:val="1"/>
          <w:sz w:val="19"/>
        </w:rPr>
        <w:t xml:space="preserve">response in the </w:t>
      </w:r>
      <w:proofErr w:type="spellStart"/>
      <w:r w:rsidRPr="00546BBA">
        <w:rPr>
          <w:b/>
          <w:bCs/>
          <w:color w:val="000000" w:themeColor="text1"/>
          <w:spacing w:val="1"/>
          <w:sz w:val="19"/>
          <w:u w:val="single"/>
        </w:rPr>
        <w:t>radioisotopic</w:t>
      </w:r>
      <w:proofErr w:type="spellEnd"/>
      <w:r w:rsidRPr="00546BBA">
        <w:rPr>
          <w:color w:val="000000" w:themeColor="text1"/>
          <w:spacing w:val="1"/>
          <w:sz w:val="19"/>
        </w:rPr>
        <w:t xml:space="preserve"> local lymph node assay </w:t>
      </w:r>
      <w:r w:rsidRPr="00546BBA">
        <w:rPr>
          <w:b/>
          <w:bCs/>
          <w:color w:val="000000" w:themeColor="text1"/>
          <w:spacing w:val="1"/>
          <w:sz w:val="19"/>
          <w:u w:val="single"/>
        </w:rPr>
        <w:t>(LLNA)</w:t>
      </w:r>
      <w:r w:rsidRPr="00546BBA">
        <w:rPr>
          <w:rFonts w:hint="eastAsia"/>
          <w:b/>
          <w:bCs/>
          <w:color w:val="000000" w:themeColor="text1"/>
          <w:spacing w:val="1"/>
          <w:sz w:val="19"/>
          <w:u w:val="single"/>
          <w:lang w:eastAsia="ja-JP"/>
        </w:rPr>
        <w:t>.</w:t>
      </w:r>
      <w:r w:rsidRPr="00546BBA">
        <w:rPr>
          <w:b/>
          <w:bCs/>
          <w:color w:val="000000" w:themeColor="text1"/>
          <w:spacing w:val="1"/>
          <w:sz w:val="19"/>
          <w:u w:val="single"/>
        </w:rPr>
        <w:t xml:space="preserve"> </w:t>
      </w:r>
      <w:r w:rsidRPr="00546BBA">
        <w:rPr>
          <w:b/>
          <w:bCs/>
          <w:color w:val="000000" w:themeColor="text1"/>
          <w:u w:val="single"/>
        </w:rPr>
        <w:t>For the non-radioactive modifications to the LLNA,</w:t>
      </w:r>
      <w:r w:rsidRPr="00546BBA">
        <w:rPr>
          <w:b/>
          <w:bCs/>
          <w:color w:val="000000" w:themeColor="text1"/>
          <w:spacing w:val="1"/>
          <w:sz w:val="19"/>
          <w:u w:val="single"/>
        </w:rPr>
        <w:t xml:space="preserve"> </w:t>
      </w:r>
      <w:r w:rsidRPr="00546BBA">
        <w:rPr>
          <w:b/>
          <w:bCs/>
          <w:color w:val="000000" w:themeColor="text1"/>
          <w:spacing w:val="3"/>
          <w:sz w:val="19"/>
          <w:u w:val="single"/>
        </w:rPr>
        <w:t>a stimulation index of</w:t>
      </w:r>
      <w:r w:rsidRPr="00546BBA">
        <w:rPr>
          <w:b/>
          <w:bCs/>
          <w:color w:val="000000" w:themeColor="text1"/>
          <w:spacing w:val="1"/>
          <w:sz w:val="19"/>
          <w:u w:val="single"/>
        </w:rPr>
        <w:t xml:space="preserve"> 1.8 or more in the LLNA: DA, 1.6 or more in the LLNA: </w:t>
      </w:r>
      <w:proofErr w:type="spellStart"/>
      <w:r w:rsidRPr="00546BBA">
        <w:rPr>
          <w:b/>
          <w:bCs/>
          <w:color w:val="000000" w:themeColor="text1"/>
          <w:spacing w:val="1"/>
          <w:sz w:val="19"/>
          <w:u w:val="single"/>
        </w:rPr>
        <w:t>BrdU</w:t>
      </w:r>
      <w:proofErr w:type="spellEnd"/>
      <w:r w:rsidRPr="00546BBA">
        <w:rPr>
          <w:b/>
          <w:bCs/>
          <w:color w:val="000000" w:themeColor="text1"/>
          <w:spacing w:val="1"/>
          <w:sz w:val="19"/>
          <w:u w:val="single"/>
        </w:rPr>
        <w:t xml:space="preserve">-ELISA, and </w:t>
      </w:r>
      <w:r w:rsidRPr="00546BBA">
        <w:rPr>
          <w:rFonts w:hint="eastAsia"/>
          <w:b/>
          <w:bCs/>
          <w:color w:val="000000" w:themeColor="text1"/>
          <w:spacing w:val="1"/>
          <w:sz w:val="19"/>
          <w:u w:val="single"/>
          <w:lang w:eastAsia="ja-JP"/>
        </w:rPr>
        <w:t>2.7</w:t>
      </w:r>
      <w:r w:rsidRPr="00546BBA">
        <w:rPr>
          <w:b/>
          <w:bCs/>
          <w:color w:val="000000" w:themeColor="text1"/>
          <w:spacing w:val="1"/>
          <w:sz w:val="19"/>
          <w:u w:val="single"/>
          <w:lang w:eastAsia="ja-JP"/>
        </w:rPr>
        <w:t xml:space="preserve"> or more in </w:t>
      </w:r>
      <w:r w:rsidRPr="00546BBA">
        <w:rPr>
          <w:b/>
          <w:bCs/>
          <w:color w:val="000000" w:themeColor="text1"/>
          <w:spacing w:val="1"/>
          <w:sz w:val="19"/>
          <w:u w:val="single"/>
        </w:rPr>
        <w:t xml:space="preserve">the LLNA: </w:t>
      </w:r>
      <w:proofErr w:type="spellStart"/>
      <w:r w:rsidRPr="00546BBA">
        <w:rPr>
          <w:b/>
          <w:bCs/>
          <w:color w:val="000000" w:themeColor="text1"/>
          <w:spacing w:val="1"/>
          <w:sz w:val="19"/>
          <w:u w:val="single"/>
        </w:rPr>
        <w:t>BrdU</w:t>
      </w:r>
      <w:proofErr w:type="spellEnd"/>
      <w:r w:rsidRPr="00546BBA">
        <w:rPr>
          <w:b/>
          <w:bCs/>
          <w:color w:val="000000" w:themeColor="text1"/>
          <w:spacing w:val="1"/>
          <w:sz w:val="19"/>
          <w:u w:val="single"/>
        </w:rPr>
        <w:t>-FCM are considered positive.</w:t>
      </w:r>
      <w:r w:rsidRPr="00546BBA">
        <w:rPr>
          <w:color w:val="000000" w:themeColor="text1"/>
          <w:spacing w:val="1"/>
          <w:sz w:val="19"/>
        </w:rPr>
        <w:t xml:space="preserve"> Test methods for skin sensitization are described in the OECD Guideline 406 </w:t>
      </w:r>
      <w:r w:rsidRPr="00546BBA">
        <w:rPr>
          <w:color w:val="000000" w:themeColor="text1"/>
          <w:spacing w:val="-2"/>
          <w:sz w:val="19"/>
        </w:rPr>
        <w:t xml:space="preserve">(the Guinea Pig Maximisation test and the Buehler guinea pig test) and </w:t>
      </w:r>
      <w:r w:rsidRPr="00546BBA">
        <w:rPr>
          <w:b/>
          <w:bCs/>
          <w:color w:val="000000" w:themeColor="text1"/>
          <w:spacing w:val="-2"/>
          <w:sz w:val="19"/>
          <w:u w:val="single"/>
        </w:rPr>
        <w:t xml:space="preserve">in Guidelines 429/442A/442B (Local Lymph Node Assays). </w:t>
      </w:r>
      <w:r w:rsidRPr="00546BBA">
        <w:rPr>
          <w:rFonts w:hint="eastAsia"/>
          <w:b/>
          <w:bCs/>
          <w:color w:val="000000" w:themeColor="text1"/>
          <w:spacing w:val="-2"/>
          <w:sz w:val="19"/>
          <w:u w:val="single"/>
          <w:lang w:eastAsia="ja-JP"/>
        </w:rPr>
        <w:t xml:space="preserve"> </w:t>
      </w:r>
      <w:r w:rsidRPr="00546BBA">
        <w:rPr>
          <w:color w:val="000000" w:themeColor="text1"/>
          <w:spacing w:val="-2"/>
          <w:sz w:val="19"/>
        </w:rPr>
        <w:t xml:space="preserve">Other </w:t>
      </w:r>
      <w:r w:rsidRPr="00546BBA">
        <w:rPr>
          <w:color w:val="000000" w:themeColor="text1"/>
          <w:spacing w:val="4"/>
          <w:sz w:val="19"/>
        </w:rPr>
        <w:t xml:space="preserve">methods may be used </w:t>
      </w:r>
      <w:proofErr w:type="gramStart"/>
      <w:r w:rsidRPr="00546BBA">
        <w:rPr>
          <w:color w:val="000000" w:themeColor="text1"/>
          <w:spacing w:val="4"/>
          <w:sz w:val="19"/>
        </w:rPr>
        <w:t>provided that</w:t>
      </w:r>
      <w:proofErr w:type="gramEnd"/>
      <w:r w:rsidRPr="00546BBA">
        <w:rPr>
          <w:color w:val="000000" w:themeColor="text1"/>
          <w:spacing w:val="4"/>
          <w:sz w:val="19"/>
        </w:rPr>
        <w:t xml:space="preserve"> they are well-validated and scientific justification is given. </w:t>
      </w:r>
      <w:proofErr w:type="gramStart"/>
      <w:r w:rsidRPr="00546BBA">
        <w:rPr>
          <w:color w:val="000000" w:themeColor="text1"/>
          <w:spacing w:val="4"/>
          <w:sz w:val="19"/>
        </w:rPr>
        <w:t xml:space="preserve">The Mouse Ear </w:t>
      </w:r>
      <w:r w:rsidRPr="00546BBA">
        <w:rPr>
          <w:color w:val="000000" w:themeColor="text1"/>
          <w:spacing w:val="1"/>
          <w:sz w:val="19"/>
        </w:rPr>
        <w:t>Swelling Test (MEST),</w:t>
      </w:r>
      <w:proofErr w:type="gramEnd"/>
      <w:r w:rsidRPr="00546BBA">
        <w:rPr>
          <w:color w:val="000000" w:themeColor="text1"/>
          <w:spacing w:val="1"/>
          <w:sz w:val="19"/>
        </w:rPr>
        <w:t xml:space="preserve"> appears to be a reliable screening test to detect moderate to strong sensitizers, and can be used </w:t>
      </w:r>
      <w:r w:rsidRPr="00546BBA">
        <w:rPr>
          <w:color w:val="000000" w:themeColor="text1"/>
          <w:sz w:val="19"/>
        </w:rPr>
        <w:t>as a first stage in the assessment of skin sensitization potential.”</w:t>
      </w:r>
      <w:r w:rsidR="00591F38">
        <w:rPr>
          <w:color w:val="000000" w:themeColor="text1"/>
          <w:sz w:val="19"/>
        </w:rPr>
        <w:t>.</w:t>
      </w:r>
    </w:p>
    <w:p w14:paraId="59F29B8D" w14:textId="77777777" w:rsidR="00591F38" w:rsidRDefault="00591F38" w:rsidP="00591F38">
      <w:pPr>
        <w:pStyle w:val="SingleTxtG"/>
      </w:pPr>
    </w:p>
    <w:p w14:paraId="22D4AF6F" w14:textId="2F25D895" w:rsidR="008209A2" w:rsidRPr="00546BBA" w:rsidRDefault="008209A2" w:rsidP="00591F38">
      <w:pPr>
        <w:pStyle w:val="SingleTxtG"/>
        <w:rPr>
          <w:sz w:val="19"/>
        </w:rPr>
      </w:pPr>
      <w:r w:rsidRPr="00546BBA">
        <w:t>14.</w:t>
      </w:r>
      <w:r w:rsidRPr="00546BBA">
        <w:tab/>
        <w:t>After paragraph 3.4.2.2.3.1 insert the following new table:</w:t>
      </w:r>
    </w:p>
    <w:p w14:paraId="545B0C77" w14:textId="79D1A291" w:rsidR="008209A2" w:rsidRPr="00546BBA" w:rsidRDefault="008209A2" w:rsidP="008209A2">
      <w:pPr>
        <w:tabs>
          <w:tab w:val="right" w:pos="9170"/>
        </w:tabs>
        <w:spacing w:before="216" w:after="120" w:line="240" w:lineRule="exact"/>
        <w:ind w:rightChars="921" w:right="1842"/>
        <w:jc w:val="center"/>
        <w:rPr>
          <w:b/>
          <w:bCs/>
          <w:color w:val="000000" w:themeColor="text1"/>
          <w:sz w:val="19"/>
          <w:u w:val="single"/>
        </w:rPr>
      </w:pPr>
      <w:r w:rsidRPr="00546BBA">
        <w:rPr>
          <w:b/>
          <w:bCs/>
          <w:color w:val="000000" w:themeColor="text1"/>
          <w:spacing w:val="9"/>
          <w:sz w:val="18"/>
          <w:u w:val="single"/>
        </w:rPr>
        <w:t>“Table 3.4.3: Animal test results for category 1</w:t>
      </w:r>
    </w:p>
    <w:tbl>
      <w:tblPr>
        <w:tblW w:w="0" w:type="auto"/>
        <w:jc w:val="center"/>
        <w:tblCellMar>
          <w:left w:w="0" w:type="dxa"/>
          <w:right w:w="0" w:type="dxa"/>
        </w:tblCellMar>
        <w:tblLook w:val="0000" w:firstRow="0" w:lastRow="0" w:firstColumn="0" w:lastColumn="0" w:noHBand="0" w:noVBand="0"/>
      </w:tblPr>
      <w:tblGrid>
        <w:gridCol w:w="3254"/>
        <w:gridCol w:w="4387"/>
      </w:tblGrid>
      <w:tr w:rsidR="008209A2" w:rsidRPr="00546BBA" w14:paraId="20B01020" w14:textId="77777777" w:rsidTr="00863EBD">
        <w:trPr>
          <w:trHeight w:hRule="exact" w:val="24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3FA1496" w14:textId="77777777" w:rsidR="008209A2" w:rsidRPr="00546BBA" w:rsidRDefault="008209A2" w:rsidP="00D645D8">
            <w:pPr>
              <w:spacing w:line="260" w:lineRule="exact"/>
              <w:ind w:left="108"/>
              <w:jc w:val="center"/>
              <w:rPr>
                <w:rFonts w:eastAsia="MS PMincho"/>
                <w:b/>
                <w:bCs/>
                <w:color w:val="000000" w:themeColor="text1"/>
                <w:sz w:val="19"/>
                <w:u w:val="single"/>
              </w:rPr>
            </w:pPr>
            <w:r w:rsidRPr="00546BBA">
              <w:rPr>
                <w:rFonts w:eastAsia="MS PMincho"/>
                <w:b/>
                <w:bCs/>
                <w:color w:val="000000" w:themeColor="text1"/>
                <w:sz w:val="19"/>
                <w:u w:val="single"/>
              </w:rPr>
              <w:t>Assay</w:t>
            </w:r>
          </w:p>
        </w:tc>
        <w:tc>
          <w:tcPr>
            <w:tcW w:w="0" w:type="auto"/>
            <w:tcBorders>
              <w:top w:val="single" w:sz="4" w:space="0" w:color="000000"/>
              <w:left w:val="single" w:sz="4" w:space="0" w:color="000000"/>
              <w:bottom w:val="single" w:sz="4" w:space="0" w:color="000000"/>
              <w:right w:val="single" w:sz="4" w:space="0" w:color="000000"/>
            </w:tcBorders>
            <w:vAlign w:val="center"/>
          </w:tcPr>
          <w:p w14:paraId="6BF492C9" w14:textId="77777777" w:rsidR="008209A2" w:rsidRPr="00546BBA" w:rsidRDefault="008209A2" w:rsidP="00863EBD">
            <w:pPr>
              <w:spacing w:line="260" w:lineRule="exact"/>
              <w:ind w:right="136"/>
              <w:jc w:val="center"/>
              <w:rPr>
                <w:rFonts w:eastAsia="MS PMincho"/>
                <w:b/>
                <w:bCs/>
                <w:color w:val="000000" w:themeColor="text1"/>
                <w:sz w:val="19"/>
                <w:u w:val="single"/>
              </w:rPr>
            </w:pPr>
            <w:r w:rsidRPr="00546BBA">
              <w:rPr>
                <w:rFonts w:eastAsia="MS PMincho"/>
                <w:b/>
                <w:bCs/>
                <w:color w:val="000000" w:themeColor="text1"/>
                <w:sz w:val="19"/>
                <w:u w:val="single"/>
              </w:rPr>
              <w:t>Criteria</w:t>
            </w:r>
          </w:p>
        </w:tc>
      </w:tr>
      <w:tr w:rsidR="008209A2" w:rsidRPr="00546BBA" w14:paraId="6EF09DC9" w14:textId="77777777" w:rsidTr="00863EBD">
        <w:trPr>
          <w:trHeight w:hRule="exact" w:val="27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D674CB5" w14:textId="77777777" w:rsidR="008209A2" w:rsidRPr="00546BBA" w:rsidRDefault="008209A2" w:rsidP="00D645D8">
            <w:pPr>
              <w:spacing w:line="260" w:lineRule="exact"/>
              <w:ind w:left="108"/>
              <w:rPr>
                <w:rFonts w:eastAsia="MS PMincho"/>
                <w:b/>
                <w:bCs/>
                <w:color w:val="000000" w:themeColor="text1"/>
                <w:sz w:val="19"/>
                <w:u w:val="single"/>
              </w:rPr>
            </w:pPr>
            <w:r w:rsidRPr="00546BBA">
              <w:rPr>
                <w:rFonts w:eastAsia="MS PMincho"/>
                <w:b/>
                <w:bCs/>
                <w:color w:val="000000" w:themeColor="text1"/>
                <w:sz w:val="19"/>
                <w:u w:val="single"/>
              </w:rPr>
              <w:t>Local lymph node assay</w:t>
            </w:r>
          </w:p>
        </w:tc>
        <w:tc>
          <w:tcPr>
            <w:tcW w:w="0" w:type="auto"/>
            <w:tcBorders>
              <w:top w:val="single" w:sz="4" w:space="0" w:color="000000"/>
              <w:left w:val="single" w:sz="4" w:space="0" w:color="000000"/>
              <w:bottom w:val="single" w:sz="4" w:space="0" w:color="000000"/>
              <w:right w:val="single" w:sz="4" w:space="0" w:color="000000"/>
            </w:tcBorders>
            <w:vAlign w:val="center"/>
          </w:tcPr>
          <w:p w14:paraId="1EF66E42" w14:textId="77777777" w:rsidR="008209A2" w:rsidRPr="00546BBA" w:rsidRDefault="008209A2" w:rsidP="00863EBD">
            <w:pPr>
              <w:spacing w:line="260" w:lineRule="exact"/>
              <w:ind w:leftChars="100" w:left="200" w:right="136"/>
              <w:rPr>
                <w:rFonts w:eastAsia="MS PMincho"/>
                <w:b/>
                <w:bCs/>
                <w:color w:val="000000" w:themeColor="text1"/>
                <w:sz w:val="19"/>
                <w:u w:val="single"/>
              </w:rPr>
            </w:pPr>
            <w:r w:rsidRPr="00546BBA">
              <w:rPr>
                <w:rFonts w:eastAsia="MS PMincho"/>
                <w:b/>
                <w:bCs/>
                <w:color w:val="000000" w:themeColor="text1"/>
                <w:sz w:val="19"/>
                <w:u w:val="single"/>
              </w:rPr>
              <w:t>SI ≥ 3</w:t>
            </w:r>
          </w:p>
        </w:tc>
      </w:tr>
      <w:tr w:rsidR="008209A2" w:rsidRPr="00546BBA" w14:paraId="44FAEB12" w14:textId="77777777" w:rsidTr="00863EBD">
        <w:trPr>
          <w:trHeight w:hRule="exact" w:val="28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FE2109F" w14:textId="77777777" w:rsidR="008209A2" w:rsidRPr="00546BBA" w:rsidRDefault="008209A2" w:rsidP="00D645D8">
            <w:pPr>
              <w:spacing w:line="260" w:lineRule="exact"/>
              <w:ind w:left="108"/>
              <w:rPr>
                <w:rFonts w:eastAsia="MS PMincho"/>
                <w:b/>
                <w:bCs/>
                <w:color w:val="000000" w:themeColor="text1"/>
                <w:sz w:val="19"/>
                <w:u w:val="single"/>
              </w:rPr>
            </w:pPr>
            <w:r w:rsidRPr="00546BBA">
              <w:rPr>
                <w:rFonts w:eastAsia="MS PMincho"/>
                <w:b/>
                <w:bCs/>
                <w:color w:val="000000" w:themeColor="text1"/>
                <w:sz w:val="19"/>
                <w:u w:val="single"/>
              </w:rPr>
              <w:t>Local lymph node assay: DA</w:t>
            </w:r>
          </w:p>
        </w:tc>
        <w:tc>
          <w:tcPr>
            <w:tcW w:w="0" w:type="auto"/>
            <w:tcBorders>
              <w:top w:val="single" w:sz="4" w:space="0" w:color="000000"/>
              <w:left w:val="single" w:sz="4" w:space="0" w:color="000000"/>
              <w:bottom w:val="single" w:sz="4" w:space="0" w:color="000000"/>
              <w:right w:val="single" w:sz="4" w:space="0" w:color="000000"/>
            </w:tcBorders>
            <w:vAlign w:val="center"/>
          </w:tcPr>
          <w:p w14:paraId="3EA46D1E" w14:textId="77777777" w:rsidR="008209A2" w:rsidRPr="00546BBA" w:rsidRDefault="008209A2" w:rsidP="00863EBD">
            <w:pPr>
              <w:spacing w:line="260" w:lineRule="exact"/>
              <w:ind w:leftChars="100" w:left="200" w:right="136"/>
              <w:rPr>
                <w:rFonts w:eastAsia="MS PMincho"/>
                <w:b/>
                <w:bCs/>
                <w:color w:val="000000" w:themeColor="text1"/>
                <w:spacing w:val="-8"/>
                <w:sz w:val="19"/>
                <w:u w:val="single"/>
              </w:rPr>
            </w:pPr>
            <w:r w:rsidRPr="00546BBA">
              <w:rPr>
                <w:rFonts w:eastAsia="MS PMincho"/>
                <w:b/>
                <w:bCs/>
                <w:color w:val="000000" w:themeColor="text1"/>
                <w:sz w:val="19"/>
                <w:u w:val="single"/>
              </w:rPr>
              <w:t>SI ≥ 1.8</w:t>
            </w:r>
          </w:p>
        </w:tc>
      </w:tr>
      <w:tr w:rsidR="008209A2" w:rsidRPr="00546BBA" w14:paraId="312EBA3F" w14:textId="77777777" w:rsidTr="00863EBD">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918DCD7" w14:textId="77777777" w:rsidR="008209A2" w:rsidRPr="00546BBA" w:rsidRDefault="008209A2" w:rsidP="00D645D8">
            <w:pPr>
              <w:spacing w:line="260" w:lineRule="exact"/>
              <w:ind w:left="108"/>
              <w:rPr>
                <w:rFonts w:eastAsia="MS PMincho"/>
                <w:b/>
                <w:bCs/>
                <w:color w:val="000000" w:themeColor="text1"/>
                <w:sz w:val="19"/>
                <w:u w:val="single"/>
              </w:rPr>
            </w:pPr>
            <w:r w:rsidRPr="00546BBA">
              <w:rPr>
                <w:rFonts w:eastAsia="MS PMincho"/>
                <w:b/>
                <w:bCs/>
                <w:color w:val="000000" w:themeColor="text1"/>
                <w:sz w:val="19"/>
                <w:u w:val="single"/>
              </w:rPr>
              <w:t xml:space="preserve">Local lymph node assay: </w:t>
            </w:r>
            <w:proofErr w:type="spellStart"/>
            <w:r w:rsidRPr="00546BBA">
              <w:rPr>
                <w:rFonts w:eastAsia="MS PMincho"/>
                <w:b/>
                <w:bCs/>
                <w:color w:val="000000" w:themeColor="text1"/>
                <w:sz w:val="19"/>
                <w:u w:val="single"/>
              </w:rPr>
              <w:t>BrdU</w:t>
            </w:r>
            <w:proofErr w:type="spellEnd"/>
            <w:r w:rsidRPr="00546BBA">
              <w:rPr>
                <w:rFonts w:eastAsia="MS PMincho"/>
                <w:b/>
                <w:bCs/>
                <w:color w:val="000000" w:themeColor="text1"/>
                <w:sz w:val="19"/>
                <w:u w:val="single"/>
              </w:rPr>
              <w:t>-ELISA</w:t>
            </w:r>
          </w:p>
        </w:tc>
        <w:tc>
          <w:tcPr>
            <w:tcW w:w="0" w:type="auto"/>
            <w:tcBorders>
              <w:top w:val="single" w:sz="4" w:space="0" w:color="000000"/>
              <w:left w:val="single" w:sz="4" w:space="0" w:color="000000"/>
              <w:bottom w:val="single" w:sz="4" w:space="0" w:color="000000"/>
              <w:right w:val="single" w:sz="4" w:space="0" w:color="000000"/>
            </w:tcBorders>
            <w:vAlign w:val="center"/>
          </w:tcPr>
          <w:p w14:paraId="79DD12FF" w14:textId="77777777" w:rsidR="008209A2" w:rsidRPr="00546BBA" w:rsidRDefault="008209A2" w:rsidP="00863EBD">
            <w:pPr>
              <w:spacing w:line="260" w:lineRule="exact"/>
              <w:ind w:leftChars="100" w:left="200" w:right="136"/>
              <w:rPr>
                <w:rFonts w:eastAsia="MS PMincho"/>
                <w:b/>
                <w:bCs/>
                <w:color w:val="000000" w:themeColor="text1"/>
                <w:spacing w:val="-8"/>
                <w:sz w:val="19"/>
                <w:u w:val="single"/>
              </w:rPr>
            </w:pPr>
            <w:r w:rsidRPr="00546BBA">
              <w:rPr>
                <w:rFonts w:eastAsia="MS PMincho"/>
                <w:b/>
                <w:bCs/>
                <w:color w:val="000000" w:themeColor="text1"/>
                <w:sz w:val="19"/>
                <w:u w:val="single"/>
              </w:rPr>
              <w:t>SI ≥ 1.6</w:t>
            </w:r>
          </w:p>
        </w:tc>
      </w:tr>
      <w:tr w:rsidR="008209A2" w:rsidRPr="00546BBA" w14:paraId="23FECFD9" w14:textId="77777777" w:rsidTr="00863EBD">
        <w:trPr>
          <w:trHeight w:hRule="exact" w:val="27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8ABD53B" w14:textId="77777777" w:rsidR="008209A2" w:rsidRPr="00546BBA" w:rsidRDefault="008209A2" w:rsidP="00D645D8">
            <w:pPr>
              <w:spacing w:line="260" w:lineRule="exact"/>
              <w:ind w:left="108"/>
              <w:rPr>
                <w:rFonts w:eastAsia="MS PMincho"/>
                <w:b/>
                <w:bCs/>
                <w:color w:val="000000" w:themeColor="text1"/>
                <w:sz w:val="19"/>
                <w:u w:val="single"/>
              </w:rPr>
            </w:pPr>
            <w:r w:rsidRPr="00546BBA">
              <w:rPr>
                <w:rFonts w:eastAsia="MS PMincho"/>
                <w:b/>
                <w:bCs/>
                <w:color w:val="000000" w:themeColor="text1"/>
                <w:sz w:val="19"/>
                <w:u w:val="single"/>
              </w:rPr>
              <w:t xml:space="preserve">Local lymph node assay: </w:t>
            </w:r>
            <w:proofErr w:type="spellStart"/>
            <w:r w:rsidRPr="00546BBA">
              <w:rPr>
                <w:rFonts w:eastAsia="MS PMincho"/>
                <w:b/>
                <w:bCs/>
                <w:color w:val="000000" w:themeColor="text1"/>
                <w:sz w:val="19"/>
                <w:u w:val="single"/>
              </w:rPr>
              <w:t>BrdU</w:t>
            </w:r>
            <w:proofErr w:type="spellEnd"/>
            <w:r w:rsidRPr="00546BBA">
              <w:rPr>
                <w:rFonts w:eastAsia="MS PMincho"/>
                <w:b/>
                <w:bCs/>
                <w:color w:val="000000" w:themeColor="text1"/>
                <w:sz w:val="19"/>
                <w:u w:val="single"/>
              </w:rPr>
              <w:t>-FCM</w:t>
            </w:r>
          </w:p>
        </w:tc>
        <w:tc>
          <w:tcPr>
            <w:tcW w:w="0" w:type="auto"/>
            <w:tcBorders>
              <w:top w:val="single" w:sz="4" w:space="0" w:color="000000"/>
              <w:left w:val="single" w:sz="4" w:space="0" w:color="000000"/>
              <w:bottom w:val="single" w:sz="4" w:space="0" w:color="000000"/>
              <w:right w:val="single" w:sz="4" w:space="0" w:color="000000"/>
            </w:tcBorders>
            <w:vAlign w:val="center"/>
          </w:tcPr>
          <w:p w14:paraId="23202A2D" w14:textId="77777777" w:rsidR="008209A2" w:rsidRPr="00546BBA" w:rsidRDefault="008209A2" w:rsidP="00863EBD">
            <w:pPr>
              <w:spacing w:line="260" w:lineRule="exact"/>
              <w:ind w:leftChars="100" w:left="200" w:right="136"/>
              <w:rPr>
                <w:rFonts w:eastAsia="MS PMincho"/>
                <w:b/>
                <w:bCs/>
                <w:color w:val="000000" w:themeColor="text1"/>
                <w:sz w:val="19"/>
                <w:u w:val="single"/>
              </w:rPr>
            </w:pPr>
            <w:r w:rsidRPr="00546BBA">
              <w:rPr>
                <w:rFonts w:eastAsia="MS PMincho"/>
                <w:b/>
                <w:bCs/>
                <w:color w:val="000000" w:themeColor="text1"/>
                <w:sz w:val="19"/>
                <w:u w:val="single"/>
              </w:rPr>
              <w:t>SI ≥ 2.7</w:t>
            </w:r>
          </w:p>
        </w:tc>
      </w:tr>
      <w:tr w:rsidR="008209A2" w:rsidRPr="00546BBA" w14:paraId="7309C28E" w14:textId="77777777" w:rsidTr="00863EBD">
        <w:trPr>
          <w:trHeight w:hRule="exact" w:val="28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17886F6" w14:textId="77777777" w:rsidR="008209A2" w:rsidRPr="00546BBA" w:rsidRDefault="008209A2" w:rsidP="00D645D8">
            <w:pPr>
              <w:spacing w:line="260" w:lineRule="exact"/>
              <w:ind w:left="108"/>
              <w:rPr>
                <w:rFonts w:eastAsia="MS PMincho"/>
                <w:b/>
                <w:bCs/>
                <w:color w:val="000000" w:themeColor="text1"/>
                <w:sz w:val="19"/>
                <w:u w:val="single"/>
              </w:rPr>
            </w:pPr>
            <w:r w:rsidRPr="00546BBA">
              <w:rPr>
                <w:b/>
                <w:bCs/>
                <w:color w:val="000000" w:themeColor="text1"/>
                <w:spacing w:val="1"/>
                <w:sz w:val="19"/>
                <w:u w:val="single"/>
              </w:rPr>
              <w:t xml:space="preserve">Adjuvant Guinea pig test method </w:t>
            </w:r>
          </w:p>
        </w:tc>
        <w:tc>
          <w:tcPr>
            <w:tcW w:w="0" w:type="auto"/>
            <w:tcBorders>
              <w:top w:val="single" w:sz="4" w:space="0" w:color="000000"/>
              <w:left w:val="single" w:sz="4" w:space="0" w:color="000000"/>
              <w:bottom w:val="single" w:sz="4" w:space="0" w:color="000000"/>
              <w:right w:val="single" w:sz="4" w:space="0" w:color="000000"/>
            </w:tcBorders>
            <w:vAlign w:val="center"/>
          </w:tcPr>
          <w:p w14:paraId="07DE37A7" w14:textId="684C1999" w:rsidR="008209A2" w:rsidRPr="00546BBA" w:rsidRDefault="008209A2" w:rsidP="00863EBD">
            <w:pPr>
              <w:spacing w:before="36" w:line="260" w:lineRule="exact"/>
              <w:ind w:left="200" w:right="136"/>
              <w:rPr>
                <w:rFonts w:eastAsia="MS PMincho"/>
                <w:b/>
                <w:bCs/>
                <w:color w:val="000000" w:themeColor="text1"/>
                <w:spacing w:val="-5"/>
                <w:sz w:val="19"/>
                <w:u w:val="single"/>
              </w:rPr>
            </w:pPr>
            <w:r w:rsidRPr="00546BBA">
              <w:rPr>
                <w:rFonts w:eastAsia="MS PMincho"/>
                <w:b/>
                <w:bCs/>
                <w:color w:val="000000" w:themeColor="text1"/>
                <w:spacing w:val="-5"/>
                <w:sz w:val="19"/>
                <w:u w:val="single"/>
              </w:rPr>
              <w:t>≥</w:t>
            </w:r>
            <w:r w:rsidR="006F4975">
              <w:rPr>
                <w:rFonts w:eastAsia="MS PMincho"/>
                <w:b/>
                <w:bCs/>
                <w:color w:val="000000" w:themeColor="text1"/>
                <w:spacing w:val="-5"/>
                <w:sz w:val="19"/>
                <w:u w:val="single"/>
              </w:rPr>
              <w:t> </w:t>
            </w:r>
            <w:r w:rsidRPr="00546BBA">
              <w:rPr>
                <w:rFonts w:eastAsia="MS PMincho"/>
                <w:b/>
                <w:bCs/>
                <w:color w:val="000000" w:themeColor="text1"/>
                <w:spacing w:val="-5"/>
                <w:sz w:val="19"/>
                <w:u w:val="single"/>
              </w:rPr>
              <w:t>30% responding at any intradermal induction dose</w:t>
            </w:r>
          </w:p>
        </w:tc>
      </w:tr>
      <w:tr w:rsidR="008209A2" w:rsidRPr="00546BBA" w14:paraId="21FA8FA5" w14:textId="77777777" w:rsidTr="00863EBD">
        <w:trPr>
          <w:trHeight w:hRule="exact" w:val="27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5879B277" w14:textId="77777777" w:rsidR="008209A2" w:rsidRPr="00546BBA" w:rsidRDefault="008209A2" w:rsidP="00D645D8">
            <w:pPr>
              <w:spacing w:line="260" w:lineRule="exact"/>
              <w:ind w:left="108"/>
              <w:rPr>
                <w:rFonts w:eastAsia="MS PMincho"/>
                <w:b/>
                <w:bCs/>
                <w:color w:val="000000" w:themeColor="text1"/>
                <w:sz w:val="19"/>
                <w:u w:val="single"/>
              </w:rPr>
            </w:pPr>
            <w:r w:rsidRPr="00546BBA">
              <w:rPr>
                <w:b/>
                <w:bCs/>
                <w:color w:val="000000" w:themeColor="text1"/>
                <w:spacing w:val="1"/>
                <w:sz w:val="19"/>
                <w:u w:val="single"/>
              </w:rPr>
              <w:t xml:space="preserve">Non-adjuvant Guinea pig test method </w:t>
            </w:r>
          </w:p>
        </w:tc>
        <w:tc>
          <w:tcPr>
            <w:tcW w:w="0" w:type="auto"/>
            <w:tcBorders>
              <w:top w:val="single" w:sz="4" w:space="0" w:color="000000"/>
              <w:left w:val="single" w:sz="4" w:space="0" w:color="000000"/>
              <w:bottom w:val="single" w:sz="4" w:space="0" w:color="000000"/>
              <w:right w:val="single" w:sz="4" w:space="0" w:color="000000"/>
            </w:tcBorders>
            <w:vAlign w:val="center"/>
          </w:tcPr>
          <w:p w14:paraId="4FC05E9D" w14:textId="4A7EE9C2" w:rsidR="008209A2" w:rsidRPr="00546BBA" w:rsidRDefault="008209A2" w:rsidP="00863EBD">
            <w:pPr>
              <w:spacing w:line="260" w:lineRule="exact"/>
              <w:ind w:leftChars="100" w:left="200" w:right="136"/>
              <w:rPr>
                <w:rFonts w:eastAsia="MS PMincho"/>
                <w:b/>
                <w:bCs/>
                <w:color w:val="000000" w:themeColor="text1"/>
                <w:spacing w:val="-4"/>
                <w:sz w:val="19"/>
                <w:u w:val="single"/>
              </w:rPr>
            </w:pPr>
            <w:r w:rsidRPr="00546BBA">
              <w:rPr>
                <w:rFonts w:eastAsia="MS PMincho"/>
                <w:b/>
                <w:bCs/>
                <w:color w:val="000000" w:themeColor="text1"/>
                <w:spacing w:val="-4"/>
                <w:sz w:val="19"/>
                <w:u w:val="single"/>
              </w:rPr>
              <w:t>≥</w:t>
            </w:r>
            <w:r w:rsidR="006F4975">
              <w:rPr>
                <w:rFonts w:eastAsia="MS PMincho"/>
                <w:b/>
                <w:bCs/>
                <w:color w:val="000000" w:themeColor="text1"/>
                <w:spacing w:val="-4"/>
                <w:sz w:val="19"/>
                <w:u w:val="single"/>
              </w:rPr>
              <w:t> </w:t>
            </w:r>
            <w:r w:rsidRPr="00546BBA">
              <w:rPr>
                <w:rFonts w:eastAsia="MS PMincho"/>
                <w:b/>
                <w:bCs/>
                <w:color w:val="000000" w:themeColor="text1"/>
                <w:spacing w:val="-4"/>
                <w:sz w:val="19"/>
                <w:u w:val="single"/>
              </w:rPr>
              <w:t>15% responding at any topical induction dose</w:t>
            </w:r>
          </w:p>
        </w:tc>
      </w:tr>
    </w:tbl>
    <w:p w14:paraId="246561EB" w14:textId="77777777" w:rsidR="008209A2" w:rsidRPr="00546BBA" w:rsidRDefault="008209A2" w:rsidP="008209A2">
      <w:pPr>
        <w:pStyle w:val="SingleTxtG"/>
        <w:spacing w:before="120"/>
        <w:rPr>
          <w:color w:val="000000" w:themeColor="text1"/>
        </w:rPr>
      </w:pPr>
      <w:r w:rsidRPr="00546BBA">
        <w:rPr>
          <w:color w:val="000000" w:themeColor="text1"/>
        </w:rPr>
        <w:t>15.</w:t>
      </w:r>
      <w:r w:rsidRPr="00546BBA">
        <w:rPr>
          <w:color w:val="000000" w:themeColor="text1"/>
        </w:rPr>
        <w:tab/>
        <w:t xml:space="preserve">In paragraph 3.4.2.2.3.2, </w:t>
      </w:r>
    </w:p>
    <w:p w14:paraId="606A37F4" w14:textId="77777777" w:rsidR="008209A2" w:rsidRPr="00546BBA" w:rsidRDefault="008209A2" w:rsidP="008209A2">
      <w:pPr>
        <w:pStyle w:val="SingleTxtG"/>
        <w:spacing w:before="120"/>
        <w:ind w:left="1701" w:hanging="567"/>
        <w:rPr>
          <w:color w:val="000000" w:themeColor="text1"/>
        </w:rPr>
      </w:pPr>
      <w:r w:rsidRPr="00546BBA">
        <w:rPr>
          <w:color w:val="000000" w:themeColor="text1"/>
        </w:rPr>
        <w:tab/>
      </w:r>
      <w:r w:rsidRPr="00546BBA">
        <w:rPr>
          <w:color w:val="000000" w:themeColor="text1"/>
        </w:rPr>
        <w:tab/>
        <w:t>Replace ‘Table 3.4.3’ with ‘</w:t>
      </w:r>
      <w:r w:rsidRPr="00546BBA">
        <w:rPr>
          <w:b/>
          <w:bCs/>
          <w:color w:val="000000" w:themeColor="text1"/>
          <w:u w:val="single"/>
        </w:rPr>
        <w:t>Table 3.4.4</w:t>
      </w:r>
      <w:r w:rsidRPr="00546BBA">
        <w:rPr>
          <w:color w:val="000000" w:themeColor="text1"/>
        </w:rPr>
        <w:t>’ in both the sentence and the table title ‘</w:t>
      </w:r>
      <w:r w:rsidRPr="00546BBA">
        <w:rPr>
          <w:color w:val="000000" w:themeColor="text1"/>
          <w:sz w:val="19"/>
        </w:rPr>
        <w:t>Animal test results for sub-category 1A’</w:t>
      </w:r>
      <w:r w:rsidRPr="00546BBA">
        <w:rPr>
          <w:color w:val="000000" w:themeColor="text1"/>
        </w:rPr>
        <w:t>.</w:t>
      </w:r>
    </w:p>
    <w:p w14:paraId="65F185B2" w14:textId="77777777" w:rsidR="008209A2" w:rsidRPr="00546BBA" w:rsidRDefault="008209A2" w:rsidP="008209A2">
      <w:pPr>
        <w:pStyle w:val="SingleTxtG"/>
        <w:spacing w:before="120"/>
        <w:ind w:left="1701" w:hanging="567"/>
        <w:rPr>
          <w:color w:val="000000" w:themeColor="text1"/>
        </w:rPr>
      </w:pPr>
      <w:r w:rsidRPr="00546BBA">
        <w:rPr>
          <w:color w:val="000000" w:themeColor="text1"/>
        </w:rPr>
        <w:tab/>
      </w:r>
      <w:r w:rsidRPr="00546BBA">
        <w:rPr>
          <w:color w:val="000000" w:themeColor="text1"/>
        </w:rPr>
        <w:tab/>
        <w:t>Under the first column ‘Assay’, after the table entry for ‘Local lymph node assay’, insert a new table entry: ‘</w:t>
      </w:r>
      <w:r w:rsidRPr="00546BBA">
        <w:rPr>
          <w:b/>
          <w:bCs/>
          <w:color w:val="000000" w:themeColor="text1"/>
          <w:sz w:val="19"/>
          <w:u w:val="single"/>
        </w:rPr>
        <w:t xml:space="preserve">Local lymph node assay: </w:t>
      </w:r>
      <w:proofErr w:type="spellStart"/>
      <w:r w:rsidRPr="00546BBA">
        <w:rPr>
          <w:b/>
          <w:bCs/>
          <w:color w:val="000000" w:themeColor="text1"/>
          <w:sz w:val="19"/>
          <w:u w:val="single"/>
        </w:rPr>
        <w:t>BrdU</w:t>
      </w:r>
      <w:proofErr w:type="spellEnd"/>
      <w:r w:rsidRPr="00546BBA">
        <w:rPr>
          <w:b/>
          <w:bCs/>
          <w:color w:val="000000" w:themeColor="text1"/>
          <w:sz w:val="19"/>
          <w:u w:val="single"/>
        </w:rPr>
        <w:t>-ELISA</w:t>
      </w:r>
      <w:r w:rsidRPr="00546BBA">
        <w:rPr>
          <w:color w:val="000000" w:themeColor="text1"/>
          <w:sz w:val="19"/>
        </w:rPr>
        <w:t>’</w:t>
      </w:r>
      <w:r w:rsidRPr="00546BBA">
        <w:rPr>
          <w:color w:val="000000" w:themeColor="text1"/>
        </w:rPr>
        <w:t>.</w:t>
      </w:r>
    </w:p>
    <w:p w14:paraId="7DA2F9BE" w14:textId="77777777" w:rsidR="008209A2" w:rsidRPr="00546BBA" w:rsidRDefault="008209A2" w:rsidP="008209A2">
      <w:pPr>
        <w:pStyle w:val="SingleTxtG"/>
        <w:spacing w:before="120"/>
        <w:ind w:left="1701" w:hanging="567"/>
        <w:rPr>
          <w:color w:val="000000" w:themeColor="text1"/>
        </w:rPr>
      </w:pPr>
      <w:r w:rsidRPr="00546BBA">
        <w:rPr>
          <w:color w:val="000000" w:themeColor="text1"/>
        </w:rPr>
        <w:tab/>
      </w:r>
      <w:r w:rsidRPr="00546BBA">
        <w:rPr>
          <w:color w:val="000000" w:themeColor="text1"/>
        </w:rPr>
        <w:tab/>
        <w:t>Under the second column ‘Criteria’, for the new entry for ‘</w:t>
      </w:r>
      <w:r w:rsidRPr="00546BBA">
        <w:rPr>
          <w:b/>
          <w:bCs/>
          <w:color w:val="000000" w:themeColor="text1"/>
          <w:sz w:val="19"/>
          <w:u w:val="single"/>
        </w:rPr>
        <w:t xml:space="preserve">Local lymph node assay: </w:t>
      </w:r>
      <w:proofErr w:type="spellStart"/>
      <w:r w:rsidRPr="00546BBA">
        <w:rPr>
          <w:b/>
          <w:bCs/>
          <w:color w:val="000000" w:themeColor="text1"/>
          <w:sz w:val="19"/>
          <w:u w:val="single"/>
        </w:rPr>
        <w:t>BrdU</w:t>
      </w:r>
      <w:proofErr w:type="spellEnd"/>
      <w:r w:rsidRPr="00546BBA">
        <w:rPr>
          <w:b/>
          <w:bCs/>
          <w:color w:val="000000" w:themeColor="text1"/>
          <w:sz w:val="19"/>
          <w:u w:val="single"/>
        </w:rPr>
        <w:t>-ELISA</w:t>
      </w:r>
      <w:r w:rsidRPr="00546BBA">
        <w:rPr>
          <w:color w:val="000000" w:themeColor="text1"/>
          <w:sz w:val="19"/>
        </w:rPr>
        <w:t>’</w:t>
      </w:r>
      <w:r w:rsidRPr="00546BBA">
        <w:rPr>
          <w:color w:val="000000" w:themeColor="text1"/>
        </w:rPr>
        <w:t>, insert ‘</w:t>
      </w:r>
      <w:r w:rsidRPr="00546BBA">
        <w:rPr>
          <w:b/>
          <w:bCs/>
          <w:color w:val="000000" w:themeColor="text1"/>
          <w:spacing w:val="-8"/>
          <w:sz w:val="19"/>
          <w:u w:val="single"/>
        </w:rPr>
        <w:t>EC1.6 value ≤ 6%</w:t>
      </w:r>
      <w:r w:rsidRPr="00546BBA">
        <w:rPr>
          <w:color w:val="000000" w:themeColor="text1"/>
        </w:rPr>
        <w:t>’.</w:t>
      </w:r>
    </w:p>
    <w:p w14:paraId="7053E66E" w14:textId="77777777" w:rsidR="008209A2" w:rsidRPr="00546BBA" w:rsidRDefault="008209A2" w:rsidP="008209A2">
      <w:pPr>
        <w:pStyle w:val="SingleTxtG"/>
        <w:spacing w:before="120"/>
        <w:ind w:left="1701"/>
        <w:rPr>
          <w:color w:val="000000" w:themeColor="text1"/>
        </w:rPr>
      </w:pPr>
      <w:r w:rsidRPr="00546BBA">
        <w:rPr>
          <w:color w:val="000000" w:themeColor="text1"/>
        </w:rPr>
        <w:t>Under the new Table 3.4.4, insert the following footnote:</w:t>
      </w:r>
    </w:p>
    <w:p w14:paraId="5DBC0644" w14:textId="77777777" w:rsidR="008209A2" w:rsidRPr="00546BBA" w:rsidRDefault="008209A2" w:rsidP="008209A2">
      <w:pPr>
        <w:pStyle w:val="SingleTxtG"/>
        <w:spacing w:before="120"/>
        <w:ind w:left="1985"/>
        <w:rPr>
          <w:color w:val="000000" w:themeColor="text1"/>
          <w:sz w:val="19"/>
          <w:szCs w:val="19"/>
        </w:rPr>
      </w:pPr>
      <w:r w:rsidRPr="00546BBA">
        <w:rPr>
          <w:color w:val="000000" w:themeColor="text1"/>
          <w:sz w:val="19"/>
          <w:szCs w:val="19"/>
        </w:rPr>
        <w:t>“</w:t>
      </w:r>
      <w:r w:rsidRPr="00546BBA">
        <w:rPr>
          <w:b/>
          <w:bCs/>
          <w:i/>
          <w:iCs/>
          <w:color w:val="000000" w:themeColor="text1"/>
          <w:spacing w:val="-6"/>
          <w:sz w:val="19"/>
          <w:szCs w:val="19"/>
          <w:u w:val="single"/>
        </w:rPr>
        <w:t xml:space="preserve">Note: As for the LLNA: DA and LLNA: </w:t>
      </w:r>
      <w:proofErr w:type="spellStart"/>
      <w:r w:rsidRPr="00546BBA">
        <w:rPr>
          <w:b/>
          <w:bCs/>
          <w:i/>
          <w:iCs/>
          <w:color w:val="000000" w:themeColor="text1"/>
          <w:spacing w:val="-6"/>
          <w:sz w:val="19"/>
          <w:szCs w:val="19"/>
          <w:u w:val="single"/>
        </w:rPr>
        <w:t>BrdU</w:t>
      </w:r>
      <w:proofErr w:type="spellEnd"/>
      <w:r w:rsidRPr="00546BBA">
        <w:rPr>
          <w:b/>
          <w:bCs/>
          <w:i/>
          <w:iCs/>
          <w:color w:val="000000" w:themeColor="text1"/>
          <w:spacing w:val="-6"/>
          <w:sz w:val="19"/>
          <w:szCs w:val="19"/>
          <w:u w:val="single"/>
        </w:rPr>
        <w:t>-FCM, there are currently no validated and internationally agreed criteria for subcategorization of skin sensitizers. Therefore, these test methods can only be used to conclude on either classification in category 1 or no classification</w:t>
      </w:r>
      <w:r w:rsidRPr="00546BBA">
        <w:rPr>
          <w:color w:val="000000" w:themeColor="text1"/>
          <w:spacing w:val="-6"/>
          <w:sz w:val="19"/>
          <w:szCs w:val="19"/>
        </w:rPr>
        <w:t>.</w:t>
      </w:r>
      <w:r w:rsidRPr="00546BBA">
        <w:rPr>
          <w:color w:val="000000" w:themeColor="text1"/>
          <w:sz w:val="19"/>
          <w:szCs w:val="19"/>
        </w:rPr>
        <w:t>”</w:t>
      </w:r>
    </w:p>
    <w:p w14:paraId="114945BC" w14:textId="77777777" w:rsidR="008209A2" w:rsidRPr="00546BBA" w:rsidRDefault="008209A2" w:rsidP="008209A2">
      <w:pPr>
        <w:pStyle w:val="SingleTxtG"/>
        <w:spacing w:before="120"/>
        <w:rPr>
          <w:color w:val="000000" w:themeColor="text1"/>
        </w:rPr>
      </w:pPr>
      <w:r w:rsidRPr="00546BBA">
        <w:rPr>
          <w:color w:val="000000" w:themeColor="text1"/>
        </w:rPr>
        <w:t>16.</w:t>
      </w:r>
      <w:r w:rsidRPr="00546BBA">
        <w:rPr>
          <w:color w:val="000000" w:themeColor="text1"/>
        </w:rPr>
        <w:tab/>
        <w:t xml:space="preserve">In paragraph 3.4.2.2.3.3, </w:t>
      </w:r>
    </w:p>
    <w:p w14:paraId="4304E768" w14:textId="77777777" w:rsidR="008209A2" w:rsidRPr="00546BBA" w:rsidRDefault="008209A2" w:rsidP="008209A2">
      <w:pPr>
        <w:pStyle w:val="SingleTxtG"/>
        <w:spacing w:before="120"/>
        <w:ind w:left="1701" w:hanging="567"/>
        <w:rPr>
          <w:color w:val="000000" w:themeColor="text1"/>
        </w:rPr>
      </w:pPr>
      <w:r w:rsidRPr="00546BBA">
        <w:rPr>
          <w:color w:val="000000" w:themeColor="text1"/>
        </w:rPr>
        <w:tab/>
      </w:r>
      <w:r w:rsidRPr="00546BBA">
        <w:rPr>
          <w:color w:val="000000" w:themeColor="text1"/>
        </w:rPr>
        <w:tab/>
        <w:t>Replace ‘Table 3.4.4’ with ‘</w:t>
      </w:r>
      <w:r w:rsidRPr="00546BBA">
        <w:rPr>
          <w:b/>
          <w:bCs/>
          <w:color w:val="000000" w:themeColor="text1"/>
          <w:u w:val="single"/>
        </w:rPr>
        <w:t>Table 3.4.5</w:t>
      </w:r>
      <w:r w:rsidRPr="00546BBA">
        <w:rPr>
          <w:color w:val="000000" w:themeColor="text1"/>
        </w:rPr>
        <w:t>’ in both the sentence and the table title ‘</w:t>
      </w:r>
      <w:r w:rsidRPr="00546BBA">
        <w:rPr>
          <w:color w:val="000000" w:themeColor="text1"/>
          <w:sz w:val="19"/>
        </w:rPr>
        <w:t>Animal test results for sub-category 1B’</w:t>
      </w:r>
      <w:r w:rsidRPr="00546BBA">
        <w:rPr>
          <w:color w:val="000000" w:themeColor="text1"/>
        </w:rPr>
        <w:t>.</w:t>
      </w:r>
    </w:p>
    <w:p w14:paraId="2E2E5DC5" w14:textId="77777777" w:rsidR="008209A2" w:rsidRPr="00546BBA" w:rsidRDefault="008209A2" w:rsidP="008209A2">
      <w:pPr>
        <w:pStyle w:val="SingleTxtG"/>
        <w:spacing w:before="120"/>
        <w:ind w:left="1701" w:hanging="567"/>
        <w:rPr>
          <w:color w:val="000000" w:themeColor="text1"/>
        </w:rPr>
      </w:pPr>
      <w:r w:rsidRPr="00546BBA">
        <w:rPr>
          <w:color w:val="000000" w:themeColor="text1"/>
        </w:rPr>
        <w:lastRenderedPageBreak/>
        <w:tab/>
      </w:r>
      <w:r w:rsidRPr="00546BBA">
        <w:rPr>
          <w:color w:val="000000" w:themeColor="text1"/>
        </w:rPr>
        <w:tab/>
        <w:t>Under the first column ‘Assay’, after the table entry for ‘Local lymph node assay’, insert a new table entry: ‘</w:t>
      </w:r>
      <w:r w:rsidRPr="00546BBA">
        <w:rPr>
          <w:b/>
          <w:bCs/>
          <w:color w:val="000000" w:themeColor="text1"/>
          <w:sz w:val="19"/>
          <w:u w:val="single"/>
        </w:rPr>
        <w:t xml:space="preserve">Local lymph node assay: </w:t>
      </w:r>
      <w:proofErr w:type="spellStart"/>
      <w:r w:rsidRPr="00546BBA">
        <w:rPr>
          <w:b/>
          <w:bCs/>
          <w:color w:val="000000" w:themeColor="text1"/>
          <w:sz w:val="19"/>
          <w:u w:val="single"/>
        </w:rPr>
        <w:t>BrdU</w:t>
      </w:r>
      <w:proofErr w:type="spellEnd"/>
      <w:r w:rsidRPr="00546BBA">
        <w:rPr>
          <w:b/>
          <w:bCs/>
          <w:color w:val="000000" w:themeColor="text1"/>
          <w:sz w:val="19"/>
          <w:u w:val="single"/>
        </w:rPr>
        <w:t>-ELISA</w:t>
      </w:r>
      <w:r w:rsidRPr="00546BBA">
        <w:rPr>
          <w:color w:val="000000" w:themeColor="text1"/>
          <w:sz w:val="19"/>
        </w:rPr>
        <w:t>’</w:t>
      </w:r>
      <w:r w:rsidRPr="00546BBA">
        <w:rPr>
          <w:color w:val="000000" w:themeColor="text1"/>
        </w:rPr>
        <w:t>.</w:t>
      </w:r>
    </w:p>
    <w:p w14:paraId="43D01201" w14:textId="77777777" w:rsidR="008209A2" w:rsidRPr="00546BBA" w:rsidRDefault="008209A2" w:rsidP="008209A2">
      <w:pPr>
        <w:pStyle w:val="SingleTxtG"/>
        <w:spacing w:before="120"/>
        <w:ind w:left="1701" w:hanging="567"/>
        <w:rPr>
          <w:color w:val="000000" w:themeColor="text1"/>
        </w:rPr>
      </w:pPr>
      <w:r w:rsidRPr="00546BBA">
        <w:rPr>
          <w:color w:val="000000" w:themeColor="text1"/>
        </w:rPr>
        <w:tab/>
      </w:r>
      <w:r w:rsidRPr="00546BBA">
        <w:rPr>
          <w:color w:val="000000" w:themeColor="text1"/>
        </w:rPr>
        <w:tab/>
        <w:t>Under the second column ‘Criteria’, for the new entry for ‘</w:t>
      </w:r>
      <w:r w:rsidRPr="00546BBA">
        <w:rPr>
          <w:b/>
          <w:bCs/>
          <w:color w:val="000000" w:themeColor="text1"/>
          <w:sz w:val="19"/>
          <w:u w:val="single"/>
        </w:rPr>
        <w:t xml:space="preserve">Local lymph node assay: </w:t>
      </w:r>
      <w:proofErr w:type="spellStart"/>
      <w:r w:rsidRPr="00546BBA">
        <w:rPr>
          <w:b/>
          <w:bCs/>
          <w:color w:val="000000" w:themeColor="text1"/>
          <w:sz w:val="19"/>
          <w:u w:val="single"/>
        </w:rPr>
        <w:t>BrdU</w:t>
      </w:r>
      <w:proofErr w:type="spellEnd"/>
      <w:r w:rsidRPr="00546BBA">
        <w:rPr>
          <w:b/>
          <w:bCs/>
          <w:color w:val="000000" w:themeColor="text1"/>
          <w:sz w:val="19"/>
          <w:u w:val="single"/>
        </w:rPr>
        <w:t>-ELISA</w:t>
      </w:r>
      <w:r w:rsidRPr="00546BBA">
        <w:rPr>
          <w:color w:val="000000" w:themeColor="text1"/>
          <w:sz w:val="19"/>
        </w:rPr>
        <w:t>’</w:t>
      </w:r>
      <w:r w:rsidRPr="00546BBA">
        <w:rPr>
          <w:color w:val="000000" w:themeColor="text1"/>
        </w:rPr>
        <w:t>, insert ‘</w:t>
      </w:r>
      <w:r w:rsidRPr="00546BBA">
        <w:rPr>
          <w:b/>
          <w:bCs/>
          <w:color w:val="000000" w:themeColor="text1"/>
          <w:spacing w:val="-8"/>
          <w:sz w:val="19"/>
          <w:u w:val="single"/>
        </w:rPr>
        <w:t>EC1.6 value &gt; 6%</w:t>
      </w:r>
      <w:r w:rsidRPr="00546BBA">
        <w:rPr>
          <w:color w:val="000000" w:themeColor="text1"/>
        </w:rPr>
        <w:t>’.</w:t>
      </w:r>
    </w:p>
    <w:p w14:paraId="204F7620" w14:textId="77777777" w:rsidR="008209A2" w:rsidRPr="00546BBA" w:rsidRDefault="008209A2" w:rsidP="008209A2">
      <w:pPr>
        <w:pStyle w:val="SingleTxtG"/>
        <w:spacing w:before="120"/>
        <w:ind w:left="1701"/>
        <w:rPr>
          <w:color w:val="000000" w:themeColor="text1"/>
        </w:rPr>
      </w:pPr>
      <w:r w:rsidRPr="00546BBA">
        <w:rPr>
          <w:color w:val="000000" w:themeColor="text1"/>
        </w:rPr>
        <w:t>Under the new Table 3.4.5, insert the following footnote:</w:t>
      </w:r>
    </w:p>
    <w:p w14:paraId="23736139" w14:textId="77777777" w:rsidR="008209A2" w:rsidRPr="00546BBA" w:rsidRDefault="008209A2" w:rsidP="008209A2">
      <w:pPr>
        <w:pStyle w:val="SingleTxtG"/>
        <w:spacing w:before="120"/>
        <w:ind w:left="1985"/>
        <w:rPr>
          <w:color w:val="000000" w:themeColor="text1"/>
          <w:sz w:val="19"/>
          <w:szCs w:val="19"/>
        </w:rPr>
      </w:pPr>
      <w:r w:rsidRPr="00546BBA">
        <w:rPr>
          <w:color w:val="000000" w:themeColor="text1"/>
          <w:sz w:val="19"/>
          <w:szCs w:val="19"/>
        </w:rPr>
        <w:t>“</w:t>
      </w:r>
      <w:r w:rsidRPr="00546BBA">
        <w:rPr>
          <w:b/>
          <w:bCs/>
          <w:i/>
          <w:iCs/>
          <w:color w:val="000000" w:themeColor="text1"/>
          <w:spacing w:val="-6"/>
          <w:sz w:val="19"/>
          <w:szCs w:val="19"/>
          <w:u w:val="single"/>
        </w:rPr>
        <w:t xml:space="preserve">Note: As for the LLNA: DA and LLNA: </w:t>
      </w:r>
      <w:proofErr w:type="spellStart"/>
      <w:r w:rsidRPr="00546BBA">
        <w:rPr>
          <w:b/>
          <w:bCs/>
          <w:i/>
          <w:iCs/>
          <w:color w:val="000000" w:themeColor="text1"/>
          <w:spacing w:val="-6"/>
          <w:sz w:val="19"/>
          <w:szCs w:val="19"/>
          <w:u w:val="single"/>
        </w:rPr>
        <w:t>BrdU</w:t>
      </w:r>
      <w:proofErr w:type="spellEnd"/>
      <w:r w:rsidRPr="00546BBA">
        <w:rPr>
          <w:b/>
          <w:bCs/>
          <w:i/>
          <w:iCs/>
          <w:color w:val="000000" w:themeColor="text1"/>
          <w:spacing w:val="-6"/>
          <w:sz w:val="19"/>
          <w:szCs w:val="19"/>
          <w:u w:val="single"/>
        </w:rPr>
        <w:t>-FCM, there are currently no validated and internationally agreed criteria for subcategorization of skin sensitizers. Therefore, these test methods can only be used to conclude on either classification in category 1 or no classification.</w:t>
      </w:r>
      <w:r w:rsidRPr="00546BBA">
        <w:rPr>
          <w:color w:val="000000" w:themeColor="text1"/>
          <w:sz w:val="19"/>
          <w:szCs w:val="19"/>
        </w:rPr>
        <w:t>”</w:t>
      </w:r>
    </w:p>
    <w:p w14:paraId="1C659902" w14:textId="77777777" w:rsidR="008209A2" w:rsidRPr="00546BBA" w:rsidRDefault="008209A2" w:rsidP="006F4975">
      <w:pPr>
        <w:pStyle w:val="SingleTxtG"/>
        <w:spacing w:before="120"/>
        <w:rPr>
          <w:color w:val="000000" w:themeColor="text1"/>
        </w:rPr>
      </w:pPr>
      <w:r w:rsidRPr="00546BBA">
        <w:rPr>
          <w:color w:val="000000" w:themeColor="text1"/>
        </w:rPr>
        <w:t>17.</w:t>
      </w:r>
      <w:r w:rsidRPr="00546BBA">
        <w:rPr>
          <w:color w:val="000000" w:themeColor="text1"/>
        </w:rPr>
        <w:tab/>
        <w:t>In section 3.4.3.3, replace ‘Table 3.4.5’ with ‘</w:t>
      </w:r>
      <w:r w:rsidRPr="00546BBA">
        <w:rPr>
          <w:b/>
          <w:bCs/>
          <w:color w:val="000000" w:themeColor="text1"/>
          <w:u w:val="single"/>
        </w:rPr>
        <w:t>Table 3.4.6</w:t>
      </w:r>
      <w:r w:rsidRPr="00546BBA">
        <w:rPr>
          <w:color w:val="000000" w:themeColor="text1"/>
        </w:rPr>
        <w:t>’ in both the sentence and the table title: ‘</w:t>
      </w:r>
      <w:r w:rsidRPr="00546BBA">
        <w:rPr>
          <w:color w:val="000000" w:themeColor="text1"/>
          <w:sz w:val="19"/>
        </w:rPr>
        <w:t>Cut-off values/concentration limits of ingredients of a mixture classified as either respiratory sensitizer or skin sensitizer that would trigger classification of the mixture’</w:t>
      </w:r>
      <w:r w:rsidRPr="00546BBA">
        <w:rPr>
          <w:color w:val="000000" w:themeColor="text1"/>
        </w:rPr>
        <w:t>.</w:t>
      </w:r>
    </w:p>
    <w:p w14:paraId="00AB9847" w14:textId="77777777" w:rsidR="008209A2" w:rsidRPr="00546BBA" w:rsidRDefault="008209A2" w:rsidP="006F4975">
      <w:pPr>
        <w:pStyle w:val="SingleTxtG"/>
        <w:spacing w:before="120"/>
        <w:rPr>
          <w:color w:val="000000" w:themeColor="text1"/>
        </w:rPr>
      </w:pPr>
      <w:r w:rsidRPr="00546BBA">
        <w:rPr>
          <w:color w:val="000000" w:themeColor="text1"/>
        </w:rPr>
        <w:t>18.</w:t>
      </w:r>
      <w:r w:rsidRPr="00546BBA">
        <w:rPr>
          <w:color w:val="000000" w:themeColor="text1"/>
        </w:rPr>
        <w:tab/>
        <w:t>In paragraph 3.4.4.1, replace ‘Table 3.4.6’ with ‘</w:t>
      </w:r>
      <w:r w:rsidRPr="00546BBA">
        <w:rPr>
          <w:b/>
          <w:bCs/>
          <w:color w:val="000000" w:themeColor="text1"/>
          <w:u w:val="single"/>
        </w:rPr>
        <w:t>Table 3.4.7</w:t>
      </w:r>
      <w:r w:rsidRPr="00546BBA">
        <w:rPr>
          <w:color w:val="000000" w:themeColor="text1"/>
        </w:rPr>
        <w:t>’ in both the last sentence and the table title: ‘</w:t>
      </w:r>
      <w:r w:rsidRPr="00546BBA">
        <w:rPr>
          <w:color w:val="000000" w:themeColor="text1"/>
          <w:spacing w:val="-6"/>
          <w:sz w:val="19"/>
        </w:rPr>
        <w:t>Label elements for respiratory or skin sensitization</w:t>
      </w:r>
      <w:r w:rsidRPr="00546BBA">
        <w:rPr>
          <w:color w:val="000000" w:themeColor="text1"/>
          <w:sz w:val="19"/>
        </w:rPr>
        <w:t>’</w:t>
      </w:r>
      <w:r w:rsidRPr="00546BBA">
        <w:rPr>
          <w:color w:val="000000" w:themeColor="text1"/>
        </w:rPr>
        <w:t>.</w:t>
      </w:r>
    </w:p>
    <w:p w14:paraId="51FD9842" w14:textId="238D6459" w:rsidR="008209A2" w:rsidRPr="00546BBA" w:rsidRDefault="008209A2" w:rsidP="006F4975">
      <w:pPr>
        <w:pStyle w:val="SingleTxtG"/>
        <w:spacing w:before="120"/>
        <w:rPr>
          <w:color w:val="000000" w:themeColor="text1"/>
        </w:rPr>
      </w:pPr>
      <w:r w:rsidRPr="00546BBA">
        <w:rPr>
          <w:color w:val="000000" w:themeColor="text1"/>
        </w:rPr>
        <w:t>19.</w:t>
      </w:r>
      <w:r w:rsidRPr="00546BBA">
        <w:rPr>
          <w:color w:val="000000" w:themeColor="text1"/>
        </w:rPr>
        <w:tab/>
        <w:t xml:space="preserve">In section 3.4.5.1 ‘Decision logic 3.4.1 for respiratory sensitization’, last box </w:t>
      </w:r>
      <w:proofErr w:type="gramStart"/>
      <w:r w:rsidRPr="00546BBA">
        <w:rPr>
          <w:color w:val="000000" w:themeColor="text1"/>
        </w:rPr>
        <w:t>replace</w:t>
      </w:r>
      <w:proofErr w:type="gramEnd"/>
      <w:r w:rsidR="006F4975">
        <w:rPr>
          <w:color w:val="000000" w:themeColor="text1"/>
        </w:rPr>
        <w:t> </w:t>
      </w:r>
      <w:r w:rsidRPr="00546BBA">
        <w:rPr>
          <w:color w:val="000000" w:themeColor="text1"/>
        </w:rPr>
        <w:t>‘Table 3.4.5’ with ‘</w:t>
      </w:r>
      <w:r w:rsidRPr="00546BBA">
        <w:rPr>
          <w:b/>
          <w:bCs/>
          <w:color w:val="000000" w:themeColor="text1"/>
          <w:u w:val="single"/>
        </w:rPr>
        <w:t>Table 3.4.6</w:t>
      </w:r>
      <w:r w:rsidRPr="00546BBA">
        <w:rPr>
          <w:color w:val="000000" w:themeColor="text1"/>
        </w:rPr>
        <w:t>’.</w:t>
      </w:r>
    </w:p>
    <w:p w14:paraId="08C70C39" w14:textId="3B4FCE8B" w:rsidR="008209A2" w:rsidRPr="00546BBA" w:rsidRDefault="008209A2" w:rsidP="006F4975">
      <w:pPr>
        <w:pStyle w:val="SingleTxtG"/>
        <w:spacing w:before="120"/>
        <w:rPr>
          <w:color w:val="000000" w:themeColor="text1"/>
        </w:rPr>
      </w:pPr>
      <w:r w:rsidRPr="00546BBA">
        <w:rPr>
          <w:color w:val="000000" w:themeColor="text1"/>
        </w:rPr>
        <w:t>20.</w:t>
      </w:r>
      <w:r w:rsidRPr="00546BBA">
        <w:rPr>
          <w:color w:val="000000" w:themeColor="text1"/>
        </w:rPr>
        <w:tab/>
        <w:t xml:space="preserve">In section 3.4.5.2 ‘Decision logic 3.4.1 for skin sensitization’, last box </w:t>
      </w:r>
      <w:proofErr w:type="gramStart"/>
      <w:r w:rsidRPr="00546BBA">
        <w:rPr>
          <w:color w:val="000000" w:themeColor="text1"/>
        </w:rPr>
        <w:t>replace</w:t>
      </w:r>
      <w:proofErr w:type="gramEnd"/>
      <w:r w:rsidR="006F4975">
        <w:rPr>
          <w:color w:val="000000" w:themeColor="text1"/>
        </w:rPr>
        <w:t> </w:t>
      </w:r>
      <w:r w:rsidRPr="00546BBA">
        <w:rPr>
          <w:color w:val="000000" w:themeColor="text1"/>
        </w:rPr>
        <w:t>‘Table</w:t>
      </w:r>
      <w:r w:rsidR="006F4975">
        <w:rPr>
          <w:color w:val="000000" w:themeColor="text1"/>
        </w:rPr>
        <w:t> </w:t>
      </w:r>
      <w:r w:rsidRPr="00546BBA">
        <w:rPr>
          <w:color w:val="000000" w:themeColor="text1"/>
        </w:rPr>
        <w:t>3.4.5’ with ‘</w:t>
      </w:r>
      <w:r w:rsidRPr="00546BBA">
        <w:rPr>
          <w:b/>
          <w:bCs/>
          <w:color w:val="000000" w:themeColor="text1"/>
          <w:u w:val="single"/>
        </w:rPr>
        <w:t>Table 3.4.6</w:t>
      </w:r>
      <w:r w:rsidRPr="00546BBA">
        <w:rPr>
          <w:color w:val="000000" w:themeColor="text1"/>
        </w:rPr>
        <w:t>’.</w:t>
      </w:r>
    </w:p>
    <w:p w14:paraId="572CA964" w14:textId="77777777" w:rsidR="008209A2" w:rsidRPr="00546BBA" w:rsidRDefault="008209A2" w:rsidP="008209A2">
      <w:pPr>
        <w:pStyle w:val="HChG"/>
        <w:ind w:firstLine="0"/>
        <w:rPr>
          <w:color w:val="000000" w:themeColor="text1"/>
        </w:rPr>
      </w:pPr>
      <w:r w:rsidRPr="00546BBA">
        <w:rPr>
          <w:color w:val="000000" w:themeColor="text1"/>
        </w:rPr>
        <w:tab/>
        <w:t>Action requested</w:t>
      </w:r>
    </w:p>
    <w:p w14:paraId="676B547E" w14:textId="2292DAD2" w:rsidR="008209A2" w:rsidRPr="00546BBA" w:rsidRDefault="008209A2" w:rsidP="00AF2860">
      <w:pPr>
        <w:pStyle w:val="SingleTxtG"/>
        <w:rPr>
          <w:color w:val="000000" w:themeColor="text1"/>
        </w:rPr>
      </w:pPr>
      <w:r w:rsidRPr="00546BBA">
        <w:rPr>
          <w:rFonts w:hint="eastAsia"/>
          <w:color w:val="000000" w:themeColor="text1"/>
          <w:lang w:eastAsia="ja-JP"/>
        </w:rPr>
        <w:t>21</w:t>
      </w:r>
      <w:r w:rsidRPr="00546BBA">
        <w:rPr>
          <w:color w:val="000000" w:themeColor="text1"/>
        </w:rPr>
        <w:t>.</w:t>
      </w:r>
      <w:r w:rsidRPr="00546BBA">
        <w:rPr>
          <w:color w:val="000000" w:themeColor="text1"/>
        </w:rPr>
        <w:tab/>
        <w:t xml:space="preserve">The Sub-Committee is invited to agree the proposed amendments in paragraph 3.4.2.2.3 of the GHS </w:t>
      </w:r>
      <w:r w:rsidR="00AF2860">
        <w:rPr>
          <w:color w:val="000000" w:themeColor="text1"/>
        </w:rPr>
        <w:t>and</w:t>
      </w:r>
      <w:r w:rsidRPr="00546BBA">
        <w:rPr>
          <w:color w:val="000000" w:themeColor="text1"/>
        </w:rPr>
        <w:t xml:space="preserve"> the </w:t>
      </w:r>
      <w:r w:rsidR="00AF2860">
        <w:rPr>
          <w:color w:val="000000" w:themeColor="text1"/>
        </w:rPr>
        <w:t xml:space="preserve">related </w:t>
      </w:r>
      <w:r w:rsidRPr="00546BBA">
        <w:rPr>
          <w:color w:val="000000" w:themeColor="text1"/>
        </w:rPr>
        <w:t>consequential amendments, as set out in paragraphs 13 to 20 above.</w:t>
      </w:r>
    </w:p>
    <w:p w14:paraId="1B954695" w14:textId="77777777" w:rsidR="008209A2" w:rsidRPr="00546BBA" w:rsidRDefault="008209A2" w:rsidP="008209A2">
      <w:pPr>
        <w:pStyle w:val="SingleTxtG"/>
        <w:ind w:left="0"/>
        <w:rPr>
          <w:color w:val="000000" w:themeColor="text1"/>
        </w:rPr>
      </w:pPr>
    </w:p>
    <w:p w14:paraId="48C18FAE" w14:textId="77777777" w:rsidR="008209A2" w:rsidRPr="00546BBA" w:rsidRDefault="008209A2" w:rsidP="008209A2">
      <w:pPr>
        <w:suppressAutoHyphens w:val="0"/>
        <w:spacing w:line="240" w:lineRule="auto"/>
        <w:rPr>
          <w:color w:val="000000" w:themeColor="text1"/>
          <w:lang w:eastAsia="ja-JP"/>
        </w:rPr>
      </w:pPr>
      <w:r w:rsidRPr="00546BBA">
        <w:rPr>
          <w:color w:val="000000" w:themeColor="text1"/>
          <w:lang w:eastAsia="ja-JP"/>
        </w:rPr>
        <w:br w:type="page"/>
      </w:r>
    </w:p>
    <w:p w14:paraId="616E31B0" w14:textId="464B4A85" w:rsidR="0069649E" w:rsidRDefault="0069649E" w:rsidP="0069649E">
      <w:pPr>
        <w:pStyle w:val="HChG"/>
      </w:pPr>
      <w:r>
        <w:lastRenderedPageBreak/>
        <w:tab/>
      </w:r>
      <w:r>
        <w:tab/>
      </w:r>
      <w:r w:rsidR="008209A2" w:rsidRPr="0069649E">
        <w:t>Annex</w:t>
      </w:r>
    </w:p>
    <w:p w14:paraId="44B1DFFA" w14:textId="76E16182" w:rsidR="008209A2" w:rsidRPr="0069649E" w:rsidRDefault="0069649E" w:rsidP="0069649E">
      <w:pPr>
        <w:pStyle w:val="HChG"/>
      </w:pPr>
      <w:r>
        <w:tab/>
      </w:r>
      <w:r>
        <w:tab/>
      </w:r>
      <w:r w:rsidR="008209A2" w:rsidRPr="0069649E">
        <w:t>References</w:t>
      </w:r>
    </w:p>
    <w:p w14:paraId="76EA4485" w14:textId="77777777" w:rsidR="008209A2" w:rsidRPr="00546BBA" w:rsidRDefault="008209A2" w:rsidP="0069649E">
      <w:pPr>
        <w:pStyle w:val="SingleTxtG"/>
      </w:pPr>
      <w:r w:rsidRPr="00546BBA">
        <w:t xml:space="preserve">Kobayashi T, Maeda Y, Kondo H, </w:t>
      </w:r>
      <w:proofErr w:type="spellStart"/>
      <w:r w:rsidRPr="00546BBA">
        <w:t>Takeyoshi</w:t>
      </w:r>
      <w:proofErr w:type="spellEnd"/>
      <w:r w:rsidRPr="00546BBA">
        <w:t xml:space="preserve"> M. (2020). Applicability of the proposed GHS sub-categorization criterion for LLNA: </w:t>
      </w:r>
      <w:proofErr w:type="spellStart"/>
      <w:r w:rsidRPr="00546BBA">
        <w:t>BrdU</w:t>
      </w:r>
      <w:proofErr w:type="spellEnd"/>
      <w:r w:rsidRPr="00546BBA">
        <w:t xml:space="preserve">-ELISA (OECD TG442B) to the CBA/J strain mouse. J </w:t>
      </w:r>
      <w:proofErr w:type="spellStart"/>
      <w:r w:rsidRPr="00546BBA">
        <w:t>Appl</w:t>
      </w:r>
      <w:proofErr w:type="spellEnd"/>
      <w:r w:rsidRPr="00546BBA">
        <w:t xml:space="preserve"> </w:t>
      </w:r>
      <w:proofErr w:type="spellStart"/>
      <w:r w:rsidRPr="00546BBA">
        <w:t>Toxicol</w:t>
      </w:r>
      <w:proofErr w:type="spellEnd"/>
      <w:r w:rsidRPr="00546BBA">
        <w:t xml:space="preserve">.; 1-5. </w:t>
      </w:r>
    </w:p>
    <w:p w14:paraId="681B73A6" w14:textId="77777777" w:rsidR="008209A2" w:rsidRPr="00546BBA" w:rsidRDefault="008209A2" w:rsidP="0069649E">
      <w:pPr>
        <w:pStyle w:val="SingleTxtG"/>
      </w:pPr>
      <w:r w:rsidRPr="00546BBA">
        <w:t xml:space="preserve">Maeda Y, </w:t>
      </w:r>
      <w:proofErr w:type="spellStart"/>
      <w:r w:rsidRPr="00546BBA">
        <w:t>Takeyoshi</w:t>
      </w:r>
      <w:proofErr w:type="spellEnd"/>
      <w:r w:rsidRPr="00546BBA">
        <w:t xml:space="preserve"> M. (2019). Proposal of GHS sub-categorization criteria for LLNA: </w:t>
      </w:r>
      <w:proofErr w:type="spellStart"/>
      <w:r w:rsidRPr="00546BBA">
        <w:t>BrdU</w:t>
      </w:r>
      <w:proofErr w:type="spellEnd"/>
      <w:r w:rsidRPr="00546BBA">
        <w:t xml:space="preserve">-ELISA (OECD TG442B). </w:t>
      </w:r>
      <w:proofErr w:type="spellStart"/>
      <w:r w:rsidRPr="00546BBA">
        <w:t>Regul</w:t>
      </w:r>
      <w:proofErr w:type="spellEnd"/>
      <w:r w:rsidRPr="00546BBA">
        <w:t xml:space="preserve"> </w:t>
      </w:r>
      <w:proofErr w:type="spellStart"/>
      <w:r w:rsidRPr="00546BBA">
        <w:t>Toxicol</w:t>
      </w:r>
      <w:proofErr w:type="spellEnd"/>
      <w:r w:rsidRPr="00546BBA">
        <w:t xml:space="preserve"> </w:t>
      </w:r>
      <w:proofErr w:type="spellStart"/>
      <w:r w:rsidRPr="00546BBA">
        <w:t>Pharmacol</w:t>
      </w:r>
      <w:proofErr w:type="spellEnd"/>
      <w:r w:rsidRPr="00546BBA">
        <w:t xml:space="preserve">. 107:104409. </w:t>
      </w:r>
    </w:p>
    <w:p w14:paraId="6401AA22" w14:textId="77777777" w:rsidR="008209A2" w:rsidRPr="00546BBA" w:rsidRDefault="008209A2" w:rsidP="0069649E">
      <w:pPr>
        <w:pStyle w:val="SingleTxtG"/>
      </w:pPr>
      <w:r w:rsidRPr="00546BBA">
        <w:t>Organization for Economic Co-operation and Development (OECD). (2010). OECD GUIDELINE FOR THE TESTING OF CHEMICALS No.429, Skin Sensitization: Local Lymph Node Assay. OECD, Paris</w:t>
      </w:r>
    </w:p>
    <w:p w14:paraId="311BF2F0" w14:textId="77777777" w:rsidR="008209A2" w:rsidRPr="00546BBA" w:rsidRDefault="008209A2" w:rsidP="0069649E">
      <w:pPr>
        <w:pStyle w:val="SingleTxtG"/>
      </w:pPr>
      <w:r w:rsidRPr="00546BBA">
        <w:t>Organization for Economic Co-operation and Development (OECD). (2010). OECD GUIDELINE FOR THE TESTING OF CHEMICALS No.442A, Skin Sensitisation: Local Lymph Node Assay: DA. OECD, Paris</w:t>
      </w:r>
    </w:p>
    <w:p w14:paraId="7643118D" w14:textId="77777777" w:rsidR="008209A2" w:rsidRPr="00546BBA" w:rsidRDefault="008209A2" w:rsidP="0069649E">
      <w:pPr>
        <w:pStyle w:val="SingleTxtG"/>
      </w:pPr>
      <w:r w:rsidRPr="00546BBA">
        <w:t xml:space="preserve">Organization for Economic Co-operation and Development (OECD). (2018). OECD GUIDELINE FOR THE TESTING OF CHEMICALS No.442B Appendix IA, Skin Sensitisation: Local Lymph Node Assay: </w:t>
      </w:r>
      <w:proofErr w:type="spellStart"/>
      <w:r w:rsidRPr="00546BBA">
        <w:t>BrdU</w:t>
      </w:r>
      <w:proofErr w:type="spellEnd"/>
      <w:r w:rsidRPr="00546BBA">
        <w:t>-ELISA. OECD, Paris</w:t>
      </w:r>
    </w:p>
    <w:p w14:paraId="159E51C3" w14:textId="77777777" w:rsidR="008209A2" w:rsidRPr="00546BBA" w:rsidRDefault="008209A2" w:rsidP="0069649E">
      <w:pPr>
        <w:pStyle w:val="SingleTxtG"/>
      </w:pPr>
      <w:proofErr w:type="spellStart"/>
      <w:r w:rsidRPr="00546BBA">
        <w:t>Takeyoshi</w:t>
      </w:r>
      <w:proofErr w:type="spellEnd"/>
      <w:r w:rsidRPr="00546BBA">
        <w:t xml:space="preserve"> M, Nara S. (2021). Registration status of skin sensitisation data derived from the Local Lymph Node Assay (LLNA): </w:t>
      </w:r>
      <w:proofErr w:type="spellStart"/>
      <w:r w:rsidRPr="00546BBA">
        <w:t>BrdU</w:t>
      </w:r>
      <w:proofErr w:type="spellEnd"/>
      <w:r w:rsidRPr="00546BBA">
        <w:t xml:space="preserve">-ELISA in REACH. Arch </w:t>
      </w:r>
      <w:proofErr w:type="spellStart"/>
      <w:r w:rsidRPr="00546BBA">
        <w:t>Toxicol</w:t>
      </w:r>
      <w:proofErr w:type="spellEnd"/>
      <w:r w:rsidRPr="00546BBA">
        <w:t xml:space="preserve">. May;95(5):1857-1858. </w:t>
      </w:r>
    </w:p>
    <w:p w14:paraId="7EEBCDC6" w14:textId="3BD505D1" w:rsidR="008209A2" w:rsidRDefault="008209A2" w:rsidP="0069649E">
      <w:pPr>
        <w:pStyle w:val="SingleTxtG"/>
      </w:pPr>
      <w:r w:rsidRPr="00546BBA">
        <w:t>United Nations (2021). Globally Harmonized System of Classification and Labelling of Chemicals (GHS) 9th revised edition. Chapter 3.4 Respiratory or skin sensitization. United Nations Publications. New York. pp. 153-161</w:t>
      </w:r>
      <w:r w:rsidR="004C7FB9">
        <w:t>.</w:t>
      </w:r>
    </w:p>
    <w:p w14:paraId="200E5FA4" w14:textId="6277E22E" w:rsidR="0069649E" w:rsidRPr="0069649E" w:rsidRDefault="0069649E" w:rsidP="0069649E">
      <w:pPr>
        <w:spacing w:before="240"/>
        <w:jc w:val="center"/>
        <w:rPr>
          <w:u w:val="single"/>
        </w:rPr>
      </w:pPr>
      <w:r>
        <w:rPr>
          <w:u w:val="single"/>
        </w:rPr>
        <w:tab/>
      </w:r>
      <w:r>
        <w:rPr>
          <w:u w:val="single"/>
        </w:rPr>
        <w:tab/>
      </w:r>
      <w:r>
        <w:rPr>
          <w:u w:val="single"/>
        </w:rPr>
        <w:tab/>
      </w:r>
    </w:p>
    <w:p w14:paraId="3742109A" w14:textId="77777777" w:rsidR="008209A2" w:rsidRPr="00546BBA" w:rsidRDefault="008209A2" w:rsidP="008209A2">
      <w:pPr>
        <w:widowControl w:val="0"/>
        <w:suppressAutoHyphens w:val="0"/>
        <w:spacing w:line="240" w:lineRule="auto"/>
        <w:jc w:val="both"/>
        <w:rPr>
          <w:rFonts w:eastAsia="MS PMincho"/>
          <w:color w:val="000000" w:themeColor="text1"/>
          <w:sz w:val="21"/>
          <w:szCs w:val="21"/>
          <w:lang w:val="x-none" w:eastAsia="x-none"/>
        </w:rPr>
      </w:pPr>
    </w:p>
    <w:p w14:paraId="7C83BE88" w14:textId="77777777" w:rsidR="008209A2" w:rsidRPr="00546BBA" w:rsidRDefault="008209A2" w:rsidP="008209A2">
      <w:pPr>
        <w:pStyle w:val="SingleTxtG"/>
        <w:spacing w:line="300" w:lineRule="exact"/>
        <w:ind w:left="0"/>
        <w:jc w:val="left"/>
        <w:rPr>
          <w:color w:val="000000" w:themeColor="text1"/>
          <w:lang w:val="x-none" w:eastAsia="ja-JP"/>
        </w:rPr>
      </w:pPr>
    </w:p>
    <w:p w14:paraId="65315865" w14:textId="77777777" w:rsidR="008209A2" w:rsidRPr="007E1244" w:rsidRDefault="008209A2" w:rsidP="008209A2"/>
    <w:p w14:paraId="67B1E525" w14:textId="77777777" w:rsidR="00AF5DE1" w:rsidRPr="008209A2" w:rsidRDefault="00AF5DE1" w:rsidP="004858F5"/>
    <w:sectPr w:rsidR="00AF5DE1" w:rsidRPr="008209A2" w:rsidSect="008209A2">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A6FC" w14:textId="77777777" w:rsidR="004D6DD0" w:rsidRPr="00C47B2E" w:rsidRDefault="004D6DD0" w:rsidP="00C47B2E">
      <w:pPr>
        <w:pStyle w:val="Footer"/>
      </w:pPr>
    </w:p>
  </w:endnote>
  <w:endnote w:type="continuationSeparator" w:id="0">
    <w:p w14:paraId="546707BA" w14:textId="77777777" w:rsidR="004D6DD0" w:rsidRPr="00C47B2E" w:rsidRDefault="004D6DD0" w:rsidP="00C47B2E">
      <w:pPr>
        <w:pStyle w:val="Footer"/>
      </w:pPr>
    </w:p>
  </w:endnote>
  <w:endnote w:type="continuationNotice" w:id="1">
    <w:p w14:paraId="143C0CFF" w14:textId="77777777" w:rsidR="004D6DD0" w:rsidRPr="00C47B2E" w:rsidRDefault="004D6DD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1FB2" w14:textId="340D8D43" w:rsidR="00D94B05" w:rsidRPr="008209A2" w:rsidRDefault="008209A2" w:rsidP="008209A2">
    <w:pPr>
      <w:pStyle w:val="Footer"/>
      <w:tabs>
        <w:tab w:val="right" w:pos="9598"/>
        <w:tab w:val="right" w:pos="9638"/>
      </w:tabs>
      <w:rPr>
        <w:sz w:val="18"/>
      </w:rPr>
    </w:pPr>
    <w:r w:rsidRPr="008209A2">
      <w:rPr>
        <w:b/>
        <w:sz w:val="18"/>
      </w:rPr>
      <w:fldChar w:fldCharType="begin"/>
    </w:r>
    <w:r w:rsidRPr="008209A2">
      <w:rPr>
        <w:b/>
        <w:sz w:val="18"/>
      </w:rPr>
      <w:instrText xml:space="preserve"> PAGE  \* MERGEFORMAT </w:instrText>
    </w:r>
    <w:r w:rsidRPr="008209A2">
      <w:rPr>
        <w:b/>
        <w:sz w:val="18"/>
      </w:rPr>
      <w:fldChar w:fldCharType="separate"/>
    </w:r>
    <w:r w:rsidRPr="008209A2">
      <w:rPr>
        <w:b/>
        <w:noProof/>
        <w:sz w:val="18"/>
      </w:rPr>
      <w:t>2</w:t>
    </w:r>
    <w:r w:rsidRPr="008209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0C7E" w14:textId="5002B31B" w:rsidR="00D94B05" w:rsidRPr="0069649E" w:rsidRDefault="008209A2" w:rsidP="0069649E">
    <w:pPr>
      <w:pStyle w:val="Footer"/>
      <w:tabs>
        <w:tab w:val="left" w:pos="5775"/>
        <w:tab w:val="right" w:pos="9598"/>
        <w:tab w:val="right" w:pos="9638"/>
      </w:tabs>
      <w:jc w:val="right"/>
      <w:rPr>
        <w:b/>
        <w:bCs/>
        <w:sz w:val="18"/>
      </w:rPr>
    </w:pPr>
    <w:r>
      <w:rPr>
        <w:b/>
        <w:sz w:val="18"/>
      </w:rPr>
      <w:tab/>
    </w:r>
    <w:r w:rsidRPr="0069649E">
      <w:rPr>
        <w:b/>
        <w:bCs/>
        <w:sz w:val="18"/>
      </w:rPr>
      <w:fldChar w:fldCharType="begin"/>
    </w:r>
    <w:r w:rsidRPr="00DF709E">
      <w:rPr>
        <w:b/>
        <w:bCs/>
        <w:sz w:val="18"/>
      </w:rPr>
      <w:instrText xml:space="preserve"> PAGE  \* MERGEFORMAT </w:instrText>
    </w:r>
    <w:r w:rsidRPr="0069649E">
      <w:rPr>
        <w:b/>
        <w:bCs/>
        <w:sz w:val="18"/>
      </w:rPr>
      <w:fldChar w:fldCharType="separate"/>
    </w:r>
    <w:r w:rsidRPr="00DF709E">
      <w:rPr>
        <w:b/>
        <w:bCs/>
        <w:noProof/>
        <w:sz w:val="18"/>
      </w:rPr>
      <w:t>3</w:t>
    </w:r>
    <w:r w:rsidRPr="006964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23DC" w14:textId="77777777" w:rsidR="00D94B05" w:rsidRPr="008209A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D72FB1E" wp14:editId="5F1878E7">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8840" w14:textId="77777777" w:rsidR="004D6DD0" w:rsidRPr="00C47B2E" w:rsidRDefault="004D6DD0" w:rsidP="00C47B2E">
      <w:pPr>
        <w:tabs>
          <w:tab w:val="right" w:pos="2155"/>
        </w:tabs>
        <w:spacing w:after="80" w:line="240" w:lineRule="auto"/>
        <w:ind w:left="680"/>
      </w:pPr>
      <w:r>
        <w:rPr>
          <w:u w:val="single"/>
        </w:rPr>
        <w:tab/>
      </w:r>
    </w:p>
  </w:footnote>
  <w:footnote w:type="continuationSeparator" w:id="0">
    <w:p w14:paraId="7E86CD45" w14:textId="77777777" w:rsidR="004D6DD0" w:rsidRPr="00C47B2E" w:rsidRDefault="004D6DD0" w:rsidP="005E716E">
      <w:pPr>
        <w:tabs>
          <w:tab w:val="right" w:pos="2155"/>
        </w:tabs>
        <w:spacing w:after="80" w:line="240" w:lineRule="auto"/>
        <w:ind w:left="680"/>
      </w:pPr>
      <w:r>
        <w:rPr>
          <w:u w:val="single"/>
        </w:rPr>
        <w:tab/>
      </w:r>
    </w:p>
  </w:footnote>
  <w:footnote w:type="continuationNotice" w:id="1">
    <w:p w14:paraId="3BE4DF35" w14:textId="77777777" w:rsidR="004D6DD0" w:rsidRPr="00C47B2E" w:rsidRDefault="004D6DD0"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6C70" w14:textId="146D1C1B" w:rsidR="008209A2" w:rsidRPr="008209A2" w:rsidRDefault="004D6DD0">
    <w:pPr>
      <w:pStyle w:val="Header"/>
    </w:pPr>
    <w:r>
      <w:fldChar w:fldCharType="begin"/>
    </w:r>
    <w:r>
      <w:instrText xml:space="preserve"> TITLE  \* MERGEFORMAT </w:instrText>
    </w:r>
    <w:r>
      <w:fldChar w:fldCharType="separate"/>
    </w:r>
    <w:r w:rsidR="008209A2">
      <w:t>ST/SG/AC.10/C.4/2022/7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42B2" w14:textId="12F966EA" w:rsidR="00D94B05" w:rsidRPr="008209A2" w:rsidRDefault="004D6DD0" w:rsidP="008209A2">
    <w:pPr>
      <w:pStyle w:val="Header"/>
      <w:jc w:val="right"/>
    </w:pPr>
    <w:r>
      <w:fldChar w:fldCharType="begin"/>
    </w:r>
    <w:r>
      <w:instrText xml:space="preserve"> TITLE  \* MERGEFORMAT </w:instrText>
    </w:r>
    <w:r>
      <w:fldChar w:fldCharType="separate"/>
    </w:r>
    <w:r w:rsidR="008209A2">
      <w:t>ST/SG/AC.10/C.4/2022/7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018C7"/>
    <w:multiLevelType w:val="hybridMultilevel"/>
    <w:tmpl w:val="5B24F1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63C6D"/>
    <w:multiLevelType w:val="hybridMultilevel"/>
    <w:tmpl w:val="F230D7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attachedTemplate r:id="rId1"/>
  <w:doNotTrackFormatting/>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A2"/>
    <w:rsid w:val="00042C77"/>
    <w:rsid w:val="00046E92"/>
    <w:rsid w:val="000635A7"/>
    <w:rsid w:val="00063C90"/>
    <w:rsid w:val="00073FEF"/>
    <w:rsid w:val="000E3EE0"/>
    <w:rsid w:val="00101B98"/>
    <w:rsid w:val="001514D1"/>
    <w:rsid w:val="00156578"/>
    <w:rsid w:val="00205D07"/>
    <w:rsid w:val="00240D97"/>
    <w:rsid w:val="00247E2C"/>
    <w:rsid w:val="002A32CB"/>
    <w:rsid w:val="002D5B2C"/>
    <w:rsid w:val="002D6C53"/>
    <w:rsid w:val="002F5595"/>
    <w:rsid w:val="003268E5"/>
    <w:rsid w:val="00334F6A"/>
    <w:rsid w:val="00342AC8"/>
    <w:rsid w:val="00343302"/>
    <w:rsid w:val="00372CC9"/>
    <w:rsid w:val="003752FE"/>
    <w:rsid w:val="003979DE"/>
    <w:rsid w:val="003B4550"/>
    <w:rsid w:val="003B5C03"/>
    <w:rsid w:val="003D2A18"/>
    <w:rsid w:val="004030C2"/>
    <w:rsid w:val="00413386"/>
    <w:rsid w:val="00427594"/>
    <w:rsid w:val="00447CC6"/>
    <w:rsid w:val="00461253"/>
    <w:rsid w:val="004858F5"/>
    <w:rsid w:val="004A2814"/>
    <w:rsid w:val="004C0622"/>
    <w:rsid w:val="004C510F"/>
    <w:rsid w:val="004C70B6"/>
    <w:rsid w:val="004C7FB9"/>
    <w:rsid w:val="004D6DD0"/>
    <w:rsid w:val="005042C2"/>
    <w:rsid w:val="00525549"/>
    <w:rsid w:val="00555AA4"/>
    <w:rsid w:val="00562A50"/>
    <w:rsid w:val="00591F38"/>
    <w:rsid w:val="005B43E3"/>
    <w:rsid w:val="005E716E"/>
    <w:rsid w:val="006476E1"/>
    <w:rsid w:val="006604DF"/>
    <w:rsid w:val="00671529"/>
    <w:rsid w:val="0067611D"/>
    <w:rsid w:val="006946DA"/>
    <w:rsid w:val="0069649E"/>
    <w:rsid w:val="006A0BCA"/>
    <w:rsid w:val="006C2C5A"/>
    <w:rsid w:val="006C7E7C"/>
    <w:rsid w:val="006F4975"/>
    <w:rsid w:val="0070489D"/>
    <w:rsid w:val="007268F9"/>
    <w:rsid w:val="00750282"/>
    <w:rsid w:val="00761BFA"/>
    <w:rsid w:val="00764440"/>
    <w:rsid w:val="0077101B"/>
    <w:rsid w:val="007C52B0"/>
    <w:rsid w:val="007C6033"/>
    <w:rsid w:val="007F6867"/>
    <w:rsid w:val="008141BD"/>
    <w:rsid w:val="008147C8"/>
    <w:rsid w:val="0081753A"/>
    <w:rsid w:val="008209A2"/>
    <w:rsid w:val="00857D23"/>
    <w:rsid w:val="00863EBD"/>
    <w:rsid w:val="0087739C"/>
    <w:rsid w:val="008E1DB4"/>
    <w:rsid w:val="009411B4"/>
    <w:rsid w:val="00946F1D"/>
    <w:rsid w:val="009C2CC5"/>
    <w:rsid w:val="009D0139"/>
    <w:rsid w:val="009D717D"/>
    <w:rsid w:val="009E37C2"/>
    <w:rsid w:val="009F5CDC"/>
    <w:rsid w:val="00A072D7"/>
    <w:rsid w:val="00A71FF1"/>
    <w:rsid w:val="00A75959"/>
    <w:rsid w:val="00A775CF"/>
    <w:rsid w:val="00A92C48"/>
    <w:rsid w:val="00AD1A9C"/>
    <w:rsid w:val="00AE62D0"/>
    <w:rsid w:val="00AF1B6B"/>
    <w:rsid w:val="00AF2860"/>
    <w:rsid w:val="00AF5DE1"/>
    <w:rsid w:val="00B06045"/>
    <w:rsid w:val="00B206DD"/>
    <w:rsid w:val="00B50DA4"/>
    <w:rsid w:val="00B52EF4"/>
    <w:rsid w:val="00B57646"/>
    <w:rsid w:val="00B777AD"/>
    <w:rsid w:val="00B85976"/>
    <w:rsid w:val="00BB5CBD"/>
    <w:rsid w:val="00BC69D7"/>
    <w:rsid w:val="00BD1275"/>
    <w:rsid w:val="00C00BD5"/>
    <w:rsid w:val="00C03015"/>
    <w:rsid w:val="00C0358D"/>
    <w:rsid w:val="00C35A27"/>
    <w:rsid w:val="00C47B2E"/>
    <w:rsid w:val="00C84799"/>
    <w:rsid w:val="00CB3BDC"/>
    <w:rsid w:val="00CD540D"/>
    <w:rsid w:val="00D63CD2"/>
    <w:rsid w:val="00D70A7B"/>
    <w:rsid w:val="00D87DC2"/>
    <w:rsid w:val="00D94B05"/>
    <w:rsid w:val="00DC5051"/>
    <w:rsid w:val="00DD5EB9"/>
    <w:rsid w:val="00DF709E"/>
    <w:rsid w:val="00E02C2B"/>
    <w:rsid w:val="00E03EF1"/>
    <w:rsid w:val="00E21AA7"/>
    <w:rsid w:val="00E21C27"/>
    <w:rsid w:val="00E26BCF"/>
    <w:rsid w:val="00E52109"/>
    <w:rsid w:val="00E75317"/>
    <w:rsid w:val="00E94077"/>
    <w:rsid w:val="00EC0CE6"/>
    <w:rsid w:val="00EC7C1D"/>
    <w:rsid w:val="00ED5FF6"/>
    <w:rsid w:val="00ED6C48"/>
    <w:rsid w:val="00EE0D75"/>
    <w:rsid w:val="00EE3045"/>
    <w:rsid w:val="00F07419"/>
    <w:rsid w:val="00F13DC3"/>
    <w:rsid w:val="00F2097D"/>
    <w:rsid w:val="00F447DE"/>
    <w:rsid w:val="00F65F5D"/>
    <w:rsid w:val="00F86A3A"/>
    <w:rsid w:val="00FE45B9"/>
    <w:rsid w:val="00FF62F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FF07"/>
  <w15:docId w15:val="{446D280F-9768-4F29-AAB9-80201DD6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8209A2"/>
    <w:rPr>
      <w:b/>
      <w:sz w:val="28"/>
    </w:rPr>
  </w:style>
  <w:style w:type="character" w:customStyle="1" w:styleId="SingleTxtGChar">
    <w:name w:val="_ Single Txt_G Char"/>
    <w:link w:val="SingleTxtG"/>
    <w:qFormat/>
    <w:rsid w:val="008209A2"/>
  </w:style>
  <w:style w:type="paragraph" w:styleId="ListParagraph">
    <w:name w:val="List Paragraph"/>
    <w:basedOn w:val="Normal"/>
    <w:uiPriority w:val="34"/>
    <w:qFormat/>
    <w:rsid w:val="008209A2"/>
    <w:pPr>
      <w:kinsoku/>
      <w:overflowPunct/>
      <w:autoSpaceDE/>
      <w:autoSpaceDN/>
      <w:adjustRightInd/>
      <w:snapToGrid/>
      <w:ind w:leftChars="400" w:left="840"/>
    </w:pPr>
    <w:rPr>
      <w:rFonts w:eastAsia="Times New Roman"/>
      <w:lang w:eastAsia="en-US"/>
    </w:rPr>
  </w:style>
  <w:style w:type="paragraph" w:styleId="Revision">
    <w:name w:val="Revision"/>
    <w:hidden/>
    <w:uiPriority w:val="99"/>
    <w:semiHidden/>
    <w:rsid w:val="00DF709E"/>
    <w:pPr>
      <w:spacing w:after="0" w:line="240" w:lineRule="auto"/>
    </w:pPr>
  </w:style>
  <w:style w:type="character" w:styleId="CommentReference">
    <w:name w:val="annotation reference"/>
    <w:basedOn w:val="DefaultParagraphFont"/>
    <w:uiPriority w:val="99"/>
    <w:semiHidden/>
    <w:unhideWhenUsed/>
    <w:rsid w:val="00BD1275"/>
    <w:rPr>
      <w:sz w:val="16"/>
      <w:szCs w:val="16"/>
    </w:rPr>
  </w:style>
  <w:style w:type="paragraph" w:styleId="CommentText">
    <w:name w:val="annotation text"/>
    <w:basedOn w:val="Normal"/>
    <w:link w:val="CommentTextChar"/>
    <w:uiPriority w:val="99"/>
    <w:semiHidden/>
    <w:unhideWhenUsed/>
    <w:rsid w:val="00BD1275"/>
    <w:pPr>
      <w:spacing w:line="240" w:lineRule="auto"/>
    </w:pPr>
  </w:style>
  <w:style w:type="character" w:customStyle="1" w:styleId="CommentTextChar">
    <w:name w:val="Comment Text Char"/>
    <w:basedOn w:val="DefaultParagraphFont"/>
    <w:link w:val="CommentText"/>
    <w:uiPriority w:val="99"/>
    <w:semiHidden/>
    <w:rsid w:val="00BD1275"/>
  </w:style>
  <w:style w:type="paragraph" w:styleId="CommentSubject">
    <w:name w:val="annotation subject"/>
    <w:basedOn w:val="CommentText"/>
    <w:next w:val="CommentText"/>
    <w:link w:val="CommentSubjectChar"/>
    <w:uiPriority w:val="99"/>
    <w:semiHidden/>
    <w:unhideWhenUsed/>
    <w:rsid w:val="00BD1275"/>
    <w:rPr>
      <w:b/>
      <w:bCs/>
    </w:rPr>
  </w:style>
  <w:style w:type="character" w:customStyle="1" w:styleId="CommentSubjectChar">
    <w:name w:val="Comment Subject Char"/>
    <w:basedOn w:val="CommentTextChar"/>
    <w:link w:val="CommentSubject"/>
    <w:uiPriority w:val="99"/>
    <w:semiHidden/>
    <w:rsid w:val="00BD1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FA1A-1CFC-4E72-ACC1-F71F0EA45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4BB2B-DA21-43FB-B34E-1845CD81F983}">
  <ds:schemaRefs>
    <ds:schemaRef ds:uri="http://schemas.microsoft.com/sharepoint/v3/contenttype/forms"/>
  </ds:schemaRefs>
</ds:datastoreItem>
</file>

<file path=customXml/itemProps3.xml><?xml version="1.0" encoding="utf-8"?>
<ds:datastoreItem xmlns:ds="http://schemas.openxmlformats.org/officeDocument/2006/customXml" ds:itemID="{7D59DB52-0605-4775-81B2-C7CCE6B2E8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130</TotalTime>
  <Pages>5</Pages>
  <Words>1880</Words>
  <Characters>10718</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ST/SG/AC.10/C.4/2022/7</dc:title>
  <dc:subject/>
  <dc:creator>Rosa Garcia-Couto</dc:creator>
  <cp:lastModifiedBy>Rosa Garcia Couto</cp:lastModifiedBy>
  <cp:revision>62</cp:revision>
  <dcterms:created xsi:type="dcterms:W3CDTF">2022-04-20T08:35:00Z</dcterms:created>
  <dcterms:modified xsi:type="dcterms:W3CDTF">2022-04-27T07:09:00Z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