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594499E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27D5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EC96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10547" w14:textId="305AA9C3" w:rsidR="00E52109" w:rsidRDefault="00E80F1E" w:rsidP="00E80F1E">
            <w:pPr>
              <w:suppressAutoHyphens w:val="0"/>
              <w:jc w:val="right"/>
            </w:pPr>
            <w:r w:rsidRPr="00E80F1E">
              <w:rPr>
                <w:sz w:val="40"/>
              </w:rPr>
              <w:t>ST</w:t>
            </w:r>
            <w:r>
              <w:t>/SG/AC.10/C.4/2022/6</w:t>
            </w:r>
          </w:p>
        </w:tc>
      </w:tr>
      <w:tr w:rsidR="00E52109" w14:paraId="67B77F7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D8EE31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9047FF" wp14:editId="4B26CC4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36A5B1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E1DB1A" w14:textId="77777777" w:rsidR="00D94B05" w:rsidRDefault="00E80F1E" w:rsidP="00E80F1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3E746A3" w14:textId="1F6E6320" w:rsidR="00E80F1E" w:rsidRDefault="00E80F1E" w:rsidP="00E80F1E">
            <w:pPr>
              <w:suppressAutoHyphens w:val="0"/>
              <w:spacing w:line="240" w:lineRule="exact"/>
            </w:pPr>
            <w:r>
              <w:t>2</w:t>
            </w:r>
            <w:r w:rsidR="006626A6">
              <w:t>1</w:t>
            </w:r>
            <w:r>
              <w:t xml:space="preserve"> April 2022</w:t>
            </w:r>
          </w:p>
          <w:p w14:paraId="5B9552AB" w14:textId="77777777" w:rsidR="00E80F1E" w:rsidRDefault="00E80F1E" w:rsidP="00E80F1E">
            <w:pPr>
              <w:suppressAutoHyphens w:val="0"/>
              <w:spacing w:line="240" w:lineRule="exact"/>
            </w:pPr>
          </w:p>
          <w:p w14:paraId="187F539D" w14:textId="0A9149A9" w:rsidR="00E80F1E" w:rsidRDefault="00E80F1E" w:rsidP="00E80F1E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42DD3E3A" w14:textId="77777777" w:rsidR="00E80F1E" w:rsidRPr="009F0F06" w:rsidRDefault="00E80F1E" w:rsidP="00E80F1E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3CA8FC4E" w14:textId="77777777" w:rsidR="00E80F1E" w:rsidRPr="009F0F06" w:rsidRDefault="00E80F1E" w:rsidP="00E80F1E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39E40FE2" w14:textId="77777777" w:rsidR="00E80F1E" w:rsidRDefault="00E80F1E" w:rsidP="00E80F1E">
      <w:pPr>
        <w:spacing w:before="120"/>
        <w:rPr>
          <w:b/>
        </w:rPr>
      </w:pPr>
      <w:r>
        <w:rPr>
          <w:b/>
        </w:rPr>
        <w:t>Forty-second session</w:t>
      </w:r>
    </w:p>
    <w:p w14:paraId="7D4218E1" w14:textId="77777777" w:rsidR="00E80F1E" w:rsidRDefault="00E80F1E" w:rsidP="00E80F1E">
      <w:r>
        <w:t xml:space="preserve">Geneva, 6-8 July 2022 </w:t>
      </w:r>
    </w:p>
    <w:p w14:paraId="6BC17063" w14:textId="12C0B650" w:rsidR="00E80F1E" w:rsidRDefault="00E80F1E" w:rsidP="00E80F1E">
      <w:r>
        <w:t>Item 3 (</w:t>
      </w:r>
      <w:r w:rsidR="009E78D9">
        <w:t>d</w:t>
      </w:r>
      <w:r>
        <w:t>) of the provisional agenda</w:t>
      </w:r>
    </w:p>
    <w:p w14:paraId="77018185" w14:textId="061EE10D" w:rsidR="00E80F1E" w:rsidRDefault="00E80F1E" w:rsidP="00E80F1E">
      <w:pPr>
        <w:rPr>
          <w:b/>
          <w:bCs/>
        </w:rPr>
      </w:pPr>
      <w:r w:rsidRPr="004705A0">
        <w:rPr>
          <w:b/>
          <w:bCs/>
        </w:rPr>
        <w:t xml:space="preserve">Implementation of the Globally Harmonized System of Classification </w:t>
      </w:r>
      <w:r w:rsidRPr="004705A0">
        <w:rPr>
          <w:b/>
          <w:bCs/>
        </w:rPr>
        <w:br/>
        <w:t xml:space="preserve">and Labelling of Chemicals: </w:t>
      </w:r>
      <w:r w:rsidR="009E78D9">
        <w:rPr>
          <w:b/>
          <w:bCs/>
        </w:rPr>
        <w:t>miscellaneous</w:t>
      </w:r>
    </w:p>
    <w:p w14:paraId="0FD2B964" w14:textId="3B21E7A7" w:rsidR="00E80F1E" w:rsidRDefault="00E80F1E" w:rsidP="00E80F1E">
      <w:pPr>
        <w:pStyle w:val="HChG"/>
      </w:pPr>
      <w:r w:rsidRPr="00DF2240">
        <w:tab/>
      </w:r>
      <w:r w:rsidRPr="00DF2240">
        <w:tab/>
      </w:r>
      <w:r>
        <w:t xml:space="preserve">Activities to support the implementation of </w:t>
      </w:r>
      <w:r w:rsidR="0046324B" w:rsidRPr="004705A0">
        <w:rPr>
          <w:bCs/>
        </w:rPr>
        <w:t>Globally Harmonized System of Classification and Labelling of Chemicals</w:t>
      </w:r>
      <w:r>
        <w:t xml:space="preserve"> </w:t>
      </w:r>
    </w:p>
    <w:p w14:paraId="221EDE5D" w14:textId="77777777" w:rsidR="00E80F1E" w:rsidRDefault="00E80F1E" w:rsidP="00E80F1E">
      <w:pPr>
        <w:pStyle w:val="H1G"/>
      </w:pPr>
      <w:r>
        <w:tab/>
      </w:r>
      <w:r>
        <w:tab/>
        <w:t>Transmitted by the expert from Sweden</w:t>
      </w:r>
      <w:r>
        <w:rPr>
          <w:rStyle w:val="FootnoteReference"/>
        </w:rPr>
        <w:footnoteReference w:customMarkFollows="1" w:id="2"/>
        <w:t>*</w:t>
      </w:r>
    </w:p>
    <w:p w14:paraId="15454FA2" w14:textId="77777777" w:rsidR="00E80F1E" w:rsidRDefault="00E80F1E" w:rsidP="00E80F1E">
      <w:pPr>
        <w:pStyle w:val="HChG"/>
      </w:pPr>
      <w:r>
        <w:tab/>
      </w:r>
      <w:r>
        <w:tab/>
        <w:t>Background</w:t>
      </w:r>
    </w:p>
    <w:p w14:paraId="1F0CB605" w14:textId="2D372B6F" w:rsidR="00E80F1E" w:rsidRPr="00554420" w:rsidRDefault="00E80F1E" w:rsidP="00554420">
      <w:pPr>
        <w:pStyle w:val="SingleTxtG"/>
      </w:pPr>
      <w:r w:rsidRPr="00554420">
        <w:t>1.</w:t>
      </w:r>
      <w:r w:rsidRPr="00554420">
        <w:tab/>
        <w:t xml:space="preserve">The expert from Sweden submitted informal document </w:t>
      </w:r>
      <w:r w:rsidR="000D65B6" w:rsidRPr="00554420">
        <w:t xml:space="preserve">INF.4 </w:t>
      </w:r>
      <w:r w:rsidRPr="00554420">
        <w:t xml:space="preserve">to the </w:t>
      </w:r>
      <w:r w:rsidR="00ED6DFC" w:rsidRPr="00554420">
        <w:t xml:space="preserve">forty-first session of the Sub-Committee </w:t>
      </w:r>
      <w:r w:rsidRPr="00AF23AE">
        <w:t xml:space="preserve">in December 2021 with information on activities </w:t>
      </w:r>
      <w:r w:rsidRPr="00554420">
        <w:t xml:space="preserve">to support </w:t>
      </w:r>
      <w:r w:rsidR="0046324B" w:rsidRPr="0046324B">
        <w:t>Globally Harmonized System of Classification</w:t>
      </w:r>
      <w:r w:rsidR="00C16AA0">
        <w:t xml:space="preserve"> </w:t>
      </w:r>
      <w:r w:rsidR="0046324B" w:rsidRPr="0046324B">
        <w:t>and Labelling of Chemicals</w:t>
      </w:r>
      <w:r w:rsidRPr="00554420">
        <w:t xml:space="preserve"> </w:t>
      </w:r>
      <w:r w:rsidR="00AE4494">
        <w:t xml:space="preserve">(GHS) </w:t>
      </w:r>
      <w:r w:rsidRPr="00554420">
        <w:t>implementation in low- and middle-income countries, conducted by the Swedish Chemicals Agency, within the framework of development cooperation projects.</w:t>
      </w:r>
    </w:p>
    <w:p w14:paraId="45AFB230" w14:textId="210CC748" w:rsidR="00E80F1E" w:rsidRPr="006032C2" w:rsidRDefault="00E80F1E" w:rsidP="00554420">
      <w:pPr>
        <w:pStyle w:val="SingleTxtG"/>
        <w:rPr>
          <w:i/>
          <w:iCs/>
        </w:rPr>
      </w:pPr>
      <w:r w:rsidRPr="00554420">
        <w:tab/>
        <w:t>2.</w:t>
      </w:r>
      <w:r w:rsidRPr="00554420">
        <w:tab/>
        <w:t xml:space="preserve">The background to the paper was to highlight that promotion of the implementation of the GHS system also lies within the mandate of the </w:t>
      </w:r>
      <w:r w:rsidR="009A2D9C" w:rsidRPr="00554420">
        <w:t>Sub-Committee</w:t>
      </w:r>
      <w:r w:rsidRPr="00554420">
        <w:t xml:space="preserve">, in addition to work on regular revisions and updates of the GHS. In the foreword </w:t>
      </w:r>
      <w:r w:rsidR="009A2D9C" w:rsidRPr="00554420">
        <w:t>to the GHS, paragraph</w:t>
      </w:r>
      <w:r w:rsidRPr="00554420">
        <w:t xml:space="preserve"> 6 states that: </w:t>
      </w:r>
      <w:r w:rsidR="00554420" w:rsidRPr="006032C2">
        <w:rPr>
          <w:i/>
          <w:iCs/>
        </w:rPr>
        <w:t>“</w:t>
      </w:r>
      <w:r w:rsidRPr="006032C2">
        <w:rPr>
          <w:i/>
          <w:iCs/>
        </w:rPr>
        <w:t xml:space="preserve">The GHS </w:t>
      </w:r>
      <w:r w:rsidR="008B6860">
        <w:rPr>
          <w:i/>
          <w:iCs/>
        </w:rPr>
        <w:t xml:space="preserve">Sub-Committee </w:t>
      </w:r>
      <w:r w:rsidRPr="006032C2">
        <w:rPr>
          <w:i/>
          <w:iCs/>
        </w:rPr>
        <w:t>is responsible for maintaining the GHS, promoting its implementation, and providing additional guidance as needs arise</w:t>
      </w:r>
      <w:r w:rsidR="00632160">
        <w:rPr>
          <w:i/>
          <w:iCs/>
        </w:rPr>
        <w:t>,</w:t>
      </w:r>
      <w:r w:rsidRPr="006032C2">
        <w:rPr>
          <w:i/>
          <w:iCs/>
        </w:rPr>
        <w:t xml:space="preserve"> while maintaining stability in the system to encourage its adoption.</w:t>
      </w:r>
      <w:r w:rsidR="00554420" w:rsidRPr="006032C2">
        <w:rPr>
          <w:i/>
          <w:iCs/>
        </w:rPr>
        <w:t>”</w:t>
      </w:r>
      <w:r w:rsidR="00632160">
        <w:rPr>
          <w:i/>
          <w:iCs/>
        </w:rPr>
        <w:t>.</w:t>
      </w:r>
    </w:p>
    <w:p w14:paraId="0053A326" w14:textId="77777777" w:rsidR="00E80F1E" w:rsidRPr="006032C2" w:rsidRDefault="00E80F1E" w:rsidP="00554420">
      <w:pPr>
        <w:pStyle w:val="SingleTxtG"/>
      </w:pPr>
      <w:r w:rsidRPr="006032C2">
        <w:t>3.</w:t>
      </w:r>
      <w:r w:rsidRPr="006032C2">
        <w:tab/>
        <w:t>While not defined in the text, adoption can generally be considered as including the GHS in national legislation. This should include clearly defined roles and responsibilities for authorities and industry.</w:t>
      </w:r>
    </w:p>
    <w:p w14:paraId="23A695C4" w14:textId="2DAA20E2" w:rsidR="00E80F1E" w:rsidRPr="006032C2" w:rsidRDefault="00E80F1E" w:rsidP="006032C2">
      <w:pPr>
        <w:pStyle w:val="SingleTxtG"/>
      </w:pPr>
      <w:r w:rsidRPr="006032C2">
        <w:tab/>
        <w:t>4.</w:t>
      </w:r>
      <w:r w:rsidRPr="006032C2">
        <w:tab/>
        <w:t xml:space="preserve">The expert from Sweden proposed to the </w:t>
      </w:r>
      <w:r w:rsidR="00D4361E" w:rsidRPr="006032C2">
        <w:t xml:space="preserve">Sub-Committee </w:t>
      </w:r>
      <w:r w:rsidRPr="006032C2">
        <w:t xml:space="preserve">to explore how promotion and monitoring of GHS implementation worldwide can be further supported. There was general support for this proposal and the expert from Sweden was invited to develop a proposal for consideration by the </w:t>
      </w:r>
      <w:r w:rsidR="00D4361E" w:rsidRPr="006032C2">
        <w:t xml:space="preserve">Sub-Committee </w:t>
      </w:r>
      <w:r w:rsidRPr="006032C2">
        <w:t>on possible ways forward.</w:t>
      </w:r>
    </w:p>
    <w:p w14:paraId="48CC3315" w14:textId="72BC4EB9" w:rsidR="00E80F1E" w:rsidRPr="00105DF0" w:rsidRDefault="00E80F1E" w:rsidP="00105DF0">
      <w:pPr>
        <w:pStyle w:val="SingleTxtG"/>
      </w:pPr>
      <w:r w:rsidRPr="00105DF0">
        <w:tab/>
        <w:t>5.</w:t>
      </w:r>
      <w:r w:rsidRPr="00105DF0">
        <w:tab/>
        <w:t xml:space="preserve">With this document, the Swedish expert would like to propose questions for discussion and actions that can be taken by the </w:t>
      </w:r>
      <w:r w:rsidR="00173FE7" w:rsidRPr="00105DF0">
        <w:t xml:space="preserve">Sub-Committee </w:t>
      </w:r>
      <w:r w:rsidRPr="00105DF0">
        <w:t>on this issue.</w:t>
      </w:r>
    </w:p>
    <w:p w14:paraId="5CD07B4D" w14:textId="77777777" w:rsidR="00E80F1E" w:rsidRDefault="00E80F1E" w:rsidP="00E80F1E">
      <w:pPr>
        <w:pStyle w:val="HChG"/>
      </w:pPr>
      <w:r>
        <w:lastRenderedPageBreak/>
        <w:tab/>
      </w:r>
      <w:r>
        <w:tab/>
      </w:r>
      <w:r w:rsidRPr="00DF0D83">
        <w:t xml:space="preserve">Topics for </w:t>
      </w:r>
      <w:r>
        <w:t>d</w:t>
      </w:r>
      <w:r w:rsidRPr="001A31DD">
        <w:t>iscussion</w:t>
      </w:r>
    </w:p>
    <w:p w14:paraId="45172E89" w14:textId="4E9CA59F" w:rsidR="00E80F1E" w:rsidRPr="00894408" w:rsidRDefault="00E80F1E" w:rsidP="00894408">
      <w:pPr>
        <w:pStyle w:val="SingleTxtG"/>
      </w:pPr>
      <w:r w:rsidRPr="00894408">
        <w:t xml:space="preserve">6. </w:t>
      </w:r>
      <w:r w:rsidRPr="00AF23AE">
        <w:tab/>
      </w:r>
      <w:r w:rsidRPr="00894408">
        <w:t xml:space="preserve">The </w:t>
      </w:r>
      <w:r w:rsidR="00894408">
        <w:t>e</w:t>
      </w:r>
      <w:r w:rsidRPr="00894408">
        <w:t xml:space="preserve">xpert from Sweden invites the </w:t>
      </w:r>
      <w:r w:rsidR="00173FE7" w:rsidRPr="00894408">
        <w:t xml:space="preserve">Sub-Committee </w:t>
      </w:r>
      <w:r w:rsidRPr="00894408">
        <w:t xml:space="preserve">to reflect upon the following topics: </w:t>
      </w:r>
    </w:p>
    <w:p w14:paraId="25611763" w14:textId="6A8A923C" w:rsidR="00E80F1E" w:rsidRPr="00AF23AE" w:rsidRDefault="00173FE7" w:rsidP="00AF23AE">
      <w:pPr>
        <w:pStyle w:val="SingleTxtG"/>
        <w:ind w:left="2268" w:hanging="567"/>
      </w:pPr>
      <w:r w:rsidRPr="00894408">
        <w:t xml:space="preserve">(a) </w:t>
      </w:r>
      <w:r w:rsidR="00E80F1E" w:rsidRPr="00AF23AE">
        <w:tab/>
        <w:t>Implementation of GHS could mean anything from fostering political commitment, developing a legal framework and enforcement mechanisms, to ensuring that duty-holders are fulfilling their obligations.</w:t>
      </w:r>
    </w:p>
    <w:p w14:paraId="18CAEDBC" w14:textId="174685D5" w:rsidR="00E80F1E" w:rsidRPr="00894408" w:rsidRDefault="00894408" w:rsidP="00AF23AE">
      <w:pPr>
        <w:pStyle w:val="SingleTxtG"/>
        <w:ind w:left="2268" w:hanging="567"/>
      </w:pPr>
      <w:r>
        <w:tab/>
      </w:r>
      <w:r w:rsidR="00E80F1E" w:rsidRPr="00894408">
        <w:t xml:space="preserve">What does “promoting the implementation of GHS” mean to the </w:t>
      </w:r>
      <w:r w:rsidR="006C6741" w:rsidRPr="00894408">
        <w:t xml:space="preserve">Sub-Committee </w:t>
      </w:r>
      <w:r w:rsidR="00E80F1E" w:rsidRPr="00894408">
        <w:t xml:space="preserve">in terms of activities required to make the system operational in a country? </w:t>
      </w:r>
    </w:p>
    <w:p w14:paraId="3C0F04B0" w14:textId="0788F328" w:rsidR="00E80F1E" w:rsidRPr="00AF23AE" w:rsidRDefault="00146F2B" w:rsidP="00AF23AE">
      <w:pPr>
        <w:pStyle w:val="SingleTxtG"/>
        <w:ind w:left="2268" w:hanging="567"/>
      </w:pPr>
      <w:r w:rsidRPr="00AF23AE">
        <w:t>(b)</w:t>
      </w:r>
      <w:r w:rsidR="00E80F1E" w:rsidRPr="00AF23AE">
        <w:tab/>
        <w:t xml:space="preserve">There may be a number of different drivers for a country which intends to </w:t>
      </w:r>
      <w:r w:rsidR="00E80F1E" w:rsidRPr="000F7AB5">
        <w:t>implement</w:t>
      </w:r>
      <w:r w:rsidR="00E80F1E" w:rsidRPr="00AF23AE">
        <w:t xml:space="preserve"> GHS, e.g. environmental and health benefits, membership of regional or economic associations or facilitation of trade.</w:t>
      </w:r>
    </w:p>
    <w:p w14:paraId="2733A10A" w14:textId="7AB456B5" w:rsidR="00E80F1E" w:rsidRDefault="00E80F1E" w:rsidP="00E80F1E">
      <w:pPr>
        <w:pStyle w:val="SingleTxtG"/>
        <w:ind w:left="2268"/>
        <w:rPr>
          <w:lang w:val="en-US"/>
        </w:rPr>
      </w:pPr>
      <w:r w:rsidRPr="00FD0615">
        <w:rPr>
          <w:lang w:val="en-US"/>
        </w:rPr>
        <w:t xml:space="preserve">According to the </w:t>
      </w:r>
      <w:r w:rsidR="000233B6" w:rsidRPr="00FD0615">
        <w:rPr>
          <w:lang w:val="en-US"/>
        </w:rPr>
        <w:t>Sub-Committee’s</w:t>
      </w:r>
      <w:r w:rsidRPr="00FD0615">
        <w:rPr>
          <w:lang w:val="en-US"/>
        </w:rPr>
        <w:t xml:space="preserve"> experience and views</w:t>
      </w:r>
      <w:r w:rsidR="000233B6" w:rsidRPr="00FD0615">
        <w:rPr>
          <w:lang w:val="en-US"/>
        </w:rPr>
        <w:t>,</w:t>
      </w:r>
      <w:r w:rsidRPr="00FD0615">
        <w:rPr>
          <w:lang w:val="en-US"/>
        </w:rPr>
        <w:t xml:space="preserve"> what are the most important drivers for a country to implement GHS? Are there relevant </w:t>
      </w:r>
      <w:r w:rsidRPr="00FD0615">
        <w:t>entities</w:t>
      </w:r>
      <w:r w:rsidRPr="00FD0615">
        <w:rPr>
          <w:lang w:val="en-US"/>
        </w:rPr>
        <w:t xml:space="preserve"> (such as regional associations or the W</w:t>
      </w:r>
      <w:r w:rsidR="00077461" w:rsidRPr="00FD0615">
        <w:rPr>
          <w:lang w:val="en-US"/>
        </w:rPr>
        <w:t>orld Trade Organization</w:t>
      </w:r>
      <w:r w:rsidRPr="00FD0615">
        <w:rPr>
          <w:lang w:val="en-US"/>
        </w:rPr>
        <w:t xml:space="preserve">) that the </w:t>
      </w:r>
      <w:r w:rsidR="00DB2915" w:rsidRPr="00FD0615">
        <w:rPr>
          <w:lang w:val="en-US"/>
        </w:rPr>
        <w:t xml:space="preserve">Sub-Committee </w:t>
      </w:r>
      <w:r w:rsidRPr="00FD0615">
        <w:rPr>
          <w:lang w:val="en-US"/>
        </w:rPr>
        <w:t>should seek to engage with directly?</w:t>
      </w:r>
    </w:p>
    <w:p w14:paraId="02B5D2F4" w14:textId="7CD83398" w:rsidR="00E80F1E" w:rsidRPr="00AF23AE" w:rsidRDefault="00146F2B" w:rsidP="00AF23AE">
      <w:pPr>
        <w:pStyle w:val="SingleTxtG"/>
        <w:ind w:left="2268" w:hanging="567"/>
      </w:pPr>
      <w:r w:rsidRPr="00AF23AE">
        <w:t xml:space="preserve">(c) </w:t>
      </w:r>
      <w:r w:rsidR="00E80F1E" w:rsidRPr="00AF23AE">
        <w:tab/>
      </w:r>
      <w:r w:rsidR="00D73494" w:rsidRPr="00AF23AE">
        <w:t xml:space="preserve">The </w:t>
      </w:r>
      <w:r w:rsidR="006E3081" w:rsidRPr="00AF23AE">
        <w:t xml:space="preserve">existing standing </w:t>
      </w:r>
      <w:r w:rsidR="00E80F1E" w:rsidRPr="00AF23AE">
        <w:t xml:space="preserve">agenda item on capacity building gives the </w:t>
      </w:r>
      <w:r w:rsidR="00894408">
        <w:br/>
      </w:r>
      <w:r w:rsidR="00F23484">
        <w:t>Sub-Committee</w:t>
      </w:r>
      <w:r w:rsidR="00F23484" w:rsidRPr="00AF23AE">
        <w:t xml:space="preserve"> </w:t>
      </w:r>
      <w:r w:rsidR="00E80F1E" w:rsidRPr="00AF23AE">
        <w:t xml:space="preserve">participants a possibility to inform each other about capacity building activities.  </w:t>
      </w:r>
    </w:p>
    <w:p w14:paraId="146A97B6" w14:textId="4E54942A" w:rsidR="00E80F1E" w:rsidRPr="000F7AB5" w:rsidRDefault="00146F2B" w:rsidP="00AF23AE">
      <w:pPr>
        <w:pStyle w:val="SingleTxtG"/>
        <w:ind w:left="2835" w:hanging="567"/>
      </w:pPr>
      <w:r w:rsidRPr="00FD0615">
        <w:t>(</w:t>
      </w:r>
      <w:proofErr w:type="spellStart"/>
      <w:r w:rsidRPr="00FD0615">
        <w:t>i</w:t>
      </w:r>
      <w:proofErr w:type="spellEnd"/>
      <w:r w:rsidRPr="00FD0615">
        <w:t>)</w:t>
      </w:r>
      <w:r w:rsidR="00E80F1E" w:rsidRPr="00FD0615">
        <w:tab/>
        <w:t xml:space="preserve">To what extent can this agenda </w:t>
      </w:r>
      <w:r w:rsidR="00F23484" w:rsidRPr="00FD0615">
        <w:t xml:space="preserve">item </w:t>
      </w:r>
      <w:r w:rsidR="00E80F1E" w:rsidRPr="00FD0615">
        <w:t xml:space="preserve">be used for participants to both inform each other but also share more detailed experiences of the results of conducted activities and discuss planned initiatives? To what extent can this agenda </w:t>
      </w:r>
      <w:r w:rsidR="00656265" w:rsidRPr="00FD0615">
        <w:t xml:space="preserve">item </w:t>
      </w:r>
      <w:r w:rsidR="00E80F1E" w:rsidRPr="00FD0615">
        <w:t xml:space="preserve">also be used to explore the possibility to conduct joint initiatives and to invite other bodies or entities that are not officially part of the </w:t>
      </w:r>
      <w:r w:rsidR="00656265" w:rsidRPr="00FD0615">
        <w:t xml:space="preserve">Sub-Committee </w:t>
      </w:r>
      <w:r w:rsidR="00E80F1E" w:rsidRPr="00FD0615">
        <w:t>to assist in the implementation of the</w:t>
      </w:r>
      <w:r w:rsidR="00BC1FFD" w:rsidRPr="00FD0615">
        <w:t>se</w:t>
      </w:r>
      <w:r w:rsidR="00E80F1E" w:rsidRPr="00FD0615">
        <w:t xml:space="preserve"> activities?</w:t>
      </w:r>
      <w:r w:rsidR="00E80F1E" w:rsidRPr="000F7AB5">
        <w:t xml:space="preserve"> </w:t>
      </w:r>
    </w:p>
    <w:p w14:paraId="584AD605" w14:textId="1FCE9169" w:rsidR="00E80F1E" w:rsidRPr="000F7AB5" w:rsidRDefault="00146F2B" w:rsidP="00AF23AE">
      <w:pPr>
        <w:pStyle w:val="SingleTxtG"/>
        <w:ind w:left="2835" w:hanging="567"/>
      </w:pPr>
      <w:r>
        <w:t>(ii)</w:t>
      </w:r>
      <w:r w:rsidR="00E80F1E">
        <w:tab/>
      </w:r>
      <w:r w:rsidR="00656265">
        <w:t>Sub-Committee’s</w:t>
      </w:r>
      <w:r w:rsidR="00656265" w:rsidRPr="000F7AB5">
        <w:t xml:space="preserve"> </w:t>
      </w:r>
      <w:r w:rsidR="00E80F1E" w:rsidRPr="000F7AB5">
        <w:t xml:space="preserve">focal points may not come from departments, agencies or entities that have international development budgets or objectives. To what extent can </w:t>
      </w:r>
      <w:r w:rsidR="00286722">
        <w:t>Sub-Committee</w:t>
      </w:r>
      <w:r w:rsidR="00286722" w:rsidRPr="000F7AB5">
        <w:t xml:space="preserve"> </w:t>
      </w:r>
      <w:r w:rsidR="00E80F1E" w:rsidRPr="000F7AB5">
        <w:t xml:space="preserve">members commit to engaging with their domestic stakeholders to support capacity building directly, with the </w:t>
      </w:r>
      <w:r w:rsidR="00286722">
        <w:t>Sub-Committee’s</w:t>
      </w:r>
      <w:r w:rsidR="00286722" w:rsidRPr="000F7AB5">
        <w:t xml:space="preserve"> </w:t>
      </w:r>
      <w:r w:rsidR="00E80F1E" w:rsidRPr="000F7AB5">
        <w:t xml:space="preserve">focal points for GHS capacity building activities, namely ILO and UNITAR, or with other entities that engage in international capacity building? </w:t>
      </w:r>
    </w:p>
    <w:p w14:paraId="4A015170" w14:textId="56F90861" w:rsidR="00E80F1E" w:rsidRPr="00AF23AE" w:rsidRDefault="00146F2B" w:rsidP="00AF23AE">
      <w:pPr>
        <w:pStyle w:val="SingleTxtG"/>
        <w:ind w:left="2268" w:hanging="567"/>
      </w:pPr>
      <w:r w:rsidRPr="00AF23AE">
        <w:t>(d)</w:t>
      </w:r>
      <w:r w:rsidR="00E80F1E" w:rsidRPr="00AF23AE">
        <w:tab/>
        <w:t>Agenda item “Implementation of the GHS” includes reports on the status of implementation.</w:t>
      </w:r>
    </w:p>
    <w:p w14:paraId="2F9E0470" w14:textId="61878956" w:rsidR="00E80F1E" w:rsidRPr="004738F7" w:rsidRDefault="00E80F1E" w:rsidP="00E80F1E">
      <w:pPr>
        <w:pStyle w:val="SingleTxtG"/>
        <w:ind w:left="2268"/>
        <w:rPr>
          <w:lang w:val="en-US"/>
        </w:rPr>
      </w:pPr>
      <w:r w:rsidRPr="004738F7">
        <w:rPr>
          <w:lang w:val="en-US"/>
        </w:rPr>
        <w:t xml:space="preserve">Could </w:t>
      </w:r>
      <w:r w:rsidRPr="000F7AB5">
        <w:t>this</w:t>
      </w:r>
      <w:r w:rsidRPr="004738F7">
        <w:rPr>
          <w:lang w:val="en-US"/>
        </w:rPr>
        <w:t xml:space="preserve"> agenda </w:t>
      </w:r>
      <w:r w:rsidR="009A4AA8">
        <w:rPr>
          <w:lang w:val="en-US"/>
        </w:rPr>
        <w:t xml:space="preserve">item </w:t>
      </w:r>
      <w:r w:rsidRPr="004738F7">
        <w:rPr>
          <w:lang w:val="en-US"/>
        </w:rPr>
        <w:t xml:space="preserve">be used for a joint discussion of the result of surveys and reports (e.g. the compilation made by </w:t>
      </w:r>
      <w:proofErr w:type="spellStart"/>
      <w:r w:rsidRPr="004738F7">
        <w:rPr>
          <w:lang w:val="en-US"/>
        </w:rPr>
        <w:t>Cefic</w:t>
      </w:r>
      <w:proofErr w:type="spellEnd"/>
      <w:r w:rsidRPr="004738F7">
        <w:rPr>
          <w:lang w:val="en-US"/>
        </w:rPr>
        <w:t xml:space="preserve"> on global implementation status) to enable an analysis of the pace at which GHS is being implemented?</w:t>
      </w:r>
    </w:p>
    <w:p w14:paraId="5C1D12DB" w14:textId="20438E96" w:rsidR="00E80F1E" w:rsidRDefault="00146F2B" w:rsidP="00AF23AE">
      <w:pPr>
        <w:pStyle w:val="SingleTxtG"/>
        <w:ind w:left="2268" w:hanging="567"/>
      </w:pPr>
      <w:r>
        <w:t>(e)</w:t>
      </w:r>
      <w:r w:rsidR="00E80F1E">
        <w:tab/>
      </w:r>
      <w:r w:rsidR="00E80F1E" w:rsidRPr="00DF0D83">
        <w:t xml:space="preserve">The two-year cycle of </w:t>
      </w:r>
      <w:r w:rsidR="00E80F1E" w:rsidRPr="000F7AB5">
        <w:t>revising</w:t>
      </w:r>
      <w:r w:rsidR="00E80F1E" w:rsidRPr="00DF0D83">
        <w:t xml:space="preserve"> the GHS means that countries are constantly struggling to keep up with implementing new versions and are out of pace with each other so that global harmonisation is never reached. </w:t>
      </w:r>
    </w:p>
    <w:p w14:paraId="6269310D" w14:textId="5AC1E011" w:rsidR="00E80F1E" w:rsidRDefault="00E80F1E" w:rsidP="00E80F1E">
      <w:pPr>
        <w:pStyle w:val="SingleTxtG"/>
        <w:ind w:left="2268"/>
      </w:pPr>
      <w:r>
        <w:tab/>
      </w:r>
      <w:r w:rsidRPr="00DF0D83">
        <w:t xml:space="preserve">Would it be </w:t>
      </w:r>
      <w:r w:rsidRPr="000F7AB5">
        <w:t>worthwhile</w:t>
      </w:r>
      <w:r w:rsidRPr="00DF0D83">
        <w:t xml:space="preserve"> to better take this aspect into consideration in the future work?</w:t>
      </w:r>
    </w:p>
    <w:p w14:paraId="788BA339" w14:textId="3B4E7CE4" w:rsidR="00E80F1E" w:rsidRPr="007C6A58" w:rsidRDefault="00AA7144" w:rsidP="00AF23AE">
      <w:pPr>
        <w:pStyle w:val="SingleTxtG"/>
        <w:ind w:left="2268" w:hanging="567"/>
        <w:rPr>
          <w:lang w:val="en-US"/>
        </w:rPr>
      </w:pPr>
      <w:r>
        <w:t>(f)</w:t>
      </w:r>
      <w:r w:rsidR="00E80F1E">
        <w:tab/>
      </w:r>
      <w:r w:rsidR="009A4AA8">
        <w:t xml:space="preserve">At the forty-first session of the Sub-Committee </w:t>
      </w:r>
      <w:r w:rsidR="00E80F1E" w:rsidRPr="007C6A58">
        <w:t xml:space="preserve">in December 2021 it was noted that there had previously been a GHS implementation issues working group, which could be revived. </w:t>
      </w:r>
      <w:r w:rsidR="00E80F1E" w:rsidRPr="00AF23AE">
        <w:t xml:space="preserve">The </w:t>
      </w:r>
      <w:r w:rsidR="009A4AA8" w:rsidRPr="00AF23AE">
        <w:t xml:space="preserve">group was </w:t>
      </w:r>
      <w:r w:rsidR="00B61306" w:rsidRPr="00AF23AE">
        <w:t xml:space="preserve">set up </w:t>
      </w:r>
      <w:r w:rsidR="00710C88" w:rsidRPr="00AF23AE">
        <w:t>followi</w:t>
      </w:r>
      <w:r w:rsidR="006D45D1" w:rsidRPr="00AF23AE">
        <w:t>n</w:t>
      </w:r>
      <w:r w:rsidR="00710C88" w:rsidRPr="00AF23AE">
        <w:t xml:space="preserve">g the discussions held during the </w:t>
      </w:r>
      <w:r w:rsidR="00E80F1E" w:rsidRPr="00AF23AE">
        <w:t xml:space="preserve">13th </w:t>
      </w:r>
      <w:r w:rsidRPr="00AF23AE">
        <w:t>s</w:t>
      </w:r>
      <w:r w:rsidR="00E80F1E" w:rsidRPr="00AF23AE">
        <w:t xml:space="preserve">ession of the </w:t>
      </w:r>
      <w:r w:rsidRPr="00AF23AE">
        <w:t>Sub-Committee</w:t>
      </w:r>
      <w:r w:rsidR="00E80F1E" w:rsidRPr="00AF23AE">
        <w:t>. The work</w:t>
      </w:r>
      <w:r w:rsidR="00642145" w:rsidRPr="00AF23AE">
        <w:t>, initially lead by Australia,</w:t>
      </w:r>
      <w:r w:rsidR="00E80F1E" w:rsidRPr="00AF23AE">
        <w:t xml:space="preserve"> focused on issues related to a harmonized approach when implementing GHS and continued for many years. Then around 2010 or 2011 the </w:t>
      </w:r>
      <w:r w:rsidR="00593BC5" w:rsidRPr="00AF23AE">
        <w:t xml:space="preserve">expert </w:t>
      </w:r>
      <w:r w:rsidR="00E80F1E" w:rsidRPr="00AF23AE">
        <w:t xml:space="preserve">from Australia left the </w:t>
      </w:r>
      <w:r w:rsidR="00C83447" w:rsidRPr="00AF23AE">
        <w:t xml:space="preserve">Sub-Committee </w:t>
      </w:r>
      <w:r w:rsidR="00E80F1E" w:rsidRPr="00AF23AE">
        <w:t xml:space="preserve">and the work stopped as no other delegations </w:t>
      </w:r>
      <w:r w:rsidR="00573A20" w:rsidRPr="00AF23AE">
        <w:t xml:space="preserve">volunteered to take </w:t>
      </w:r>
      <w:r w:rsidR="00E80F1E" w:rsidRPr="00AF23AE">
        <w:t xml:space="preserve">up the work. What is the view of the </w:t>
      </w:r>
      <w:r w:rsidR="00C83447" w:rsidRPr="00AF23AE">
        <w:t>Sub-</w:t>
      </w:r>
      <w:r w:rsidR="00C83447" w:rsidRPr="006626A6">
        <w:t xml:space="preserve">Committee </w:t>
      </w:r>
      <w:r w:rsidR="00003724" w:rsidRPr="006626A6">
        <w:t>on resuming</w:t>
      </w:r>
      <w:r w:rsidR="00B23456" w:rsidRPr="006626A6">
        <w:t xml:space="preserve"> this work</w:t>
      </w:r>
      <w:r w:rsidR="00021B9F" w:rsidRPr="006626A6">
        <w:t xml:space="preserve"> </w:t>
      </w:r>
      <w:r w:rsidR="00B23456" w:rsidRPr="006626A6">
        <w:t>within an informal working</w:t>
      </w:r>
      <w:r w:rsidR="00B23456" w:rsidRPr="006626A6">
        <w:rPr>
          <w:lang w:val="en-US"/>
        </w:rPr>
        <w:t xml:space="preserve"> group</w:t>
      </w:r>
      <w:r w:rsidR="007A51C2" w:rsidRPr="006626A6">
        <w:rPr>
          <w:lang w:val="en-US"/>
        </w:rPr>
        <w:t xml:space="preserve">, </w:t>
      </w:r>
      <w:r w:rsidR="00E80F1E" w:rsidRPr="006626A6">
        <w:rPr>
          <w:lang w:val="en-US"/>
        </w:rPr>
        <w:t>with a</w:t>
      </w:r>
      <w:r w:rsidR="00E80F1E" w:rsidRPr="007C6A58">
        <w:rPr>
          <w:lang w:val="en-US"/>
        </w:rPr>
        <w:t xml:space="preserve"> focus on increased GHS implementation</w:t>
      </w:r>
      <w:r w:rsidR="00CF0D8B">
        <w:rPr>
          <w:lang w:val="en-US"/>
        </w:rPr>
        <w:t xml:space="preserve">; </w:t>
      </w:r>
      <w:r w:rsidR="00E80F1E" w:rsidRPr="007C6A58">
        <w:rPr>
          <w:lang w:val="en-US"/>
        </w:rPr>
        <w:t>or</w:t>
      </w:r>
      <w:r w:rsidR="004B1B66">
        <w:rPr>
          <w:lang w:val="en-US"/>
        </w:rPr>
        <w:t xml:space="preserve"> </w:t>
      </w:r>
      <w:r w:rsidR="00E80F1E" w:rsidRPr="007C6A58">
        <w:rPr>
          <w:lang w:val="en-US"/>
        </w:rPr>
        <w:t xml:space="preserve">would the proposal to give this issue more attention in the </w:t>
      </w:r>
      <w:r w:rsidR="004B1B66">
        <w:rPr>
          <w:lang w:val="en-US"/>
        </w:rPr>
        <w:t xml:space="preserve">plenary sessions </w:t>
      </w:r>
      <w:r w:rsidR="00E80F1E" w:rsidRPr="007C6A58">
        <w:rPr>
          <w:lang w:val="en-US"/>
        </w:rPr>
        <w:t xml:space="preserve">of the </w:t>
      </w:r>
      <w:r w:rsidR="00C83447">
        <w:rPr>
          <w:lang w:val="en-US"/>
        </w:rPr>
        <w:t>Sub-Committee</w:t>
      </w:r>
      <w:r w:rsidR="00C83447" w:rsidRPr="007C6A58">
        <w:rPr>
          <w:lang w:val="en-US"/>
        </w:rPr>
        <w:t xml:space="preserve"> </w:t>
      </w:r>
      <w:r w:rsidR="00E80F1E" w:rsidRPr="007C6A58">
        <w:rPr>
          <w:lang w:val="en-US"/>
        </w:rPr>
        <w:t>suffice?    </w:t>
      </w:r>
    </w:p>
    <w:p w14:paraId="2001CA4E" w14:textId="77777777" w:rsidR="00E80F1E" w:rsidRPr="00EE69F9" w:rsidRDefault="00E80F1E" w:rsidP="00E80F1E">
      <w:pPr>
        <w:pStyle w:val="HChG"/>
        <w:ind w:left="0" w:firstLine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E69F9">
        <w:rPr>
          <w:lang w:val="en-US"/>
        </w:rPr>
        <w:t>Proposal</w:t>
      </w:r>
      <w:r>
        <w:rPr>
          <w:lang w:val="en-US"/>
        </w:rPr>
        <w:t xml:space="preserve"> for actions</w:t>
      </w:r>
    </w:p>
    <w:p w14:paraId="7FBACAE7" w14:textId="4D1A12C4" w:rsidR="00E80F1E" w:rsidRPr="00AB320C" w:rsidRDefault="00E80F1E" w:rsidP="00AB320C">
      <w:pPr>
        <w:pStyle w:val="SingleTxtG"/>
      </w:pPr>
      <w:r w:rsidRPr="00AB320C">
        <w:t>7.</w:t>
      </w:r>
      <w:r w:rsidRPr="00AB320C">
        <w:tab/>
        <w:t xml:space="preserve">The expert from Sweden invites the </w:t>
      </w:r>
      <w:r w:rsidR="00C83447" w:rsidRPr="00AB320C">
        <w:t xml:space="preserve">Sub-Committee </w:t>
      </w:r>
      <w:r w:rsidRPr="00AB320C">
        <w:t>to consider the following actions to be taken to further support the promotion and monitoring of GHS implementation worldwide:</w:t>
      </w:r>
    </w:p>
    <w:p w14:paraId="3C070571" w14:textId="7B6D9274" w:rsidR="00E80F1E" w:rsidRPr="00AF23AE" w:rsidRDefault="00C83447" w:rsidP="00AF23AE">
      <w:pPr>
        <w:pStyle w:val="SingleTxtG"/>
        <w:ind w:left="2268" w:hanging="567"/>
      </w:pPr>
      <w:r w:rsidRPr="00AF23AE">
        <w:t>(a)</w:t>
      </w:r>
      <w:r w:rsidR="00E80F1E" w:rsidRPr="00AF23AE">
        <w:tab/>
        <w:t xml:space="preserve">Include a summary of the discussions from the Program Advisory Group (PAG) on the agenda for the </w:t>
      </w:r>
      <w:r w:rsidR="00D34C64" w:rsidRPr="00AF23AE">
        <w:t xml:space="preserve">Sub-Committee </w:t>
      </w:r>
      <w:r w:rsidR="00021DA9" w:rsidRPr="00AF23AE">
        <w:t xml:space="preserve">sessions </w:t>
      </w:r>
      <w:r w:rsidR="00E80F1E" w:rsidRPr="00AF23AE">
        <w:t xml:space="preserve">with a possibility for the </w:t>
      </w:r>
      <w:r w:rsidR="00D34C64" w:rsidRPr="00AF23AE">
        <w:t xml:space="preserve">Sub-Committee </w:t>
      </w:r>
      <w:r w:rsidR="00E80F1E" w:rsidRPr="00AF23AE">
        <w:t>to reflect upon the results.</w:t>
      </w:r>
    </w:p>
    <w:p w14:paraId="74688DE6" w14:textId="3DA08C0A" w:rsidR="00E80F1E" w:rsidRPr="00AF23AE" w:rsidRDefault="00D34C64" w:rsidP="00AF23AE">
      <w:pPr>
        <w:pStyle w:val="SingleTxtG"/>
        <w:ind w:left="2268" w:hanging="567"/>
      </w:pPr>
      <w:r w:rsidRPr="00AF23AE">
        <w:t>(b)</w:t>
      </w:r>
      <w:r w:rsidR="00E80F1E" w:rsidRPr="00AF23AE">
        <w:tab/>
        <w:t xml:space="preserve">Include under the </w:t>
      </w:r>
      <w:r w:rsidR="004D1A23" w:rsidRPr="00AF23AE">
        <w:t xml:space="preserve">Sub-Committee’s </w:t>
      </w:r>
      <w:r w:rsidR="00E80F1E" w:rsidRPr="00AF23AE">
        <w:t xml:space="preserve">agenda item </w:t>
      </w:r>
      <w:r w:rsidR="004D1A23" w:rsidRPr="00AF23AE">
        <w:t xml:space="preserve">on </w:t>
      </w:r>
      <w:r w:rsidR="00E80F1E" w:rsidRPr="00AF23AE">
        <w:t>Capacity building (or add a new agenda</w:t>
      </w:r>
      <w:r w:rsidR="00423A0F" w:rsidRPr="00AF23AE">
        <w:t xml:space="preserve"> item</w:t>
      </w:r>
      <w:r w:rsidR="00E80F1E" w:rsidRPr="00AF23AE">
        <w:t xml:space="preserve">) where information received on experience and results from different types of activities with the aim to promote the implementation of GHS are analyzed, shared, and discussed. This </w:t>
      </w:r>
      <w:r w:rsidR="00187B68" w:rsidRPr="00AF23AE">
        <w:t xml:space="preserve">agenda item </w:t>
      </w:r>
      <w:r w:rsidR="00E80F1E" w:rsidRPr="00AF23AE">
        <w:t>could include an update from the discussions of the Global Partnership to Implement the GHS (the ILO, OECD and UNITAR as co-leads) and the identification of synergies between the Partnership and the activities</w:t>
      </w:r>
      <w:r w:rsidR="00D60049" w:rsidRPr="00AF23AE">
        <w:t xml:space="preserve"> of the Sub-Committee.</w:t>
      </w:r>
    </w:p>
    <w:p w14:paraId="6A18A631" w14:textId="3880990A" w:rsidR="00E80F1E" w:rsidRPr="00DC5562" w:rsidRDefault="00E80F1E" w:rsidP="00E80F1E">
      <w:pPr>
        <w:pStyle w:val="SingleTxtG"/>
        <w:ind w:left="2268"/>
        <w:rPr>
          <w:lang w:val="en-US"/>
        </w:rPr>
      </w:pPr>
      <w:r w:rsidRPr="00DC5562">
        <w:rPr>
          <w:lang w:val="en-US"/>
        </w:rPr>
        <w:t xml:space="preserve">Examples of activities could be </w:t>
      </w:r>
      <w:r w:rsidR="000321AA">
        <w:rPr>
          <w:lang w:val="en-US"/>
        </w:rPr>
        <w:t xml:space="preserve">for instance </w:t>
      </w:r>
      <w:r w:rsidRPr="00DC5562">
        <w:rPr>
          <w:lang w:val="en-US"/>
        </w:rPr>
        <w:t xml:space="preserve">support to countries in their work on advocacy activities, on development of legislation </w:t>
      </w:r>
      <w:r w:rsidR="00685274">
        <w:rPr>
          <w:lang w:val="en-US"/>
        </w:rPr>
        <w:t xml:space="preserve">(including </w:t>
      </w:r>
      <w:r w:rsidRPr="00DC5562">
        <w:rPr>
          <w:lang w:val="en-US"/>
        </w:rPr>
        <w:t>provisions on classification and labelling according to the GHS</w:t>
      </w:r>
      <w:r w:rsidR="00685274">
        <w:rPr>
          <w:lang w:val="en-US"/>
        </w:rPr>
        <w:t>)</w:t>
      </w:r>
      <w:r w:rsidRPr="00DC5562">
        <w:rPr>
          <w:lang w:val="en-US"/>
        </w:rPr>
        <w:t xml:space="preserve">, trainings to make the system operational or workshops with different stakeholders, surveys, questionnaires, </w:t>
      </w:r>
      <w:r>
        <w:rPr>
          <w:lang w:val="en-US"/>
        </w:rPr>
        <w:t>development of training materials and a GHS learning center for countries and parties that would be interested in working on GHS activities</w:t>
      </w:r>
      <w:r w:rsidRPr="00DC5562">
        <w:rPr>
          <w:lang w:val="en-US"/>
        </w:rPr>
        <w:t xml:space="preserve">. To make it possible for the </w:t>
      </w:r>
      <w:r w:rsidR="007829F7">
        <w:rPr>
          <w:lang w:val="en-US"/>
        </w:rPr>
        <w:t>Sub-Committee</w:t>
      </w:r>
      <w:r w:rsidR="007829F7" w:rsidRPr="00DC5562">
        <w:rPr>
          <w:lang w:val="en-US"/>
        </w:rPr>
        <w:t xml:space="preserve"> </w:t>
      </w:r>
      <w:r w:rsidRPr="00DC5562">
        <w:rPr>
          <w:lang w:val="en-US"/>
        </w:rPr>
        <w:t>to follow the development, this should perhaps be done on a regular basis.</w:t>
      </w:r>
    </w:p>
    <w:p w14:paraId="4BB1FC5A" w14:textId="04A3F5F4" w:rsidR="00E80F1E" w:rsidRPr="00AF23AE" w:rsidRDefault="00F8444F" w:rsidP="00AF23AE">
      <w:pPr>
        <w:pStyle w:val="SingleTxtG"/>
        <w:ind w:left="2268" w:hanging="567"/>
      </w:pPr>
      <w:r w:rsidRPr="00AF23AE">
        <w:t>(c)</w:t>
      </w:r>
      <w:r w:rsidR="00E80F1E" w:rsidRPr="00AF23AE">
        <w:tab/>
        <w:t>Engagement in the SAICM Beyond 2020</w:t>
      </w:r>
      <w:r w:rsidR="00E80F1E" w:rsidRPr="00AF23AE">
        <w:footnoteReference w:customMarkFollows="1" w:id="3"/>
        <w:t xml:space="preserve">1 process to ensure </w:t>
      </w:r>
      <w:r w:rsidR="00156C79" w:rsidRPr="00AF23AE">
        <w:t xml:space="preserve">coverage of </w:t>
      </w:r>
      <w:r w:rsidR="00E80F1E" w:rsidRPr="00AF23AE">
        <w:t xml:space="preserve">specific targets related to GHS implementation globally and adequate indicators including robust follow up mechanisms that could include information on the degree of the countries´ implementation </w:t>
      </w:r>
      <w:r w:rsidR="00156C79" w:rsidRPr="00AF23AE">
        <w:t>(</w:t>
      </w:r>
      <w:r w:rsidR="00E80F1E" w:rsidRPr="00AF23AE">
        <w:t>e.g. sectors included</w:t>
      </w:r>
      <w:r w:rsidR="00156C79" w:rsidRPr="00AF23AE">
        <w:t>).</w:t>
      </w:r>
      <w:r w:rsidR="00C810C7" w:rsidRPr="00AF23AE">
        <w:t xml:space="preserve"> For reference, t</w:t>
      </w:r>
      <w:r w:rsidR="00E80F1E" w:rsidRPr="00AF23AE">
        <w:t>he current, proposed draft target under the Beyond 2020 process is:</w:t>
      </w:r>
    </w:p>
    <w:p w14:paraId="062AE696" w14:textId="4C703E0F" w:rsidR="00E80F1E" w:rsidRPr="00C810C7" w:rsidRDefault="00C810C7" w:rsidP="00AF23AE">
      <w:pPr>
        <w:pStyle w:val="Bullet1G"/>
        <w:numPr>
          <w:ilvl w:val="0"/>
          <w:numId w:val="0"/>
        </w:numPr>
        <w:ind w:left="2268"/>
        <w:rPr>
          <w:b/>
          <w:bCs/>
          <w:i/>
          <w:iCs/>
        </w:rPr>
      </w:pPr>
      <w:r w:rsidRPr="00C810C7">
        <w:rPr>
          <w:i/>
          <w:iCs/>
          <w:lang w:val="en-US"/>
        </w:rPr>
        <w:t>“</w:t>
      </w:r>
      <w:r w:rsidR="00E80F1E" w:rsidRPr="00C810C7">
        <w:rPr>
          <w:i/>
          <w:iCs/>
          <w:lang w:val="en-US"/>
        </w:rPr>
        <w:t>By 20XX (target year to be decided), all governments have legally implemented and enforce the United Nations Globally Harmonized System of Classification and Labelling of Chemicals (GHS) in all.</w:t>
      </w:r>
      <w:r w:rsidRPr="00C810C7">
        <w:rPr>
          <w:i/>
          <w:iCs/>
          <w:lang w:val="en-US"/>
        </w:rPr>
        <w:t>”</w:t>
      </w:r>
    </w:p>
    <w:p w14:paraId="6DFEA635" w14:textId="1538AABA" w:rsidR="00AF5DE1" w:rsidRPr="00E80F1E" w:rsidRDefault="00E80F1E" w:rsidP="00E43B87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E80F1E" w:rsidSect="00E80F1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B9BF" w14:textId="77777777" w:rsidR="00EA582A" w:rsidRPr="00C47B2E" w:rsidRDefault="00EA582A" w:rsidP="00C47B2E">
      <w:pPr>
        <w:pStyle w:val="Footer"/>
      </w:pPr>
    </w:p>
  </w:endnote>
  <w:endnote w:type="continuationSeparator" w:id="0">
    <w:p w14:paraId="0294B9C8" w14:textId="77777777" w:rsidR="00EA582A" w:rsidRPr="00C47B2E" w:rsidRDefault="00EA582A" w:rsidP="00C47B2E">
      <w:pPr>
        <w:pStyle w:val="Footer"/>
      </w:pPr>
    </w:p>
  </w:endnote>
  <w:endnote w:type="continuationNotice" w:id="1">
    <w:p w14:paraId="2894711D" w14:textId="77777777" w:rsidR="00EA582A" w:rsidRPr="00C47B2E" w:rsidRDefault="00EA582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B110" w14:textId="0DC50E80" w:rsidR="00D94B05" w:rsidRPr="00E80F1E" w:rsidRDefault="00E80F1E" w:rsidP="00E80F1E">
    <w:pPr>
      <w:pStyle w:val="Footer"/>
      <w:tabs>
        <w:tab w:val="right" w:pos="9598"/>
        <w:tab w:val="right" w:pos="9638"/>
      </w:tabs>
      <w:rPr>
        <w:sz w:val="18"/>
      </w:rPr>
    </w:pPr>
    <w:r w:rsidRPr="00E80F1E">
      <w:rPr>
        <w:b/>
        <w:sz w:val="18"/>
      </w:rPr>
      <w:fldChar w:fldCharType="begin"/>
    </w:r>
    <w:r w:rsidRPr="00E80F1E">
      <w:rPr>
        <w:b/>
        <w:sz w:val="18"/>
      </w:rPr>
      <w:instrText xml:space="preserve"> PAGE  \* MERGEFORMAT </w:instrText>
    </w:r>
    <w:r w:rsidRPr="00E80F1E">
      <w:rPr>
        <w:b/>
        <w:sz w:val="18"/>
      </w:rPr>
      <w:fldChar w:fldCharType="separate"/>
    </w:r>
    <w:r w:rsidRPr="00E80F1E">
      <w:rPr>
        <w:b/>
        <w:noProof/>
        <w:sz w:val="18"/>
      </w:rPr>
      <w:t>2</w:t>
    </w:r>
    <w:r w:rsidRPr="00E80F1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0739" w14:textId="09E230E7" w:rsidR="00D94B05" w:rsidRPr="00E80F1E" w:rsidRDefault="00E80F1E" w:rsidP="00E80F1E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E80F1E">
      <w:rPr>
        <w:sz w:val="18"/>
      </w:rPr>
      <w:fldChar w:fldCharType="begin"/>
    </w:r>
    <w:r w:rsidRPr="00E80F1E">
      <w:rPr>
        <w:sz w:val="18"/>
      </w:rPr>
      <w:instrText xml:space="preserve"> PAGE  \* MERGEFORMAT </w:instrText>
    </w:r>
    <w:r w:rsidRPr="00E80F1E">
      <w:rPr>
        <w:sz w:val="18"/>
      </w:rPr>
      <w:fldChar w:fldCharType="separate"/>
    </w:r>
    <w:r w:rsidRPr="00E80F1E">
      <w:rPr>
        <w:noProof/>
        <w:sz w:val="18"/>
      </w:rPr>
      <w:t>3</w:t>
    </w:r>
    <w:r w:rsidRPr="00E80F1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B542" w14:textId="77777777" w:rsidR="00D94B05" w:rsidRPr="00E80F1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4F4DE01" wp14:editId="60F5A15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BF48" w14:textId="77777777" w:rsidR="00EA582A" w:rsidRPr="00C47B2E" w:rsidRDefault="00EA582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5ADEEDE" w14:textId="77777777" w:rsidR="00EA582A" w:rsidRPr="00C47B2E" w:rsidRDefault="00EA582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F28044B" w14:textId="77777777" w:rsidR="00EA582A" w:rsidRPr="00C47B2E" w:rsidRDefault="00EA582A" w:rsidP="00C47B2E">
      <w:pPr>
        <w:pStyle w:val="Footer"/>
      </w:pPr>
    </w:p>
  </w:footnote>
  <w:footnote w:id="2">
    <w:p w14:paraId="4AD0E589" w14:textId="77777777" w:rsidR="00E80F1E" w:rsidRPr="00416841" w:rsidRDefault="00E80F1E" w:rsidP="00E80F1E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>A/75/6 (Sect.20), para. 20.51</w:t>
      </w:r>
    </w:p>
  </w:footnote>
  <w:footnote w:id="3">
    <w:p w14:paraId="4B029B3A" w14:textId="256A605F" w:rsidR="00E80F1E" w:rsidRPr="002B769B" w:rsidRDefault="00E80F1E" w:rsidP="00E43B87">
      <w:pPr>
        <w:pStyle w:val="FootnoteText"/>
        <w:ind w:firstLine="0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 w:rsidRPr="00DC5562">
        <w:t>Strategic Approach and sound management of chemicals and waste beyond 2020</w:t>
      </w:r>
      <w:r w:rsidR="00B0650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C07" w14:textId="75ED6556" w:rsidR="00E80F1E" w:rsidRPr="00E80F1E" w:rsidRDefault="00EA582A">
    <w:pPr>
      <w:pStyle w:val="Header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 w:rsidR="00E80F1E">
      <w:t>ST/SG/AC.10/C.4/2022/6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53D8" w14:textId="7416013E" w:rsidR="00D94B05" w:rsidRPr="00E80F1E" w:rsidRDefault="00EA582A" w:rsidP="00E80F1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80F1E">
      <w:t>ST/SG/AC.10/C.4/2022/6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1E"/>
    <w:rsid w:val="00003724"/>
    <w:rsid w:val="00012D0A"/>
    <w:rsid w:val="00021B9F"/>
    <w:rsid w:val="00021DA9"/>
    <w:rsid w:val="000233B6"/>
    <w:rsid w:val="000321AA"/>
    <w:rsid w:val="00046E92"/>
    <w:rsid w:val="00063C90"/>
    <w:rsid w:val="00067C23"/>
    <w:rsid w:val="00077461"/>
    <w:rsid w:val="000B73FE"/>
    <w:rsid w:val="000D65B6"/>
    <w:rsid w:val="00101B98"/>
    <w:rsid w:val="00105DF0"/>
    <w:rsid w:val="00146F2B"/>
    <w:rsid w:val="00151461"/>
    <w:rsid w:val="001514D1"/>
    <w:rsid w:val="00156C79"/>
    <w:rsid w:val="00165A35"/>
    <w:rsid w:val="00173FE7"/>
    <w:rsid w:val="00187B68"/>
    <w:rsid w:val="00187C8D"/>
    <w:rsid w:val="001B19B3"/>
    <w:rsid w:val="001E6768"/>
    <w:rsid w:val="00206D34"/>
    <w:rsid w:val="00212397"/>
    <w:rsid w:val="00226C8A"/>
    <w:rsid w:val="00247E2C"/>
    <w:rsid w:val="00254659"/>
    <w:rsid w:val="00271352"/>
    <w:rsid w:val="00286722"/>
    <w:rsid w:val="002A32CB"/>
    <w:rsid w:val="002D5B2C"/>
    <w:rsid w:val="002D6C53"/>
    <w:rsid w:val="002F5595"/>
    <w:rsid w:val="002F6486"/>
    <w:rsid w:val="003108B2"/>
    <w:rsid w:val="00334F6A"/>
    <w:rsid w:val="00342AC8"/>
    <w:rsid w:val="00343302"/>
    <w:rsid w:val="003979DE"/>
    <w:rsid w:val="003B4550"/>
    <w:rsid w:val="003D2A18"/>
    <w:rsid w:val="00413386"/>
    <w:rsid w:val="00420114"/>
    <w:rsid w:val="00423A0F"/>
    <w:rsid w:val="004324B7"/>
    <w:rsid w:val="00456F3D"/>
    <w:rsid w:val="00461253"/>
    <w:rsid w:val="0046324B"/>
    <w:rsid w:val="004858F5"/>
    <w:rsid w:val="004A2814"/>
    <w:rsid w:val="004B1B66"/>
    <w:rsid w:val="004C0622"/>
    <w:rsid w:val="004D1A23"/>
    <w:rsid w:val="004F7D27"/>
    <w:rsid w:val="005042C2"/>
    <w:rsid w:val="0052128E"/>
    <w:rsid w:val="00522E65"/>
    <w:rsid w:val="00541646"/>
    <w:rsid w:val="005438AB"/>
    <w:rsid w:val="00554420"/>
    <w:rsid w:val="00573A20"/>
    <w:rsid w:val="00575358"/>
    <w:rsid w:val="00593BC5"/>
    <w:rsid w:val="005A10B6"/>
    <w:rsid w:val="005C37A2"/>
    <w:rsid w:val="005E14D8"/>
    <w:rsid w:val="005E6F98"/>
    <w:rsid w:val="005E716E"/>
    <w:rsid w:val="005F07B2"/>
    <w:rsid w:val="006032C2"/>
    <w:rsid w:val="006135D3"/>
    <w:rsid w:val="00632160"/>
    <w:rsid w:val="00642145"/>
    <w:rsid w:val="006476E1"/>
    <w:rsid w:val="00656265"/>
    <w:rsid w:val="006604DF"/>
    <w:rsid w:val="006626A6"/>
    <w:rsid w:val="00671529"/>
    <w:rsid w:val="00685274"/>
    <w:rsid w:val="00692EBE"/>
    <w:rsid w:val="006C04E2"/>
    <w:rsid w:val="006C6741"/>
    <w:rsid w:val="006D2BE8"/>
    <w:rsid w:val="006D45D1"/>
    <w:rsid w:val="006D5D94"/>
    <w:rsid w:val="006E3081"/>
    <w:rsid w:val="007006E8"/>
    <w:rsid w:val="0070489D"/>
    <w:rsid w:val="00710C88"/>
    <w:rsid w:val="007268F9"/>
    <w:rsid w:val="00750282"/>
    <w:rsid w:val="00764440"/>
    <w:rsid w:val="007676FC"/>
    <w:rsid w:val="0077101B"/>
    <w:rsid w:val="007743F3"/>
    <w:rsid w:val="00775BB1"/>
    <w:rsid w:val="00780E73"/>
    <w:rsid w:val="007829F7"/>
    <w:rsid w:val="0079552F"/>
    <w:rsid w:val="007A51C2"/>
    <w:rsid w:val="007A56F3"/>
    <w:rsid w:val="007C52B0"/>
    <w:rsid w:val="007C6033"/>
    <w:rsid w:val="008120F0"/>
    <w:rsid w:val="008147C8"/>
    <w:rsid w:val="0081753A"/>
    <w:rsid w:val="00857D23"/>
    <w:rsid w:val="00894408"/>
    <w:rsid w:val="008A44BF"/>
    <w:rsid w:val="008A49A5"/>
    <w:rsid w:val="008B6860"/>
    <w:rsid w:val="008C7CF5"/>
    <w:rsid w:val="008F6787"/>
    <w:rsid w:val="00914690"/>
    <w:rsid w:val="009411B4"/>
    <w:rsid w:val="00946F1D"/>
    <w:rsid w:val="00956C51"/>
    <w:rsid w:val="00967613"/>
    <w:rsid w:val="009A2D9C"/>
    <w:rsid w:val="009A4AA8"/>
    <w:rsid w:val="009B0C3A"/>
    <w:rsid w:val="009D0139"/>
    <w:rsid w:val="009D717D"/>
    <w:rsid w:val="009E78D9"/>
    <w:rsid w:val="009F5CDC"/>
    <w:rsid w:val="00A072D7"/>
    <w:rsid w:val="00A07CCD"/>
    <w:rsid w:val="00A11389"/>
    <w:rsid w:val="00A56E74"/>
    <w:rsid w:val="00A775CF"/>
    <w:rsid w:val="00AA7144"/>
    <w:rsid w:val="00AB092D"/>
    <w:rsid w:val="00AB320C"/>
    <w:rsid w:val="00AC4401"/>
    <w:rsid w:val="00AD1A9C"/>
    <w:rsid w:val="00AE1B56"/>
    <w:rsid w:val="00AE4494"/>
    <w:rsid w:val="00AF23AE"/>
    <w:rsid w:val="00AF4215"/>
    <w:rsid w:val="00AF5DE1"/>
    <w:rsid w:val="00B06045"/>
    <w:rsid w:val="00B0650B"/>
    <w:rsid w:val="00B105E9"/>
    <w:rsid w:val="00B10D97"/>
    <w:rsid w:val="00B206DD"/>
    <w:rsid w:val="00B23456"/>
    <w:rsid w:val="00B43326"/>
    <w:rsid w:val="00B52EF4"/>
    <w:rsid w:val="00B61306"/>
    <w:rsid w:val="00B777AD"/>
    <w:rsid w:val="00B968FC"/>
    <w:rsid w:val="00BC0ACD"/>
    <w:rsid w:val="00BC1FFD"/>
    <w:rsid w:val="00BC552A"/>
    <w:rsid w:val="00C03015"/>
    <w:rsid w:val="00C0358D"/>
    <w:rsid w:val="00C12CF1"/>
    <w:rsid w:val="00C1344F"/>
    <w:rsid w:val="00C16AA0"/>
    <w:rsid w:val="00C35A27"/>
    <w:rsid w:val="00C47B2E"/>
    <w:rsid w:val="00C513AF"/>
    <w:rsid w:val="00C52A4F"/>
    <w:rsid w:val="00C5372B"/>
    <w:rsid w:val="00C73BEE"/>
    <w:rsid w:val="00C810C7"/>
    <w:rsid w:val="00C83447"/>
    <w:rsid w:val="00C85D34"/>
    <w:rsid w:val="00CE1CF1"/>
    <w:rsid w:val="00CF0D8B"/>
    <w:rsid w:val="00D0076E"/>
    <w:rsid w:val="00D16E3E"/>
    <w:rsid w:val="00D34C64"/>
    <w:rsid w:val="00D4361E"/>
    <w:rsid w:val="00D60049"/>
    <w:rsid w:val="00D63CD2"/>
    <w:rsid w:val="00D65689"/>
    <w:rsid w:val="00D73494"/>
    <w:rsid w:val="00D87DC2"/>
    <w:rsid w:val="00D94B05"/>
    <w:rsid w:val="00DB2915"/>
    <w:rsid w:val="00DC7B94"/>
    <w:rsid w:val="00DE5E2F"/>
    <w:rsid w:val="00E02C2B"/>
    <w:rsid w:val="00E11C19"/>
    <w:rsid w:val="00E21C27"/>
    <w:rsid w:val="00E26BCF"/>
    <w:rsid w:val="00E43B87"/>
    <w:rsid w:val="00E45633"/>
    <w:rsid w:val="00E52109"/>
    <w:rsid w:val="00E53928"/>
    <w:rsid w:val="00E75317"/>
    <w:rsid w:val="00E77747"/>
    <w:rsid w:val="00E80F1E"/>
    <w:rsid w:val="00E96A18"/>
    <w:rsid w:val="00EA582A"/>
    <w:rsid w:val="00EB0DF4"/>
    <w:rsid w:val="00EB4969"/>
    <w:rsid w:val="00EC0CE6"/>
    <w:rsid w:val="00EC7C1D"/>
    <w:rsid w:val="00ED6C48"/>
    <w:rsid w:val="00ED6DFC"/>
    <w:rsid w:val="00EE3045"/>
    <w:rsid w:val="00EF26C1"/>
    <w:rsid w:val="00EF2F5C"/>
    <w:rsid w:val="00EF53F8"/>
    <w:rsid w:val="00EF6453"/>
    <w:rsid w:val="00F23484"/>
    <w:rsid w:val="00F65F5D"/>
    <w:rsid w:val="00F67E13"/>
    <w:rsid w:val="00F74518"/>
    <w:rsid w:val="00F8444F"/>
    <w:rsid w:val="00F86A3A"/>
    <w:rsid w:val="00FD0615"/>
    <w:rsid w:val="00FE01F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8CCF"/>
  <w15:docId w15:val="{EFE93AC8-4CBE-4D44-A35B-18B8D18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E80F1E"/>
  </w:style>
  <w:style w:type="character" w:styleId="CommentReference">
    <w:name w:val="annotation reference"/>
    <w:basedOn w:val="DefaultParagraphFont"/>
    <w:uiPriority w:val="99"/>
    <w:semiHidden/>
    <w:unhideWhenUsed/>
    <w:rsid w:val="00FE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1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E01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2D3E-4FCE-4E73-BC01-FD511EB98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2DE03-7074-408F-862E-1714532F1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B292D-E0A4-495B-8CCC-CF9684D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148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ST/SG/AC.10/C.4/2022/6</dc:title>
  <dc:subject/>
  <dc:creator>Rosa Garcia-Couto</dc:creator>
  <cp:lastModifiedBy>Christine Barrio-Champeau</cp:lastModifiedBy>
  <cp:revision>151</cp:revision>
  <dcterms:created xsi:type="dcterms:W3CDTF">2022-04-19T11:00:00Z</dcterms:created>
  <dcterms:modified xsi:type="dcterms:W3CDTF">2022-04-21T09:54:00Z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