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8966E6" w14:textId="77777777" w:rsidTr="006476E1">
        <w:trPr>
          <w:trHeight w:val="851"/>
        </w:trPr>
        <w:tc>
          <w:tcPr>
            <w:tcW w:w="1259" w:type="dxa"/>
            <w:tcBorders>
              <w:top w:val="nil"/>
              <w:left w:val="nil"/>
              <w:bottom w:val="single" w:sz="4" w:space="0" w:color="auto"/>
              <w:right w:val="nil"/>
            </w:tcBorders>
          </w:tcPr>
          <w:p w14:paraId="1AB168F7" w14:textId="77777777" w:rsidR="00E52109" w:rsidRPr="002A32CB" w:rsidRDefault="00E52109" w:rsidP="004858F5"/>
        </w:tc>
        <w:tc>
          <w:tcPr>
            <w:tcW w:w="2236" w:type="dxa"/>
            <w:tcBorders>
              <w:top w:val="nil"/>
              <w:left w:val="nil"/>
              <w:bottom w:val="single" w:sz="4" w:space="0" w:color="auto"/>
              <w:right w:val="nil"/>
            </w:tcBorders>
            <w:vAlign w:val="bottom"/>
          </w:tcPr>
          <w:p w14:paraId="2314872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919837" w14:textId="6DD65F07" w:rsidR="00795847" w:rsidRDefault="00795847" w:rsidP="00795847">
            <w:pPr>
              <w:suppressAutoHyphens w:val="0"/>
              <w:jc w:val="right"/>
            </w:pPr>
            <w:r w:rsidRPr="00795847">
              <w:rPr>
                <w:sz w:val="40"/>
              </w:rPr>
              <w:t>ST</w:t>
            </w:r>
            <w:r>
              <w:t>/SG/AC.10/C.3/202</w:t>
            </w:r>
            <w:r w:rsidR="00436D56">
              <w:t>2</w:t>
            </w:r>
            <w:r>
              <w:t>/</w:t>
            </w:r>
            <w:r w:rsidR="00436D56">
              <w:t>4</w:t>
            </w:r>
            <w:r>
              <w:t>−</w:t>
            </w:r>
            <w:r w:rsidRPr="00795847">
              <w:rPr>
                <w:sz w:val="40"/>
              </w:rPr>
              <w:t>ST</w:t>
            </w:r>
            <w:r>
              <w:t>/SG/AC.10/C.4/202</w:t>
            </w:r>
            <w:r w:rsidR="00436D56">
              <w:t>2</w:t>
            </w:r>
            <w:r>
              <w:t>/</w:t>
            </w:r>
            <w:r w:rsidR="00436D56">
              <w:t>1</w:t>
            </w:r>
          </w:p>
        </w:tc>
      </w:tr>
      <w:tr w:rsidR="00E52109" w14:paraId="094F14CC" w14:textId="77777777" w:rsidTr="006476E1">
        <w:trPr>
          <w:trHeight w:val="2835"/>
        </w:trPr>
        <w:tc>
          <w:tcPr>
            <w:tcW w:w="1259" w:type="dxa"/>
            <w:tcBorders>
              <w:top w:val="single" w:sz="4" w:space="0" w:color="auto"/>
              <w:left w:val="nil"/>
              <w:bottom w:val="single" w:sz="12" w:space="0" w:color="auto"/>
              <w:right w:val="nil"/>
            </w:tcBorders>
          </w:tcPr>
          <w:p w14:paraId="3B3D5521" w14:textId="77777777" w:rsidR="00E52109" w:rsidRDefault="00E52109" w:rsidP="006476E1">
            <w:pPr>
              <w:spacing w:before="120"/>
              <w:jc w:val="center"/>
            </w:pPr>
            <w:r>
              <w:rPr>
                <w:noProof/>
                <w:lang w:val="fr-CH" w:eastAsia="fr-CH"/>
              </w:rPr>
              <w:drawing>
                <wp:inline distT="0" distB="0" distL="0" distR="0" wp14:anchorId="0427A355" wp14:editId="7FB193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AF7A91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2E9B64C" w14:textId="77777777" w:rsidR="00D94B05" w:rsidRDefault="00795847" w:rsidP="00795847">
            <w:pPr>
              <w:suppressAutoHyphens w:val="0"/>
              <w:spacing w:before="240" w:line="240" w:lineRule="exact"/>
            </w:pPr>
            <w:r>
              <w:t>Distr.: General</w:t>
            </w:r>
          </w:p>
          <w:p w14:paraId="32B0C81D" w14:textId="258E2050" w:rsidR="00795847" w:rsidRDefault="00B36272" w:rsidP="00795847">
            <w:pPr>
              <w:suppressAutoHyphens w:val="0"/>
              <w:spacing w:line="240" w:lineRule="exact"/>
            </w:pPr>
            <w:r>
              <w:t>1</w:t>
            </w:r>
            <w:r w:rsidR="00F863E0">
              <w:t>4</w:t>
            </w:r>
            <w:r>
              <w:t xml:space="preserve"> April</w:t>
            </w:r>
            <w:r w:rsidR="00C44361">
              <w:t xml:space="preserve"> 2022</w:t>
            </w:r>
          </w:p>
          <w:p w14:paraId="01C35A06" w14:textId="77777777" w:rsidR="00795847" w:rsidRDefault="00795847" w:rsidP="00795847">
            <w:pPr>
              <w:suppressAutoHyphens w:val="0"/>
              <w:spacing w:line="240" w:lineRule="exact"/>
            </w:pPr>
          </w:p>
          <w:p w14:paraId="4A1E5927" w14:textId="3E6141C4" w:rsidR="00795847" w:rsidRDefault="00795847" w:rsidP="00795847">
            <w:pPr>
              <w:suppressAutoHyphens w:val="0"/>
              <w:spacing w:line="240" w:lineRule="exact"/>
            </w:pPr>
            <w:r>
              <w:t>Original: English</w:t>
            </w:r>
          </w:p>
        </w:tc>
      </w:tr>
    </w:tbl>
    <w:p w14:paraId="357D3815" w14:textId="77777777" w:rsidR="00EC43FD" w:rsidRPr="006500BA" w:rsidRDefault="00EC43F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C43FD" w:rsidRPr="00302456" w14:paraId="1076239E" w14:textId="77777777" w:rsidTr="00451AAB">
        <w:tc>
          <w:tcPr>
            <w:tcW w:w="4593" w:type="dxa"/>
            <w:shd w:val="clear" w:color="auto" w:fill="auto"/>
          </w:tcPr>
          <w:p w14:paraId="1FDD433D" w14:textId="77777777" w:rsidR="00EC43FD" w:rsidRPr="00302456" w:rsidRDefault="00EC43FD"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06694B30" w14:textId="77777777" w:rsidR="00EC43FD" w:rsidRPr="00302456" w:rsidRDefault="00EC43FD" w:rsidP="00846F7F">
            <w:pPr>
              <w:spacing w:before="120"/>
              <w:rPr>
                <w:b/>
              </w:rPr>
            </w:pPr>
            <w:r w:rsidRPr="00302456">
              <w:rPr>
                <w:b/>
              </w:rPr>
              <w:t xml:space="preserve">Sub-Committee of Experts on the Globally Harmonized System of Classification and Labelling of Chemicals </w:t>
            </w:r>
          </w:p>
        </w:tc>
      </w:tr>
      <w:tr w:rsidR="00451AAB" w:rsidRPr="00302456" w14:paraId="79377E5B" w14:textId="77777777" w:rsidTr="00451AAB">
        <w:tc>
          <w:tcPr>
            <w:tcW w:w="4593" w:type="dxa"/>
            <w:shd w:val="clear" w:color="auto" w:fill="auto"/>
          </w:tcPr>
          <w:p w14:paraId="1F411A33" w14:textId="2F5ABD8B" w:rsidR="00451AAB" w:rsidRPr="00302456" w:rsidRDefault="00C44361" w:rsidP="00451AAB">
            <w:pPr>
              <w:spacing w:before="120"/>
              <w:rPr>
                <w:b/>
              </w:rPr>
            </w:pPr>
            <w:r>
              <w:rPr>
                <w:b/>
              </w:rPr>
              <w:t xml:space="preserve">Sixtieth </w:t>
            </w:r>
            <w:r w:rsidR="00451AAB" w:rsidRPr="00302456">
              <w:rPr>
                <w:b/>
              </w:rPr>
              <w:t>session</w:t>
            </w:r>
          </w:p>
        </w:tc>
        <w:tc>
          <w:tcPr>
            <w:tcW w:w="5046" w:type="dxa"/>
            <w:shd w:val="clear" w:color="auto" w:fill="auto"/>
          </w:tcPr>
          <w:p w14:paraId="1F96DA0A" w14:textId="1F60E5FD" w:rsidR="00451AAB" w:rsidRPr="00DA19E5" w:rsidRDefault="00C771F7" w:rsidP="00451AAB">
            <w:pPr>
              <w:spacing w:before="120"/>
              <w:rPr>
                <w:b/>
              </w:rPr>
            </w:pPr>
            <w:r w:rsidRPr="00DA19E5">
              <w:rPr>
                <w:rStyle w:val="normaltextrun"/>
                <w:b/>
                <w:bCs/>
              </w:rPr>
              <w:t>Forty-</w:t>
            </w:r>
            <w:r w:rsidR="00CF0A40">
              <w:rPr>
                <w:rStyle w:val="normaltextrun"/>
                <w:b/>
                <w:bCs/>
              </w:rPr>
              <w:t>second</w:t>
            </w:r>
            <w:r w:rsidR="00451AAB" w:rsidRPr="00DA19E5">
              <w:rPr>
                <w:rStyle w:val="normaltextrun"/>
                <w:b/>
                <w:bCs/>
              </w:rPr>
              <w:t xml:space="preserve"> session</w:t>
            </w:r>
          </w:p>
        </w:tc>
      </w:tr>
      <w:tr w:rsidR="00451AAB" w:rsidRPr="00302456" w14:paraId="78CC8959" w14:textId="77777777" w:rsidTr="00451AAB">
        <w:tc>
          <w:tcPr>
            <w:tcW w:w="4593" w:type="dxa"/>
            <w:shd w:val="clear" w:color="auto" w:fill="auto"/>
          </w:tcPr>
          <w:p w14:paraId="60F76942" w14:textId="766DB2BF" w:rsidR="00451AAB" w:rsidRPr="00302456" w:rsidRDefault="0001343B" w:rsidP="00451AAB">
            <w:pPr>
              <w:rPr>
                <w:b/>
              </w:rPr>
            </w:pPr>
            <w:r w:rsidRPr="006500BA">
              <w:t xml:space="preserve">Geneva, </w:t>
            </w:r>
            <w:r>
              <w:t>27 June-6 July 2022</w:t>
            </w:r>
          </w:p>
        </w:tc>
        <w:tc>
          <w:tcPr>
            <w:tcW w:w="5046" w:type="dxa"/>
            <w:shd w:val="clear" w:color="auto" w:fill="auto"/>
          </w:tcPr>
          <w:p w14:paraId="0E8E0117" w14:textId="6363CEAF" w:rsidR="00451AAB" w:rsidRPr="00DA19E5" w:rsidRDefault="004F0F9C" w:rsidP="00451AAB">
            <w:pPr>
              <w:rPr>
                <w:b/>
              </w:rPr>
            </w:pPr>
            <w:r w:rsidRPr="009B4D10">
              <w:t>Geneva, 6-8 July 2022</w:t>
            </w:r>
          </w:p>
        </w:tc>
      </w:tr>
      <w:tr w:rsidR="00285944" w:rsidRPr="00302456" w14:paraId="68E35345" w14:textId="77777777" w:rsidTr="00451AAB">
        <w:tc>
          <w:tcPr>
            <w:tcW w:w="4593" w:type="dxa"/>
            <w:shd w:val="clear" w:color="auto" w:fill="auto"/>
          </w:tcPr>
          <w:p w14:paraId="2B893C0C" w14:textId="10D7781C" w:rsidR="00285944" w:rsidRPr="00527F08" w:rsidRDefault="00285944" w:rsidP="00285944">
            <w:r w:rsidRPr="00527F08">
              <w:t>Item 1</w:t>
            </w:r>
            <w:r w:rsidR="0049122D">
              <w:t>4</w:t>
            </w:r>
            <w:r w:rsidRPr="00527F08">
              <w:t xml:space="preserve"> of the provisional agenda</w:t>
            </w:r>
          </w:p>
          <w:p w14:paraId="59BE0BCC" w14:textId="190F7C9F" w:rsidR="00285944" w:rsidRDefault="0049122D" w:rsidP="00285944">
            <w:r>
              <w:rPr>
                <w:b/>
              </w:rPr>
              <w:t>Other business</w:t>
            </w:r>
          </w:p>
        </w:tc>
        <w:tc>
          <w:tcPr>
            <w:tcW w:w="5046" w:type="dxa"/>
            <w:shd w:val="clear" w:color="auto" w:fill="auto"/>
          </w:tcPr>
          <w:p w14:paraId="5173D5D4" w14:textId="7B3EA016" w:rsidR="00285944" w:rsidRPr="00527F08" w:rsidRDefault="00285944" w:rsidP="00285944">
            <w:r w:rsidRPr="00527F08">
              <w:t xml:space="preserve">Item </w:t>
            </w:r>
            <w:r w:rsidR="000C2494">
              <w:t>6</w:t>
            </w:r>
            <w:r w:rsidRPr="00527F08">
              <w:t xml:space="preserve"> of the provisional agenda</w:t>
            </w:r>
          </w:p>
          <w:p w14:paraId="6AD783AC" w14:textId="34B74CF4" w:rsidR="00285944" w:rsidRPr="0041108F" w:rsidRDefault="000C2494" w:rsidP="00285944">
            <w:pPr>
              <w:rPr>
                <w:b/>
                <w:bCs/>
              </w:rPr>
            </w:pPr>
            <w:r>
              <w:rPr>
                <w:b/>
                <w:bCs/>
              </w:rPr>
              <w:t>Other business</w:t>
            </w:r>
          </w:p>
        </w:tc>
      </w:tr>
      <w:tr w:rsidR="00285944" w:rsidRPr="00E66746" w14:paraId="31700401" w14:textId="77777777" w:rsidTr="00451AAB">
        <w:tc>
          <w:tcPr>
            <w:tcW w:w="4593" w:type="dxa"/>
            <w:shd w:val="clear" w:color="auto" w:fill="auto"/>
          </w:tcPr>
          <w:p w14:paraId="73FE6C95" w14:textId="77777777" w:rsidR="00285944" w:rsidRPr="00E66746" w:rsidRDefault="00285944" w:rsidP="00285944">
            <w:pPr>
              <w:rPr>
                <w:b/>
              </w:rPr>
            </w:pPr>
          </w:p>
        </w:tc>
        <w:tc>
          <w:tcPr>
            <w:tcW w:w="5046" w:type="dxa"/>
            <w:shd w:val="clear" w:color="auto" w:fill="auto"/>
          </w:tcPr>
          <w:p w14:paraId="02988D43" w14:textId="77777777" w:rsidR="00285944" w:rsidRPr="00E66746" w:rsidRDefault="00285944" w:rsidP="00285944">
            <w:pPr>
              <w:rPr>
                <w:b/>
              </w:rPr>
            </w:pPr>
          </w:p>
        </w:tc>
      </w:tr>
    </w:tbl>
    <w:p w14:paraId="61F4CAD7" w14:textId="109AF698" w:rsidR="00AF5DE1" w:rsidRPr="00DA7694" w:rsidRDefault="003C54CE" w:rsidP="00DA7694">
      <w:pPr>
        <w:pStyle w:val="HChG"/>
      </w:pPr>
      <w:r>
        <w:tab/>
      </w:r>
      <w:r>
        <w:tab/>
      </w:r>
      <w:r w:rsidRPr="00DA7694">
        <w:t>UN/OECD seminar in follow-up</w:t>
      </w:r>
      <w:r w:rsidR="00DA7694" w:rsidRPr="00DA7694">
        <w:t xml:space="preserve"> to the 2020 Beirut port explosion</w:t>
      </w:r>
    </w:p>
    <w:p w14:paraId="7F6B3A3E" w14:textId="2E0AB45D" w:rsidR="004F0F9C" w:rsidRPr="0073038B" w:rsidRDefault="00454B3C" w:rsidP="00454B3C">
      <w:pPr>
        <w:pStyle w:val="HChG"/>
        <w:rPr>
          <w:szCs w:val="28"/>
        </w:rPr>
      </w:pPr>
      <w:r>
        <w:tab/>
      </w:r>
      <w:r>
        <w:tab/>
      </w:r>
      <w:r w:rsidRPr="0073038B">
        <w:rPr>
          <w:szCs w:val="28"/>
        </w:rPr>
        <w:t xml:space="preserve">Lessons learned, experiences and good practices in managing risks of ammonium nitrate storage, </w:t>
      </w:r>
      <w:proofErr w:type="gramStart"/>
      <w:r w:rsidRPr="0073038B">
        <w:rPr>
          <w:szCs w:val="28"/>
        </w:rPr>
        <w:t>handling</w:t>
      </w:r>
      <w:proofErr w:type="gramEnd"/>
      <w:r w:rsidRPr="0073038B">
        <w:rPr>
          <w:szCs w:val="28"/>
        </w:rPr>
        <w:t xml:space="preserve"> and transport in port areas, preventing accidents and mitigating their consequences</w:t>
      </w:r>
    </w:p>
    <w:p w14:paraId="3B4048E7" w14:textId="7B9DA9FE" w:rsidR="004F0F9C" w:rsidRDefault="00A05BF6" w:rsidP="00FC50D6">
      <w:pPr>
        <w:pStyle w:val="HChG"/>
        <w:keepNext w:val="0"/>
        <w:keepLines w:val="0"/>
      </w:pPr>
      <w:r>
        <w:tab/>
      </w:r>
      <w:r>
        <w:tab/>
        <w:t>S</w:t>
      </w:r>
      <w:r w:rsidRPr="00650911">
        <w:t>ummary and conclusions</w:t>
      </w:r>
    </w:p>
    <w:p w14:paraId="6898D143" w14:textId="4DF3EB89" w:rsidR="004F0F9C" w:rsidRDefault="00A05BF6" w:rsidP="00FC50D6">
      <w:pPr>
        <w:pStyle w:val="H1G"/>
        <w:keepNext w:val="0"/>
        <w:keepLines w:val="0"/>
      </w:pPr>
      <w:r>
        <w:tab/>
      </w:r>
      <w:r>
        <w:tab/>
      </w:r>
      <w:r w:rsidR="00414073">
        <w:t>Note</w:t>
      </w:r>
      <w:r w:rsidR="00124EB2">
        <w:t xml:space="preserve"> by </w:t>
      </w:r>
      <w:r w:rsidR="00767BA0">
        <w:t>the secretariat</w:t>
      </w:r>
      <w:r w:rsidR="00414073">
        <w:t>s</w:t>
      </w:r>
      <w:r w:rsidR="00767BA0">
        <w:t xml:space="preserve"> </w:t>
      </w:r>
      <w:r w:rsidR="00414073">
        <w:t xml:space="preserve">of the </w:t>
      </w:r>
      <w:r w:rsidR="00414073" w:rsidRPr="00414073">
        <w:t>Organisation for Economic Co-operation and Development (OECD)</w:t>
      </w:r>
      <w:r w:rsidR="00414073">
        <w:t xml:space="preserve"> and </w:t>
      </w:r>
      <w:r w:rsidR="000A5088">
        <w:t xml:space="preserve">of </w:t>
      </w:r>
      <w:r w:rsidR="00845CCE">
        <w:t>UNECE</w:t>
      </w:r>
      <w:r w:rsidR="00300B22">
        <w:rPr>
          <w:rStyle w:val="FootnoteReference"/>
        </w:rPr>
        <w:footnoteReference w:customMarkFollows="1" w:id="2"/>
        <w:t>*</w:t>
      </w:r>
    </w:p>
    <w:p w14:paraId="2E9D9F0A" w14:textId="460AE605" w:rsidR="00FC50D6" w:rsidRPr="00546EE0" w:rsidRDefault="00FC50D6" w:rsidP="00FC50D6">
      <w:pPr>
        <w:pStyle w:val="HChG"/>
        <w:keepNext w:val="0"/>
        <w:keepLines w:val="0"/>
      </w:pPr>
      <w:r>
        <w:tab/>
      </w:r>
      <w:r w:rsidR="0012199F">
        <w:t>I.</w:t>
      </w:r>
      <w:r>
        <w:tab/>
      </w:r>
      <w:r w:rsidRPr="00546EE0">
        <w:t>Background</w:t>
      </w:r>
    </w:p>
    <w:p w14:paraId="6FEB0996" w14:textId="0EA8A64B" w:rsidR="00FC50D6" w:rsidRPr="0099168A" w:rsidRDefault="00FC50D6" w:rsidP="00FC50D6">
      <w:pPr>
        <w:pStyle w:val="H1G"/>
        <w:keepNext w:val="0"/>
        <w:keepLines w:val="0"/>
      </w:pPr>
      <w:r>
        <w:tab/>
      </w:r>
      <w:r w:rsidR="0012199F">
        <w:t>A</w:t>
      </w:r>
      <w:r w:rsidR="00F9488E">
        <w:t>.</w:t>
      </w:r>
      <w:r>
        <w:tab/>
      </w:r>
      <w:r w:rsidR="00EB605C">
        <w:t xml:space="preserve">The </w:t>
      </w:r>
      <w:r w:rsidRPr="0099168A">
        <w:t>Beirut port explosion</w:t>
      </w:r>
    </w:p>
    <w:p w14:paraId="1A981225" w14:textId="1F31960A" w:rsidR="00A05BF6" w:rsidRDefault="00BC0612" w:rsidP="00BC0612">
      <w:pPr>
        <w:pStyle w:val="SingleTxtG"/>
      </w:pPr>
      <w:r>
        <w:tab/>
        <w:t>1.</w:t>
      </w:r>
      <w:r>
        <w:tab/>
      </w:r>
      <w:r w:rsidRPr="00650911">
        <w:t xml:space="preserve">The Beirut port explosion </w:t>
      </w:r>
      <w:r w:rsidR="00660FB3">
        <w:t>revealed</w:t>
      </w:r>
      <w:r w:rsidRPr="00650911">
        <w:t xml:space="preserve"> the devastating effects that industrial accidents can have on human beings and the environment. On 4 August 2020, a fire spread across a storage area of the Beirut port and caused a large amount of ammonium nitrate (AN) to explode. The </w:t>
      </w:r>
      <w:r w:rsidR="00FA56E8">
        <w:t xml:space="preserve">resulting </w:t>
      </w:r>
      <w:r w:rsidRPr="00650911">
        <w:t xml:space="preserve">explosion </w:t>
      </w:r>
      <w:r>
        <w:t>led to</w:t>
      </w:r>
      <w:r w:rsidRPr="00650911">
        <w:t xml:space="preserve"> </w:t>
      </w:r>
      <w:r>
        <w:t>over</w:t>
      </w:r>
      <w:r w:rsidRPr="00650911">
        <w:t xml:space="preserve"> </w:t>
      </w:r>
      <w:r>
        <w:t>2</w:t>
      </w:r>
      <w:r w:rsidRPr="00650911">
        <w:t xml:space="preserve">00 deaths, </w:t>
      </w:r>
      <w:r>
        <w:t xml:space="preserve">approximately </w:t>
      </w:r>
      <w:r w:rsidRPr="00650911">
        <w:t xml:space="preserve">6,500 injuries and 300,000 people </w:t>
      </w:r>
      <w:r>
        <w:t>being</w:t>
      </w:r>
      <w:r w:rsidRPr="00650911">
        <w:t xml:space="preserve"> displaced</w:t>
      </w:r>
      <w:r>
        <w:t>; it</w:t>
      </w:r>
      <w:r w:rsidRPr="00650911">
        <w:t xml:space="preserve"> </w:t>
      </w:r>
      <w:r>
        <w:t>caused</w:t>
      </w:r>
      <w:r w:rsidRPr="00650911">
        <w:t xml:space="preserve"> severe damage to critical infrastructure, including the port</w:t>
      </w:r>
      <w:r w:rsidR="00B851F4">
        <w:t>, the sur</w:t>
      </w:r>
      <w:r w:rsidR="00E24140">
        <w:t>rou</w:t>
      </w:r>
      <w:r w:rsidR="001C5C29">
        <w:t>n</w:t>
      </w:r>
      <w:r w:rsidR="00E24140">
        <w:t>ding</w:t>
      </w:r>
      <w:r w:rsidRPr="00650911">
        <w:t xml:space="preserve"> </w:t>
      </w:r>
      <w:r>
        <w:t xml:space="preserve">area </w:t>
      </w:r>
      <w:r w:rsidRPr="00650911">
        <w:t xml:space="preserve">and healthcare facilities </w:t>
      </w:r>
      <w:r w:rsidR="00E24140">
        <w:t>amid</w:t>
      </w:r>
      <w:r w:rsidRPr="00650911">
        <w:t xml:space="preserve"> the COVID-19 pandemic. </w:t>
      </w:r>
      <w:r>
        <w:t xml:space="preserve">Major accidents involving AN or AN-based fertilizers are not new or uncommon. One century ago, </w:t>
      </w:r>
      <w:r w:rsidRPr="003A5609">
        <w:t xml:space="preserve">the BASF plant explosion in </w:t>
      </w:r>
      <w:proofErr w:type="spellStart"/>
      <w:r w:rsidRPr="003A5609">
        <w:t>Oppau</w:t>
      </w:r>
      <w:proofErr w:type="spellEnd"/>
      <w:r w:rsidRPr="003A5609">
        <w:t xml:space="preserve">, Germany caused the loss of 500 lives, 2,000 injuries and the near full destruction of the nearby town. Twenty years ago, the </w:t>
      </w:r>
      <w:proofErr w:type="spellStart"/>
      <w:r w:rsidRPr="003A5609">
        <w:t>AZote</w:t>
      </w:r>
      <w:proofErr w:type="spellEnd"/>
      <w:r w:rsidRPr="003A5609">
        <w:t xml:space="preserve"> </w:t>
      </w:r>
      <w:proofErr w:type="spellStart"/>
      <w:r w:rsidRPr="003A5609">
        <w:t>Fertilisant</w:t>
      </w:r>
      <w:proofErr w:type="spellEnd"/>
      <w:r w:rsidRPr="003A5609">
        <w:t xml:space="preserve"> (AZF) plant explosion in Toulouse, France caused 30 deaths, 2,500 injuries and billions of euros in damage. </w:t>
      </w:r>
      <w:r w:rsidR="00566C5A">
        <w:t>R</w:t>
      </w:r>
      <w:r w:rsidRPr="003A5609">
        <w:t xml:space="preserve">ecent major accidents </w:t>
      </w:r>
      <w:proofErr w:type="gramStart"/>
      <w:r w:rsidR="00EA574C">
        <w:t>are</w:t>
      </w:r>
      <w:r w:rsidRPr="003A5609">
        <w:t>:</w:t>
      </w:r>
      <w:proofErr w:type="gramEnd"/>
      <w:r w:rsidRPr="003A5609">
        <w:t xml:space="preserve"> the West Fertilizer Company explosion </w:t>
      </w:r>
      <w:r w:rsidR="00BB1D5B">
        <w:t>(</w:t>
      </w:r>
      <w:r w:rsidRPr="003A5609">
        <w:t xml:space="preserve">United </w:t>
      </w:r>
      <w:r w:rsidR="00BB1D5B">
        <w:t>S</w:t>
      </w:r>
      <w:r w:rsidRPr="003A5609">
        <w:t xml:space="preserve">tates </w:t>
      </w:r>
      <w:r w:rsidR="008B4951">
        <w:lastRenderedPageBreak/>
        <w:t xml:space="preserve">of America, </w:t>
      </w:r>
      <w:r w:rsidRPr="003A5609">
        <w:t>2013)</w:t>
      </w:r>
      <w:r w:rsidR="008B4951">
        <w:t>,</w:t>
      </w:r>
      <w:r w:rsidRPr="003A5609">
        <w:t xml:space="preserve"> </w:t>
      </w:r>
      <w:r w:rsidR="00764688" w:rsidRPr="003A5609">
        <w:t xml:space="preserve">the Angellala Creek truck explosion </w:t>
      </w:r>
      <w:r w:rsidR="00D36762">
        <w:t>(</w:t>
      </w:r>
      <w:r w:rsidR="00764688" w:rsidRPr="003A5609">
        <w:t>Australia</w:t>
      </w:r>
      <w:r w:rsidR="00D36762">
        <w:t>,</w:t>
      </w:r>
      <w:r w:rsidR="00764688" w:rsidRPr="003A5609">
        <w:t xml:space="preserve"> 2014)</w:t>
      </w:r>
      <w:r w:rsidR="00D36762">
        <w:t>,</w:t>
      </w:r>
      <w:r w:rsidR="00764688">
        <w:t xml:space="preserve"> </w:t>
      </w:r>
      <w:r w:rsidRPr="003A5609">
        <w:t xml:space="preserve">the Tianjin port explosion </w:t>
      </w:r>
      <w:r w:rsidR="00764688">
        <w:t>(</w:t>
      </w:r>
      <w:r w:rsidRPr="003A5609">
        <w:t>China</w:t>
      </w:r>
      <w:r w:rsidR="00764688">
        <w:t>,</w:t>
      </w:r>
      <w:r w:rsidRPr="003A5609">
        <w:t xml:space="preserve"> 2015) and the Bata explosions </w:t>
      </w:r>
      <w:r w:rsidR="00544B58">
        <w:t>(</w:t>
      </w:r>
      <w:r w:rsidRPr="003A5609">
        <w:t>Equatorial Guinea</w:t>
      </w:r>
      <w:r w:rsidR="00544B58">
        <w:t>,</w:t>
      </w:r>
      <w:r w:rsidRPr="003A5609">
        <w:t xml:space="preserve"> 2021).</w:t>
      </w:r>
    </w:p>
    <w:p w14:paraId="4F5B1A90" w14:textId="6C7344AA" w:rsidR="00F402D7" w:rsidRPr="0099168A" w:rsidRDefault="00F402D7" w:rsidP="00FE5174">
      <w:pPr>
        <w:pStyle w:val="H1G"/>
        <w:keepNext w:val="0"/>
        <w:keepLines w:val="0"/>
      </w:pPr>
      <w:r>
        <w:tab/>
      </w:r>
      <w:r w:rsidR="00F9488E">
        <w:t>B.</w:t>
      </w:r>
      <w:r>
        <w:tab/>
      </w:r>
      <w:r w:rsidRPr="0099168A">
        <w:t>Objectives</w:t>
      </w:r>
    </w:p>
    <w:p w14:paraId="7516EA0A" w14:textId="6A7B467E" w:rsidR="00F402D7" w:rsidRDefault="000B5E0E" w:rsidP="00F402D7">
      <w:pPr>
        <w:pStyle w:val="SingleTxtG"/>
      </w:pPr>
      <w:r>
        <w:tab/>
        <w:t>2.</w:t>
      </w:r>
      <w:r>
        <w:tab/>
      </w:r>
      <w:r w:rsidR="00F402D7">
        <w:t xml:space="preserve">The ultimate objective of the seminar was to share knowledge and improve the understanding of AN storage, </w:t>
      </w:r>
      <w:proofErr w:type="gramStart"/>
      <w:r w:rsidR="00F402D7">
        <w:t>handling</w:t>
      </w:r>
      <w:proofErr w:type="gramEnd"/>
      <w:r w:rsidR="00F402D7">
        <w:t xml:space="preserve"> and transport, as well as industrial accident prevention, preparedness and response</w:t>
      </w:r>
      <w:r w:rsidR="004747E0">
        <w:t>.</w:t>
      </w:r>
      <w:r w:rsidR="001D301D">
        <w:t xml:space="preserve"> A</w:t>
      </w:r>
      <w:r w:rsidR="00F402D7">
        <w:t>ccidents involving AN and AN-based fertilizers</w:t>
      </w:r>
      <w:r w:rsidR="001D301D">
        <w:t xml:space="preserve"> s</w:t>
      </w:r>
      <w:r w:rsidR="0082023E">
        <w:t>hould be prevented</w:t>
      </w:r>
      <w:r w:rsidR="00F402D7">
        <w:t xml:space="preserve"> or – should prevention not be possible –</w:t>
      </w:r>
      <w:r w:rsidR="0082023E">
        <w:t xml:space="preserve"> </w:t>
      </w:r>
      <w:r w:rsidR="00F402D7">
        <w:t>mitigate</w:t>
      </w:r>
      <w:r w:rsidR="0082023E">
        <w:t>d</w:t>
      </w:r>
      <w:r w:rsidR="00F402D7">
        <w:t xml:space="preserve"> through effective preparedness and response.</w:t>
      </w:r>
    </w:p>
    <w:p w14:paraId="0B1D78C6" w14:textId="43320189" w:rsidR="00F402D7" w:rsidRDefault="000B5E0E" w:rsidP="00462565">
      <w:pPr>
        <w:pStyle w:val="SingleTxtG"/>
      </w:pPr>
      <w:r>
        <w:tab/>
        <w:t>3.</w:t>
      </w:r>
      <w:r>
        <w:tab/>
      </w:r>
      <w:r w:rsidR="00F402D7">
        <w:t>The seminar’s more specific objectives were to:</w:t>
      </w:r>
    </w:p>
    <w:p w14:paraId="0210AE28" w14:textId="2EB54890" w:rsidR="00A36DF5" w:rsidRDefault="00FE3F59" w:rsidP="00FE3F59">
      <w:pPr>
        <w:pStyle w:val="Bullet1G"/>
        <w:numPr>
          <w:ilvl w:val="0"/>
          <w:numId w:val="0"/>
        </w:numPr>
        <w:ind w:left="1701"/>
      </w:pPr>
      <w:r>
        <w:t>(a)</w:t>
      </w:r>
      <w:r w:rsidR="001F7F66">
        <w:tab/>
      </w:r>
      <w:r w:rsidR="00A36DF5">
        <w:t xml:space="preserve">Share lessons learned from past accidents involving AN and AN-based </w:t>
      </w:r>
      <w:proofErr w:type="gramStart"/>
      <w:r w:rsidR="00A36DF5">
        <w:t>fertilizers;</w:t>
      </w:r>
      <w:proofErr w:type="gramEnd"/>
    </w:p>
    <w:p w14:paraId="54F5F3D8" w14:textId="0D0B5E7F" w:rsidR="00A36DF5" w:rsidRDefault="001F7F66" w:rsidP="001F7F66">
      <w:pPr>
        <w:pStyle w:val="Bullet1G"/>
        <w:numPr>
          <w:ilvl w:val="0"/>
          <w:numId w:val="0"/>
        </w:numPr>
        <w:ind w:left="1701"/>
      </w:pPr>
      <w:r>
        <w:t>(b)</w:t>
      </w:r>
      <w:r>
        <w:tab/>
      </w:r>
      <w:r w:rsidR="00A36DF5">
        <w:t xml:space="preserve">Review international legal and policy instruments and tools for the prevention of, preparedness for and response to accidents involving hazardous substances, such as AN and AN-based </w:t>
      </w:r>
      <w:proofErr w:type="gramStart"/>
      <w:r w:rsidR="00A36DF5">
        <w:t>fertilizers;</w:t>
      </w:r>
      <w:proofErr w:type="gramEnd"/>
    </w:p>
    <w:p w14:paraId="7A9891F7" w14:textId="46FD6E74" w:rsidR="00A36DF5" w:rsidRDefault="001F7F66" w:rsidP="001F7F66">
      <w:pPr>
        <w:pStyle w:val="Bullet1G"/>
        <w:numPr>
          <w:ilvl w:val="0"/>
          <w:numId w:val="0"/>
        </w:numPr>
        <w:ind w:left="1701"/>
      </w:pPr>
      <w:r>
        <w:t>(c)</w:t>
      </w:r>
      <w:r>
        <w:tab/>
      </w:r>
      <w:r w:rsidR="00A36DF5">
        <w:t>Exchange experiences, lessons learned and good practices in managing the risks of hazardous substances, including AN and AN-based fertilizers, and in implementing related instruments; and</w:t>
      </w:r>
    </w:p>
    <w:p w14:paraId="4A24A22C" w14:textId="35359137" w:rsidR="00A36DF5" w:rsidRDefault="001F7F66" w:rsidP="001F7F66">
      <w:pPr>
        <w:pStyle w:val="Bullet1G"/>
        <w:numPr>
          <w:ilvl w:val="0"/>
          <w:numId w:val="0"/>
        </w:numPr>
        <w:ind w:left="1701"/>
      </w:pPr>
      <w:r>
        <w:t>(d)</w:t>
      </w:r>
      <w:r>
        <w:tab/>
      </w:r>
      <w:r w:rsidR="00A36DF5">
        <w:t>Encourage cooperation among</w:t>
      </w:r>
      <w:r w:rsidR="00D0113F">
        <w:t xml:space="preserve"> the</w:t>
      </w:r>
      <w:r w:rsidR="00A36DF5">
        <w:t xml:space="preserve"> authorities, </w:t>
      </w:r>
      <w:proofErr w:type="gramStart"/>
      <w:r w:rsidR="00A36DF5">
        <w:t>industry</w:t>
      </w:r>
      <w:proofErr w:type="gramEnd"/>
      <w:r w:rsidR="00A36DF5">
        <w:t xml:space="preserve"> and other stakeholders at the national, regional, local and international levels.</w:t>
      </w:r>
    </w:p>
    <w:p w14:paraId="07FA61FA" w14:textId="25C296FC" w:rsidR="007A6C52" w:rsidRPr="00FC192B" w:rsidRDefault="007A6C52" w:rsidP="00FE5174">
      <w:pPr>
        <w:pStyle w:val="H1G"/>
        <w:keepNext w:val="0"/>
        <w:keepLines w:val="0"/>
      </w:pPr>
      <w:r>
        <w:tab/>
      </w:r>
      <w:r w:rsidR="00F9488E">
        <w:t>C.</w:t>
      </w:r>
      <w:r>
        <w:tab/>
      </w:r>
      <w:r w:rsidRPr="000A68D6">
        <w:t xml:space="preserve">Content and </w:t>
      </w:r>
      <w:r w:rsidRPr="00FC192B">
        <w:t>participation</w:t>
      </w:r>
    </w:p>
    <w:p w14:paraId="2B8D7289" w14:textId="7F3BDC8E" w:rsidR="007A6C52" w:rsidRDefault="000B5E0E" w:rsidP="007C2CFB">
      <w:pPr>
        <w:pStyle w:val="SingleTxtG"/>
      </w:pPr>
      <w:r>
        <w:t>4.</w:t>
      </w:r>
      <w:r>
        <w:tab/>
      </w:r>
      <w:r w:rsidR="007A6C52">
        <w:t xml:space="preserve">The </w:t>
      </w:r>
      <w:hyperlink r:id="rId12" w:history="1">
        <w:r w:rsidR="007A6C52" w:rsidRPr="00524F5A">
          <w:rPr>
            <w:rStyle w:val="Hyperlink"/>
          </w:rPr>
          <w:t>UN/OECD seminar in follow-up to the 2020 Beirut port explosion</w:t>
        </w:r>
      </w:hyperlink>
      <w:r w:rsidR="007A6C52">
        <w:t xml:space="preserve"> was held online on 14 December 2021</w:t>
      </w:r>
      <w:r w:rsidR="00300B22">
        <w:rPr>
          <w:rStyle w:val="FootnoteReference"/>
        </w:rPr>
        <w:footnoteReference w:customMarkFollows="1" w:id="3"/>
        <w:t>1</w:t>
      </w:r>
      <w:r w:rsidR="007A6C52">
        <w:t xml:space="preserve">. Information on the Beirut port explosion and other accidents involving AN or AN-based fertilizers was presented. The seminar covered lessons learned, experiences and good practices in managing risks of AN storage, </w:t>
      </w:r>
      <w:proofErr w:type="gramStart"/>
      <w:r w:rsidR="007A6C52">
        <w:t>handling</w:t>
      </w:r>
      <w:proofErr w:type="gramEnd"/>
      <w:r w:rsidR="007A6C52">
        <w:t xml:space="preserve"> and transport in port areas and beyond. It also addressed the prevention of related accidents and ways to mitigate the consequences. Speakers shared knowledge on </w:t>
      </w:r>
      <w:r w:rsidR="003B69A3">
        <w:t>(</w:t>
      </w:r>
      <w:proofErr w:type="spellStart"/>
      <w:r w:rsidR="003B69A3">
        <w:t>i</w:t>
      </w:r>
      <w:proofErr w:type="spellEnd"/>
      <w:r w:rsidR="003B69A3">
        <w:t xml:space="preserve">) </w:t>
      </w:r>
      <w:r w:rsidR="007A6C52">
        <w:t xml:space="preserve">past accidents involving AN and AN-based fertilizers, related lessons learned and regulatory changes; </w:t>
      </w:r>
      <w:r w:rsidR="003B69A3">
        <w:t xml:space="preserve">(ii) </w:t>
      </w:r>
      <w:r w:rsidR="007A6C52">
        <w:t xml:space="preserve">international legal and policy instruments and recommendations addressing hazardous substances and related accident prevention, </w:t>
      </w:r>
      <w:proofErr w:type="gramStart"/>
      <w:r w:rsidR="007A6C52">
        <w:t>preparedness</w:t>
      </w:r>
      <w:proofErr w:type="gramEnd"/>
      <w:r w:rsidR="007A6C52">
        <w:t xml:space="preserve"> and response; and </w:t>
      </w:r>
      <w:r w:rsidR="003B69A3">
        <w:t xml:space="preserve">(iii) </w:t>
      </w:r>
      <w:r w:rsidR="007A6C52">
        <w:t>experiences and good practices in implementing them.</w:t>
      </w:r>
    </w:p>
    <w:p w14:paraId="6C6FCCE1" w14:textId="06014DB9" w:rsidR="007A6C52" w:rsidRDefault="000B5E0E" w:rsidP="007A6C52">
      <w:pPr>
        <w:pStyle w:val="SingleTxtG"/>
      </w:pPr>
      <w:r>
        <w:tab/>
        <w:t>5.</w:t>
      </w:r>
      <w:r>
        <w:tab/>
      </w:r>
      <w:r w:rsidR="007A6C52">
        <w:t>The seminar brought together representatives of international organizations</w:t>
      </w:r>
      <w:r w:rsidR="00FC17A4">
        <w:t xml:space="preserve">, of </w:t>
      </w:r>
      <w:r w:rsidR="007A6C52">
        <w:t xml:space="preserve">national, </w:t>
      </w:r>
      <w:proofErr w:type="gramStart"/>
      <w:r w:rsidR="007A6C52">
        <w:t>regional</w:t>
      </w:r>
      <w:proofErr w:type="gramEnd"/>
      <w:r w:rsidR="007A6C52">
        <w:t xml:space="preserve"> and local government authorities, </w:t>
      </w:r>
      <w:r w:rsidR="00FC17A4">
        <w:t xml:space="preserve">from </w:t>
      </w:r>
      <w:r w:rsidR="007A6C52">
        <w:t xml:space="preserve">industry, </w:t>
      </w:r>
      <w:r w:rsidR="00FC17A4">
        <w:t xml:space="preserve">from </w:t>
      </w:r>
      <w:r w:rsidR="007A6C52">
        <w:t xml:space="preserve">academia and other stakeholders from across the globe. </w:t>
      </w:r>
      <w:r w:rsidR="00886158">
        <w:t>O</w:t>
      </w:r>
      <w:r w:rsidR="007A6C52">
        <w:t xml:space="preserve">ver 500 participants came from a range of communities, including </w:t>
      </w:r>
      <w:r w:rsidR="007A6C52" w:rsidRPr="00F26B0F">
        <w:t>inter alia</w:t>
      </w:r>
      <w:r w:rsidR="007A6C52">
        <w:t xml:space="preserve"> </w:t>
      </w:r>
      <w:r w:rsidR="007A6C52">
        <w:rPr>
          <w:rFonts w:ascii="Calibri" w:hAnsi="Calibri" w:cs="Calibri"/>
        </w:rPr>
        <w:t xml:space="preserve">chemicals, customs/border, </w:t>
      </w:r>
      <w:r w:rsidR="007A6C52">
        <w:t>disaster risk reduction,</w:t>
      </w:r>
      <w:r w:rsidR="007A6C52">
        <w:rPr>
          <w:rFonts w:ascii="Calibri" w:hAnsi="Calibri" w:cs="Calibri"/>
        </w:rPr>
        <w:t xml:space="preserve"> </w:t>
      </w:r>
      <w:r w:rsidR="007A6C52">
        <w:t>emergency and humanitarian response, environmental protection,</w:t>
      </w:r>
      <w:r w:rsidR="007A6C52">
        <w:rPr>
          <w:rFonts w:ascii="Calibri" w:hAnsi="Calibri" w:cs="Calibri"/>
        </w:rPr>
        <w:t xml:space="preserve"> </w:t>
      </w:r>
      <w:r w:rsidR="007A6C52">
        <w:t>industrial safety, maritime, occupational safety and health and transport. While the seminar focused on AN and AN-based fertilizers, it was highlighted that many of the experiences, good practices and lessons learned are relevant for understanding and manag</w:t>
      </w:r>
      <w:r w:rsidR="00F7452F">
        <w:t>ing</w:t>
      </w:r>
      <w:r w:rsidR="007A6C52">
        <w:t xml:space="preserve"> the risks of hazardous substances more broadly.</w:t>
      </w:r>
    </w:p>
    <w:p w14:paraId="1813CF26" w14:textId="3A32C146" w:rsidR="007A6C52" w:rsidRDefault="000B5E0E" w:rsidP="007A6C52">
      <w:pPr>
        <w:pStyle w:val="SingleTxtG"/>
      </w:pPr>
      <w:r>
        <w:tab/>
        <w:t>6.</w:t>
      </w:r>
      <w:r>
        <w:tab/>
      </w:r>
      <w:r w:rsidR="007A6C52">
        <w:t xml:space="preserve">The seminar had a wide range of participation. Participants represented the following 48 countries: </w:t>
      </w:r>
      <w:r w:rsidR="007A6C52" w:rsidRPr="00766877">
        <w:t>Australia, Austria, Belarus, Belgium, Brazil, Bulgaria, Canada,</w:t>
      </w:r>
      <w:r w:rsidR="007A6C52">
        <w:t xml:space="preserve"> </w:t>
      </w:r>
      <w:r w:rsidR="007A6C52" w:rsidRPr="00766877">
        <w:t>China, Costa Rica, Cyprus, Czech</w:t>
      </w:r>
      <w:r w:rsidR="00FC4D06">
        <w:t>ia</w:t>
      </w:r>
      <w:r w:rsidR="007A6C52" w:rsidRPr="00766877">
        <w:t xml:space="preserve">, </w:t>
      </w:r>
      <w:r w:rsidR="007A6C52">
        <w:t xml:space="preserve">Denmark, Estonia, Finland, France, Germany, Greece, Hungary, Ireland, </w:t>
      </w:r>
      <w:r w:rsidR="007A6C52" w:rsidRPr="00766877">
        <w:t>Israel, Latvia, Lebanon, Lithuania, Luxembourg, Malta,</w:t>
      </w:r>
      <w:r w:rsidR="007A6C52">
        <w:t xml:space="preserve"> Mexico, Myanmar, Netherlands, New Zealand, Norway, Philippines, Poland, Portugal, Republic of Korea, Republic of Moldova, Romania, Russian Federation, Serbia, Slovakia, Slovenia, South Africa, Spain, Suriname, Sweden, Switzerland, United Kingdom of Great Britain and Northern Ireland, United States of America, and Yemen.</w:t>
      </w:r>
      <w:r w:rsidR="007A6C52" w:rsidRPr="00794D17">
        <w:t xml:space="preserve"> </w:t>
      </w:r>
      <w:r w:rsidR="007A6C52">
        <w:t xml:space="preserve">See the </w:t>
      </w:r>
      <w:r w:rsidR="008262A0">
        <w:t>a</w:t>
      </w:r>
      <w:r w:rsidR="007A6C52">
        <w:t>nnex for information on the national and local authorities that attended from each country.</w:t>
      </w:r>
    </w:p>
    <w:p w14:paraId="4AFE9E93" w14:textId="6FC5FF65" w:rsidR="007A6C52" w:rsidRDefault="000B5E0E" w:rsidP="007A6C52">
      <w:pPr>
        <w:pStyle w:val="SingleTxtG"/>
      </w:pPr>
      <w:r>
        <w:lastRenderedPageBreak/>
        <w:tab/>
        <w:t>7.</w:t>
      </w:r>
      <w:r>
        <w:tab/>
      </w:r>
      <w:r w:rsidR="007A6C52">
        <w:t xml:space="preserve">Representatives of the </w:t>
      </w:r>
      <w:r w:rsidR="007A6C52" w:rsidRPr="00766877">
        <w:t xml:space="preserve">following </w:t>
      </w:r>
      <w:r w:rsidR="007A6C52">
        <w:t>15</w:t>
      </w:r>
      <w:r w:rsidR="007A6C52" w:rsidRPr="00766877">
        <w:t xml:space="preserve"> international or intergovernmental organizations attended: CIS Inter-State Council on Industrial Safety, Europea</w:t>
      </w:r>
      <w:r w:rsidR="007A6C52">
        <w:t>n Union (includ</w:t>
      </w:r>
      <w:r w:rsidR="00CA663D">
        <w:t>es</w:t>
      </w:r>
      <w:r w:rsidR="007A6C52">
        <w:t xml:space="preserve"> the </w:t>
      </w:r>
      <w:r w:rsidR="007A6C52" w:rsidRPr="00CD0630">
        <w:t>Directorate-General for European Civil Protection and Humanitarian Aid Operations</w:t>
      </w:r>
      <w:r w:rsidR="007A6C52">
        <w:t xml:space="preserve"> (DG ECHO)</w:t>
      </w:r>
      <w:r w:rsidR="007A6C52" w:rsidRPr="00CD0630">
        <w:t>, Directorate-General for the Environment</w:t>
      </w:r>
      <w:r w:rsidR="007A6C52">
        <w:t xml:space="preserve"> (DG Environment),</w:t>
      </w:r>
      <w:r w:rsidR="007A6C52" w:rsidRPr="00CD0630">
        <w:t xml:space="preserve"> </w:t>
      </w:r>
      <w:r w:rsidR="007A6C52">
        <w:t xml:space="preserve">and Major Accident Hazards Bureau of the Joint Research Centre (JRC)), European Investment Bank (EIB), Food and Agriculture Organization (FAO), Intergovernmental Organization for International Carriage by Rail (OTIF), International Labour Organization (ILO), International Maritime Organization (IMO), </w:t>
      </w:r>
      <w:r w:rsidR="007A6C52" w:rsidRPr="00DA123D">
        <w:t>North Atlantic Treaty Organization</w:t>
      </w:r>
      <w:r w:rsidR="007A6C52">
        <w:t xml:space="preserve"> (</w:t>
      </w:r>
      <w:r w:rsidR="007A6C52" w:rsidRPr="00E83C64">
        <w:t>NATO</w:t>
      </w:r>
      <w:r w:rsidR="007A6C52">
        <w:t>)</w:t>
      </w:r>
      <w:r w:rsidR="007A6C52" w:rsidRPr="00E83C64">
        <w:t xml:space="preserve"> </w:t>
      </w:r>
      <w:r w:rsidR="007A6C52">
        <w:t>(</w:t>
      </w:r>
      <w:r w:rsidR="007A6C52" w:rsidRPr="00E83C64">
        <w:t xml:space="preserve">Munitions Safety Information Analysis </w:t>
      </w:r>
      <w:proofErr w:type="spellStart"/>
      <w:r w:rsidR="007A6C52" w:rsidRPr="00E83C64">
        <w:t>Center</w:t>
      </w:r>
      <w:proofErr w:type="spellEnd"/>
      <w:r w:rsidR="007A6C52">
        <w:t xml:space="preserve">), Organisation for Economic Co-operation and Development (OECD), Organization for the Prohibition of Chemical Weapons (OPCW), United Nations </w:t>
      </w:r>
      <w:r w:rsidR="00E82810">
        <w:t xml:space="preserve">Office </w:t>
      </w:r>
      <w:r w:rsidR="003249DA">
        <w:t xml:space="preserve">for </w:t>
      </w:r>
      <w:r w:rsidR="007A6C52">
        <w:t>Disaster Risk Reduction (UNDRR), United Nations Economic Commission for Europe (UNECE), United Nations Environment Programme/Office for the Coordination of Humanitarian Affairs Joint Environment Unit (</w:t>
      </w:r>
      <w:r w:rsidR="00DC5FFA">
        <w:t>UNEP</w:t>
      </w:r>
      <w:r w:rsidR="007A6C52">
        <w:t xml:space="preserve">/OCHA </w:t>
      </w:r>
      <w:r w:rsidR="00062A48">
        <w:t>Joint Environment Unit</w:t>
      </w:r>
      <w:r w:rsidR="007A6C52">
        <w:t>), United Nations International Computing Centre (UNICC) and United Nations Institute for Training and Research (UNITAR).</w:t>
      </w:r>
    </w:p>
    <w:p w14:paraId="251648F7" w14:textId="568323A5" w:rsidR="007A6C52" w:rsidRDefault="000B5E0E" w:rsidP="007A6C52">
      <w:pPr>
        <w:pStyle w:val="SingleTxtG"/>
      </w:pPr>
      <w:r>
        <w:tab/>
        <w:t>8.</w:t>
      </w:r>
      <w:r>
        <w:tab/>
      </w:r>
      <w:r w:rsidR="007A6C52">
        <w:t xml:space="preserve">In addition, many non-governmental entities attended the seminar. This includes 5 </w:t>
      </w:r>
      <w:r w:rsidR="002B4AEB">
        <w:t>non-governmental organizations (</w:t>
      </w:r>
      <w:r w:rsidR="007A6C52">
        <w:t>NGOs</w:t>
      </w:r>
      <w:r w:rsidR="002B4AEB">
        <w:t>)</w:t>
      </w:r>
      <w:r w:rsidR="007A6C52">
        <w:t xml:space="preserve"> and 102 industry associations or companies. Academics from more than 32 universities or national research institutes also attended, from </w:t>
      </w:r>
      <w:r w:rsidR="007A6C52" w:rsidRPr="00D70827">
        <w:t xml:space="preserve">Canada, </w:t>
      </w:r>
      <w:r w:rsidR="00E630B1">
        <w:t>China,</w:t>
      </w:r>
      <w:r w:rsidR="00E630B1" w:rsidRPr="00D70827">
        <w:t xml:space="preserve"> </w:t>
      </w:r>
      <w:r w:rsidR="007A6C52" w:rsidRPr="00D70827">
        <w:t xml:space="preserve">Costa Rica, Belarus, Finland, </w:t>
      </w:r>
      <w:r w:rsidR="007A6C52">
        <w:t>France, Germany, Jamaica, Japan, Lebanon, Netherlands, Norway, Republic of Moldova, Russian Federation, South Africa, Suriname, Switzerland, United Kingdom of Great Britain and Northern Ireland and United States of America.</w:t>
      </w:r>
      <w:r w:rsidR="007A6C52" w:rsidRPr="00766877">
        <w:t xml:space="preserve"> </w:t>
      </w:r>
      <w:r w:rsidR="007A6C52">
        <w:t xml:space="preserve">See the </w:t>
      </w:r>
      <w:r w:rsidR="00796B21">
        <w:t>a</w:t>
      </w:r>
      <w:r w:rsidR="007A6C52">
        <w:t>nnex for more information.</w:t>
      </w:r>
    </w:p>
    <w:p w14:paraId="64F79A5C" w14:textId="383897CD" w:rsidR="009B6B85" w:rsidRPr="00B7407D" w:rsidRDefault="009B6B85" w:rsidP="00FE5174">
      <w:pPr>
        <w:pStyle w:val="H1G"/>
        <w:keepNext w:val="0"/>
        <w:keepLines w:val="0"/>
      </w:pPr>
      <w:r>
        <w:tab/>
      </w:r>
      <w:r w:rsidR="00F9488E">
        <w:t>D.</w:t>
      </w:r>
      <w:r>
        <w:tab/>
      </w:r>
      <w:r w:rsidRPr="00B7407D">
        <w:t>Sessions</w:t>
      </w:r>
    </w:p>
    <w:p w14:paraId="09E9A54D" w14:textId="661790AE" w:rsidR="009B6B85" w:rsidRDefault="000B5E0E" w:rsidP="009B6B85">
      <w:pPr>
        <w:pStyle w:val="SingleTxtG"/>
      </w:pPr>
      <w:r>
        <w:tab/>
        <w:t>9.</w:t>
      </w:r>
      <w:r>
        <w:tab/>
      </w:r>
      <w:r w:rsidR="009B6B85">
        <w:t>The seminar was co-moderated by the Chair of the Convention on the Transboundary Effects of Industrial Accidents’ (Industrial Accidents Convention’s) Bureau (</w:t>
      </w:r>
      <w:r w:rsidR="009B6B85" w:rsidRPr="009E6BBF">
        <w:t>Directorate for Civil Protection, Norway</w:t>
      </w:r>
      <w:r w:rsidR="009B6B85">
        <w:t>), who is also a member of the Bureau of the OECD Working Party on Chemical Accidents, and the Convention’s Vice-Chair (Austria), who was also the Chair of the seminar’s Advisory Group.</w:t>
      </w:r>
    </w:p>
    <w:p w14:paraId="63772156" w14:textId="6D3D263E" w:rsidR="009B6B85" w:rsidRDefault="000B5E0E" w:rsidP="009B6B85">
      <w:pPr>
        <w:pStyle w:val="SingleTxtG"/>
      </w:pPr>
      <w:r>
        <w:t>10.</w:t>
      </w:r>
      <w:r>
        <w:tab/>
      </w:r>
      <w:r w:rsidR="002A7122">
        <w:t xml:space="preserve">The seminar </w:t>
      </w:r>
      <w:r w:rsidR="00AA5654">
        <w:t xml:space="preserve">was </w:t>
      </w:r>
      <w:r w:rsidR="009B6B85">
        <w:t xml:space="preserve">opened with welcoming remarks from the UNECE Deputy Executive Secretary and the Chair of the seminar’s </w:t>
      </w:r>
      <w:r w:rsidR="009B6B85" w:rsidRPr="00B7407D">
        <w:t xml:space="preserve">Advisory Group. Both highlighted that industrial accidents involving AN, like the one at the Beirut port and elsewhere, have caused too many deaths and too much destruction and could have been prevented. </w:t>
      </w:r>
      <w:r w:rsidR="00763783">
        <w:t>Both</w:t>
      </w:r>
      <w:r w:rsidR="009B6B85" w:rsidRPr="00B7407D">
        <w:t xml:space="preserve"> emphasized the need to do the utmost to prevent these accidents and to mitigate the </w:t>
      </w:r>
      <w:r w:rsidR="005600DE">
        <w:t xml:space="preserve">resulting </w:t>
      </w:r>
      <w:r w:rsidR="009B6B85" w:rsidRPr="00B7407D">
        <w:t>effects should they occur. T</w:t>
      </w:r>
      <w:r w:rsidR="009B6B85">
        <w:t>o that e</w:t>
      </w:r>
      <w:r w:rsidR="001F7996">
        <w:t>nd</w:t>
      </w:r>
      <w:r w:rsidR="009B6B85">
        <w:t>, t</w:t>
      </w:r>
      <w:r w:rsidR="009B6B85" w:rsidRPr="00B7407D">
        <w:t>hey expressed the importance of a multi-stakeholder approach to prevention</w:t>
      </w:r>
      <w:r w:rsidR="009B6B85">
        <w:t>, including coordination and cooperation within and across countries,</w:t>
      </w:r>
      <w:r w:rsidR="009B6B85" w:rsidRPr="00B7407D">
        <w:t xml:space="preserve"> and that the existing international legal and policy instruments that apply to hazardous substances, including AN and AN-based fertilizers, need to be implemented and complied with. This was followed by a statement from Lebanon (see Section </w:t>
      </w:r>
      <w:r w:rsidR="00D42D93">
        <w:t>IV</w:t>
      </w:r>
      <w:r w:rsidR="003F5A0E">
        <w:t>.C</w:t>
      </w:r>
      <w:r w:rsidR="009B6B85" w:rsidRPr="00B7407D">
        <w:t xml:space="preserve"> below).</w:t>
      </w:r>
    </w:p>
    <w:p w14:paraId="6C46BA14" w14:textId="7083DFF2" w:rsidR="009B6B85" w:rsidRDefault="000B5E0E" w:rsidP="009B6B85">
      <w:pPr>
        <w:pStyle w:val="SingleTxtG"/>
      </w:pPr>
      <w:r>
        <w:tab/>
        <w:t>11.</w:t>
      </w:r>
      <w:r>
        <w:tab/>
      </w:r>
      <w:r w:rsidR="009B6B85">
        <w:t>The first session then included expert presentations on AN and AN-based fertilizers (</w:t>
      </w:r>
      <w:r w:rsidR="009B6B85" w:rsidRPr="00447E77">
        <w:t>Federal Institute for Materials Research and Testing (BAM), Germany</w:t>
      </w:r>
      <w:r w:rsidR="009B6B85">
        <w:t>), accidents involving AN and lessons learned (</w:t>
      </w:r>
      <w:r w:rsidR="009B6B85" w:rsidRPr="00447E77">
        <w:t>Major Accident Hazard Bureau, European Commission Joint Research Centre</w:t>
      </w:r>
      <w:r w:rsidR="009B6B85">
        <w:t xml:space="preserve"> (JRC)). They emphasized that a main cause of AN explosions is fire and of AN smoking is decomposition. In reviewing 23 past accidents across the globe, contributing factors to the accidents and key lessons learned were </w:t>
      </w:r>
      <w:r w:rsidR="004C6050">
        <w:t>given</w:t>
      </w:r>
      <w:r w:rsidR="009B6B85">
        <w:t xml:space="preserve"> </w:t>
      </w:r>
      <w:r w:rsidR="009B6B85" w:rsidRPr="00B7407D">
        <w:t xml:space="preserve">(see Section </w:t>
      </w:r>
      <w:r w:rsidR="00F9235A">
        <w:t>IV</w:t>
      </w:r>
      <w:r w:rsidR="009B6B85">
        <w:t>(</w:t>
      </w:r>
      <w:r w:rsidR="00F9235A">
        <w:t>C</w:t>
      </w:r>
      <w:r w:rsidR="009B6B85">
        <w:t>)</w:t>
      </w:r>
      <w:r w:rsidR="009B6B85" w:rsidRPr="00B7407D">
        <w:t xml:space="preserve"> below)</w:t>
      </w:r>
      <w:r w:rsidR="009B6B85">
        <w:t>.</w:t>
      </w:r>
    </w:p>
    <w:p w14:paraId="705D894C" w14:textId="6DB4C602" w:rsidR="009B6B85" w:rsidRDefault="000B5E0E" w:rsidP="009B6B85">
      <w:pPr>
        <w:pStyle w:val="SingleTxtG"/>
      </w:pPr>
      <w:r>
        <w:tab/>
        <w:t>12.</w:t>
      </w:r>
      <w:r>
        <w:tab/>
      </w:r>
      <w:r w:rsidR="009B6B85">
        <w:t xml:space="preserve">The second session consisted of representatives of international organizations (UNECE, IMO, ILO and UNEP/OCHA Joint Environment Unit) providing information on international legal and policy instruments and recommendations </w:t>
      </w:r>
      <w:r w:rsidR="00655C7E">
        <w:t>for</w:t>
      </w:r>
      <w:r w:rsidR="009B6B85">
        <w:t xml:space="preserve"> hazardous substances, including AN and AN-based fertilizers, and </w:t>
      </w:r>
      <w:r w:rsidR="00076ED6">
        <w:t xml:space="preserve">on </w:t>
      </w:r>
      <w:r w:rsidR="009B6B85">
        <w:t xml:space="preserve">industrial/chemical accident prevention, </w:t>
      </w:r>
      <w:proofErr w:type="gramStart"/>
      <w:r w:rsidR="009B6B85">
        <w:t>preparedness</w:t>
      </w:r>
      <w:proofErr w:type="gramEnd"/>
      <w:r w:rsidR="009B6B85">
        <w:t xml:space="preserve"> and response. The presentation </w:t>
      </w:r>
      <w:r w:rsidR="00076ED6">
        <w:t>of</w:t>
      </w:r>
      <w:r w:rsidR="009B6B85">
        <w:t xml:space="preserve"> UNECE showcased also other existing instruments and activities under the auspices of the </w:t>
      </w:r>
      <w:r w:rsidR="0062444B">
        <w:t>European Union</w:t>
      </w:r>
      <w:r w:rsidR="009B6B85">
        <w:t>, OECD, UNDRR, UNEP and WHO.</w:t>
      </w:r>
    </w:p>
    <w:p w14:paraId="4F692883" w14:textId="2AC9387D" w:rsidR="009B6B85" w:rsidRDefault="000B5E0E" w:rsidP="009B6B85">
      <w:pPr>
        <w:pStyle w:val="SingleTxtG"/>
      </w:pPr>
      <w:r>
        <w:tab/>
        <w:t>13</w:t>
      </w:r>
      <w:r w:rsidR="00DE12F9">
        <w:t>.</w:t>
      </w:r>
      <w:r>
        <w:tab/>
      </w:r>
      <w:r w:rsidR="009B6B85">
        <w:t xml:space="preserve">The third session covered good practices and lessons learned from </w:t>
      </w:r>
      <w:r w:rsidR="008D2BB0">
        <w:t>the</w:t>
      </w:r>
      <w:r w:rsidR="009B6B85">
        <w:t xml:space="preserve"> authorities of the following countries: Brazil (Brazilian Institute for the Environment and Renewable Natural Resources (</w:t>
      </w:r>
      <w:proofErr w:type="spellStart"/>
      <w:r w:rsidR="009B6B85">
        <w:t>Ibama</w:t>
      </w:r>
      <w:proofErr w:type="spellEnd"/>
      <w:r w:rsidR="009B6B85">
        <w:t>)), Estonia (</w:t>
      </w:r>
      <w:r w:rsidR="009B6B85" w:rsidRPr="00192133">
        <w:t>Estonian Rescue Board</w:t>
      </w:r>
      <w:r w:rsidR="009B6B85">
        <w:t xml:space="preserve">), France (Ministry of </w:t>
      </w:r>
      <w:r w:rsidR="009B6B85">
        <w:lastRenderedPageBreak/>
        <w:t>Ecological Transition), Lithuania (</w:t>
      </w:r>
      <w:proofErr w:type="spellStart"/>
      <w:r w:rsidR="009B6B85" w:rsidRPr="00192133">
        <w:t>Klaipėda</w:t>
      </w:r>
      <w:proofErr w:type="spellEnd"/>
      <w:r w:rsidR="009B6B85" w:rsidRPr="00192133">
        <w:t xml:space="preserve"> State Seaport Authority</w:t>
      </w:r>
      <w:r w:rsidR="009B6B85">
        <w:t>), South Africa (</w:t>
      </w:r>
      <w:r w:rsidR="009B6B85" w:rsidRPr="00192133">
        <w:t>South African Police Service</w:t>
      </w:r>
      <w:r w:rsidR="009B6B85">
        <w:t>)</w:t>
      </w:r>
      <w:r w:rsidR="00777F15">
        <w:t>,</w:t>
      </w:r>
      <w:r w:rsidR="009B6B85">
        <w:t xml:space="preserve"> and United States </w:t>
      </w:r>
      <w:r w:rsidR="00BA41F0">
        <w:t xml:space="preserve">of America </w:t>
      </w:r>
      <w:r w:rsidR="009B6B85">
        <w:t>(</w:t>
      </w:r>
      <w:r w:rsidR="009B6B85" w:rsidRPr="00192133">
        <w:t>Occupational Safety and Health Administration</w:t>
      </w:r>
      <w:r w:rsidR="009B6B85">
        <w:t>)</w:t>
      </w:r>
      <w:r w:rsidR="00777F15">
        <w:t>.</w:t>
      </w:r>
      <w:r w:rsidR="009B6B85">
        <w:t xml:space="preserve"> </w:t>
      </w:r>
      <w:r w:rsidR="00777F15">
        <w:t>A</w:t>
      </w:r>
      <w:r w:rsidR="009B6B85">
        <w:t xml:space="preserve"> </w:t>
      </w:r>
      <w:r w:rsidR="00777F15">
        <w:t xml:space="preserve">special </w:t>
      </w:r>
      <w:r w:rsidR="009B6B85">
        <w:t xml:space="preserve">joint presentation on industry practices </w:t>
      </w:r>
      <w:r w:rsidR="00777F15">
        <w:t xml:space="preserve">was given by </w:t>
      </w:r>
      <w:r w:rsidR="00F536F4" w:rsidRPr="00C82919">
        <w:rPr>
          <w:rFonts w:asciiTheme="majorBidi" w:hAnsiTheme="majorBidi" w:cstheme="majorBidi"/>
        </w:rPr>
        <w:t xml:space="preserve">Australian Explosives Industry and Safety Group Inc. </w:t>
      </w:r>
      <w:r w:rsidR="00492D47">
        <w:rPr>
          <w:rFonts w:asciiTheme="majorBidi" w:hAnsiTheme="majorBidi" w:cstheme="majorBidi"/>
        </w:rPr>
        <w:t>(</w:t>
      </w:r>
      <w:r w:rsidR="009B6B85">
        <w:t>AEISG</w:t>
      </w:r>
      <w:r w:rsidR="00492D47">
        <w:t>)</w:t>
      </w:r>
      <w:r w:rsidR="009B6B85">
        <w:t xml:space="preserve">, Fertilizers Europe, </w:t>
      </w:r>
      <w:r w:rsidR="00772D12" w:rsidRPr="00772D12">
        <w:t xml:space="preserve">Institute of Makers of Explosives </w:t>
      </w:r>
      <w:r w:rsidR="00772D12">
        <w:t>(</w:t>
      </w:r>
      <w:r w:rsidR="009B6B85">
        <w:t>IME</w:t>
      </w:r>
      <w:r w:rsidR="00772D12">
        <w:t>)</w:t>
      </w:r>
      <w:r w:rsidR="009B6B85">
        <w:t xml:space="preserve"> and </w:t>
      </w:r>
      <w:r w:rsidR="006901D5" w:rsidRPr="006901D5">
        <w:t>South African Futures Exchange</w:t>
      </w:r>
      <w:r w:rsidR="00F67EAF">
        <w:t xml:space="preserve"> (</w:t>
      </w:r>
      <w:r w:rsidR="009B6B85">
        <w:t>SAFEX).</w:t>
      </w:r>
    </w:p>
    <w:p w14:paraId="104405D4" w14:textId="5B936269" w:rsidR="009B6B85" w:rsidRDefault="000B5E0E" w:rsidP="009B6B85">
      <w:pPr>
        <w:pStyle w:val="SingleTxtG"/>
      </w:pPr>
      <w:r>
        <w:tab/>
        <w:t>14.</w:t>
      </w:r>
      <w:r>
        <w:tab/>
      </w:r>
      <w:r w:rsidR="009B6B85">
        <w:t xml:space="preserve">Finally, the fourth session included a panel discussion, moderated by the Chair of the OECD Working Party on Chemical Accidents (Health and Safety Executive, United Kingdom). The panel included representatives of the </w:t>
      </w:r>
      <w:r w:rsidR="009B6B85" w:rsidRPr="00DE69D1">
        <w:t>European Commission</w:t>
      </w:r>
      <w:r w:rsidR="009B6B85">
        <w:t xml:space="preserve"> (</w:t>
      </w:r>
      <w:r w:rsidR="009B6B85" w:rsidRPr="00DE69D1">
        <w:t>Directorate General Environment</w:t>
      </w:r>
      <w:r w:rsidR="009B6B85">
        <w:t xml:space="preserve">), </w:t>
      </w:r>
      <w:r w:rsidR="009B6B85" w:rsidRPr="004733AA">
        <w:t xml:space="preserve">France </w:t>
      </w:r>
      <w:r w:rsidR="009B6B85">
        <w:t>(</w:t>
      </w:r>
      <w:r w:rsidR="009B6B85" w:rsidRPr="004733AA">
        <w:t>Ministry of Ecological Transition</w:t>
      </w:r>
      <w:r w:rsidR="009B6B85">
        <w:t xml:space="preserve">), Canada (Transport Canada), Russian Federation (EMERCOM) and industry (Fertilizers Europe). It covered how regional and national regulations on managing the risks of AN and AN-based fertilizers were updated </w:t>
      </w:r>
      <w:r w:rsidR="00270456">
        <w:t xml:space="preserve">to </w:t>
      </w:r>
      <w:r w:rsidR="009B6B85">
        <w:t>tak</w:t>
      </w:r>
      <w:r w:rsidR="00270456">
        <w:t>e</w:t>
      </w:r>
      <w:r w:rsidR="009B6B85">
        <w:t xml:space="preserve"> account </w:t>
      </w:r>
      <w:r w:rsidR="00270456">
        <w:t xml:space="preserve">of </w:t>
      </w:r>
      <w:r w:rsidR="009B6B85">
        <w:t>past accidents, and how the</w:t>
      </w:r>
      <w:r w:rsidR="007852DB">
        <w:t xml:space="preserve"> regulations</w:t>
      </w:r>
      <w:r w:rsidR="009B6B85">
        <w:t xml:space="preserve"> are implemented in practice.</w:t>
      </w:r>
    </w:p>
    <w:p w14:paraId="7B812A65" w14:textId="4AC2A3E3" w:rsidR="00516854" w:rsidRPr="00546EE0" w:rsidRDefault="00516854" w:rsidP="00D13662">
      <w:pPr>
        <w:pStyle w:val="HChG"/>
        <w:keepNext w:val="0"/>
        <w:keepLines w:val="0"/>
      </w:pPr>
      <w:r>
        <w:tab/>
      </w:r>
      <w:r w:rsidR="00432FBF">
        <w:t>II</w:t>
      </w:r>
      <w:r w:rsidR="00F9488E">
        <w:t>.</w:t>
      </w:r>
      <w:r>
        <w:tab/>
      </w:r>
      <w:r w:rsidRPr="00546EE0">
        <w:t>Mandate and organization</w:t>
      </w:r>
    </w:p>
    <w:p w14:paraId="25446DF6" w14:textId="2E5FF4E2" w:rsidR="00516854" w:rsidRDefault="00BB100E" w:rsidP="00516854">
      <w:pPr>
        <w:pStyle w:val="SingleTxtG"/>
      </w:pPr>
      <w:r>
        <w:tab/>
        <w:t>15.</w:t>
      </w:r>
      <w:r>
        <w:tab/>
      </w:r>
      <w:r w:rsidR="00516854">
        <w:t xml:space="preserve">The decision to organize the seminar was taken following a proposal by the European Union at the eleventh meeting of the Conference of the Parties to the UNECE Industrial Accidents Convention (Geneva and online, 7-9 December 2020). The UNECE secretariat, in cooperation with the Convention’s Bureau, developed a proposal for the seminar and subsequently agreed to establish an Organizing Committee involving other international organizations and an Advisory Group for the preparation of the seminar. </w:t>
      </w:r>
    </w:p>
    <w:p w14:paraId="4D3B4737" w14:textId="390427C8" w:rsidR="00516854" w:rsidRDefault="00BB100E" w:rsidP="00516854">
      <w:pPr>
        <w:pStyle w:val="SingleTxtG"/>
      </w:pPr>
      <w:r>
        <w:tab/>
        <w:t>16.</w:t>
      </w:r>
      <w:r>
        <w:tab/>
      </w:r>
      <w:r w:rsidR="00516854">
        <w:t>The Organizing Committee included</w:t>
      </w:r>
      <w:r w:rsidR="00516854" w:rsidRPr="005012F1">
        <w:t xml:space="preserve"> </w:t>
      </w:r>
      <w:r w:rsidR="00516854">
        <w:t>UNECE (secretariats to the Industrial Accidents Convention and to the Sub-Committees of Experts on the Transport of Dangerous Goods (TDG) and on the Globally Harmonized System of Classification and Labelling of Chemicals (GHS)), in cooperation with OECD, ILO, IMO, UNEP/OCHA Joint Environment Unit and UNDRR Regional Office for Arab States. Each organization</w:t>
      </w:r>
      <w:r w:rsidR="00792BC8">
        <w:t xml:space="preserve"> administrates </w:t>
      </w:r>
      <w:r w:rsidR="00516854">
        <w:t xml:space="preserve">international instruments, recommendations and/or mechanisms </w:t>
      </w:r>
      <w:proofErr w:type="gramStart"/>
      <w:r w:rsidR="00516854">
        <w:t>o</w:t>
      </w:r>
      <w:r w:rsidR="00792BC8">
        <w:t>n</w:t>
      </w:r>
      <w:r w:rsidR="00516854">
        <w:t>:</w:t>
      </w:r>
      <w:proofErr w:type="gramEnd"/>
      <w:r w:rsidR="00516854">
        <w:t xml:space="preserve"> the storage, handling and transport of hazardous substances, including AN and AN-based fertilizers; related accident prevention, preparedness and response; or disaster risk reduction more generally. The Committee met twice and prepared a concept note, </w:t>
      </w:r>
      <w:r w:rsidR="00D03C7F">
        <w:t xml:space="preserve">a </w:t>
      </w:r>
      <w:r w:rsidR="00516854">
        <w:t xml:space="preserve">preceding survey, </w:t>
      </w:r>
      <w:r w:rsidR="00D03C7F">
        <w:t xml:space="preserve">the </w:t>
      </w:r>
      <w:proofErr w:type="gramStart"/>
      <w:r w:rsidR="00516854">
        <w:t>agenda</w:t>
      </w:r>
      <w:proofErr w:type="gramEnd"/>
      <w:r w:rsidR="00516854">
        <w:t xml:space="preserve"> and the present document. T</w:t>
      </w:r>
      <w:r w:rsidR="00516854" w:rsidRPr="00EF6E8D">
        <w:t xml:space="preserve">he </w:t>
      </w:r>
      <w:r w:rsidR="00516854">
        <w:t>organization</w:t>
      </w:r>
      <w:r w:rsidR="00050572">
        <w:t xml:space="preserve"> of the</w:t>
      </w:r>
      <w:r w:rsidR="00516854">
        <w:t xml:space="preserve"> </w:t>
      </w:r>
      <w:r w:rsidR="00050572" w:rsidRPr="00EF6E8D">
        <w:t>seminar</w:t>
      </w:r>
      <w:r w:rsidR="00050572">
        <w:t xml:space="preserve"> </w:t>
      </w:r>
      <w:r w:rsidR="00516854">
        <w:t>was led by UNECE</w:t>
      </w:r>
      <w:r w:rsidR="00516854" w:rsidRPr="00EF6E8D">
        <w:t>.</w:t>
      </w:r>
    </w:p>
    <w:p w14:paraId="7627E271" w14:textId="16691AE6" w:rsidR="00516854" w:rsidRDefault="00BB100E" w:rsidP="00516854">
      <w:pPr>
        <w:pStyle w:val="SingleTxtG"/>
      </w:pPr>
      <w:r>
        <w:tab/>
        <w:t>17.</w:t>
      </w:r>
      <w:r>
        <w:tab/>
      </w:r>
      <w:r w:rsidR="00516854">
        <w:t xml:space="preserve">The Advisory Group comprised experts from 11 countries (Austria, Canada, Germany, France, Latvia, the Netherlands, Norway, Sweden, Switzerland, the United </w:t>
      </w:r>
      <w:proofErr w:type="gramStart"/>
      <w:r w:rsidR="00516854">
        <w:t>Kingdom</w:t>
      </w:r>
      <w:proofErr w:type="gramEnd"/>
      <w:r w:rsidR="00516854">
        <w:t xml:space="preserve"> and the United States) and the European Union Joint Research Centre</w:t>
      </w:r>
      <w:r w:rsidR="005E2E48">
        <w:t>. The experts</w:t>
      </w:r>
      <w:r w:rsidR="00516854">
        <w:t xml:space="preserve"> </w:t>
      </w:r>
      <w:r w:rsidR="00103C51">
        <w:t xml:space="preserve">were </w:t>
      </w:r>
      <w:r w:rsidR="00516854">
        <w:t xml:space="preserve">nominated </w:t>
      </w:r>
      <w:r w:rsidR="00103C51">
        <w:t>by</w:t>
      </w:r>
      <w:r w:rsidR="00516854">
        <w:t xml:space="preserve"> the Bureaux </w:t>
      </w:r>
      <w:r w:rsidR="00D45FCA">
        <w:t>of</w:t>
      </w:r>
      <w:r w:rsidR="00516854">
        <w:t xml:space="preserve"> the Industrial Accidents Convention and OECD Working Party on Chemical Accidents and communicated </w:t>
      </w:r>
      <w:r w:rsidR="00B50E1B">
        <w:t>to</w:t>
      </w:r>
      <w:r w:rsidR="00516854">
        <w:t xml:space="preserve"> the Sub-Committees of Experts on TDG and GHS. It also included contributions from representatives of 4 industry associations (</w:t>
      </w:r>
      <w:r w:rsidR="004B7170">
        <w:t>A</w:t>
      </w:r>
      <w:r w:rsidR="00461AA2">
        <w:t>EISG</w:t>
      </w:r>
      <w:r w:rsidR="00516854">
        <w:t xml:space="preserve">; Fertilizers Europe; </w:t>
      </w:r>
      <w:r w:rsidR="00461AA2">
        <w:t>IME</w:t>
      </w:r>
      <w:r w:rsidR="00516854">
        <w:t>; Responsible Packaging Management Association of Southern Africa</w:t>
      </w:r>
      <w:r w:rsidR="00461AA2">
        <w:t xml:space="preserve"> (RPMASA</w:t>
      </w:r>
      <w:r w:rsidR="00516854">
        <w:t xml:space="preserve">) as observers. The </w:t>
      </w:r>
      <w:r w:rsidR="007A4429">
        <w:t>G</w:t>
      </w:r>
      <w:r w:rsidR="00516854">
        <w:t xml:space="preserve">roup met twice to </w:t>
      </w:r>
      <w:r w:rsidR="00924E3C">
        <w:t>organize</w:t>
      </w:r>
      <w:r w:rsidR="00516854">
        <w:t xml:space="preserve"> the seminar and to guide the Organizing Committee.</w:t>
      </w:r>
    </w:p>
    <w:p w14:paraId="7327049B" w14:textId="24CAB67C" w:rsidR="00516854" w:rsidRDefault="00BB100E" w:rsidP="00516854">
      <w:pPr>
        <w:pStyle w:val="SingleTxtG"/>
      </w:pPr>
      <w:r>
        <w:tab/>
        <w:t>18.</w:t>
      </w:r>
      <w:r>
        <w:tab/>
      </w:r>
      <w:r w:rsidR="00516854">
        <w:t xml:space="preserve">The global seminar was held online on 14 December 2021 with Arabic, English, French, Russian and Spanish interpretation. It was made possible thanks to financial contributions from the </w:t>
      </w:r>
      <w:r w:rsidR="00516854" w:rsidRPr="00187587">
        <w:t xml:space="preserve">French Ministry for Ecological Transition and </w:t>
      </w:r>
      <w:r w:rsidR="00AC5453">
        <w:t xml:space="preserve">the </w:t>
      </w:r>
      <w:r w:rsidR="00516854" w:rsidRPr="00187587">
        <w:t xml:space="preserve">German Federal Ministry of the Environment, Nature Conservation </w:t>
      </w:r>
      <w:r w:rsidR="008B60C8">
        <w:t>and</w:t>
      </w:r>
      <w:r w:rsidR="00516854" w:rsidRPr="00187587">
        <w:t xml:space="preserve"> Nuclear Safety</w:t>
      </w:r>
      <w:r w:rsidR="00516854">
        <w:t>.</w:t>
      </w:r>
    </w:p>
    <w:p w14:paraId="30EA9BC1" w14:textId="7DCE2E09" w:rsidR="00C7704D" w:rsidRPr="00546EE0" w:rsidRDefault="00C7704D" w:rsidP="00D13662">
      <w:pPr>
        <w:pStyle w:val="HChG"/>
        <w:keepNext w:val="0"/>
        <w:keepLines w:val="0"/>
      </w:pPr>
      <w:r>
        <w:tab/>
      </w:r>
      <w:r w:rsidR="000D7EA1">
        <w:t>III.</w:t>
      </w:r>
      <w:r>
        <w:tab/>
      </w:r>
      <w:r w:rsidRPr="00546EE0">
        <w:t>Results of the survey</w:t>
      </w:r>
    </w:p>
    <w:p w14:paraId="336600A6" w14:textId="5735FFF7" w:rsidR="00C7704D" w:rsidRDefault="00BB100E" w:rsidP="00C7704D">
      <w:pPr>
        <w:pStyle w:val="SingleTxtG"/>
      </w:pPr>
      <w:r>
        <w:tab/>
        <w:t>19.</w:t>
      </w:r>
      <w:r>
        <w:tab/>
      </w:r>
      <w:r w:rsidR="00AE29B9">
        <w:t>Prior to</w:t>
      </w:r>
      <w:r w:rsidR="00C7704D">
        <w:t xml:space="preserve"> the seminar, the Organizing Committee, under UNECE’s leadership, with feedback from the Advisory Group, developed a joint UN/OECD survey </w:t>
      </w:r>
      <w:r w:rsidR="0088787C">
        <w:t>on</w:t>
      </w:r>
      <w:r w:rsidR="00C7704D">
        <w:t xml:space="preserve">: lessons learned from the Beirut port explosion and other accidents involving AN or AN-based fertilizers; the legal and regulatory framework for managing risks of AN; and challenges and suggestions </w:t>
      </w:r>
      <w:r w:rsidR="008A3FA4">
        <w:t>for</w:t>
      </w:r>
      <w:r w:rsidR="00C7704D">
        <w:t xml:space="preserve"> enhancing AN risk management. The survey, in Arabic, English, French, Russian and Spanish, was distributed by UNECE (secretariats to the Industrial Accidents Convention, TDG and GHS), IMO, OECD, UNDRR Regional Office for Arab States, </w:t>
      </w:r>
      <w:r w:rsidR="00CC6CB7">
        <w:t>and</w:t>
      </w:r>
      <w:r w:rsidR="00C7704D">
        <w:t xml:space="preserve"> European Union Joint Research Centre.</w:t>
      </w:r>
    </w:p>
    <w:p w14:paraId="6B33A95C" w14:textId="3EB4DDC9" w:rsidR="00C7704D" w:rsidRDefault="00BB100E" w:rsidP="00C7704D">
      <w:pPr>
        <w:pStyle w:val="SingleTxtG"/>
      </w:pPr>
      <w:r>
        <w:lastRenderedPageBreak/>
        <w:tab/>
        <w:t>20.</w:t>
      </w:r>
      <w:r>
        <w:tab/>
      </w:r>
      <w:r w:rsidR="00167300">
        <w:t>One-hundred-and-one</w:t>
      </w:r>
      <w:r w:rsidR="00C7704D">
        <w:t xml:space="preserve"> responses were received from 43 countries of all UN regions and totalled to over 600 pages of data. UNECE synthesized the responses per question and then analysed them. </w:t>
      </w:r>
      <w:r w:rsidR="00997EFA">
        <w:t>S</w:t>
      </w:r>
      <w:r w:rsidR="00C7704D">
        <w:t xml:space="preserve">everal </w:t>
      </w:r>
      <w:r w:rsidR="00C7704D" w:rsidRPr="009E70C1">
        <w:t xml:space="preserve">key areas of concern </w:t>
      </w:r>
      <w:r w:rsidR="008C2406">
        <w:t xml:space="preserve">were found </w:t>
      </w:r>
      <w:r w:rsidR="00997EFA">
        <w:t>on</w:t>
      </w:r>
      <w:r w:rsidR="00C7704D" w:rsidRPr="009E70C1">
        <w:t xml:space="preserve"> AN: classification, coordination amo</w:t>
      </w:r>
      <w:r w:rsidR="008C2406">
        <w:t>ng</w:t>
      </w:r>
      <w:r w:rsidR="00C7704D" w:rsidRPr="009E70C1">
        <w:t xml:space="preserve"> authorities, port management, safe storage and transport, land-use planning, inspections, public </w:t>
      </w:r>
      <w:proofErr w:type="gramStart"/>
      <w:r w:rsidR="00C7704D" w:rsidRPr="009E70C1">
        <w:t>information</w:t>
      </w:r>
      <w:proofErr w:type="gramEnd"/>
      <w:r w:rsidR="00C7704D" w:rsidRPr="009E70C1">
        <w:t xml:space="preserve"> and security.</w:t>
      </w:r>
      <w:r w:rsidR="00F61B5E">
        <w:rPr>
          <w:rStyle w:val="FootnoteReference"/>
        </w:rPr>
        <w:footnoteReference w:customMarkFollows="1" w:id="4"/>
        <w:t>2</w:t>
      </w:r>
      <w:r w:rsidR="00C7704D" w:rsidRPr="009E70C1">
        <w:t xml:space="preserve"> </w:t>
      </w:r>
      <w:r w:rsidR="00C7704D">
        <w:t>Below are summaries of some of the significant findings:</w:t>
      </w:r>
    </w:p>
    <w:p w14:paraId="7165D19D" w14:textId="30B9DCC7" w:rsidR="00544A75" w:rsidRPr="008B5FA8" w:rsidRDefault="00BB100E" w:rsidP="00BB100E">
      <w:pPr>
        <w:pStyle w:val="SingleTxtG"/>
        <w:ind w:left="1701"/>
      </w:pPr>
      <w:r>
        <w:tab/>
        <w:t>(a)</w:t>
      </w:r>
      <w:r>
        <w:tab/>
      </w:r>
      <w:r w:rsidR="00544A75" w:rsidRPr="008B5FA8">
        <w:t>The Beirut port explosion prompted many</w:t>
      </w:r>
      <w:r w:rsidR="00544A75">
        <w:t xml:space="preserve"> governments to take </w:t>
      </w:r>
      <w:r w:rsidR="00122C1C">
        <w:t xml:space="preserve">national </w:t>
      </w:r>
      <w:r w:rsidR="00544A75">
        <w:t>actions, including heightened site inspections to ensure compliance with laws and regulations, reviews of laws and regulations</w:t>
      </w:r>
      <w:r w:rsidR="000F5D6C">
        <w:t>,</w:t>
      </w:r>
      <w:r w:rsidR="00544A75">
        <w:t xml:space="preserve"> and awareness</w:t>
      </w:r>
      <w:r w:rsidR="00C7327D">
        <w:t>-</w:t>
      </w:r>
      <w:r w:rsidR="00544A75">
        <w:t>raising through media and expert dialogues.</w:t>
      </w:r>
    </w:p>
    <w:p w14:paraId="6A27767C" w14:textId="6EFD22FB" w:rsidR="00544A75" w:rsidRDefault="00BB100E" w:rsidP="00BB100E">
      <w:pPr>
        <w:pStyle w:val="SingleTxtG"/>
        <w:ind w:left="1701"/>
      </w:pPr>
      <w:r>
        <w:tab/>
        <w:t>(b)</w:t>
      </w:r>
      <w:r>
        <w:tab/>
      </w:r>
      <w:r w:rsidR="00544A75">
        <w:t xml:space="preserve">Most countries apply multiple international instruments and have national legislation and regulations that address hazardous substances, including AN; relevant rules were reported </w:t>
      </w:r>
      <w:r w:rsidR="0062657E">
        <w:t>in</w:t>
      </w:r>
      <w:r w:rsidR="00544A75">
        <w:t xml:space="preserve"> customs, economic</w:t>
      </w:r>
      <w:r w:rsidR="0062657E">
        <w:t>s</w:t>
      </w:r>
      <w:r w:rsidR="00544A75">
        <w:t xml:space="preserve">, environment, occupational safety and health, port, security, </w:t>
      </w:r>
      <w:proofErr w:type="gramStart"/>
      <w:r w:rsidR="00544A75">
        <w:t>trade</w:t>
      </w:r>
      <w:proofErr w:type="gramEnd"/>
      <w:r w:rsidR="00544A75">
        <w:t xml:space="preserve"> and transport law, and </w:t>
      </w:r>
      <w:r w:rsidR="003C0E48">
        <w:t>in</w:t>
      </w:r>
      <w:r w:rsidR="00544A75">
        <w:t xml:space="preserve"> building and fire codes.</w:t>
      </w:r>
    </w:p>
    <w:p w14:paraId="06F95608" w14:textId="0E12E378" w:rsidR="00544A75" w:rsidRDefault="00BB100E" w:rsidP="00BB100E">
      <w:pPr>
        <w:pStyle w:val="SingleTxtG"/>
        <w:ind w:left="1701"/>
      </w:pPr>
      <w:r>
        <w:tab/>
        <w:t>(c)</w:t>
      </w:r>
      <w:r>
        <w:tab/>
      </w:r>
      <w:r w:rsidR="00544A75">
        <w:t xml:space="preserve">Most countries have </w:t>
      </w:r>
      <w:r w:rsidR="00326018">
        <w:t xml:space="preserve">not </w:t>
      </w:r>
      <w:r w:rsidR="00544A75">
        <w:t>explicit</w:t>
      </w:r>
      <w:r w:rsidR="00326018">
        <w:t>ly</w:t>
      </w:r>
      <w:r w:rsidR="00544A75">
        <w:t xml:space="preserve"> defin</w:t>
      </w:r>
      <w:r w:rsidR="00326018">
        <w:t>ed</w:t>
      </w:r>
      <w:r w:rsidR="00544A75">
        <w:t xml:space="preserve"> </w:t>
      </w:r>
      <w:r w:rsidR="00772D71">
        <w:t>“</w:t>
      </w:r>
      <w:r w:rsidR="00544A75">
        <w:t>intermediate</w:t>
      </w:r>
      <w:r w:rsidR="00772D71">
        <w:t>”</w:t>
      </w:r>
      <w:r w:rsidR="00544A75">
        <w:t xml:space="preserve"> or </w:t>
      </w:r>
      <w:r>
        <w:t>“</w:t>
      </w:r>
      <w:r w:rsidR="00544A75">
        <w:t>temporary</w:t>
      </w:r>
      <w:r>
        <w:t>”</w:t>
      </w:r>
      <w:r w:rsidR="00544A75">
        <w:t xml:space="preserve"> storage; however, different rules and exclusions may apply to the storage of hazardous substances, including AN and AN-based fertilizers, depending on their properties and quantities, </w:t>
      </w:r>
      <w:proofErr w:type="gramStart"/>
      <w:r w:rsidR="00544A75">
        <w:t>location</w:t>
      </w:r>
      <w:proofErr w:type="gramEnd"/>
      <w:r w:rsidR="00544A75">
        <w:t xml:space="preserve"> and duration at a site. Some respondents identified the need to remove hazardous substances from port</w:t>
      </w:r>
      <w:r w:rsidR="006A249B">
        <w:t xml:space="preserve"> storage</w:t>
      </w:r>
      <w:r w:rsidR="00544A75">
        <w:t>s as soon as practicable</w:t>
      </w:r>
      <w:r w:rsidR="006A249B">
        <w:t>,</w:t>
      </w:r>
      <w:r w:rsidR="00544A75">
        <w:t xml:space="preserve"> and </w:t>
      </w:r>
      <w:r w:rsidR="00A01CF3">
        <w:t xml:space="preserve">rather, </w:t>
      </w:r>
      <w:r w:rsidR="00544A75">
        <w:t>deliv</w:t>
      </w:r>
      <w:r w:rsidR="00C00175">
        <w:t>e</w:t>
      </w:r>
      <w:r w:rsidR="00544A75">
        <w:t>r them to ports just before loading.</w:t>
      </w:r>
    </w:p>
    <w:p w14:paraId="2666225C" w14:textId="7ED0ED01" w:rsidR="00544A75" w:rsidRDefault="00BB100E" w:rsidP="00BB100E">
      <w:pPr>
        <w:pStyle w:val="SingleTxtG"/>
        <w:ind w:left="1701"/>
      </w:pPr>
      <w:r>
        <w:tab/>
        <w:t>(d)</w:t>
      </w:r>
      <w:r>
        <w:tab/>
      </w:r>
      <w:r w:rsidR="00544A75">
        <w:t>Respondents provided information on AN risk management in port areas:</w:t>
      </w:r>
    </w:p>
    <w:p w14:paraId="4C27023E" w14:textId="201FA6EE" w:rsidR="00125C60" w:rsidRDefault="005B77FD" w:rsidP="005B77FD">
      <w:pPr>
        <w:pStyle w:val="Bullet2G"/>
        <w:numPr>
          <w:ilvl w:val="0"/>
          <w:numId w:val="0"/>
        </w:numPr>
        <w:ind w:left="2268"/>
      </w:pPr>
      <w:r>
        <w:t>(</w:t>
      </w:r>
      <w:proofErr w:type="spellStart"/>
      <w:r>
        <w:t>i</w:t>
      </w:r>
      <w:proofErr w:type="spellEnd"/>
      <w:r>
        <w:t>)</w:t>
      </w:r>
      <w:r>
        <w:tab/>
      </w:r>
      <w:r w:rsidR="009411B7">
        <w:t>G</w:t>
      </w:r>
      <w:r w:rsidR="00125C60">
        <w:t>ood practices included to limit quantities of AN and AN-based fertilizers per vessel, to have water and pumping facilities near loading docks, to ensure port workers are aware of risks and regulations</w:t>
      </w:r>
      <w:r w:rsidR="00BD598F">
        <w:t>,</w:t>
      </w:r>
      <w:r w:rsidR="00125C60">
        <w:t xml:space="preserve"> and to conduct preventative checks and regular </w:t>
      </w:r>
      <w:proofErr w:type="gramStart"/>
      <w:r w:rsidR="00125C60">
        <w:t>training</w:t>
      </w:r>
      <w:r w:rsidR="00683E70">
        <w:t>;</w:t>
      </w:r>
      <w:proofErr w:type="gramEnd"/>
    </w:p>
    <w:p w14:paraId="0F8DE03D" w14:textId="634A0114" w:rsidR="00125C60" w:rsidRDefault="005B77FD" w:rsidP="005B77FD">
      <w:pPr>
        <w:pStyle w:val="Bullet2G"/>
        <w:numPr>
          <w:ilvl w:val="0"/>
          <w:numId w:val="0"/>
        </w:numPr>
        <w:ind w:left="2268"/>
      </w:pPr>
      <w:r>
        <w:t>(ii)</w:t>
      </w:r>
      <w:r>
        <w:tab/>
      </w:r>
      <w:r w:rsidR="009A44E5">
        <w:t>L</w:t>
      </w:r>
      <w:r w:rsidR="00125C60">
        <w:t>essons learned were the need</w:t>
      </w:r>
      <w:r w:rsidR="00C40BB5">
        <w:t>:</w:t>
      </w:r>
      <w:r w:rsidR="00125C60">
        <w:t xml:space="preserve"> to ensure sufficient information was provided </w:t>
      </w:r>
      <w:r w:rsidR="000A4777">
        <w:t>on</w:t>
      </w:r>
      <w:r w:rsidR="00125C60">
        <w:t xml:space="preserve"> dangerous goods, for companies to </w:t>
      </w:r>
      <w:r w:rsidR="00125C60">
        <w:rPr>
          <w:rFonts w:hint="eastAsia"/>
        </w:rPr>
        <w:t xml:space="preserve">have </w:t>
      </w:r>
      <w:r w:rsidR="00C40BB5">
        <w:t xml:space="preserve">their own </w:t>
      </w:r>
      <w:r w:rsidR="00125C60">
        <w:rPr>
          <w:rFonts w:hint="eastAsia"/>
        </w:rPr>
        <w:t xml:space="preserve">emergency response teams </w:t>
      </w:r>
      <w:r w:rsidR="00C40BB5">
        <w:t>that did</w:t>
      </w:r>
      <w:r w:rsidR="00125C60">
        <w:t xml:space="preserve"> </w:t>
      </w:r>
      <w:r w:rsidR="00125C60">
        <w:rPr>
          <w:rFonts w:hint="eastAsia"/>
        </w:rPr>
        <w:t>not rely only on firefighters</w:t>
      </w:r>
      <w:r w:rsidR="001913F9">
        <w:t>,</w:t>
      </w:r>
      <w:r w:rsidR="00125C60">
        <w:t xml:space="preserve"> and </w:t>
      </w:r>
      <w:r w:rsidR="001913F9">
        <w:t>for</w:t>
      </w:r>
      <w:r w:rsidR="00125C60">
        <w:t xml:space="preserve"> d</w:t>
      </w:r>
      <w:r w:rsidR="00125C60">
        <w:rPr>
          <w:rFonts w:hint="eastAsia"/>
        </w:rPr>
        <w:t>ifferent industries us</w:t>
      </w:r>
      <w:r w:rsidR="00125C60">
        <w:t>ing</w:t>
      </w:r>
      <w:r w:rsidR="00125C60">
        <w:rPr>
          <w:rFonts w:hint="eastAsia"/>
        </w:rPr>
        <w:t xml:space="preserve"> AN </w:t>
      </w:r>
      <w:r w:rsidR="00125C60">
        <w:t xml:space="preserve">and AN-based fertilizers </w:t>
      </w:r>
      <w:r w:rsidR="001913F9">
        <w:t xml:space="preserve">to </w:t>
      </w:r>
      <w:r w:rsidR="00125C60">
        <w:rPr>
          <w:rFonts w:hint="eastAsia"/>
        </w:rPr>
        <w:t xml:space="preserve">have </w:t>
      </w:r>
      <w:r w:rsidR="00125C60">
        <w:t>the speci</w:t>
      </w:r>
      <w:r w:rsidR="007A630C">
        <w:t>alized</w:t>
      </w:r>
      <w:r w:rsidR="00851D58">
        <w:t>,</w:t>
      </w:r>
      <w:r w:rsidR="00125C60">
        <w:t xml:space="preserve"> </w:t>
      </w:r>
      <w:r w:rsidR="00125C60">
        <w:rPr>
          <w:rFonts w:hint="eastAsia"/>
        </w:rPr>
        <w:t>technical knowledg</w:t>
      </w:r>
      <w:r w:rsidR="00125C60">
        <w:t xml:space="preserve">e </w:t>
      </w:r>
      <w:r w:rsidR="00851D58">
        <w:t xml:space="preserve">as </w:t>
      </w:r>
      <w:proofErr w:type="gramStart"/>
      <w:r w:rsidR="00125C60">
        <w:t>required</w:t>
      </w:r>
      <w:r w:rsidR="00683E70">
        <w:t>;</w:t>
      </w:r>
      <w:proofErr w:type="gramEnd"/>
    </w:p>
    <w:p w14:paraId="50E04439" w14:textId="39C448B6" w:rsidR="00125C60" w:rsidRDefault="005B77FD" w:rsidP="005B77FD">
      <w:pPr>
        <w:pStyle w:val="Bullet2G"/>
        <w:numPr>
          <w:ilvl w:val="0"/>
          <w:numId w:val="0"/>
        </w:numPr>
        <w:ind w:left="2268"/>
      </w:pPr>
      <w:r>
        <w:t>(iii)</w:t>
      </w:r>
      <w:r>
        <w:tab/>
      </w:r>
      <w:r w:rsidR="00A74965">
        <w:t>C</w:t>
      </w:r>
      <w:r w:rsidR="00125C60">
        <w:t>hallenges entailed</w:t>
      </w:r>
      <w:r w:rsidR="00BB29A4">
        <w:t>:</w:t>
      </w:r>
      <w:r w:rsidR="00125C60">
        <w:t xml:space="preserve"> a</w:t>
      </w:r>
      <w:r w:rsidR="00125C60">
        <w:rPr>
          <w:rFonts w:hint="eastAsia"/>
        </w:rPr>
        <w:t>ssess</w:t>
      </w:r>
      <w:r w:rsidR="00125C60">
        <w:t>ing</w:t>
      </w:r>
      <w:r w:rsidR="00125C60">
        <w:rPr>
          <w:rFonts w:hint="eastAsia"/>
        </w:rPr>
        <w:t xml:space="preserve"> why AN</w:t>
      </w:r>
      <w:r w:rsidR="00125C60">
        <w:t xml:space="preserve"> and AN-based fertilizers</w:t>
      </w:r>
      <w:r w:rsidR="00125C60">
        <w:rPr>
          <w:rFonts w:hint="eastAsia"/>
        </w:rPr>
        <w:t xml:space="preserve"> detonate in some situations but not </w:t>
      </w:r>
      <w:r w:rsidR="007832BC">
        <w:t xml:space="preserve">in </w:t>
      </w:r>
      <w:r w:rsidR="00125C60">
        <w:rPr>
          <w:rFonts w:hint="eastAsia"/>
        </w:rPr>
        <w:t>others</w:t>
      </w:r>
      <w:r w:rsidR="00125C60">
        <w:t xml:space="preserve">, managing </w:t>
      </w:r>
      <w:r w:rsidR="00125C60">
        <w:rPr>
          <w:rFonts w:hint="eastAsia"/>
        </w:rPr>
        <w:t>AN residue from loading areas in ports or customs areas</w:t>
      </w:r>
      <w:r w:rsidR="00125C60">
        <w:t>, building worker</w:t>
      </w:r>
      <w:r w:rsidR="00125C60">
        <w:rPr>
          <w:rFonts w:hint="eastAsia"/>
        </w:rPr>
        <w:t>s</w:t>
      </w:r>
      <w:r w:rsidR="00BB29A4">
        <w:t>’</w:t>
      </w:r>
      <w:r w:rsidR="00125C60">
        <w:rPr>
          <w:rFonts w:hint="eastAsia"/>
        </w:rPr>
        <w:t xml:space="preserve"> technical capacitie</w:t>
      </w:r>
      <w:r w:rsidR="00125C60">
        <w:t>s</w:t>
      </w:r>
      <w:r w:rsidR="00D035F2">
        <w:t>,</w:t>
      </w:r>
      <w:r w:rsidR="00125C60">
        <w:t xml:space="preserve"> and i</w:t>
      </w:r>
      <w:r w:rsidR="00125C60">
        <w:rPr>
          <w:rFonts w:hint="eastAsia"/>
        </w:rPr>
        <w:t>mprov</w:t>
      </w:r>
      <w:r w:rsidR="00125C60">
        <w:t>ing</w:t>
      </w:r>
      <w:r w:rsidR="00125C60">
        <w:rPr>
          <w:rFonts w:hint="eastAsia"/>
        </w:rPr>
        <w:t xml:space="preserve"> </w:t>
      </w:r>
      <w:r w:rsidR="00125C60">
        <w:t>the labelling</w:t>
      </w:r>
      <w:r w:rsidR="00125C60">
        <w:rPr>
          <w:rFonts w:hint="eastAsia"/>
        </w:rPr>
        <w:t xml:space="preserve"> of containers holding hazardous substance</w:t>
      </w:r>
      <w:r w:rsidR="00125C60">
        <w:t>.</w:t>
      </w:r>
    </w:p>
    <w:p w14:paraId="65791308" w14:textId="4C55B036" w:rsidR="00F71055" w:rsidRDefault="00BB100E" w:rsidP="00BB100E">
      <w:pPr>
        <w:pStyle w:val="SingleTxtG"/>
        <w:ind w:left="1701"/>
      </w:pPr>
      <w:r>
        <w:tab/>
        <w:t>(e)</w:t>
      </w:r>
      <w:r>
        <w:tab/>
      </w:r>
      <w:r w:rsidR="00F71055">
        <w:t xml:space="preserve">Most countries </w:t>
      </w:r>
      <w:r w:rsidR="004C32D3">
        <w:t>apply</w:t>
      </w:r>
      <w:r w:rsidR="00F71055">
        <w:t xml:space="preserve"> international</w:t>
      </w:r>
      <w:r w:rsidR="00F71055" w:rsidRPr="009E70C1">
        <w:t xml:space="preserve"> classification and labelling standards</w:t>
      </w:r>
      <w:r w:rsidR="00F71055">
        <w:t xml:space="preserve">; </w:t>
      </w:r>
      <w:r w:rsidR="00BB06AD">
        <w:t>however</w:t>
      </w:r>
      <w:r w:rsidR="001C5C29">
        <w:t>,</w:t>
      </w:r>
      <w:r w:rsidR="00BB06AD">
        <w:t xml:space="preserve"> </w:t>
      </w:r>
      <w:r w:rsidR="00F71055">
        <w:t xml:space="preserve">knowledge </w:t>
      </w:r>
      <w:r w:rsidR="00BB06AD">
        <w:t>needs to be improved on</w:t>
      </w:r>
      <w:r w:rsidR="00F71055">
        <w:t xml:space="preserve"> the different types of AN mixtures and </w:t>
      </w:r>
      <w:r w:rsidR="004735C7">
        <w:t xml:space="preserve">on </w:t>
      </w:r>
      <w:r w:rsidR="00F71055">
        <w:t xml:space="preserve">their </w:t>
      </w:r>
      <w:r w:rsidR="00F71055" w:rsidRPr="009E70C1">
        <w:t>resistance to detonation</w:t>
      </w:r>
      <w:r w:rsidR="00F71055">
        <w:t xml:space="preserve">. Some respondents also emphasized the importance of safety data sheets </w:t>
      </w:r>
      <w:r w:rsidR="00125544">
        <w:t>when</w:t>
      </w:r>
      <w:r w:rsidR="00F71055">
        <w:t xml:space="preserve"> communicating </w:t>
      </w:r>
      <w:r w:rsidR="00125544">
        <w:t xml:space="preserve">the </w:t>
      </w:r>
      <w:r w:rsidR="00F71055">
        <w:t>information to others and the importance of inventory and traceability systems when storing and transporting hazardous substances.</w:t>
      </w:r>
    </w:p>
    <w:p w14:paraId="70DC08A6" w14:textId="5370AF52" w:rsidR="00F71055" w:rsidRDefault="00BB100E" w:rsidP="00BB100E">
      <w:pPr>
        <w:pStyle w:val="SingleTxtG"/>
        <w:ind w:left="1701"/>
      </w:pPr>
      <w:r>
        <w:tab/>
        <w:t>(f)</w:t>
      </w:r>
      <w:r>
        <w:tab/>
      </w:r>
      <w:r w:rsidR="00F71055">
        <w:t xml:space="preserve">Most countries have requirements for </w:t>
      </w:r>
      <w:r w:rsidR="00BC44FA">
        <w:t xml:space="preserve">the </w:t>
      </w:r>
      <w:r w:rsidR="00F71055">
        <w:t xml:space="preserve">training </w:t>
      </w:r>
      <w:r w:rsidR="00BC44FA">
        <w:t xml:space="preserve">of </w:t>
      </w:r>
      <w:r w:rsidR="00F71055">
        <w:t>workers at sites with hazardous substances and some have requirements for detailed training at major hazards facilities. Moreover, some countries have rules requiring t</w:t>
      </w:r>
      <w:r w:rsidR="0078030D">
        <w:t>he</w:t>
      </w:r>
      <w:r w:rsidR="00F71055">
        <w:t xml:space="preserve"> appoint</w:t>
      </w:r>
      <w:r w:rsidR="0078030D">
        <w:t>ment of</w:t>
      </w:r>
      <w:r w:rsidR="00F71055">
        <w:t xml:space="preserve"> a certified safety advisor who ensure</w:t>
      </w:r>
      <w:r w:rsidR="0078030D">
        <w:t>s</w:t>
      </w:r>
      <w:r w:rsidR="00F71055">
        <w:t xml:space="preserve"> safety and compliance with laws and regulations.</w:t>
      </w:r>
    </w:p>
    <w:p w14:paraId="4444B3FA" w14:textId="5C569710" w:rsidR="00F71055" w:rsidRDefault="00BB100E" w:rsidP="00BB100E">
      <w:pPr>
        <w:pStyle w:val="SingleTxtG"/>
        <w:ind w:left="1701"/>
      </w:pPr>
      <w:r>
        <w:tab/>
        <w:t>(g)</w:t>
      </w:r>
      <w:r>
        <w:tab/>
      </w:r>
      <w:r w:rsidR="00F71055">
        <w:t>Various authorities are in charge of</w:t>
      </w:r>
      <w:r w:rsidR="00F71055" w:rsidRPr="009E70C1">
        <w:t xml:space="preserve"> inspect</w:t>
      </w:r>
      <w:r w:rsidR="00F71055">
        <w:t xml:space="preserve">ions at the national, </w:t>
      </w:r>
      <w:r w:rsidR="00974ABF">
        <w:t>region</w:t>
      </w:r>
      <w:r w:rsidR="00F71055">
        <w:t>al and local levels;</w:t>
      </w:r>
      <w:r w:rsidR="00F71055" w:rsidRPr="009E70C1">
        <w:t xml:space="preserve"> inspection criteria</w:t>
      </w:r>
      <w:r w:rsidR="00F71055">
        <w:t xml:space="preserve"> (</w:t>
      </w:r>
      <w:proofErr w:type="gramStart"/>
      <w:r w:rsidR="00F71055">
        <w:t>e.g.</w:t>
      </w:r>
      <w:proofErr w:type="gramEnd"/>
      <w:r w:rsidR="00F71055">
        <w:t xml:space="preserve"> testing, stor</w:t>
      </w:r>
      <w:r w:rsidR="00D5391D">
        <w:t>age</w:t>
      </w:r>
      <w:r w:rsidR="00F71055">
        <w:t xml:space="preserve"> with other substances, safety distanc</w:t>
      </w:r>
      <w:r w:rsidR="007733C4">
        <w:t>es</w:t>
      </w:r>
      <w:r w:rsidR="00F71055">
        <w:t>, security seals) and frequency</w:t>
      </w:r>
      <w:r w:rsidR="00F71055" w:rsidRPr="009E70C1">
        <w:t xml:space="preserve"> need to be scrutinized, </w:t>
      </w:r>
      <w:r w:rsidR="007733C4">
        <w:t>particul</w:t>
      </w:r>
      <w:r w:rsidR="005A4811">
        <w:t>ar</w:t>
      </w:r>
      <w:r w:rsidR="00F71055" w:rsidRPr="009E70C1">
        <w:t xml:space="preserve">ly for storage sites </w:t>
      </w:r>
      <w:r w:rsidR="005A4811">
        <w:t>with</w:t>
      </w:r>
      <w:r w:rsidR="00F71055" w:rsidRPr="009E70C1">
        <w:t xml:space="preserve"> mass amounts or </w:t>
      </w:r>
      <w:r w:rsidR="00F71055">
        <w:t>multiple</w:t>
      </w:r>
      <w:r w:rsidR="00F71055" w:rsidRPr="009E70C1">
        <w:t xml:space="preserve"> hazardous substances. </w:t>
      </w:r>
    </w:p>
    <w:p w14:paraId="1AB95869" w14:textId="4BC31337" w:rsidR="00F71055" w:rsidRPr="00612156" w:rsidRDefault="00BB100E" w:rsidP="00BB100E">
      <w:pPr>
        <w:pStyle w:val="SingleTxtG"/>
        <w:ind w:left="1701"/>
      </w:pPr>
      <w:r>
        <w:lastRenderedPageBreak/>
        <w:tab/>
        <w:t>(h)</w:t>
      </w:r>
      <w:r>
        <w:tab/>
      </w:r>
      <w:r w:rsidR="00F71055" w:rsidRPr="00612156">
        <w:t xml:space="preserve">Rules on </w:t>
      </w:r>
      <w:r w:rsidR="00F71055">
        <w:t>land-use planning</w:t>
      </w:r>
      <w:r w:rsidR="00F71055" w:rsidRPr="00612156">
        <w:t>, siting and risk assessment commonly apply to the development of new hazard installation</w:t>
      </w:r>
      <w:r w:rsidR="00F71055">
        <w:t>s,</w:t>
      </w:r>
      <w:r w:rsidR="00F969E2">
        <w:rPr>
          <w:rStyle w:val="FootnoteReference"/>
        </w:rPr>
        <w:footnoteReference w:customMarkFollows="1" w:id="5"/>
        <w:t>3</w:t>
      </w:r>
      <w:r w:rsidR="00F71055" w:rsidRPr="00612156">
        <w:t xml:space="preserve"> modification of existing </w:t>
      </w:r>
      <w:r w:rsidR="00F71055">
        <w:t>ones</w:t>
      </w:r>
      <w:r w:rsidR="00F71055" w:rsidRPr="00612156">
        <w:t xml:space="preserve"> and/or when an installation is near a populated</w:t>
      </w:r>
      <w:r w:rsidR="00F71055">
        <w:t xml:space="preserve"> area. Recurring elements of these include z</w:t>
      </w:r>
      <w:r w:rsidR="00F71055" w:rsidRPr="00612156">
        <w:t xml:space="preserve">oning </w:t>
      </w:r>
      <w:r w:rsidR="00F71055">
        <w:t>to keep distance</w:t>
      </w:r>
      <w:r w:rsidR="00F71055" w:rsidRPr="00612156">
        <w:t xml:space="preserve"> from populat</w:t>
      </w:r>
      <w:r w:rsidR="00F71055">
        <w:t xml:space="preserve">ed areas, ensuring safety and </w:t>
      </w:r>
      <w:r w:rsidR="00F71055" w:rsidRPr="00612156">
        <w:t xml:space="preserve">notification of the </w:t>
      </w:r>
      <w:r w:rsidR="00BB6690">
        <w:t>adjoining population</w:t>
      </w:r>
      <w:r w:rsidR="00F71055">
        <w:t>, protecting nearby environments, distancing from explosives and security assessments.</w:t>
      </w:r>
    </w:p>
    <w:p w14:paraId="53817EC6" w14:textId="73AD09C7" w:rsidR="00F71055" w:rsidRDefault="00BB100E" w:rsidP="00BB100E">
      <w:pPr>
        <w:pStyle w:val="SingleTxtG"/>
        <w:ind w:left="1701"/>
      </w:pPr>
      <w:r>
        <w:tab/>
        <w:t>(</w:t>
      </w:r>
      <w:proofErr w:type="spellStart"/>
      <w:r>
        <w:t>i</w:t>
      </w:r>
      <w:proofErr w:type="spellEnd"/>
      <w:r>
        <w:t>)</w:t>
      </w:r>
      <w:r>
        <w:tab/>
      </w:r>
      <w:r w:rsidR="00F71055">
        <w:t xml:space="preserve">While many countries </w:t>
      </w:r>
      <w:r w:rsidR="009A60B6">
        <w:t>maintain</w:t>
      </w:r>
      <w:r w:rsidR="00F71055">
        <w:t xml:space="preserve"> national legislation on informing the public </w:t>
      </w:r>
      <w:r w:rsidR="00DA1DBB">
        <w:t>about</w:t>
      </w:r>
      <w:r w:rsidR="00F71055">
        <w:t xml:space="preserve"> hazardous installations and ensuring their participation in decision-making, some respondents reported that the public is not always aware of the hazards, </w:t>
      </w:r>
      <w:proofErr w:type="gramStart"/>
      <w:r w:rsidR="00F71055">
        <w:t>risks</w:t>
      </w:r>
      <w:proofErr w:type="gramEnd"/>
      <w:r w:rsidR="00F71055">
        <w:t xml:space="preserve"> and emergency plans of sites with AN and AN-based fertilizers. Security should be considered </w:t>
      </w:r>
      <w:r w:rsidR="00FB228A">
        <w:t>when</w:t>
      </w:r>
      <w:r w:rsidR="00F71055">
        <w:t xml:space="preserve"> providing public information. </w:t>
      </w:r>
    </w:p>
    <w:p w14:paraId="29E94879" w14:textId="3A8217F3" w:rsidR="00F71055" w:rsidRDefault="00BB100E" w:rsidP="00BB100E">
      <w:pPr>
        <w:pStyle w:val="SingleTxtG"/>
        <w:ind w:left="1701"/>
      </w:pPr>
      <w:r>
        <w:tab/>
        <w:t>(j)</w:t>
      </w:r>
      <w:r>
        <w:tab/>
      </w:r>
      <w:r w:rsidR="00FB228A">
        <w:t>At</w:t>
      </w:r>
      <w:r w:rsidR="00F71055">
        <w:t xml:space="preserve"> port areas, </w:t>
      </w:r>
      <w:r w:rsidR="00FB228A">
        <w:t xml:space="preserve">the </w:t>
      </w:r>
      <w:r w:rsidR="00F71055">
        <w:t xml:space="preserve">port authorities are often responsible for </w:t>
      </w:r>
      <w:r w:rsidR="00CD706B">
        <w:t xml:space="preserve">the </w:t>
      </w:r>
      <w:r w:rsidR="00F71055">
        <w:t>safe</w:t>
      </w:r>
      <w:r w:rsidR="00CD706B">
        <w:t xml:space="preserve"> </w:t>
      </w:r>
      <w:r w:rsidR="00F71055">
        <w:t xml:space="preserve">handling and transport of hazardous substances, including AN and AN-based fertilizers, and emergency preparedness. At manufacturing and storage sites, operators are responsible for ensuring </w:t>
      </w:r>
      <w:r w:rsidR="00384086">
        <w:t xml:space="preserve">the </w:t>
      </w:r>
      <w:r w:rsidR="00F71055">
        <w:t>safety of hazardous substances, including AN and AN-based fertilizers and for the preparation and activation of on-site contingency plans. Public authorities are responsible for off-site contingency plans, including inputs from the operators, surrounding communities and in consultation with the public (</w:t>
      </w:r>
      <w:r w:rsidR="00450CE8">
        <w:t xml:space="preserve">and </w:t>
      </w:r>
      <w:r w:rsidR="00F71055">
        <w:t xml:space="preserve">aligned with the on-site plan). Coordination and cooperation among all involved authorities, operators and communities is thus essential. </w:t>
      </w:r>
      <w:r w:rsidR="006E2682">
        <w:t>S</w:t>
      </w:r>
      <w:r w:rsidR="00F71055">
        <w:t xml:space="preserve">ometimes difficulties </w:t>
      </w:r>
      <w:r w:rsidR="006E2682">
        <w:t xml:space="preserve">arise when </w:t>
      </w:r>
      <w:r w:rsidR="00F71055">
        <w:t xml:space="preserve">communicating contingency plans to the </w:t>
      </w:r>
      <w:r w:rsidR="006E2682">
        <w:t>adjoining</w:t>
      </w:r>
      <w:r w:rsidR="00F71055">
        <w:t xml:space="preserve"> public</w:t>
      </w:r>
      <w:r w:rsidR="00540648">
        <w:t>,</w:t>
      </w:r>
      <w:r w:rsidR="00F71055">
        <w:t xml:space="preserve"> and in fully resourcing and testing them with all subjected stakeholders.</w:t>
      </w:r>
    </w:p>
    <w:p w14:paraId="758E1BED" w14:textId="771C92AC" w:rsidR="00F71055" w:rsidRPr="003A3397" w:rsidRDefault="00390B54" w:rsidP="00F71055">
      <w:pPr>
        <w:pStyle w:val="SingleTxtG"/>
      </w:pPr>
      <w:r>
        <w:t>21.</w:t>
      </w:r>
      <w:r>
        <w:tab/>
      </w:r>
      <w:r w:rsidR="00F71055">
        <w:t>These</w:t>
      </w:r>
      <w:r w:rsidR="004F1D6E" w:rsidRPr="004F1D6E">
        <w:t xml:space="preserve"> </w:t>
      </w:r>
      <w:r w:rsidR="004F1D6E">
        <w:t>findings</w:t>
      </w:r>
      <w:r w:rsidR="00F71055">
        <w:t xml:space="preserve">, </w:t>
      </w:r>
      <w:r w:rsidR="004F1D6E">
        <w:t>and</w:t>
      </w:r>
      <w:r w:rsidR="00F71055">
        <w:t xml:space="preserve"> other</w:t>
      </w:r>
      <w:r w:rsidR="004F1D6E">
        <w:t>s</w:t>
      </w:r>
      <w:r w:rsidR="00F71055">
        <w:t xml:space="preserve">, </w:t>
      </w:r>
      <w:r w:rsidR="005C08AB">
        <w:t xml:space="preserve">substantiated </w:t>
      </w:r>
      <w:r w:rsidR="00F71055">
        <w:t>the seminar agenda to cover specific experiences, lessons learned, good practices and challenges in managing the risks of hazardous substances, including AN and AN-based fertilizers. A summar</w:t>
      </w:r>
      <w:r w:rsidR="009E34D4">
        <w:t>y</w:t>
      </w:r>
      <w:r w:rsidR="00F71055">
        <w:t xml:space="preserve"> of the analysis of each survey question was presented at the seminar.</w:t>
      </w:r>
    </w:p>
    <w:p w14:paraId="572C0688" w14:textId="6E3A7DE7" w:rsidR="00545613" w:rsidRPr="00546EE0" w:rsidRDefault="00545613" w:rsidP="00D13662">
      <w:pPr>
        <w:pStyle w:val="HChG"/>
        <w:keepNext w:val="0"/>
        <w:keepLines w:val="0"/>
      </w:pPr>
      <w:r>
        <w:tab/>
      </w:r>
      <w:r w:rsidR="00A423FF">
        <w:t>IV.</w:t>
      </w:r>
      <w:r>
        <w:tab/>
      </w:r>
      <w:r w:rsidRPr="00546EE0">
        <w:t>Summary and conclusions</w:t>
      </w:r>
    </w:p>
    <w:p w14:paraId="4F0369EB" w14:textId="55A66A53" w:rsidR="00545613" w:rsidRPr="009F4FB4" w:rsidRDefault="000F0D45" w:rsidP="00545613">
      <w:pPr>
        <w:pStyle w:val="SingleTxtG"/>
      </w:pPr>
      <w:r>
        <w:tab/>
        <w:t>2</w:t>
      </w:r>
      <w:r w:rsidR="001162CE">
        <w:t>2</w:t>
      </w:r>
      <w:r>
        <w:t>.</w:t>
      </w:r>
      <w:r>
        <w:tab/>
      </w:r>
      <w:r w:rsidR="00545613">
        <w:t xml:space="preserve">This section summarizes important information presented at the seminar and highlights the </w:t>
      </w:r>
      <w:r w:rsidR="00545613" w:rsidRPr="00B51DF4">
        <w:rPr>
          <w:b/>
          <w:bCs/>
        </w:rPr>
        <w:t xml:space="preserve">conclusions </w:t>
      </w:r>
      <w:r w:rsidR="00545613">
        <w:t>(</w:t>
      </w:r>
      <w:r w:rsidR="00A40CBB">
        <w:t xml:space="preserve">in </w:t>
      </w:r>
      <w:r w:rsidR="00545613">
        <w:t xml:space="preserve">bold) drawn by the presenters, </w:t>
      </w:r>
      <w:proofErr w:type="gramStart"/>
      <w:r w:rsidR="00545613">
        <w:t>panellists</w:t>
      </w:r>
      <w:proofErr w:type="gramEnd"/>
      <w:r w:rsidR="00545613">
        <w:t xml:space="preserve"> and moderators, in response to the issues raised and discussed with the audience (including </w:t>
      </w:r>
      <w:r w:rsidR="00A377B2">
        <w:t xml:space="preserve">the </w:t>
      </w:r>
      <w:r w:rsidR="00545613">
        <w:t>chat</w:t>
      </w:r>
      <w:r w:rsidR="005C6BD8">
        <w:t xml:space="preserve"> platform</w:t>
      </w:r>
      <w:r w:rsidR="00545613">
        <w:t>).</w:t>
      </w:r>
    </w:p>
    <w:p w14:paraId="1F629A49" w14:textId="50908F39" w:rsidR="0052470B" w:rsidRPr="00B97B13" w:rsidRDefault="00FE5174" w:rsidP="00FE5174">
      <w:pPr>
        <w:pStyle w:val="H1G"/>
        <w:keepNext w:val="0"/>
        <w:keepLines w:val="0"/>
      </w:pPr>
      <w:r>
        <w:tab/>
        <w:t>A</w:t>
      </w:r>
      <w:r w:rsidR="000050D2">
        <w:t>.</w:t>
      </w:r>
      <w:r>
        <w:tab/>
      </w:r>
      <w:r w:rsidR="0052470B" w:rsidRPr="00B97B13">
        <w:t>International legal and policy instruments, industry guidance and good practice</w:t>
      </w:r>
    </w:p>
    <w:p w14:paraId="24C59865" w14:textId="1BE99C8B" w:rsidR="0052470B" w:rsidRDefault="000F0D45" w:rsidP="002E4E12">
      <w:pPr>
        <w:pStyle w:val="SingleTxtG"/>
      </w:pPr>
      <w:r>
        <w:tab/>
        <w:t>2</w:t>
      </w:r>
      <w:r w:rsidR="001162CE">
        <w:t>3</w:t>
      </w:r>
      <w:r>
        <w:t>.</w:t>
      </w:r>
      <w:r>
        <w:tab/>
      </w:r>
      <w:r w:rsidR="0052470B">
        <w:t xml:space="preserve">Many international and national legal and policy instruments, including recommendations, address the classification, testing, packaging, storage, </w:t>
      </w:r>
      <w:proofErr w:type="gramStart"/>
      <w:r w:rsidR="0052470B">
        <w:t>handling</w:t>
      </w:r>
      <w:proofErr w:type="gramEnd"/>
      <w:r w:rsidR="0052470B">
        <w:t xml:space="preserve"> and transport of hazardous substances</w:t>
      </w:r>
      <w:r w:rsidR="00692741">
        <w:t xml:space="preserve"> (</w:t>
      </w:r>
      <w:r w:rsidR="0052470B">
        <w:t>including AN and AN-based fertilizers</w:t>
      </w:r>
      <w:r w:rsidR="00692741">
        <w:t>)</w:t>
      </w:r>
      <w:r w:rsidR="00FC0490">
        <w:t xml:space="preserve"> and</w:t>
      </w:r>
      <w:r w:rsidR="0052470B">
        <w:t xml:space="preserve"> industrial/chemical accident prevention, preparedness and response. Widely used international instruments that apply throughout the lifecycle of various hazardous substances, including AN and AN-based fertilizers, include </w:t>
      </w:r>
      <w:r w:rsidR="0052470B" w:rsidRPr="00FC0490">
        <w:t>inter alia:</w:t>
      </w:r>
    </w:p>
    <w:p w14:paraId="0EA21850" w14:textId="0E3C3293" w:rsidR="0026097B" w:rsidRDefault="00A0280E" w:rsidP="00BD44B5">
      <w:pPr>
        <w:pStyle w:val="SingleTxtG"/>
        <w:tabs>
          <w:tab w:val="left" w:pos="1985"/>
        </w:tabs>
        <w:ind w:left="1701"/>
      </w:pPr>
      <w:r>
        <w:t>-</w:t>
      </w:r>
      <w:r w:rsidR="0026097B">
        <w:tab/>
      </w:r>
      <w:r w:rsidR="0026097B" w:rsidRPr="00D84BB8">
        <w:t>Agreement concerning the International Carriage of Dangerous Goods by Road</w:t>
      </w:r>
      <w:r w:rsidR="00104852">
        <w:t xml:space="preserve"> </w:t>
      </w:r>
      <w:r w:rsidR="0026097B">
        <w:t>(ADR)</w:t>
      </w:r>
    </w:p>
    <w:p w14:paraId="7B8B7EF0" w14:textId="366CFB6F" w:rsidR="0026097B" w:rsidRDefault="00A0280E" w:rsidP="003B2CBA">
      <w:pPr>
        <w:pStyle w:val="SingleTxtG"/>
        <w:tabs>
          <w:tab w:val="left" w:pos="1985"/>
        </w:tabs>
        <w:ind w:left="1701"/>
      </w:pPr>
      <w:r>
        <w:t>-</w:t>
      </w:r>
      <w:r w:rsidR="0026097B">
        <w:tab/>
      </w:r>
      <w:r w:rsidR="0026097B" w:rsidRPr="00D84BB8">
        <w:t>UN Globally Harmonized System of Classification and Labelling of Chemicals (GHS)</w:t>
      </w:r>
    </w:p>
    <w:p w14:paraId="3191C123" w14:textId="3D5623D3" w:rsidR="0026097B" w:rsidRDefault="00A0280E" w:rsidP="003B2CBA">
      <w:pPr>
        <w:pStyle w:val="SingleTxtG"/>
        <w:tabs>
          <w:tab w:val="left" w:pos="1985"/>
        </w:tabs>
        <w:ind w:left="1701"/>
      </w:pPr>
      <w:r>
        <w:t>-</w:t>
      </w:r>
      <w:r w:rsidR="0026097B">
        <w:tab/>
      </w:r>
      <w:r w:rsidR="0026097B" w:rsidRPr="00D84BB8">
        <w:t>UN Manual of Tests and Criteria</w:t>
      </w:r>
    </w:p>
    <w:p w14:paraId="3FAB309C" w14:textId="2CA9333D" w:rsidR="0026097B" w:rsidRDefault="00C43705" w:rsidP="003B2CBA">
      <w:pPr>
        <w:pStyle w:val="SingleTxtG"/>
        <w:tabs>
          <w:tab w:val="left" w:pos="1985"/>
        </w:tabs>
        <w:ind w:left="1701"/>
      </w:pPr>
      <w:r>
        <w:t>-</w:t>
      </w:r>
      <w:r w:rsidR="0026097B">
        <w:tab/>
      </w:r>
      <w:r w:rsidR="0026097B" w:rsidRPr="00D84BB8">
        <w:t>UN Recommendations on the Transport of Dangerous Goods, Model Regulations</w:t>
      </w:r>
    </w:p>
    <w:p w14:paraId="2574A2CC" w14:textId="721F7FFA" w:rsidR="0026097B" w:rsidRDefault="00C43705" w:rsidP="003B2CBA">
      <w:pPr>
        <w:pStyle w:val="SingleTxtG"/>
        <w:tabs>
          <w:tab w:val="left" w:pos="1985"/>
        </w:tabs>
        <w:ind w:left="1701"/>
      </w:pPr>
      <w:r>
        <w:lastRenderedPageBreak/>
        <w:t>-</w:t>
      </w:r>
      <w:r w:rsidR="0026097B">
        <w:tab/>
      </w:r>
      <w:r w:rsidR="0026097B" w:rsidRPr="00D84BB8">
        <w:t>UNECE Convention on the Transboundary Effects of Industrial Accidents</w:t>
      </w:r>
    </w:p>
    <w:p w14:paraId="06962296" w14:textId="2BC62095" w:rsidR="0026097B" w:rsidRPr="00A23ABB" w:rsidRDefault="00C43705" w:rsidP="003B2CBA">
      <w:pPr>
        <w:pStyle w:val="SingleTxtG"/>
        <w:tabs>
          <w:tab w:val="left" w:pos="1985"/>
        </w:tabs>
        <w:ind w:left="1701"/>
      </w:pPr>
      <w:r>
        <w:rPr>
          <w:lang w:val="en-US"/>
        </w:rPr>
        <w:t>-</w:t>
      </w:r>
      <w:r w:rsidR="0026097B">
        <w:rPr>
          <w:lang w:val="en-US"/>
        </w:rPr>
        <w:tab/>
      </w:r>
      <w:r w:rsidR="0026097B" w:rsidRPr="00A23ABB">
        <w:rPr>
          <w:lang w:val="en-US"/>
        </w:rPr>
        <w:t xml:space="preserve">ICAO Technical </w:t>
      </w:r>
      <w:r w:rsidR="0026097B" w:rsidRPr="003B2CBA">
        <w:t>Instructions</w:t>
      </w:r>
      <w:r w:rsidR="0026097B" w:rsidRPr="00A23ABB">
        <w:rPr>
          <w:lang w:val="en-US"/>
        </w:rPr>
        <w:t xml:space="preserve"> for the Safe Transport of Dangerous Goods by Air</w:t>
      </w:r>
      <w:r w:rsidR="00363CE0">
        <w:rPr>
          <w:rStyle w:val="FootnoteReference"/>
          <w:lang w:val="en-US"/>
        </w:rPr>
        <w:footnoteReference w:customMarkFollows="1" w:id="6"/>
        <w:t>4</w:t>
      </w:r>
    </w:p>
    <w:p w14:paraId="48B989FE" w14:textId="14574347" w:rsidR="0026097B" w:rsidRDefault="00C43705" w:rsidP="003B2CBA">
      <w:pPr>
        <w:pStyle w:val="SingleTxtG"/>
        <w:tabs>
          <w:tab w:val="left" w:pos="1985"/>
        </w:tabs>
        <w:ind w:left="1701"/>
      </w:pPr>
      <w:r>
        <w:t>-</w:t>
      </w:r>
      <w:r w:rsidR="0026097B">
        <w:tab/>
      </w:r>
      <w:r w:rsidR="0026097B" w:rsidRPr="00D84BB8">
        <w:t>ILO Prevention of Major Industrial Accidents Convention (No. 174)</w:t>
      </w:r>
    </w:p>
    <w:p w14:paraId="10EFA347" w14:textId="72BCB6E2" w:rsidR="0026097B" w:rsidRDefault="00C43705" w:rsidP="003B2CBA">
      <w:pPr>
        <w:pStyle w:val="SingleTxtG"/>
        <w:tabs>
          <w:tab w:val="left" w:pos="1985"/>
        </w:tabs>
        <w:ind w:left="1701"/>
      </w:pPr>
      <w:r>
        <w:t>-</w:t>
      </w:r>
      <w:r w:rsidR="0026097B">
        <w:tab/>
      </w:r>
      <w:r w:rsidR="0026097B" w:rsidRPr="00D84BB8">
        <w:t>ILO Chemicals Convention (No. 170)</w:t>
      </w:r>
    </w:p>
    <w:p w14:paraId="545791A4" w14:textId="4CC0EFDE" w:rsidR="0026097B" w:rsidRDefault="00C43705" w:rsidP="003B2CBA">
      <w:pPr>
        <w:pStyle w:val="SingleTxtG"/>
        <w:tabs>
          <w:tab w:val="left" w:pos="1985"/>
        </w:tabs>
        <w:ind w:left="1701"/>
      </w:pPr>
      <w:r>
        <w:t>-</w:t>
      </w:r>
      <w:r w:rsidR="0026097B">
        <w:tab/>
      </w:r>
      <w:r w:rsidR="0026097B" w:rsidRPr="00D84BB8">
        <w:t>IMO International Maritime Dangerous Goods (IMDG) Code</w:t>
      </w:r>
    </w:p>
    <w:p w14:paraId="3E7B18EB" w14:textId="20BEE38E" w:rsidR="0026097B" w:rsidRDefault="00C43705" w:rsidP="003B2CBA">
      <w:pPr>
        <w:pStyle w:val="SingleTxtG"/>
        <w:tabs>
          <w:tab w:val="left" w:pos="1985"/>
        </w:tabs>
        <w:ind w:left="1701"/>
      </w:pPr>
      <w:r>
        <w:t>-</w:t>
      </w:r>
      <w:r w:rsidR="0026097B">
        <w:tab/>
      </w:r>
      <w:r w:rsidR="0026097B" w:rsidRPr="00D84BB8">
        <w:t>IMO International Maritime Solid Bulk Cargoes (IMSBC) Code</w:t>
      </w:r>
    </w:p>
    <w:p w14:paraId="1377CF22" w14:textId="283B57F9" w:rsidR="0026097B" w:rsidRDefault="00C43705" w:rsidP="003B2CBA">
      <w:pPr>
        <w:pStyle w:val="SingleTxtG"/>
        <w:tabs>
          <w:tab w:val="left" w:pos="1985"/>
        </w:tabs>
        <w:ind w:left="1701"/>
      </w:pPr>
      <w:r>
        <w:t>-</w:t>
      </w:r>
      <w:r w:rsidR="0026097B">
        <w:tab/>
      </w:r>
      <w:r w:rsidR="0026097B" w:rsidRPr="00D84BB8">
        <w:t>IMO Recommendations on the Safe Transport of Dangerous Cargoes and Related activities in Port Areas</w:t>
      </w:r>
      <w:r w:rsidR="0026097B">
        <w:t xml:space="preserve"> </w:t>
      </w:r>
    </w:p>
    <w:p w14:paraId="76520412" w14:textId="07AAB351" w:rsidR="0026097B" w:rsidRPr="00B51DF4" w:rsidRDefault="00C43705" w:rsidP="003B2CBA">
      <w:pPr>
        <w:pStyle w:val="SingleTxtG"/>
        <w:tabs>
          <w:tab w:val="left" w:pos="1985"/>
        </w:tabs>
        <w:ind w:left="1701"/>
      </w:pPr>
      <w:r>
        <w:rPr>
          <w:lang w:val="en-US"/>
        </w:rPr>
        <w:t>-</w:t>
      </w:r>
      <w:r w:rsidR="0026097B">
        <w:rPr>
          <w:lang w:val="en-US"/>
        </w:rPr>
        <w:tab/>
      </w:r>
      <w:r w:rsidR="0026097B" w:rsidRPr="00A23ABB">
        <w:rPr>
          <w:lang w:val="en-US"/>
        </w:rPr>
        <w:t>OECD Guiding Principles for Chemical Accident Prevention, Preparedness and Response</w:t>
      </w:r>
      <w:r w:rsidR="0026097B">
        <w:rPr>
          <w:lang w:val="en-US"/>
        </w:rPr>
        <w:t>.</w:t>
      </w:r>
    </w:p>
    <w:p w14:paraId="14888A81" w14:textId="763E9598" w:rsidR="00545613" w:rsidRDefault="00F947FA" w:rsidP="00FC5907">
      <w:pPr>
        <w:pStyle w:val="SingleTxtG"/>
      </w:pPr>
      <w:r>
        <w:rPr>
          <w:lang w:val="en-US"/>
        </w:rPr>
        <w:t>24.</w:t>
      </w:r>
      <w:r>
        <w:rPr>
          <w:lang w:val="en-US"/>
        </w:rPr>
        <w:tab/>
      </w:r>
      <w:r w:rsidR="00FB10E9">
        <w:rPr>
          <w:lang w:val="en-US"/>
        </w:rPr>
        <w:t xml:space="preserve">Numerous guidance documents have been </w:t>
      </w:r>
      <w:r w:rsidR="00FE581D">
        <w:rPr>
          <w:lang w:val="en-US"/>
        </w:rPr>
        <w:t>published</w:t>
      </w:r>
      <w:r w:rsidR="00FB10E9">
        <w:rPr>
          <w:lang w:val="en-US"/>
        </w:rPr>
        <w:t xml:space="preserve"> and training material are available </w:t>
      </w:r>
      <w:r w:rsidR="00610750">
        <w:rPr>
          <w:lang w:val="en-US"/>
        </w:rPr>
        <w:t>that</w:t>
      </w:r>
      <w:r w:rsidR="00FB10E9">
        <w:rPr>
          <w:lang w:val="en-US"/>
        </w:rPr>
        <w:t xml:space="preserve"> support countries </w:t>
      </w:r>
      <w:r w:rsidR="00B344BE">
        <w:rPr>
          <w:lang w:val="en-US"/>
        </w:rPr>
        <w:t>to</w:t>
      </w:r>
      <w:r w:rsidR="00FB10E9">
        <w:rPr>
          <w:lang w:val="en-US"/>
        </w:rPr>
        <w:t xml:space="preserve"> implement the above-mentioned instruments.</w:t>
      </w:r>
    </w:p>
    <w:p w14:paraId="1962F2D4" w14:textId="4FAFFA64" w:rsidR="00DD4021" w:rsidRDefault="00B42DCC" w:rsidP="00FC5907">
      <w:pPr>
        <w:pStyle w:val="SingleTxtG"/>
      </w:pPr>
      <w:r>
        <w:t>25.</w:t>
      </w:r>
      <w:r>
        <w:tab/>
      </w:r>
      <w:proofErr w:type="gramStart"/>
      <w:r w:rsidR="00173B99">
        <w:t>A</w:t>
      </w:r>
      <w:r w:rsidR="00741E32">
        <w:t xml:space="preserve"> number of</w:t>
      </w:r>
      <w:proofErr w:type="gramEnd"/>
      <w:r w:rsidR="00741E32">
        <w:t xml:space="preserve"> industry guid</w:t>
      </w:r>
      <w:r w:rsidR="00173B99">
        <w:t>es</w:t>
      </w:r>
      <w:r w:rsidR="00741E32">
        <w:t xml:space="preserve"> and good practices are also available:</w:t>
      </w:r>
    </w:p>
    <w:p w14:paraId="157D7C96" w14:textId="1C39337E" w:rsidR="009D483B" w:rsidRPr="00B227FC" w:rsidRDefault="00655201" w:rsidP="003B2CBA">
      <w:pPr>
        <w:pStyle w:val="SingleTxtG"/>
        <w:tabs>
          <w:tab w:val="left" w:pos="1985"/>
        </w:tabs>
        <w:ind w:left="1701"/>
      </w:pPr>
      <w:r>
        <w:t>-</w:t>
      </w:r>
      <w:r>
        <w:tab/>
      </w:r>
      <w:r w:rsidR="009D483B" w:rsidRPr="006F65E6">
        <w:t xml:space="preserve">Fertilizers Europe runs a product stewardship programme to establish and enhance safety, </w:t>
      </w:r>
      <w:r w:rsidR="009D483B" w:rsidRPr="00B227FC">
        <w:t xml:space="preserve">security, </w:t>
      </w:r>
      <w:proofErr w:type="gramStart"/>
      <w:r w:rsidR="009D483B" w:rsidRPr="00B227FC">
        <w:t>health</w:t>
      </w:r>
      <w:proofErr w:type="gramEnd"/>
      <w:r w:rsidR="009D483B" w:rsidRPr="00B227FC">
        <w:t xml:space="preserve"> and environment performance, including </w:t>
      </w:r>
      <w:r w:rsidR="006C29D0">
        <w:t>the</w:t>
      </w:r>
      <w:r w:rsidR="009D483B" w:rsidRPr="00B227FC">
        <w:t xml:space="preserve"> mandatory implementation for all member companies and audits by independent third parties.</w:t>
      </w:r>
    </w:p>
    <w:p w14:paraId="0A214583" w14:textId="47B0C193" w:rsidR="009D483B" w:rsidRPr="00B227FC" w:rsidRDefault="00655201" w:rsidP="003B2CBA">
      <w:pPr>
        <w:pStyle w:val="SingleTxtG"/>
        <w:tabs>
          <w:tab w:val="left" w:pos="1985"/>
        </w:tabs>
        <w:ind w:left="1701"/>
      </w:pPr>
      <w:r>
        <w:t>-</w:t>
      </w:r>
      <w:r>
        <w:tab/>
      </w:r>
      <w:r w:rsidR="009D483B" w:rsidRPr="00B227FC">
        <w:t>AEISG is developing a code of practice on the storage and handling of solid AN</w:t>
      </w:r>
      <w:r w:rsidR="00BA0F6B">
        <w:t>.</w:t>
      </w:r>
    </w:p>
    <w:p w14:paraId="39745CDA" w14:textId="560D53FD" w:rsidR="009D483B" w:rsidRDefault="00655201" w:rsidP="003B2CBA">
      <w:pPr>
        <w:pStyle w:val="SingleTxtG"/>
        <w:tabs>
          <w:tab w:val="left" w:pos="1985"/>
        </w:tabs>
        <w:ind w:left="1701"/>
      </w:pPr>
      <w:r>
        <w:t>-</w:t>
      </w:r>
      <w:r>
        <w:tab/>
      </w:r>
      <w:r w:rsidR="009D483B" w:rsidRPr="00B227FC">
        <w:t>SAFEX produced a guide of good practices on the storage of solid technical grade AN</w:t>
      </w:r>
      <w:r w:rsidR="00BA0F6B">
        <w:t>.</w:t>
      </w:r>
    </w:p>
    <w:p w14:paraId="401ADBC1" w14:textId="6F9FF0BC" w:rsidR="009D483B" w:rsidRDefault="00655201" w:rsidP="003B2CBA">
      <w:pPr>
        <w:pStyle w:val="SingleTxtG"/>
        <w:tabs>
          <w:tab w:val="left" w:pos="1985"/>
        </w:tabs>
        <w:ind w:left="1701"/>
      </w:pPr>
      <w:r>
        <w:t>-</w:t>
      </w:r>
      <w:r>
        <w:tab/>
      </w:r>
      <w:r w:rsidR="009D483B">
        <w:t>IME developed guidance on the safe handling of solid AN</w:t>
      </w:r>
      <w:r w:rsidR="00BA0F6B">
        <w:t>.</w:t>
      </w:r>
    </w:p>
    <w:p w14:paraId="17E55816" w14:textId="4B68E3FC" w:rsidR="00741E32" w:rsidRDefault="00655201" w:rsidP="003B2CBA">
      <w:pPr>
        <w:pStyle w:val="SingleTxtG"/>
        <w:tabs>
          <w:tab w:val="left" w:pos="1985"/>
        </w:tabs>
        <w:ind w:left="1701"/>
      </w:pPr>
      <w:r>
        <w:t>-</w:t>
      </w:r>
      <w:r>
        <w:tab/>
      </w:r>
      <w:r w:rsidR="005E3EF8">
        <w:t xml:space="preserve">the </w:t>
      </w:r>
      <w:r w:rsidR="00923E01">
        <w:t>National Fire Protection Association</w:t>
      </w:r>
      <w:r w:rsidR="0017436B">
        <w:t>’s</w:t>
      </w:r>
      <w:r w:rsidR="00923E01" w:rsidRPr="00896100">
        <w:t xml:space="preserve"> </w:t>
      </w:r>
      <w:r w:rsidR="0017436B">
        <w:t>(</w:t>
      </w:r>
      <w:r w:rsidR="009D483B" w:rsidRPr="00896100">
        <w:t>NFPA</w:t>
      </w:r>
      <w:r w:rsidR="0017436B">
        <w:t>)</w:t>
      </w:r>
      <w:r w:rsidR="009D483B" w:rsidRPr="00896100">
        <w:t xml:space="preserve"> Code 400 has a chapter </w:t>
      </w:r>
      <w:r w:rsidR="005E3EF8">
        <w:t>on</w:t>
      </w:r>
      <w:r w:rsidR="009D483B">
        <w:t xml:space="preserve"> AN</w:t>
      </w:r>
      <w:r w:rsidR="00BA0F6B">
        <w:t>.</w:t>
      </w:r>
    </w:p>
    <w:p w14:paraId="496E001F" w14:textId="639F5AFF" w:rsidR="00916482" w:rsidRPr="00B6502C" w:rsidRDefault="00B33FDC" w:rsidP="00916482">
      <w:pPr>
        <w:pStyle w:val="SingleTxtG"/>
      </w:pPr>
      <w:r>
        <w:tab/>
        <w:t>2</w:t>
      </w:r>
      <w:r w:rsidR="00B42DCC">
        <w:t>6</w:t>
      </w:r>
      <w:r>
        <w:t>.</w:t>
      </w:r>
      <w:r>
        <w:tab/>
      </w:r>
      <w:r w:rsidR="00916482" w:rsidRPr="00B51DF4">
        <w:t>The following c</w:t>
      </w:r>
      <w:r w:rsidR="00916482" w:rsidRPr="00B6502C">
        <w:t>onclusions</w:t>
      </w:r>
      <w:r w:rsidR="00916482" w:rsidRPr="00B51DF4">
        <w:t xml:space="preserve"> were drawn </w:t>
      </w:r>
      <w:r w:rsidR="008B3517">
        <w:t>at</w:t>
      </w:r>
      <w:r w:rsidR="00916482" w:rsidRPr="00B51DF4">
        <w:t xml:space="preserve"> the seminar</w:t>
      </w:r>
      <w:r w:rsidR="007857E6">
        <w:t>:</w:t>
      </w:r>
    </w:p>
    <w:p w14:paraId="646368F2" w14:textId="3F1BE47E" w:rsidR="0027319A" w:rsidRPr="004B5253" w:rsidRDefault="00CA2FD9" w:rsidP="00AA5A11">
      <w:pPr>
        <w:pStyle w:val="SingleTxtG"/>
        <w:ind w:left="1701"/>
      </w:pPr>
      <w:r w:rsidRPr="00C22E49">
        <w:rPr>
          <w:b/>
          <w:bCs/>
        </w:rPr>
        <w:tab/>
      </w:r>
      <w:r w:rsidR="00E01B20" w:rsidRPr="00C22E49">
        <w:rPr>
          <w:b/>
          <w:bCs/>
        </w:rPr>
        <w:t>(a)</w:t>
      </w:r>
      <w:r w:rsidRPr="00C22E49">
        <w:rPr>
          <w:b/>
          <w:bCs/>
        </w:rPr>
        <w:tab/>
      </w:r>
      <w:r w:rsidR="0027319A" w:rsidRPr="004B5253">
        <w:rPr>
          <w:b/>
          <w:bCs/>
        </w:rPr>
        <w:t xml:space="preserve">While numerous international legal and policy instruments regulate </w:t>
      </w:r>
      <w:r w:rsidR="0027319A" w:rsidRPr="004B5253">
        <w:t xml:space="preserve">the classification, testing, packaging, storage, </w:t>
      </w:r>
      <w:proofErr w:type="gramStart"/>
      <w:r w:rsidR="0027319A" w:rsidRPr="004B5253">
        <w:t>handling</w:t>
      </w:r>
      <w:proofErr w:type="gramEnd"/>
      <w:r w:rsidR="0027319A" w:rsidRPr="004B5253">
        <w:t xml:space="preserve"> and transport of hazardous substances</w:t>
      </w:r>
      <w:r w:rsidR="006227B5">
        <w:t xml:space="preserve"> (</w:t>
      </w:r>
      <w:r w:rsidR="0027319A" w:rsidRPr="004B5253">
        <w:t>including AN and AN-based fertilizers</w:t>
      </w:r>
      <w:r w:rsidR="006227B5">
        <w:t>) and</w:t>
      </w:r>
      <w:r w:rsidR="0027319A" w:rsidRPr="004B5253">
        <w:t xml:space="preserve"> industrial/chemical accident prevention, preparedness and response, their </w:t>
      </w:r>
      <w:r w:rsidR="0027319A" w:rsidRPr="004B5253">
        <w:rPr>
          <w:b/>
          <w:bCs/>
        </w:rPr>
        <w:t>implementation needs strengthen</w:t>
      </w:r>
      <w:r w:rsidR="005C1BB0">
        <w:rPr>
          <w:b/>
          <w:bCs/>
        </w:rPr>
        <w:t>ing</w:t>
      </w:r>
      <w:r w:rsidR="0027319A" w:rsidRPr="004B5253">
        <w:rPr>
          <w:b/>
          <w:bCs/>
        </w:rPr>
        <w:t xml:space="preserve">. Countries can use the numerous guidelines and good practices, </w:t>
      </w:r>
      <w:r w:rsidR="0027319A" w:rsidRPr="004B5253">
        <w:t xml:space="preserve">developed by international organizations and industry, that are available </w:t>
      </w:r>
      <w:r w:rsidR="008F05B0">
        <w:t>for</w:t>
      </w:r>
      <w:r w:rsidR="0027319A" w:rsidRPr="004B5253">
        <w:t xml:space="preserve"> support. In addition, they can seek assistance from international organizations and industry associations </w:t>
      </w:r>
      <w:r w:rsidR="00F72754">
        <w:t>to</w:t>
      </w:r>
      <w:r w:rsidR="0027319A" w:rsidRPr="004B5253">
        <w:t xml:space="preserve"> strengthen</w:t>
      </w:r>
      <w:r w:rsidR="00F72754">
        <w:t xml:space="preserve"> </w:t>
      </w:r>
      <w:r w:rsidR="0027319A" w:rsidRPr="004B5253">
        <w:t>implementation and apply related principles.</w:t>
      </w:r>
    </w:p>
    <w:p w14:paraId="54BE0453" w14:textId="789EC01A" w:rsidR="0027319A" w:rsidRDefault="00CA2FD9" w:rsidP="00AA5A11">
      <w:pPr>
        <w:pStyle w:val="SingleTxtG"/>
        <w:ind w:left="1701"/>
        <w:rPr>
          <w:b/>
          <w:bCs/>
        </w:rPr>
      </w:pPr>
      <w:r w:rsidRPr="0070222D">
        <w:tab/>
      </w:r>
      <w:r w:rsidR="00E01B20" w:rsidRPr="00C22E49">
        <w:rPr>
          <w:b/>
          <w:bCs/>
        </w:rPr>
        <w:t>(b)</w:t>
      </w:r>
      <w:r w:rsidRPr="00C22E49">
        <w:rPr>
          <w:b/>
          <w:bCs/>
        </w:rPr>
        <w:tab/>
      </w:r>
      <w:r w:rsidR="0027319A" w:rsidRPr="00C22E49">
        <w:rPr>
          <w:b/>
          <w:bCs/>
        </w:rPr>
        <w:t>Implementation</w:t>
      </w:r>
      <w:r w:rsidR="0027319A" w:rsidRPr="00B51DF4">
        <w:rPr>
          <w:b/>
          <w:bCs/>
        </w:rPr>
        <w:t xml:space="preserve"> can be challenging for countries and industries</w:t>
      </w:r>
      <w:r w:rsidR="00D672A4">
        <w:rPr>
          <w:b/>
          <w:bCs/>
        </w:rPr>
        <w:t xml:space="preserve"> </w:t>
      </w:r>
      <w:r w:rsidR="0027319A">
        <w:rPr>
          <w:b/>
          <w:bCs/>
        </w:rPr>
        <w:t>due to</w:t>
      </w:r>
      <w:r w:rsidR="009F2C95">
        <w:rPr>
          <w:b/>
          <w:bCs/>
        </w:rPr>
        <w:t>, for example</w:t>
      </w:r>
      <w:r w:rsidR="0027319A" w:rsidRPr="00B51DF4">
        <w:rPr>
          <w:b/>
          <w:bCs/>
        </w:rPr>
        <w:t xml:space="preserve">: </w:t>
      </w:r>
      <w:r w:rsidR="005D20D6">
        <w:rPr>
          <w:b/>
          <w:bCs/>
        </w:rPr>
        <w:t>lack of</w:t>
      </w:r>
      <w:r w:rsidR="0027319A" w:rsidRPr="00B51DF4">
        <w:rPr>
          <w:b/>
          <w:bCs/>
        </w:rPr>
        <w:t xml:space="preserve"> </w:t>
      </w:r>
      <w:r w:rsidR="0027319A">
        <w:rPr>
          <w:b/>
          <w:bCs/>
        </w:rPr>
        <w:t xml:space="preserve">institutional and financial </w:t>
      </w:r>
      <w:r w:rsidR="0027319A" w:rsidRPr="00B51DF4">
        <w:rPr>
          <w:b/>
          <w:bCs/>
        </w:rPr>
        <w:t>capacit</w:t>
      </w:r>
      <w:r w:rsidR="0027319A">
        <w:rPr>
          <w:b/>
          <w:bCs/>
        </w:rPr>
        <w:t>ies;</w:t>
      </w:r>
      <w:r w:rsidR="0027319A" w:rsidRPr="00B51DF4">
        <w:rPr>
          <w:b/>
          <w:bCs/>
        </w:rPr>
        <w:t xml:space="preserve"> </w:t>
      </w:r>
      <w:r w:rsidR="0027319A" w:rsidRPr="006054D7">
        <w:rPr>
          <w:b/>
          <w:bCs/>
        </w:rPr>
        <w:t xml:space="preserve">lack of coordination </w:t>
      </w:r>
      <w:r w:rsidR="005D20D6">
        <w:rPr>
          <w:b/>
          <w:bCs/>
        </w:rPr>
        <w:t>among</w:t>
      </w:r>
      <w:r w:rsidR="0027319A" w:rsidRPr="006054D7">
        <w:rPr>
          <w:b/>
          <w:bCs/>
        </w:rPr>
        <w:t xml:space="preserve"> authorities</w:t>
      </w:r>
      <w:r w:rsidR="0027319A">
        <w:rPr>
          <w:b/>
          <w:bCs/>
        </w:rPr>
        <w:t xml:space="preserve">; insufficient understanding of legal and policy instruments and the </w:t>
      </w:r>
      <w:r w:rsidR="009F7F8D">
        <w:rPr>
          <w:b/>
          <w:bCs/>
        </w:rPr>
        <w:t>inter</w:t>
      </w:r>
      <w:r w:rsidR="0027319A">
        <w:rPr>
          <w:b/>
          <w:bCs/>
        </w:rPr>
        <w:t xml:space="preserve">linkages; lack of implementation and eventual non-compliance; lack of coherence in policy-making; and </w:t>
      </w:r>
      <w:r w:rsidR="0027319A" w:rsidRPr="00B51DF4">
        <w:rPr>
          <w:b/>
          <w:bCs/>
        </w:rPr>
        <w:t xml:space="preserve">lack of adequate training </w:t>
      </w:r>
      <w:r w:rsidR="00021D8F">
        <w:rPr>
          <w:b/>
          <w:bCs/>
        </w:rPr>
        <w:t>for</w:t>
      </w:r>
      <w:r w:rsidR="0027319A" w:rsidRPr="00B51DF4">
        <w:rPr>
          <w:b/>
          <w:bCs/>
        </w:rPr>
        <w:t xml:space="preserve"> workers</w:t>
      </w:r>
      <w:r w:rsidR="0027319A">
        <w:rPr>
          <w:b/>
          <w:bCs/>
        </w:rPr>
        <w:t xml:space="preserve"> (in storage sites and port areas, and in handling and transporting hazardous substances, such as AN, etc.)</w:t>
      </w:r>
      <w:r w:rsidR="0027319A" w:rsidRPr="00B51DF4">
        <w:rPr>
          <w:b/>
          <w:bCs/>
        </w:rPr>
        <w:t xml:space="preserve">, </w:t>
      </w:r>
      <w:r w:rsidR="0027319A">
        <w:rPr>
          <w:b/>
          <w:bCs/>
        </w:rPr>
        <w:t>first responders and staff working for national, regional and local authorities.</w:t>
      </w:r>
    </w:p>
    <w:p w14:paraId="18B8BA06" w14:textId="1D4CD964" w:rsidR="0027319A" w:rsidRPr="00B51DF4" w:rsidRDefault="00CA2FD9" w:rsidP="00AA5A11">
      <w:pPr>
        <w:pStyle w:val="SingleTxtG"/>
        <w:ind w:left="1701"/>
        <w:rPr>
          <w:b/>
          <w:bCs/>
        </w:rPr>
      </w:pPr>
      <w:r w:rsidRPr="00C22E49">
        <w:rPr>
          <w:b/>
          <w:bCs/>
        </w:rPr>
        <w:tab/>
      </w:r>
      <w:r w:rsidR="00BA5AF9" w:rsidRPr="00C22E49">
        <w:rPr>
          <w:b/>
          <w:bCs/>
        </w:rPr>
        <w:t>(c)</w:t>
      </w:r>
      <w:r w:rsidRPr="00C22E49">
        <w:rPr>
          <w:b/>
          <w:bCs/>
        </w:rPr>
        <w:tab/>
      </w:r>
      <w:r w:rsidR="0027319A" w:rsidRPr="00C22E49">
        <w:rPr>
          <w:b/>
          <w:bCs/>
        </w:rPr>
        <w:t>Such</w:t>
      </w:r>
      <w:r w:rsidR="0027319A" w:rsidRPr="00B51DF4">
        <w:rPr>
          <w:b/>
          <w:bCs/>
        </w:rPr>
        <w:t xml:space="preserve"> challenges can be addressed </w:t>
      </w:r>
      <w:r w:rsidR="00A45ED0">
        <w:rPr>
          <w:b/>
          <w:bCs/>
        </w:rPr>
        <w:t>by</w:t>
      </w:r>
      <w:r w:rsidR="0027319A" w:rsidRPr="00B51DF4">
        <w:rPr>
          <w:b/>
          <w:bCs/>
        </w:rPr>
        <w:t xml:space="preserve"> the following means, among others:</w:t>
      </w:r>
    </w:p>
    <w:p w14:paraId="357CFA10" w14:textId="25837D86" w:rsidR="002455E3" w:rsidRPr="00850045" w:rsidRDefault="00904A1C" w:rsidP="00AA5A11">
      <w:pPr>
        <w:pStyle w:val="Bullet1G"/>
        <w:numPr>
          <w:ilvl w:val="0"/>
          <w:numId w:val="0"/>
        </w:numPr>
        <w:ind w:left="2268"/>
        <w:rPr>
          <w:b/>
          <w:bCs/>
        </w:rPr>
      </w:pPr>
      <w:r>
        <w:rPr>
          <w:b/>
          <w:bCs/>
        </w:rPr>
        <w:t>(</w:t>
      </w:r>
      <w:proofErr w:type="spellStart"/>
      <w:r>
        <w:rPr>
          <w:b/>
          <w:bCs/>
        </w:rPr>
        <w:t>i</w:t>
      </w:r>
      <w:proofErr w:type="spellEnd"/>
      <w:r>
        <w:rPr>
          <w:b/>
          <w:bCs/>
        </w:rPr>
        <w:t>)</w:t>
      </w:r>
      <w:r>
        <w:rPr>
          <w:b/>
          <w:bCs/>
        </w:rPr>
        <w:tab/>
      </w:r>
      <w:r w:rsidR="002455E3" w:rsidRPr="00850045">
        <w:rPr>
          <w:b/>
          <w:bCs/>
        </w:rPr>
        <w:t xml:space="preserve">Raising awareness at all levels of national, regional and local </w:t>
      </w:r>
      <w:r w:rsidR="00D53CE1" w:rsidRPr="00850045">
        <w:rPr>
          <w:b/>
          <w:bCs/>
        </w:rPr>
        <w:t xml:space="preserve">governance </w:t>
      </w:r>
      <w:r w:rsidR="002455E3" w:rsidRPr="00850045">
        <w:rPr>
          <w:b/>
          <w:bCs/>
        </w:rPr>
        <w:t xml:space="preserve">and with industry, operators and </w:t>
      </w:r>
      <w:proofErr w:type="gramStart"/>
      <w:r w:rsidR="002455E3" w:rsidRPr="00850045">
        <w:rPr>
          <w:b/>
          <w:bCs/>
        </w:rPr>
        <w:t>workers</w:t>
      </w:r>
      <w:r w:rsidR="00C54CEA">
        <w:rPr>
          <w:b/>
          <w:bCs/>
        </w:rPr>
        <w:t>;</w:t>
      </w:r>
      <w:proofErr w:type="gramEnd"/>
    </w:p>
    <w:p w14:paraId="16921986" w14:textId="0B0083E9" w:rsidR="002455E3" w:rsidRPr="00850045" w:rsidRDefault="00904A1C" w:rsidP="00AA5A11">
      <w:pPr>
        <w:pStyle w:val="Bullet1G"/>
        <w:numPr>
          <w:ilvl w:val="0"/>
          <w:numId w:val="0"/>
        </w:numPr>
        <w:ind w:left="2268"/>
        <w:rPr>
          <w:b/>
          <w:bCs/>
        </w:rPr>
      </w:pPr>
      <w:r>
        <w:rPr>
          <w:b/>
          <w:bCs/>
        </w:rPr>
        <w:t>(ii)</w:t>
      </w:r>
      <w:r>
        <w:rPr>
          <w:b/>
          <w:bCs/>
        </w:rPr>
        <w:tab/>
      </w:r>
      <w:r w:rsidR="002455E3" w:rsidRPr="00850045">
        <w:rPr>
          <w:b/>
          <w:bCs/>
        </w:rPr>
        <w:t xml:space="preserve">Ensuring </w:t>
      </w:r>
      <w:r w:rsidR="00543BD4">
        <w:rPr>
          <w:b/>
          <w:bCs/>
        </w:rPr>
        <w:t xml:space="preserve">that </w:t>
      </w:r>
      <w:r w:rsidR="002455E3" w:rsidRPr="00850045">
        <w:rPr>
          <w:b/>
          <w:bCs/>
        </w:rPr>
        <w:t xml:space="preserve">inspections are conducted at regular intervals and follow-up inspections are conducted as </w:t>
      </w:r>
      <w:proofErr w:type="gramStart"/>
      <w:r w:rsidR="002455E3" w:rsidRPr="00850045">
        <w:rPr>
          <w:b/>
          <w:bCs/>
        </w:rPr>
        <w:t>needed</w:t>
      </w:r>
      <w:r w:rsidR="00C54CEA">
        <w:rPr>
          <w:b/>
          <w:bCs/>
        </w:rPr>
        <w:t>;</w:t>
      </w:r>
      <w:proofErr w:type="gramEnd"/>
    </w:p>
    <w:p w14:paraId="7DE9D7C2" w14:textId="2C83EBDB" w:rsidR="002455E3" w:rsidRPr="00850045" w:rsidRDefault="00904A1C" w:rsidP="00AA5A11">
      <w:pPr>
        <w:pStyle w:val="Bullet1G"/>
        <w:numPr>
          <w:ilvl w:val="0"/>
          <w:numId w:val="0"/>
        </w:numPr>
        <w:ind w:left="2268"/>
        <w:rPr>
          <w:b/>
          <w:bCs/>
        </w:rPr>
      </w:pPr>
      <w:r>
        <w:rPr>
          <w:b/>
          <w:bCs/>
        </w:rPr>
        <w:t>(iii)</w:t>
      </w:r>
      <w:r>
        <w:rPr>
          <w:b/>
          <w:bCs/>
        </w:rPr>
        <w:tab/>
      </w:r>
      <w:r w:rsidR="002455E3" w:rsidRPr="00850045">
        <w:rPr>
          <w:b/>
          <w:bCs/>
        </w:rPr>
        <w:t xml:space="preserve">Ensuring </w:t>
      </w:r>
      <w:r w:rsidR="003277CA">
        <w:rPr>
          <w:b/>
          <w:bCs/>
        </w:rPr>
        <w:t xml:space="preserve">that </w:t>
      </w:r>
      <w:r w:rsidR="002455E3" w:rsidRPr="00850045">
        <w:rPr>
          <w:b/>
          <w:bCs/>
        </w:rPr>
        <w:t xml:space="preserve">operators and workers are trained and </w:t>
      </w:r>
      <w:proofErr w:type="gramStart"/>
      <w:r w:rsidR="002455E3" w:rsidRPr="00850045">
        <w:rPr>
          <w:b/>
          <w:bCs/>
        </w:rPr>
        <w:t>equipped</w:t>
      </w:r>
      <w:r w:rsidR="00C54CEA">
        <w:rPr>
          <w:b/>
          <w:bCs/>
        </w:rPr>
        <w:t>;</w:t>
      </w:r>
      <w:proofErr w:type="gramEnd"/>
    </w:p>
    <w:p w14:paraId="0F072285" w14:textId="611EB27C" w:rsidR="002455E3" w:rsidRPr="00850045" w:rsidRDefault="00904A1C" w:rsidP="00AA5A11">
      <w:pPr>
        <w:pStyle w:val="Bullet1G"/>
        <w:numPr>
          <w:ilvl w:val="0"/>
          <w:numId w:val="0"/>
        </w:numPr>
        <w:ind w:left="2268"/>
        <w:rPr>
          <w:b/>
          <w:bCs/>
        </w:rPr>
      </w:pPr>
      <w:r>
        <w:rPr>
          <w:b/>
          <w:bCs/>
        </w:rPr>
        <w:t>(iv)</w:t>
      </w:r>
      <w:r>
        <w:rPr>
          <w:b/>
          <w:bCs/>
        </w:rPr>
        <w:tab/>
      </w:r>
      <w:r w:rsidR="002455E3" w:rsidRPr="00850045">
        <w:rPr>
          <w:b/>
          <w:bCs/>
        </w:rPr>
        <w:t xml:space="preserve">Putting in place monitoring and reporting </w:t>
      </w:r>
      <w:proofErr w:type="gramStart"/>
      <w:r w:rsidR="002455E3" w:rsidRPr="00850045">
        <w:rPr>
          <w:b/>
          <w:bCs/>
        </w:rPr>
        <w:t>mechanisms</w:t>
      </w:r>
      <w:r w:rsidR="00C54CEA">
        <w:rPr>
          <w:b/>
          <w:bCs/>
        </w:rPr>
        <w:t>;</w:t>
      </w:r>
      <w:proofErr w:type="gramEnd"/>
    </w:p>
    <w:p w14:paraId="1FC3F14E" w14:textId="6AC72EA7" w:rsidR="002455E3" w:rsidRPr="00850045" w:rsidRDefault="00904A1C" w:rsidP="00AA5A11">
      <w:pPr>
        <w:pStyle w:val="Bullet1G"/>
        <w:numPr>
          <w:ilvl w:val="0"/>
          <w:numId w:val="0"/>
        </w:numPr>
        <w:ind w:left="2268"/>
        <w:rPr>
          <w:b/>
          <w:bCs/>
        </w:rPr>
      </w:pPr>
      <w:r>
        <w:rPr>
          <w:b/>
          <w:bCs/>
        </w:rPr>
        <w:lastRenderedPageBreak/>
        <w:t>(v)</w:t>
      </w:r>
      <w:r>
        <w:rPr>
          <w:b/>
          <w:bCs/>
        </w:rPr>
        <w:tab/>
      </w:r>
      <w:r w:rsidR="002455E3" w:rsidRPr="00850045">
        <w:rPr>
          <w:b/>
          <w:bCs/>
        </w:rPr>
        <w:t>Building</w:t>
      </w:r>
      <w:r w:rsidR="002D7F5C">
        <w:rPr>
          <w:b/>
          <w:bCs/>
        </w:rPr>
        <w:t xml:space="preserve"> the</w:t>
      </w:r>
      <w:r w:rsidR="002455E3" w:rsidRPr="00850045">
        <w:rPr>
          <w:b/>
          <w:bCs/>
        </w:rPr>
        <w:t xml:space="preserve"> capacity </w:t>
      </w:r>
      <w:r w:rsidR="002D7F5C">
        <w:rPr>
          <w:b/>
          <w:bCs/>
        </w:rPr>
        <w:t>of</w:t>
      </w:r>
      <w:r w:rsidR="002455E3" w:rsidRPr="00850045">
        <w:rPr>
          <w:b/>
          <w:bCs/>
        </w:rPr>
        <w:t xml:space="preserve"> countries to reach full implementation</w:t>
      </w:r>
      <w:r w:rsidR="00CD6071">
        <w:rPr>
          <w:b/>
          <w:bCs/>
        </w:rPr>
        <w:t>.</w:t>
      </w:r>
    </w:p>
    <w:p w14:paraId="77A4C8F5" w14:textId="171B1A96" w:rsidR="00B14080" w:rsidRPr="00C26B51" w:rsidRDefault="00C26B51" w:rsidP="00AA5A11">
      <w:pPr>
        <w:pStyle w:val="SingleTxtG"/>
        <w:ind w:left="1701"/>
        <w:rPr>
          <w:b/>
          <w:bCs/>
        </w:rPr>
      </w:pPr>
      <w:r w:rsidRPr="00C22E49">
        <w:rPr>
          <w:b/>
          <w:bCs/>
        </w:rPr>
        <w:tab/>
      </w:r>
      <w:r w:rsidR="00E01B20" w:rsidRPr="00C22E49">
        <w:rPr>
          <w:b/>
          <w:bCs/>
        </w:rPr>
        <w:t>(</w:t>
      </w:r>
      <w:r w:rsidR="00BA5AF9" w:rsidRPr="00C22E49">
        <w:rPr>
          <w:b/>
          <w:bCs/>
        </w:rPr>
        <w:t>d</w:t>
      </w:r>
      <w:r w:rsidR="00E01B20" w:rsidRPr="00C22E49">
        <w:rPr>
          <w:b/>
          <w:bCs/>
        </w:rPr>
        <w:t>)</w:t>
      </w:r>
      <w:r w:rsidRPr="00C22E49">
        <w:rPr>
          <w:b/>
          <w:bCs/>
        </w:rPr>
        <w:tab/>
        <w:t>It is</w:t>
      </w:r>
      <w:r w:rsidRPr="00C26B51">
        <w:rPr>
          <w:b/>
          <w:bCs/>
        </w:rPr>
        <w:t xml:space="preserve"> essential to ensure a multi-hazard approach to disaster risk reduction (</w:t>
      </w:r>
      <w:proofErr w:type="gramStart"/>
      <w:r w:rsidRPr="00C26B51">
        <w:rPr>
          <w:b/>
          <w:bCs/>
        </w:rPr>
        <w:t>i.e.</w:t>
      </w:r>
      <w:proofErr w:type="gramEnd"/>
      <w:r w:rsidRPr="00C26B51">
        <w:rPr>
          <w:b/>
          <w:bCs/>
        </w:rPr>
        <w:t xml:space="preserve"> natural and man-made hazards </w:t>
      </w:r>
      <w:r w:rsidR="00484E7C">
        <w:rPr>
          <w:b/>
          <w:bCs/>
        </w:rPr>
        <w:t>to</w:t>
      </w:r>
      <w:r w:rsidRPr="00C26B51">
        <w:rPr>
          <w:b/>
          <w:bCs/>
        </w:rPr>
        <w:t xml:space="preserve"> chemical, biological, technological, environmental hazard risks) and to mainstream technological disaster risk management, among others for hazardous substances involving AN and AN-based fertilizers, into national, local and sectoral plans and strategies in an institutionalized manner. </w:t>
      </w:r>
      <w:r w:rsidR="00420FDB">
        <w:rPr>
          <w:b/>
          <w:bCs/>
        </w:rPr>
        <w:t>L</w:t>
      </w:r>
      <w:r w:rsidRPr="00C26B51">
        <w:rPr>
          <w:b/>
          <w:bCs/>
        </w:rPr>
        <w:t xml:space="preserve">egislation and strong governance </w:t>
      </w:r>
      <w:r w:rsidR="00420FDB">
        <w:rPr>
          <w:b/>
          <w:bCs/>
        </w:rPr>
        <w:t xml:space="preserve">can support. </w:t>
      </w:r>
      <w:r w:rsidR="0056682C">
        <w:rPr>
          <w:b/>
          <w:bCs/>
        </w:rPr>
        <w:t>A</w:t>
      </w:r>
      <w:r w:rsidR="0056682C" w:rsidRPr="00C26B51">
        <w:rPr>
          <w:b/>
          <w:bCs/>
        </w:rPr>
        <w:t xml:space="preserve">ll stakeholders </w:t>
      </w:r>
      <w:r w:rsidR="0056682C">
        <w:rPr>
          <w:b/>
          <w:bCs/>
        </w:rPr>
        <w:t>need to be</w:t>
      </w:r>
      <w:r w:rsidRPr="00C26B51">
        <w:rPr>
          <w:b/>
          <w:bCs/>
        </w:rPr>
        <w:t xml:space="preserve"> involve</w:t>
      </w:r>
      <w:r w:rsidR="0056682C">
        <w:rPr>
          <w:b/>
          <w:bCs/>
        </w:rPr>
        <w:t>d</w:t>
      </w:r>
      <w:r w:rsidRPr="00C26B51">
        <w:rPr>
          <w:b/>
          <w:bCs/>
        </w:rPr>
        <w:t xml:space="preserve">. International organizations, such as UNDRR and UNECE </w:t>
      </w:r>
      <w:r w:rsidR="00D57067">
        <w:rPr>
          <w:b/>
          <w:bCs/>
        </w:rPr>
        <w:t>provide guidance</w:t>
      </w:r>
      <w:r w:rsidR="00015493">
        <w:rPr>
          <w:b/>
          <w:bCs/>
        </w:rPr>
        <w:t xml:space="preserve"> on the</w:t>
      </w:r>
      <w:r w:rsidRPr="00C26B51">
        <w:rPr>
          <w:b/>
          <w:bCs/>
        </w:rPr>
        <w:t xml:space="preserve"> efforts.</w:t>
      </w:r>
    </w:p>
    <w:p w14:paraId="2C1651AD" w14:textId="069195E6" w:rsidR="00227110" w:rsidRPr="00B97B13" w:rsidRDefault="000050D2" w:rsidP="000050D2">
      <w:pPr>
        <w:pStyle w:val="H1G"/>
        <w:keepNext w:val="0"/>
        <w:keepLines w:val="0"/>
      </w:pPr>
      <w:r>
        <w:tab/>
      </w:r>
      <w:r w:rsidR="003D3397">
        <w:t>B</w:t>
      </w:r>
      <w:r w:rsidR="00227110" w:rsidRPr="00B97B13">
        <w:t>.</w:t>
      </w:r>
      <w:r w:rsidR="00227110">
        <w:tab/>
      </w:r>
      <w:r w:rsidR="00227110" w:rsidRPr="00B97B13">
        <w:t>Characteristics of AN and AN-based fertilizers</w:t>
      </w:r>
    </w:p>
    <w:p w14:paraId="40BEDF87" w14:textId="63434F9B" w:rsidR="00B14080" w:rsidRDefault="00B33FDC" w:rsidP="00227110">
      <w:pPr>
        <w:pStyle w:val="SingleTxtG"/>
      </w:pPr>
      <w:r>
        <w:tab/>
        <w:t>2</w:t>
      </w:r>
      <w:r w:rsidR="00B54CD7">
        <w:t>7</w:t>
      </w:r>
      <w:r>
        <w:t>.</w:t>
      </w:r>
      <w:r>
        <w:tab/>
      </w:r>
      <w:r w:rsidR="00227110" w:rsidRPr="00D57A8D">
        <w:t xml:space="preserve">The scientific community has </w:t>
      </w:r>
      <w:r w:rsidR="00295ABF">
        <w:t>signi</w:t>
      </w:r>
      <w:r w:rsidR="006A0056">
        <w:t>ficant</w:t>
      </w:r>
      <w:r w:rsidR="00227110" w:rsidRPr="00D57A8D">
        <w:t xml:space="preserve"> knowledge on AN and AN-based fertilizers, </w:t>
      </w:r>
      <w:r w:rsidR="006A0056">
        <w:t>such as on</w:t>
      </w:r>
      <w:r w:rsidR="00227110" w:rsidRPr="00D57A8D">
        <w:t xml:space="preserve"> their characteristics, types and intrinsic hazards and risks. </w:t>
      </w:r>
      <w:r w:rsidR="00227110">
        <w:t xml:space="preserve">Experts </w:t>
      </w:r>
      <w:r w:rsidR="002A4E98">
        <w:t xml:space="preserve">were </w:t>
      </w:r>
      <w:r w:rsidR="00227110">
        <w:t>present</w:t>
      </w:r>
      <w:r w:rsidR="002A4E98">
        <w:t xml:space="preserve"> at the </w:t>
      </w:r>
      <w:r w:rsidR="002A4E98" w:rsidRPr="00227110">
        <w:t>seminar</w:t>
      </w:r>
      <w:r w:rsidR="002A4E98">
        <w:t xml:space="preserve"> to share </w:t>
      </w:r>
      <w:r w:rsidR="00A52A77">
        <w:t>this</w:t>
      </w:r>
      <w:r w:rsidR="00227110">
        <w:t xml:space="preserve"> knowledge. </w:t>
      </w:r>
      <w:r w:rsidR="00A52A77">
        <w:t>C</w:t>
      </w:r>
      <w:r w:rsidR="00227110">
        <w:t xml:space="preserve">omplemented presentations </w:t>
      </w:r>
      <w:r w:rsidR="00A52A77">
        <w:t xml:space="preserve">were given </w:t>
      </w:r>
      <w:r w:rsidR="00227110">
        <w:t xml:space="preserve">on law, </w:t>
      </w:r>
      <w:proofErr w:type="gramStart"/>
      <w:r w:rsidR="00227110">
        <w:t>policies</w:t>
      </w:r>
      <w:proofErr w:type="gramEnd"/>
      <w:r w:rsidR="00227110">
        <w:t xml:space="preserve"> and good practices in implementation for the safe management of AN and AN-based fertilizers, tak</w:t>
      </w:r>
      <w:r w:rsidR="00091148">
        <w:t>ing</w:t>
      </w:r>
      <w:r w:rsidR="00227110">
        <w:t xml:space="preserve"> into consideration this knowledge </w:t>
      </w:r>
      <w:r w:rsidR="00F16E4B">
        <w:t>in an</w:t>
      </w:r>
      <w:r w:rsidR="00227110">
        <w:t xml:space="preserve"> effective</w:t>
      </w:r>
      <w:r w:rsidR="00F16E4B">
        <w:t xml:space="preserve"> way</w:t>
      </w:r>
      <w:r w:rsidR="00227110">
        <w:t>. The</w:t>
      </w:r>
      <w:r w:rsidR="00227110" w:rsidRPr="00387A45">
        <w:t xml:space="preserve"> conclusions from the seminar include:</w:t>
      </w:r>
    </w:p>
    <w:p w14:paraId="0989124A" w14:textId="2837EF30" w:rsidR="004D3A21" w:rsidRPr="00B2767E" w:rsidRDefault="00C24654" w:rsidP="003D3397">
      <w:pPr>
        <w:pStyle w:val="SingleTxtG"/>
        <w:ind w:left="1701"/>
        <w:rPr>
          <w:b/>
          <w:bCs/>
        </w:rPr>
      </w:pPr>
      <w:r>
        <w:rPr>
          <w:b/>
          <w:bCs/>
        </w:rPr>
        <w:tab/>
      </w:r>
      <w:r w:rsidR="003D3397" w:rsidRPr="00BF6F65">
        <w:rPr>
          <w:b/>
          <w:bCs/>
        </w:rPr>
        <w:t>(a)</w:t>
      </w:r>
      <w:r w:rsidRPr="00BF6F65">
        <w:rPr>
          <w:b/>
          <w:bCs/>
        </w:rPr>
        <w:tab/>
      </w:r>
      <w:r w:rsidR="004D3A21" w:rsidRPr="00B2767E">
        <w:rPr>
          <w:b/>
          <w:bCs/>
        </w:rPr>
        <w:t>Different</w:t>
      </w:r>
      <w:r w:rsidR="008E5C36">
        <w:rPr>
          <w:b/>
          <w:bCs/>
        </w:rPr>
        <w:t>iat</w:t>
      </w:r>
      <w:r w:rsidR="004D3A21" w:rsidRPr="00B2767E">
        <w:rPr>
          <w:b/>
          <w:bCs/>
        </w:rPr>
        <w:t>i</w:t>
      </w:r>
      <w:r w:rsidR="00AE62A1">
        <w:rPr>
          <w:b/>
          <w:bCs/>
        </w:rPr>
        <w:t>on</w:t>
      </w:r>
      <w:r w:rsidR="004D3A21" w:rsidRPr="00B2767E">
        <w:rPr>
          <w:b/>
          <w:bCs/>
        </w:rPr>
        <w:t xml:space="preserve"> between different types of AN and AN-based fertilizers (</w:t>
      </w:r>
      <w:proofErr w:type="gramStart"/>
      <w:r w:rsidR="004D3A21" w:rsidRPr="00B2767E">
        <w:rPr>
          <w:b/>
          <w:bCs/>
        </w:rPr>
        <w:t>e.g.</w:t>
      </w:r>
      <w:proofErr w:type="gramEnd"/>
      <w:r w:rsidR="004D3A21" w:rsidRPr="00B2767E">
        <w:rPr>
          <w:b/>
          <w:bCs/>
        </w:rPr>
        <w:t xml:space="preserve"> fertilizer versus technical grade, and percentage of nitrogen) is essential, because different types entail different hazards and risks</w:t>
      </w:r>
      <w:r w:rsidR="00AE62A1">
        <w:rPr>
          <w:b/>
          <w:bCs/>
        </w:rPr>
        <w:t>,</w:t>
      </w:r>
      <w:r w:rsidR="004D3A21" w:rsidRPr="00B2767E">
        <w:rPr>
          <w:b/>
          <w:bCs/>
        </w:rPr>
        <w:t xml:space="preserve"> and therefore require different safety measures. It is particularly </w:t>
      </w:r>
      <w:r w:rsidR="00AE62A1">
        <w:rPr>
          <w:b/>
          <w:bCs/>
        </w:rPr>
        <w:t>important</w:t>
      </w:r>
      <w:r w:rsidR="004D3A21" w:rsidRPr="00B2767E">
        <w:rPr>
          <w:b/>
          <w:bCs/>
        </w:rPr>
        <w:t xml:space="preserve"> to differentiate between high-density AN, such as fertilizers, and low-density AN, such as explosives. While both products essentially contain AN, their physical forms differ</w:t>
      </w:r>
      <w:r w:rsidR="00022D75">
        <w:rPr>
          <w:b/>
          <w:bCs/>
        </w:rPr>
        <w:t xml:space="preserve"> significantly</w:t>
      </w:r>
      <w:r w:rsidR="004D3A21" w:rsidRPr="00B2767E">
        <w:rPr>
          <w:b/>
          <w:bCs/>
        </w:rPr>
        <w:t>, producing different effects.</w:t>
      </w:r>
    </w:p>
    <w:p w14:paraId="6A8F5B8D" w14:textId="35FE5A06" w:rsidR="004D3A21" w:rsidRPr="00B2767E" w:rsidRDefault="007372E8" w:rsidP="007372E8">
      <w:pPr>
        <w:pStyle w:val="SingleTxtG"/>
        <w:ind w:left="1701"/>
        <w:rPr>
          <w:b/>
          <w:bCs/>
        </w:rPr>
      </w:pPr>
      <w:r>
        <w:rPr>
          <w:b/>
          <w:bCs/>
        </w:rPr>
        <w:t>(b)</w:t>
      </w:r>
      <w:r w:rsidR="00C24654">
        <w:rPr>
          <w:b/>
          <w:bCs/>
        </w:rPr>
        <w:tab/>
      </w:r>
      <w:r w:rsidR="004D3A21" w:rsidRPr="00B2767E">
        <w:rPr>
          <w:b/>
          <w:bCs/>
        </w:rPr>
        <w:t xml:space="preserve">Testing, </w:t>
      </w:r>
      <w:proofErr w:type="gramStart"/>
      <w:r w:rsidR="004D3A21" w:rsidRPr="00B2767E">
        <w:rPr>
          <w:b/>
          <w:bCs/>
        </w:rPr>
        <w:t>classification</w:t>
      </w:r>
      <w:proofErr w:type="gramEnd"/>
      <w:r w:rsidR="004D3A21" w:rsidRPr="00B2767E">
        <w:rPr>
          <w:b/>
          <w:bCs/>
        </w:rPr>
        <w:t xml:space="preserve"> and labelling should be in accordance with </w:t>
      </w:r>
      <w:r w:rsidR="005D2B96">
        <w:rPr>
          <w:b/>
          <w:bCs/>
        </w:rPr>
        <w:t xml:space="preserve">the </w:t>
      </w:r>
      <w:r w:rsidR="004D3A21" w:rsidRPr="00B2767E">
        <w:rPr>
          <w:b/>
          <w:bCs/>
        </w:rPr>
        <w:t xml:space="preserve">applicable internationally agreed on recommendations, </w:t>
      </w:r>
      <w:r w:rsidR="004E43CB">
        <w:rPr>
          <w:b/>
          <w:bCs/>
        </w:rPr>
        <w:t xml:space="preserve">which is </w:t>
      </w:r>
      <w:r w:rsidR="004D3A21" w:rsidRPr="00B2767E">
        <w:rPr>
          <w:b/>
          <w:bCs/>
        </w:rPr>
        <w:t xml:space="preserve">transposed by many countries through their national legislation, in particular the Globally Harmonized System on the Classification and Labelling of Chemicals (GHS) and the Model Regulations on the Transport of Dangerous Goods (TDG). </w:t>
      </w:r>
      <w:r w:rsidR="004E43CB">
        <w:rPr>
          <w:b/>
          <w:bCs/>
        </w:rPr>
        <w:t>Both</w:t>
      </w:r>
      <w:r w:rsidR="004D3A21" w:rsidRPr="00B2767E">
        <w:rPr>
          <w:b/>
          <w:bCs/>
        </w:rPr>
        <w:t xml:space="preserve"> are regularly updated to </w:t>
      </w:r>
      <w:r w:rsidR="004E43CB">
        <w:rPr>
          <w:b/>
          <w:bCs/>
        </w:rPr>
        <w:t>incorporate</w:t>
      </w:r>
      <w:r w:rsidR="004D3A21" w:rsidRPr="00B2767E">
        <w:rPr>
          <w:b/>
          <w:bCs/>
        </w:rPr>
        <w:t xml:space="preserve"> new information</w:t>
      </w:r>
      <w:r w:rsidR="00A14BC3">
        <w:rPr>
          <w:b/>
          <w:bCs/>
        </w:rPr>
        <w:t>,</w:t>
      </w:r>
      <w:r w:rsidR="004D3A21" w:rsidRPr="00B2767E">
        <w:rPr>
          <w:b/>
          <w:bCs/>
        </w:rPr>
        <w:t xml:space="preserve"> and provide a worldwide harmonized approach, thus ensuring </w:t>
      </w:r>
      <w:r w:rsidR="00FB1ED6">
        <w:rPr>
          <w:b/>
          <w:bCs/>
        </w:rPr>
        <w:t>equal</w:t>
      </w:r>
      <w:r w:rsidR="004D3A21" w:rsidRPr="00B2767E">
        <w:rPr>
          <w:b/>
          <w:bCs/>
        </w:rPr>
        <w:t xml:space="preserve"> level of safety for all, when implemented.</w:t>
      </w:r>
    </w:p>
    <w:p w14:paraId="18B812AE" w14:textId="460B9EBA" w:rsidR="004D3A21" w:rsidRPr="00B2767E" w:rsidRDefault="00C24654" w:rsidP="007372E8">
      <w:pPr>
        <w:pStyle w:val="SingleTxtG"/>
        <w:ind w:left="1701"/>
        <w:rPr>
          <w:b/>
          <w:bCs/>
        </w:rPr>
      </w:pPr>
      <w:r>
        <w:rPr>
          <w:b/>
          <w:bCs/>
        </w:rPr>
        <w:tab/>
      </w:r>
      <w:r w:rsidR="007372E8">
        <w:rPr>
          <w:b/>
          <w:bCs/>
        </w:rPr>
        <w:t>(c)</w:t>
      </w:r>
      <w:r>
        <w:rPr>
          <w:b/>
          <w:bCs/>
        </w:rPr>
        <w:tab/>
      </w:r>
      <w:r w:rsidR="004D3A21" w:rsidRPr="00B2767E">
        <w:rPr>
          <w:b/>
          <w:bCs/>
        </w:rPr>
        <w:t xml:space="preserve">Testing, </w:t>
      </w:r>
      <w:proofErr w:type="gramStart"/>
      <w:r w:rsidR="004D3A21" w:rsidRPr="00B2767E">
        <w:rPr>
          <w:b/>
          <w:bCs/>
        </w:rPr>
        <w:t>classification</w:t>
      </w:r>
      <w:proofErr w:type="gramEnd"/>
      <w:r w:rsidR="004D3A21" w:rsidRPr="00B2767E">
        <w:rPr>
          <w:b/>
          <w:bCs/>
        </w:rPr>
        <w:t xml:space="preserve"> and labelling practices require sufficient resourc</w:t>
      </w:r>
      <w:r w:rsidR="00B210C9">
        <w:rPr>
          <w:b/>
          <w:bCs/>
        </w:rPr>
        <w:t>es,</w:t>
      </w:r>
      <w:r w:rsidR="004D3A21" w:rsidRPr="00B2767E">
        <w:rPr>
          <w:b/>
          <w:bCs/>
        </w:rPr>
        <w:t xml:space="preserve"> and </w:t>
      </w:r>
      <w:r w:rsidR="00A13901">
        <w:rPr>
          <w:b/>
          <w:bCs/>
        </w:rPr>
        <w:t xml:space="preserve">the </w:t>
      </w:r>
      <w:r w:rsidR="00190931" w:rsidRPr="00B2767E">
        <w:rPr>
          <w:b/>
          <w:bCs/>
        </w:rPr>
        <w:t xml:space="preserve">proper training and tools </w:t>
      </w:r>
      <w:r w:rsidR="004D3A21" w:rsidRPr="00B2767E">
        <w:rPr>
          <w:b/>
          <w:bCs/>
        </w:rPr>
        <w:t xml:space="preserve">for those conducting </w:t>
      </w:r>
      <w:r w:rsidR="00A13901">
        <w:rPr>
          <w:b/>
          <w:bCs/>
        </w:rPr>
        <w:t xml:space="preserve">the </w:t>
      </w:r>
      <w:r w:rsidR="004D3A21" w:rsidRPr="00B2767E">
        <w:rPr>
          <w:b/>
          <w:bCs/>
        </w:rPr>
        <w:t>tests.</w:t>
      </w:r>
    </w:p>
    <w:p w14:paraId="68B16A9C" w14:textId="3EFF6B85" w:rsidR="004D3A21" w:rsidRPr="00B2767E" w:rsidRDefault="00C24654" w:rsidP="007372E8">
      <w:pPr>
        <w:pStyle w:val="SingleTxtG"/>
        <w:ind w:left="1701"/>
        <w:rPr>
          <w:b/>
          <w:bCs/>
        </w:rPr>
      </w:pPr>
      <w:r>
        <w:rPr>
          <w:b/>
          <w:bCs/>
        </w:rPr>
        <w:tab/>
      </w:r>
      <w:r w:rsidR="007372E8">
        <w:rPr>
          <w:b/>
          <w:bCs/>
        </w:rPr>
        <w:t>(d)</w:t>
      </w:r>
      <w:r>
        <w:rPr>
          <w:b/>
          <w:bCs/>
        </w:rPr>
        <w:tab/>
      </w:r>
      <w:r w:rsidR="004D3A21" w:rsidRPr="00B2767E">
        <w:rPr>
          <w:b/>
          <w:bCs/>
        </w:rPr>
        <w:t xml:space="preserve">Hazardous substances, including AN and AN-based fertilizers, should be inventoried at storage sites and in port areas so </w:t>
      </w:r>
      <w:r w:rsidR="00C65B25">
        <w:rPr>
          <w:b/>
          <w:bCs/>
        </w:rPr>
        <w:t xml:space="preserve">that </w:t>
      </w:r>
      <w:r w:rsidR="004D3A21" w:rsidRPr="00B2767E">
        <w:rPr>
          <w:b/>
          <w:bCs/>
        </w:rPr>
        <w:t>authorities, inspectors, operators, workers and responders know what is stored</w:t>
      </w:r>
      <w:r w:rsidR="00C65B25">
        <w:rPr>
          <w:b/>
          <w:bCs/>
        </w:rPr>
        <w:t xml:space="preserve">, and </w:t>
      </w:r>
      <w:r w:rsidR="004D3A21" w:rsidRPr="00B2767E">
        <w:rPr>
          <w:b/>
          <w:bCs/>
        </w:rPr>
        <w:t xml:space="preserve">where and how multiple hazardous substance could interact or react </w:t>
      </w:r>
      <w:r w:rsidR="00133A42" w:rsidRPr="00B2767E">
        <w:rPr>
          <w:b/>
          <w:bCs/>
        </w:rPr>
        <w:t xml:space="preserve">to </w:t>
      </w:r>
      <w:proofErr w:type="gramStart"/>
      <w:r w:rsidR="004D3A21" w:rsidRPr="00B2767E">
        <w:rPr>
          <w:b/>
          <w:bCs/>
        </w:rPr>
        <w:t>e.g.</w:t>
      </w:r>
      <w:proofErr w:type="gramEnd"/>
      <w:r w:rsidR="004D3A21" w:rsidRPr="00B2767E">
        <w:rPr>
          <w:b/>
          <w:bCs/>
        </w:rPr>
        <w:t xml:space="preserve"> fires </w:t>
      </w:r>
      <w:r w:rsidR="00133A42">
        <w:rPr>
          <w:b/>
          <w:bCs/>
        </w:rPr>
        <w:t>or</w:t>
      </w:r>
      <w:r w:rsidR="004D3A21" w:rsidRPr="00B2767E">
        <w:rPr>
          <w:b/>
          <w:bCs/>
        </w:rPr>
        <w:t xml:space="preserve"> heat.</w:t>
      </w:r>
    </w:p>
    <w:p w14:paraId="7953D4DC" w14:textId="6ABAC005" w:rsidR="004D3A21" w:rsidRPr="00B2767E" w:rsidRDefault="00C24654" w:rsidP="007372E8">
      <w:pPr>
        <w:pStyle w:val="SingleTxtG"/>
        <w:ind w:left="1701"/>
        <w:rPr>
          <w:b/>
          <w:bCs/>
        </w:rPr>
      </w:pPr>
      <w:r>
        <w:rPr>
          <w:b/>
          <w:bCs/>
        </w:rPr>
        <w:tab/>
      </w:r>
      <w:r w:rsidR="007372E8">
        <w:rPr>
          <w:b/>
          <w:bCs/>
        </w:rPr>
        <w:t>(e)</w:t>
      </w:r>
      <w:r>
        <w:rPr>
          <w:b/>
          <w:bCs/>
        </w:rPr>
        <w:tab/>
      </w:r>
      <w:r w:rsidR="004D3A21" w:rsidRPr="00B2767E">
        <w:rPr>
          <w:b/>
          <w:bCs/>
        </w:rPr>
        <w:t xml:space="preserve">Educating and training those </w:t>
      </w:r>
      <w:r w:rsidR="00D010B3" w:rsidRPr="00B2767E">
        <w:rPr>
          <w:b/>
          <w:bCs/>
        </w:rPr>
        <w:t>(</w:t>
      </w:r>
      <w:proofErr w:type="gramStart"/>
      <w:r w:rsidR="00D010B3" w:rsidRPr="00B2767E">
        <w:rPr>
          <w:b/>
          <w:bCs/>
        </w:rPr>
        <w:t>e.g.</w:t>
      </w:r>
      <w:proofErr w:type="gramEnd"/>
      <w:r w:rsidR="00D010B3" w:rsidRPr="00B2767E">
        <w:rPr>
          <w:b/>
          <w:bCs/>
        </w:rPr>
        <w:t xml:space="preserve"> staff of authorities, workers) </w:t>
      </w:r>
      <w:r w:rsidR="004D3A21" w:rsidRPr="00B2767E">
        <w:rPr>
          <w:b/>
          <w:bCs/>
        </w:rPr>
        <w:t xml:space="preserve">who handle and transport AN and AN-based fertilizers and </w:t>
      </w:r>
      <w:r w:rsidR="00D010B3">
        <w:rPr>
          <w:b/>
          <w:bCs/>
        </w:rPr>
        <w:t xml:space="preserve">who </w:t>
      </w:r>
      <w:r w:rsidR="004D3A21" w:rsidRPr="00B2767E">
        <w:rPr>
          <w:b/>
          <w:bCs/>
        </w:rPr>
        <w:t xml:space="preserve">respond to related accidents (e.g. firefighters) on the characteristics and types of AN and AN-based fertilizers and their hazards and risks is essential </w:t>
      </w:r>
      <w:r w:rsidR="004D3A21" w:rsidRPr="00BF6F65">
        <w:t xml:space="preserve">(see </w:t>
      </w:r>
      <w:r w:rsidR="009E65FB">
        <w:t xml:space="preserve">Section </w:t>
      </w:r>
      <w:r w:rsidR="00D82215">
        <w:t>IV.G.</w:t>
      </w:r>
      <w:r w:rsidR="004D3A21" w:rsidRPr="00BF6F65">
        <w:t xml:space="preserve"> below). Too many firefighters – in addition to too many members of the public – have lost their lives in accidents involving AN, </w:t>
      </w:r>
      <w:proofErr w:type="gramStart"/>
      <w:r w:rsidR="00FB7FE2">
        <w:t>e.g.</w:t>
      </w:r>
      <w:proofErr w:type="gramEnd"/>
      <w:r w:rsidR="004D3A21" w:rsidRPr="00BF6F65">
        <w:t xml:space="preserve"> in Beirut (2020), Tianjin, China (2015) and West Fertilizer, United States (2013), going in to extinguish a fire</w:t>
      </w:r>
      <w:r w:rsidR="00837E75">
        <w:t xml:space="preserve">. They were </w:t>
      </w:r>
      <w:r w:rsidR="004D3A21" w:rsidRPr="00BF6F65">
        <w:t xml:space="preserve">not aware of the imminent </w:t>
      </w:r>
      <w:proofErr w:type="gramStart"/>
      <w:r w:rsidR="004D3A21" w:rsidRPr="00BF6F65">
        <w:t>explosion</w:t>
      </w:r>
      <w:proofErr w:type="gramEnd"/>
      <w:r w:rsidR="004D3A21" w:rsidRPr="00BF6F65">
        <w:t xml:space="preserve"> </w:t>
      </w:r>
      <w:r w:rsidR="00837E75">
        <w:t xml:space="preserve">nor that </w:t>
      </w:r>
      <w:r w:rsidR="004D3A21" w:rsidRPr="00BF6F65">
        <w:t>sufficient knowledge is available to avoid such tragedies.</w:t>
      </w:r>
    </w:p>
    <w:p w14:paraId="13B4DABD" w14:textId="02F3F110" w:rsidR="00471384" w:rsidRPr="00B97B13" w:rsidRDefault="000E6CD3" w:rsidP="0086296D">
      <w:pPr>
        <w:pStyle w:val="H1G"/>
      </w:pPr>
      <w:r>
        <w:lastRenderedPageBreak/>
        <w:tab/>
      </w:r>
      <w:r w:rsidR="00057788">
        <w:t>C</w:t>
      </w:r>
      <w:r w:rsidR="00471384" w:rsidRPr="00B97B13">
        <w:t>.</w:t>
      </w:r>
      <w:r w:rsidR="00471384">
        <w:tab/>
      </w:r>
      <w:r w:rsidR="00471384" w:rsidRPr="00B97B13">
        <w:t>Lessons learned from Beirut and previous accidents</w:t>
      </w:r>
    </w:p>
    <w:p w14:paraId="1C384BEB" w14:textId="0A5F3B2B" w:rsidR="00471384" w:rsidRPr="001716BD" w:rsidRDefault="00B33FDC" w:rsidP="0086296D">
      <w:pPr>
        <w:pStyle w:val="SingleTxtG"/>
        <w:keepNext/>
        <w:keepLines/>
      </w:pPr>
      <w:r>
        <w:tab/>
        <w:t>2</w:t>
      </w:r>
      <w:r w:rsidR="00D85F1E">
        <w:t>8</w:t>
      </w:r>
      <w:r>
        <w:t>.</w:t>
      </w:r>
      <w:r>
        <w:tab/>
      </w:r>
      <w:r w:rsidR="00471384">
        <w:t>The Beirut</w:t>
      </w:r>
      <w:r w:rsidR="00471384" w:rsidRPr="00F61302">
        <w:t xml:space="preserve"> port</w:t>
      </w:r>
      <w:r w:rsidR="00471384">
        <w:t xml:space="preserve"> explosion</w:t>
      </w:r>
      <w:r w:rsidR="00471384" w:rsidRPr="00F61302">
        <w:t xml:space="preserve"> </w:t>
      </w:r>
      <w:r w:rsidR="00D87353">
        <w:t>showed</w:t>
      </w:r>
      <w:r w:rsidR="00471384" w:rsidRPr="00F61302">
        <w:t xml:space="preserve"> once again the importance of </w:t>
      </w:r>
      <w:r w:rsidR="00471384">
        <w:t xml:space="preserve">applying and </w:t>
      </w:r>
      <w:r w:rsidR="00471384" w:rsidRPr="00F61302">
        <w:t xml:space="preserve">complying with the </w:t>
      </w:r>
      <w:r w:rsidR="00471384">
        <w:t>international legal and policy</w:t>
      </w:r>
      <w:r w:rsidR="00471384" w:rsidRPr="00F61302">
        <w:t xml:space="preserve"> instruments</w:t>
      </w:r>
      <w:r w:rsidR="00471384">
        <w:t xml:space="preserve">, existing </w:t>
      </w:r>
      <w:proofErr w:type="gramStart"/>
      <w:r w:rsidR="00471384">
        <w:t>guidance</w:t>
      </w:r>
      <w:proofErr w:type="gramEnd"/>
      <w:r w:rsidR="00471384">
        <w:t xml:space="preserve"> and good practices, and to apply widely available knowledge. Several countries reported on</w:t>
      </w:r>
      <w:r w:rsidR="007E60A7">
        <w:t xml:space="preserve"> the</w:t>
      </w:r>
      <w:r w:rsidR="00471384">
        <w:t xml:space="preserve"> lessons learned from accidents: </w:t>
      </w:r>
      <w:r w:rsidR="009D5411">
        <w:t>a</w:t>
      </w:r>
      <w:r w:rsidR="00471384">
        <w:t xml:space="preserve"> representative of the National Disaster Risk Management authority of </w:t>
      </w:r>
      <w:r w:rsidR="00471384" w:rsidRPr="001716BD">
        <w:t xml:space="preserve">Lebanon stated that the Beirut port explosion has lessons learned </w:t>
      </w:r>
      <w:r w:rsidR="00471384">
        <w:t xml:space="preserve">not only for Lebanon, but </w:t>
      </w:r>
      <w:r w:rsidR="00471384" w:rsidRPr="001716BD">
        <w:t xml:space="preserve">for the world at large on good governance, handling hazardous materials, prevention, </w:t>
      </w:r>
      <w:proofErr w:type="gramStart"/>
      <w:r w:rsidR="00471384" w:rsidRPr="001716BD">
        <w:t>preparedness</w:t>
      </w:r>
      <w:proofErr w:type="gramEnd"/>
      <w:r w:rsidR="00471384" w:rsidRPr="001716BD">
        <w:t xml:space="preserve"> and response. </w:t>
      </w:r>
      <w:r w:rsidR="00674023">
        <w:t>S</w:t>
      </w:r>
      <w:r w:rsidR="00471384" w:rsidRPr="001716BD">
        <w:t xml:space="preserve">pecifically, </w:t>
      </w:r>
      <w:r w:rsidR="00471384">
        <w:t>he</w:t>
      </w:r>
      <w:r w:rsidR="00471384" w:rsidRPr="001716BD">
        <w:t xml:space="preserve"> </w:t>
      </w:r>
      <w:r w:rsidR="001E6D0F">
        <w:t>noted</w:t>
      </w:r>
      <w:r w:rsidR="00471384">
        <w:t xml:space="preserve"> the following points</w:t>
      </w:r>
      <w:r w:rsidR="00471384" w:rsidRPr="001716BD">
        <w:t>:</w:t>
      </w:r>
    </w:p>
    <w:p w14:paraId="6EBECE97" w14:textId="470C6C20" w:rsidR="000103B6" w:rsidRPr="00B51DF4" w:rsidRDefault="000103B6" w:rsidP="00C64C93">
      <w:pPr>
        <w:pStyle w:val="SingleTxtG"/>
        <w:ind w:left="1701"/>
      </w:pPr>
      <w:r>
        <w:rPr>
          <w:b/>
          <w:bCs/>
        </w:rPr>
        <w:tab/>
      </w:r>
      <w:r w:rsidR="00C64C93">
        <w:rPr>
          <w:b/>
          <w:bCs/>
        </w:rPr>
        <w:t>(a)</w:t>
      </w:r>
      <w:r>
        <w:rPr>
          <w:b/>
          <w:bCs/>
        </w:rPr>
        <w:tab/>
      </w:r>
      <w:r w:rsidRPr="00B51DF4">
        <w:rPr>
          <w:b/>
          <w:bCs/>
        </w:rPr>
        <w:t>Good governance is essential.</w:t>
      </w:r>
      <w:r w:rsidRPr="00C3095F">
        <w:t xml:space="preserve"> </w:t>
      </w:r>
      <w:r>
        <w:t xml:space="preserve">Lebanon </w:t>
      </w:r>
      <w:r w:rsidR="001E6D0F">
        <w:t>wa</w:t>
      </w:r>
      <w:r>
        <w:t xml:space="preserve">s in the final phase of completing its National DRR strategy, </w:t>
      </w:r>
      <w:r w:rsidR="00C93822">
        <w:t xml:space="preserve">that is </w:t>
      </w:r>
      <w:r>
        <w:t xml:space="preserve">to be adopted and subsequently implemented, </w:t>
      </w:r>
      <w:r w:rsidR="00BF2AC3">
        <w:t xml:space="preserve">which </w:t>
      </w:r>
      <w:r>
        <w:t>seek</w:t>
      </w:r>
      <w:r w:rsidR="00BF2AC3">
        <w:t>s</w:t>
      </w:r>
      <w:r>
        <w:t xml:space="preserve"> to save lives, </w:t>
      </w:r>
      <w:proofErr w:type="gramStart"/>
      <w:r>
        <w:t>assets</w:t>
      </w:r>
      <w:proofErr w:type="gramEnd"/>
      <w:r>
        <w:t xml:space="preserve"> and development gains.</w:t>
      </w:r>
    </w:p>
    <w:p w14:paraId="29085CFC" w14:textId="0DC867AA" w:rsidR="000103B6" w:rsidRPr="00B51DF4" w:rsidRDefault="000103B6" w:rsidP="00C64C93">
      <w:pPr>
        <w:pStyle w:val="SingleTxtG"/>
        <w:ind w:left="1701"/>
        <w:rPr>
          <w:b/>
          <w:bCs/>
        </w:rPr>
      </w:pPr>
      <w:r>
        <w:rPr>
          <w:b/>
          <w:bCs/>
        </w:rPr>
        <w:tab/>
      </w:r>
      <w:r w:rsidR="00C64C93">
        <w:rPr>
          <w:b/>
          <w:bCs/>
        </w:rPr>
        <w:t>(b)</w:t>
      </w:r>
      <w:r>
        <w:rPr>
          <w:b/>
          <w:bCs/>
        </w:rPr>
        <w:tab/>
      </w:r>
      <w:r w:rsidRPr="00B51DF4">
        <w:rPr>
          <w:b/>
          <w:bCs/>
        </w:rPr>
        <w:t xml:space="preserve">Having good preparedness and response plans in place pays off when disaster strikes. </w:t>
      </w:r>
      <w:r w:rsidRPr="00B51DF4">
        <w:t xml:space="preserve">In addition to </w:t>
      </w:r>
      <w:r w:rsidR="004D64FE">
        <w:t xml:space="preserve">the </w:t>
      </w:r>
      <w:r w:rsidRPr="00B51DF4">
        <w:t xml:space="preserve">efforts </w:t>
      </w:r>
      <w:r w:rsidR="004D64FE">
        <w:t>of</w:t>
      </w:r>
      <w:r w:rsidRPr="00B51DF4">
        <w:t xml:space="preserve"> national authorities, </w:t>
      </w:r>
      <w:r w:rsidRPr="00F64364">
        <w:t>the role</w:t>
      </w:r>
      <w:r>
        <w:t>s</w:t>
      </w:r>
      <w:r w:rsidRPr="00F64364">
        <w:t xml:space="preserve"> of local level authorities and cit</w:t>
      </w:r>
      <w:r>
        <w:t>y administrations are essential. D</w:t>
      </w:r>
      <w:r w:rsidRPr="008235ED">
        <w:t>isasters always start at the local level</w:t>
      </w:r>
      <w:r>
        <w:t xml:space="preserve">; it is </w:t>
      </w:r>
      <w:r w:rsidRPr="00B51DF4">
        <w:rPr>
          <w:b/>
          <w:bCs/>
        </w:rPr>
        <w:t>important to have local level prevention, preparedness and response systems and plans in place</w:t>
      </w:r>
      <w:r w:rsidRPr="0044173D">
        <w:rPr>
          <w:b/>
          <w:bCs/>
        </w:rPr>
        <w:t xml:space="preserve"> and to test them.</w:t>
      </w:r>
    </w:p>
    <w:p w14:paraId="40E3F934" w14:textId="49285591" w:rsidR="000103B6" w:rsidRDefault="000103B6" w:rsidP="00C64C93">
      <w:pPr>
        <w:pStyle w:val="SingleTxtG"/>
        <w:ind w:left="1701"/>
      </w:pPr>
      <w:r>
        <w:tab/>
      </w:r>
      <w:r w:rsidR="00C64C93">
        <w:t>(c)</w:t>
      </w:r>
      <w:r>
        <w:tab/>
      </w:r>
      <w:r w:rsidR="00F54FB3">
        <w:t>E</w:t>
      </w:r>
      <w:r>
        <w:t xml:space="preserve">xperts </w:t>
      </w:r>
      <w:r w:rsidR="00F54FB3">
        <w:t>must be involved</w:t>
      </w:r>
      <w:r>
        <w:t xml:space="preserve"> in </w:t>
      </w:r>
      <w:r w:rsidR="00084E6D">
        <w:t xml:space="preserve">the </w:t>
      </w:r>
      <w:r>
        <w:t xml:space="preserve">response and </w:t>
      </w:r>
      <w:r w:rsidR="00237E6A">
        <w:t xml:space="preserve">the </w:t>
      </w:r>
      <w:r>
        <w:t>humanitarian efforts is important for s</w:t>
      </w:r>
      <w:r w:rsidRPr="00C3777C">
        <w:t>afety</w:t>
      </w:r>
      <w:r>
        <w:t>, as some debris from the explosion was found to be hazardous and harmful to volunteers working immediately after.</w:t>
      </w:r>
    </w:p>
    <w:p w14:paraId="3F5744DA" w14:textId="112016A3" w:rsidR="00DA4911" w:rsidRPr="005515E1" w:rsidRDefault="00DA4911" w:rsidP="00C64C93">
      <w:pPr>
        <w:pStyle w:val="SingleTxtG"/>
        <w:ind w:left="1701"/>
      </w:pPr>
      <w:r>
        <w:tab/>
      </w:r>
      <w:r w:rsidR="00C64C93">
        <w:t>(d)</w:t>
      </w:r>
      <w:r>
        <w:tab/>
        <w:t>K</w:t>
      </w:r>
      <w:r w:rsidRPr="00444FB4">
        <w:t>eep</w:t>
      </w:r>
      <w:r>
        <w:t>ing</w:t>
      </w:r>
      <w:r w:rsidRPr="00444FB4">
        <w:t xml:space="preserve"> track of </w:t>
      </w:r>
      <w:r>
        <w:t xml:space="preserve">all </w:t>
      </w:r>
      <w:r w:rsidRPr="00444FB4">
        <w:t>response actions</w:t>
      </w:r>
      <w:r>
        <w:t xml:space="preserve"> is essential, in cooperation with all actors (national, including army forces and international assistance)</w:t>
      </w:r>
      <w:r w:rsidR="00CC0957">
        <w:t xml:space="preserve">. </w:t>
      </w:r>
      <w:r w:rsidR="000F02AD">
        <w:t>A</w:t>
      </w:r>
      <w:r w:rsidRPr="005515E1">
        <w:t xml:space="preserve"> response framework and </w:t>
      </w:r>
      <w:r w:rsidR="000F02AD">
        <w:t>standard</w:t>
      </w:r>
      <w:r w:rsidRPr="005515E1">
        <w:t xml:space="preserve"> situation reports</w:t>
      </w:r>
      <w:r w:rsidR="000F02AD">
        <w:t xml:space="preserve"> are essent</w:t>
      </w:r>
      <w:r w:rsidR="00C12A23">
        <w:t>ial</w:t>
      </w:r>
      <w:r>
        <w:t>.</w:t>
      </w:r>
    </w:p>
    <w:p w14:paraId="11F92CAD" w14:textId="5570020E" w:rsidR="00DA4911" w:rsidRPr="005515E1" w:rsidRDefault="00DA4911" w:rsidP="00C64C93">
      <w:pPr>
        <w:pStyle w:val="SingleTxtG"/>
        <w:ind w:left="1701"/>
      </w:pPr>
      <w:r>
        <w:tab/>
      </w:r>
      <w:r w:rsidR="00C64C93">
        <w:t>(e)</w:t>
      </w:r>
      <w:r>
        <w:tab/>
        <w:t xml:space="preserve">Having realistic disaster drills and underground hospital functions is </w:t>
      </w:r>
      <w:r w:rsidR="00ED1C56">
        <w:t xml:space="preserve">also </w:t>
      </w:r>
      <w:r>
        <w:t xml:space="preserve">essential; </w:t>
      </w:r>
      <w:r w:rsidR="00786234">
        <w:t xml:space="preserve">the </w:t>
      </w:r>
      <w:r>
        <w:t xml:space="preserve">hospitals in Beirut </w:t>
      </w:r>
      <w:r w:rsidR="00786234">
        <w:t>were</w:t>
      </w:r>
      <w:r>
        <w:t xml:space="preserve"> overwhelmed after the explosion.</w:t>
      </w:r>
    </w:p>
    <w:p w14:paraId="1F339548" w14:textId="10688C66" w:rsidR="00DA4911" w:rsidRDefault="00DA4911" w:rsidP="00C64C93">
      <w:pPr>
        <w:pStyle w:val="SingleTxtG"/>
        <w:ind w:left="1701"/>
      </w:pPr>
      <w:r>
        <w:tab/>
      </w:r>
      <w:r w:rsidR="00C64C93">
        <w:t>(f)</w:t>
      </w:r>
      <w:r>
        <w:tab/>
        <w:t>International support and assistance can alleviate national efforts – the support rendered from the EU, UNEP/OCHA Joint Environment Unit and UNDP, following the Beirut port explosion, was essential.</w:t>
      </w:r>
    </w:p>
    <w:p w14:paraId="18F2B9FC" w14:textId="153E7B17" w:rsidR="00DA4911" w:rsidRDefault="00DA4911" w:rsidP="00C64C93">
      <w:pPr>
        <w:pStyle w:val="SingleTxtG"/>
        <w:ind w:left="1701"/>
      </w:pPr>
      <w:r>
        <w:tab/>
      </w:r>
      <w:r w:rsidR="00C64C93">
        <w:t>(g)</w:t>
      </w:r>
      <w:r>
        <w:tab/>
        <w:t xml:space="preserve">Mutual </w:t>
      </w:r>
      <w:r w:rsidR="00D06973">
        <w:t xml:space="preserve">sharing of </w:t>
      </w:r>
      <w:r>
        <w:t>lessons and experience</w:t>
      </w:r>
      <w:r w:rsidR="00522591">
        <w:t>s</w:t>
      </w:r>
      <w:r>
        <w:t xml:space="preserve"> are important, support</w:t>
      </w:r>
      <w:r w:rsidR="00522591">
        <w:t xml:space="preserve"> the</w:t>
      </w:r>
      <w:r>
        <w:t xml:space="preserve"> efforts to enhance safety, develop and implement related legal and policy instruments and plans.</w:t>
      </w:r>
    </w:p>
    <w:p w14:paraId="53491C76" w14:textId="5CB5DF4C" w:rsidR="00301DCC" w:rsidRDefault="00B33FDC" w:rsidP="00366643">
      <w:pPr>
        <w:pStyle w:val="SingleTxtG"/>
      </w:pPr>
      <w:r>
        <w:t>2</w:t>
      </w:r>
      <w:r w:rsidR="00160982">
        <w:t>9</w:t>
      </w:r>
      <w:r>
        <w:t>.</w:t>
      </w:r>
      <w:r>
        <w:tab/>
      </w:r>
      <w:r w:rsidR="00366643" w:rsidRPr="00B51DF4">
        <w:t xml:space="preserve">The </w:t>
      </w:r>
      <w:r w:rsidR="00366643" w:rsidRPr="00C64489">
        <w:t>JRC</w:t>
      </w:r>
      <w:r w:rsidR="00366643" w:rsidRPr="00B51DF4">
        <w:t xml:space="preserve"> presented </w:t>
      </w:r>
      <w:r w:rsidR="00366643">
        <w:t xml:space="preserve">its </w:t>
      </w:r>
      <w:r w:rsidR="00366643" w:rsidRPr="00B51DF4">
        <w:t xml:space="preserve">analysis from </w:t>
      </w:r>
      <w:r w:rsidR="00150368">
        <w:t xml:space="preserve">a </w:t>
      </w:r>
      <w:r w:rsidR="00366643" w:rsidRPr="00B51DF4">
        <w:t>review</w:t>
      </w:r>
      <w:r w:rsidR="00150368">
        <w:t xml:space="preserve"> of</w:t>
      </w:r>
      <w:r w:rsidR="00366643" w:rsidRPr="00B51DF4">
        <w:t xml:space="preserve"> 23 past accidents involving AN or AN-based fertilizers.</w:t>
      </w:r>
      <w:r w:rsidR="00366643" w:rsidRPr="00C64489">
        <w:t xml:space="preserve"> It referred to contributing factors of three of these accidents, some of which were not taken into consideration to prevent later accidents. The JRC</w:t>
      </w:r>
      <w:r w:rsidR="00366643">
        <w:t xml:space="preserve"> also</w:t>
      </w:r>
      <w:r w:rsidR="00366643" w:rsidRPr="00C64489">
        <w:t xml:space="preserve"> outlined the below key lessons learned </w:t>
      </w:r>
      <w:r w:rsidR="00366643" w:rsidRPr="00366643">
        <w:t>from</w:t>
      </w:r>
      <w:r w:rsidR="00366643" w:rsidRPr="00C64489">
        <w:t xml:space="preserve"> the accidents analysed, including </w:t>
      </w:r>
      <w:r w:rsidR="00366643" w:rsidRPr="00830B65">
        <w:t>inter alia:</w:t>
      </w:r>
    </w:p>
    <w:p w14:paraId="6F1F9F60" w14:textId="448A7388" w:rsidR="00AF283B" w:rsidRDefault="00AF283B" w:rsidP="00CA585F">
      <w:pPr>
        <w:pStyle w:val="SingleTxtG"/>
        <w:ind w:left="1701"/>
      </w:pPr>
      <w:r>
        <w:tab/>
      </w:r>
      <w:r w:rsidR="00BE0F1E">
        <w:t>(a)</w:t>
      </w:r>
      <w:r>
        <w:tab/>
        <w:t xml:space="preserve">Proper storage and handling practices </w:t>
      </w:r>
      <w:r w:rsidR="00DA58C2">
        <w:t>could</w:t>
      </w:r>
      <w:r>
        <w:t xml:space="preserve"> avoid contamination</w:t>
      </w:r>
      <w:r w:rsidR="00F409A6">
        <w:t>.</w:t>
      </w:r>
    </w:p>
    <w:p w14:paraId="2B3211B3" w14:textId="0C38FD00" w:rsidR="00AF283B" w:rsidRDefault="00AF283B" w:rsidP="00CA585F">
      <w:pPr>
        <w:pStyle w:val="SingleTxtG"/>
        <w:ind w:left="1701"/>
      </w:pPr>
      <w:r>
        <w:tab/>
      </w:r>
      <w:r w:rsidR="00BE0F1E">
        <w:t>(b)</w:t>
      </w:r>
      <w:r>
        <w:tab/>
        <w:t xml:space="preserve">Avoid </w:t>
      </w:r>
      <w:r w:rsidR="00DE5DC2">
        <w:t>sources of</w:t>
      </w:r>
      <w:r>
        <w:t xml:space="preserve"> ignition </w:t>
      </w:r>
      <w:r w:rsidR="006523A9">
        <w:t xml:space="preserve">in proximity of </w:t>
      </w:r>
      <w:r>
        <w:t>fertilizer piles</w:t>
      </w:r>
      <w:r w:rsidR="00F409A6">
        <w:t>.</w:t>
      </w:r>
    </w:p>
    <w:p w14:paraId="3ADDC231" w14:textId="39FE33C8" w:rsidR="00AF283B" w:rsidRDefault="00BE0F1E" w:rsidP="00CA585F">
      <w:pPr>
        <w:pStyle w:val="SingleTxtG"/>
        <w:ind w:left="1701"/>
      </w:pPr>
      <w:r>
        <w:t>(c)</w:t>
      </w:r>
      <w:r w:rsidR="00AF283B">
        <w:tab/>
        <w:t>Ensure appropriate preparedness measures (</w:t>
      </w:r>
      <w:proofErr w:type="gramStart"/>
      <w:r w:rsidR="00AF283B">
        <w:t>e.g.</w:t>
      </w:r>
      <w:proofErr w:type="gramEnd"/>
      <w:r w:rsidR="00AF283B">
        <w:t xml:space="preserve"> effective fire detection </w:t>
      </w:r>
      <w:r w:rsidR="00E13D6C">
        <w:t xml:space="preserve">systems </w:t>
      </w:r>
      <w:r w:rsidR="00AF283B">
        <w:t>and extinguishing practices)</w:t>
      </w:r>
      <w:r w:rsidR="00F409A6">
        <w:t>.</w:t>
      </w:r>
    </w:p>
    <w:p w14:paraId="686F942F" w14:textId="1A90013D" w:rsidR="00AF283B" w:rsidRDefault="00BE0F1E" w:rsidP="00CA585F">
      <w:pPr>
        <w:pStyle w:val="SingleTxtG"/>
        <w:ind w:left="1701"/>
      </w:pPr>
      <w:r>
        <w:t>(d)</w:t>
      </w:r>
      <w:r w:rsidR="00AF283B">
        <w:tab/>
        <w:t xml:space="preserve">Hazard and risk assessments and inspection practices should include all AN </w:t>
      </w:r>
      <w:proofErr w:type="gramStart"/>
      <w:r w:rsidR="00AF283B">
        <w:t>products</w:t>
      </w:r>
      <w:proofErr w:type="gramEnd"/>
      <w:r w:rsidR="00AF283B">
        <w:t xml:space="preserve"> </w:t>
      </w:r>
      <w:r w:rsidR="00D303EE">
        <w:t>so as</w:t>
      </w:r>
      <w:r w:rsidR="00AF283B">
        <w:t xml:space="preserve"> to overlook </w:t>
      </w:r>
      <w:r w:rsidR="00552D56">
        <w:t>“</w:t>
      </w:r>
      <w:r w:rsidR="00AF283B">
        <w:t>off-specs</w:t>
      </w:r>
      <w:r w:rsidR="00552D56">
        <w:t>”</w:t>
      </w:r>
      <w:r w:rsidR="00AF283B">
        <w:t xml:space="preserve"> products</w:t>
      </w:r>
      <w:r w:rsidR="00F409A6">
        <w:t>.</w:t>
      </w:r>
    </w:p>
    <w:p w14:paraId="1B94CCBB" w14:textId="48442D32" w:rsidR="00AF283B" w:rsidRDefault="00BE0F1E" w:rsidP="00CA585F">
      <w:pPr>
        <w:pStyle w:val="SingleTxtG"/>
        <w:ind w:left="1701"/>
      </w:pPr>
      <w:r>
        <w:t>(e)</w:t>
      </w:r>
      <w:r w:rsidR="00AF283B">
        <w:tab/>
        <w:t>Awareness of risks and hazards associated with ammonium nitrate among operators may be more widespread than originally thought</w:t>
      </w:r>
      <w:r w:rsidR="00F409A6">
        <w:t>.</w:t>
      </w:r>
    </w:p>
    <w:p w14:paraId="367EECDD" w14:textId="7A86B39F" w:rsidR="00AF283B" w:rsidRDefault="00AF283B" w:rsidP="00CA585F">
      <w:pPr>
        <w:pStyle w:val="SingleTxtG"/>
        <w:ind w:left="1701"/>
      </w:pPr>
      <w:r>
        <w:tab/>
      </w:r>
      <w:r w:rsidR="00BE0F1E">
        <w:t>(f)</w:t>
      </w:r>
      <w:r>
        <w:tab/>
      </w:r>
      <w:r w:rsidRPr="004E5647">
        <w:t>More knowledge is needed to identify sub-standard products and associated hazards</w:t>
      </w:r>
      <w:r w:rsidR="00F409A6">
        <w:t>.</w:t>
      </w:r>
    </w:p>
    <w:p w14:paraId="3E51A656" w14:textId="1CA5E083" w:rsidR="00AF283B" w:rsidRDefault="00AF283B" w:rsidP="00CA585F">
      <w:pPr>
        <w:pStyle w:val="SingleTxtG"/>
        <w:ind w:left="1701"/>
      </w:pPr>
      <w:r>
        <w:tab/>
      </w:r>
      <w:r w:rsidR="00BE0F1E">
        <w:t>(g)</w:t>
      </w:r>
      <w:r>
        <w:tab/>
        <w:t>Ammonium nitrate should be considered in hazard assessment</w:t>
      </w:r>
      <w:r w:rsidR="00F409A6">
        <w:t>.</w:t>
      </w:r>
    </w:p>
    <w:p w14:paraId="5D671917" w14:textId="34F8AF50" w:rsidR="00AF283B" w:rsidRDefault="00052FD0" w:rsidP="00CA585F">
      <w:pPr>
        <w:pStyle w:val="SingleTxtG"/>
        <w:ind w:left="1701"/>
      </w:pPr>
      <w:r>
        <w:t>(h)</w:t>
      </w:r>
      <w:r w:rsidR="00AF283B">
        <w:tab/>
        <w:t xml:space="preserve">Separation of combustible materials from organic substances reduces </w:t>
      </w:r>
      <w:r w:rsidR="00932710">
        <w:t>the possibi</w:t>
      </w:r>
      <w:r w:rsidR="00D85EC0">
        <w:t>lity of</w:t>
      </w:r>
      <w:r w:rsidR="00AF283B">
        <w:t xml:space="preserve"> conflagration and explosion</w:t>
      </w:r>
      <w:r w:rsidR="00F409A6">
        <w:t>.</w:t>
      </w:r>
    </w:p>
    <w:p w14:paraId="573A7E1E" w14:textId="1E1DED35" w:rsidR="00AF283B" w:rsidRDefault="00052FD0" w:rsidP="00CA585F">
      <w:pPr>
        <w:pStyle w:val="SingleTxtG"/>
        <w:ind w:left="1701"/>
      </w:pPr>
      <w:r>
        <w:t>(</w:t>
      </w:r>
      <w:proofErr w:type="spellStart"/>
      <w:r>
        <w:t>i</w:t>
      </w:r>
      <w:proofErr w:type="spellEnd"/>
      <w:r>
        <w:t>)</w:t>
      </w:r>
      <w:r w:rsidR="00AF283B">
        <w:tab/>
        <w:t xml:space="preserve">In some cases, </w:t>
      </w:r>
      <w:r w:rsidR="00D85EC0">
        <w:t xml:space="preserve">the </w:t>
      </w:r>
      <w:r w:rsidR="00AF283B">
        <w:t xml:space="preserve">existing professional standards </w:t>
      </w:r>
      <w:r w:rsidR="00D85EC0">
        <w:t>on</w:t>
      </w:r>
      <w:r w:rsidR="00AF283B">
        <w:t xml:space="preserve"> preventing AN </w:t>
      </w:r>
      <w:proofErr w:type="gramStart"/>
      <w:r w:rsidR="00AF283B">
        <w:t>accidents</w:t>
      </w:r>
      <w:proofErr w:type="gramEnd"/>
      <w:r w:rsidR="00AF283B">
        <w:t xml:space="preserve"> can be confusing, contradictory and out-of-date</w:t>
      </w:r>
      <w:r w:rsidR="00F409A6">
        <w:t>.</w:t>
      </w:r>
    </w:p>
    <w:p w14:paraId="7A051AEA" w14:textId="7D21D794" w:rsidR="00AF283B" w:rsidRDefault="00AF283B" w:rsidP="00CA585F">
      <w:pPr>
        <w:pStyle w:val="SingleTxtG"/>
        <w:ind w:left="1701"/>
      </w:pPr>
      <w:r>
        <w:tab/>
      </w:r>
      <w:r w:rsidR="00052FD0">
        <w:t>(k)</w:t>
      </w:r>
      <w:r>
        <w:tab/>
        <w:t>Development should be restricted around sites that handle or store AN</w:t>
      </w:r>
      <w:r w:rsidR="00C54CEA">
        <w:t>.</w:t>
      </w:r>
    </w:p>
    <w:p w14:paraId="30E670EE" w14:textId="1E22922B" w:rsidR="00AF283B" w:rsidRDefault="00AF283B" w:rsidP="00CA585F">
      <w:pPr>
        <w:pStyle w:val="SingleTxtG"/>
        <w:ind w:left="1701"/>
      </w:pPr>
      <w:r>
        <w:lastRenderedPageBreak/>
        <w:tab/>
      </w:r>
      <w:r w:rsidR="00052FD0">
        <w:t>(l)</w:t>
      </w:r>
      <w:r>
        <w:tab/>
        <w:t>Local authorities and responders should be aware of all AN storage</w:t>
      </w:r>
      <w:r w:rsidR="00220C8A">
        <w:t xml:space="preserve"> sites</w:t>
      </w:r>
      <w:r>
        <w:t xml:space="preserve"> and the risks</w:t>
      </w:r>
      <w:r w:rsidR="00C54CEA">
        <w:t>.</w:t>
      </w:r>
    </w:p>
    <w:p w14:paraId="13871FEC" w14:textId="3717B16C" w:rsidR="00AF283B" w:rsidRDefault="00052FD0" w:rsidP="00CA585F">
      <w:pPr>
        <w:pStyle w:val="SingleTxtG"/>
        <w:ind w:left="1701"/>
      </w:pPr>
      <w:r>
        <w:t>(m)</w:t>
      </w:r>
      <w:r w:rsidR="00AF283B">
        <w:tab/>
        <w:t xml:space="preserve">Storing AN and AN-based fertilizers in bulk should not be allowed without proper </w:t>
      </w:r>
      <w:r w:rsidR="00EF377C">
        <w:t xml:space="preserve">measures for </w:t>
      </w:r>
      <w:r w:rsidR="00AF283B">
        <w:t xml:space="preserve">fire prevention, </w:t>
      </w:r>
      <w:proofErr w:type="gramStart"/>
      <w:r w:rsidR="00AF283B">
        <w:t>protection</w:t>
      </w:r>
      <w:proofErr w:type="gramEnd"/>
      <w:r w:rsidR="00AF283B">
        <w:t xml:space="preserve"> and mitigation</w:t>
      </w:r>
      <w:r w:rsidR="00C54CEA">
        <w:t>.</w:t>
      </w:r>
    </w:p>
    <w:p w14:paraId="409019CC" w14:textId="1A61D336" w:rsidR="000103B6" w:rsidRDefault="00B33FDC" w:rsidP="00821217">
      <w:pPr>
        <w:pStyle w:val="SingleTxtG"/>
      </w:pPr>
      <w:r>
        <w:tab/>
      </w:r>
      <w:r w:rsidR="00ED52B3">
        <w:t>30</w:t>
      </w:r>
      <w:r>
        <w:t>.</w:t>
      </w:r>
      <w:r>
        <w:tab/>
      </w:r>
      <w:r w:rsidR="00C2411B">
        <w:t>N</w:t>
      </w:r>
      <w:r w:rsidR="00821217">
        <w:t xml:space="preserve">ational authorities from different regions </w:t>
      </w:r>
      <w:r w:rsidR="00C2411B">
        <w:t xml:space="preserve">also </w:t>
      </w:r>
      <w:r w:rsidR="00821217">
        <w:t xml:space="preserve">discussed </w:t>
      </w:r>
      <w:r w:rsidR="00C2411B">
        <w:t xml:space="preserve">the </w:t>
      </w:r>
      <w:r w:rsidR="00821217">
        <w:t xml:space="preserve">lessons learned and </w:t>
      </w:r>
      <w:r w:rsidR="00EA415C">
        <w:t xml:space="preserve">the </w:t>
      </w:r>
      <w:r w:rsidR="00821217">
        <w:t xml:space="preserve">actions </w:t>
      </w:r>
      <w:r w:rsidR="00EA415C">
        <w:t>undertaken</w:t>
      </w:r>
      <w:r w:rsidR="00821217">
        <w:t xml:space="preserve"> following the Beirut port explosion and other </w:t>
      </w:r>
      <w:r w:rsidR="00821217" w:rsidRPr="00821217">
        <w:t>accidents</w:t>
      </w:r>
      <w:r w:rsidR="00821217">
        <w:t>:</w:t>
      </w:r>
    </w:p>
    <w:p w14:paraId="545D1EDB" w14:textId="5C9A3AB6" w:rsidR="0032059B" w:rsidRPr="00CD1D98" w:rsidRDefault="00052FD0" w:rsidP="00CA585F">
      <w:pPr>
        <w:pStyle w:val="SingleTxtG"/>
        <w:ind w:left="1701"/>
      </w:pPr>
      <w:r>
        <w:t>(a)</w:t>
      </w:r>
      <w:r w:rsidR="00857F9B">
        <w:tab/>
      </w:r>
      <w:r w:rsidR="0032059B" w:rsidRPr="006B7290">
        <w:t>The Brazilian Institute for the Environment and Renewable Natural</w:t>
      </w:r>
      <w:r w:rsidR="0032059B">
        <w:t xml:space="preserve"> </w:t>
      </w:r>
      <w:r w:rsidR="0032059B" w:rsidRPr="006B7290">
        <w:t>Resources (</w:t>
      </w:r>
      <w:proofErr w:type="spellStart"/>
      <w:r w:rsidR="0032059B" w:rsidRPr="006B7290">
        <w:t>Ibama</w:t>
      </w:r>
      <w:proofErr w:type="spellEnd"/>
      <w:r w:rsidR="0032059B" w:rsidRPr="006B7290">
        <w:t xml:space="preserve">) </w:t>
      </w:r>
      <w:r w:rsidR="0032059B" w:rsidRPr="00CD1D98">
        <w:t xml:space="preserve">established a task force on preventive actions in port areas and hazmat warehouses following the São Francisco do </w:t>
      </w:r>
      <w:proofErr w:type="spellStart"/>
      <w:r w:rsidR="0032059B" w:rsidRPr="00CD1D98">
        <w:t>sul</w:t>
      </w:r>
      <w:proofErr w:type="spellEnd"/>
      <w:r w:rsidR="0032059B" w:rsidRPr="00CD1D98">
        <w:t xml:space="preserve"> incidents and the Beirut port explosion.</w:t>
      </w:r>
    </w:p>
    <w:p w14:paraId="13758BDB" w14:textId="45DE261B" w:rsidR="0032059B" w:rsidRPr="00CD1D98" w:rsidRDefault="00D31987" w:rsidP="00CA585F">
      <w:pPr>
        <w:pStyle w:val="SingleTxtG"/>
        <w:ind w:left="1701"/>
      </w:pPr>
      <w:r>
        <w:t>(b)</w:t>
      </w:r>
      <w:r w:rsidR="00857F9B">
        <w:tab/>
      </w:r>
      <w:r w:rsidR="0032059B" w:rsidRPr="00CD1D98">
        <w:t xml:space="preserve">France created an independent trans-ministerial mission to assess existing schemes and provisions for </w:t>
      </w:r>
      <w:r w:rsidR="0032059B" w:rsidRPr="00E00D66">
        <w:t>the</w:t>
      </w:r>
      <w:r w:rsidR="0032059B">
        <w:t xml:space="preserve"> </w:t>
      </w:r>
      <w:r w:rsidR="0032059B" w:rsidRPr="00E00D66">
        <w:t>transport</w:t>
      </w:r>
      <w:r w:rsidR="0032059B" w:rsidRPr="00CD1D98">
        <w:t xml:space="preserve"> and handling of AN and </w:t>
      </w:r>
      <w:r w:rsidR="0032059B">
        <w:t>AN-based fertilizers</w:t>
      </w:r>
      <w:r w:rsidR="0032059B" w:rsidRPr="00CD1D98">
        <w:t xml:space="preserve"> in maritime ports</w:t>
      </w:r>
      <w:r w:rsidR="00C92A66">
        <w:t>,</w:t>
      </w:r>
      <w:r w:rsidR="0032059B" w:rsidRPr="00CD1D98">
        <w:t xml:space="preserve"> and to develop </w:t>
      </w:r>
      <w:r w:rsidR="005866CE">
        <w:t xml:space="preserve">related </w:t>
      </w:r>
      <w:r w:rsidR="0032059B" w:rsidRPr="00CD1D98">
        <w:t xml:space="preserve">recommendations following the Beirut port explosion. </w:t>
      </w:r>
      <w:r w:rsidR="00C92A66">
        <w:t>A</w:t>
      </w:r>
      <w:r w:rsidR="0032059B" w:rsidRPr="00CD1D98">
        <w:t xml:space="preserve"> new law </w:t>
      </w:r>
      <w:r w:rsidR="004465DF">
        <w:t xml:space="preserve">was also adopted on the </w:t>
      </w:r>
      <w:r w:rsidR="0032059B" w:rsidRPr="00CD1D98">
        <w:t>technolog</w:t>
      </w:r>
      <w:r w:rsidR="00A658D2">
        <w:t>y of</w:t>
      </w:r>
      <w:r w:rsidR="0032059B" w:rsidRPr="00CD1D98">
        <w:t xml:space="preserve"> risk prevention following the Toulouse accident.</w:t>
      </w:r>
    </w:p>
    <w:p w14:paraId="1F83114D" w14:textId="34F6D2CB" w:rsidR="0032059B" w:rsidRPr="00CD1D98" w:rsidRDefault="00D31987" w:rsidP="00CA585F">
      <w:pPr>
        <w:pStyle w:val="SingleTxtG"/>
        <w:ind w:left="1701"/>
      </w:pPr>
      <w:r>
        <w:t>(c)</w:t>
      </w:r>
      <w:r w:rsidR="00857F9B">
        <w:tab/>
      </w:r>
      <w:r w:rsidR="0032059B" w:rsidRPr="00CD1D98">
        <w:t xml:space="preserve">Several agencies </w:t>
      </w:r>
      <w:r w:rsidR="00A658D2">
        <w:t>in</w:t>
      </w:r>
      <w:r w:rsidR="0032059B" w:rsidRPr="00CD1D98">
        <w:t xml:space="preserve"> the United States prepared guidelines and programmes</w:t>
      </w:r>
      <w:r w:rsidR="0032059B">
        <w:t xml:space="preserve"> on the safety and security of AN</w:t>
      </w:r>
      <w:r w:rsidR="0032059B" w:rsidRPr="00CD1D98">
        <w:t xml:space="preserve"> from the lessons learned from the West </w:t>
      </w:r>
      <w:r w:rsidR="006C17F7">
        <w:t>F</w:t>
      </w:r>
      <w:r w:rsidR="0032059B" w:rsidRPr="00CD1D98">
        <w:t>ertilizer plant explosion in Texas</w:t>
      </w:r>
      <w:r w:rsidR="0032059B">
        <w:t>.</w:t>
      </w:r>
    </w:p>
    <w:p w14:paraId="6D26F68F" w14:textId="3FD8062A" w:rsidR="00967433" w:rsidRDefault="00D31987" w:rsidP="00CA585F">
      <w:pPr>
        <w:pStyle w:val="SingleTxtG"/>
        <w:ind w:left="1701"/>
      </w:pPr>
      <w:r>
        <w:t>(d)</w:t>
      </w:r>
      <w:r w:rsidR="00857F9B">
        <w:tab/>
      </w:r>
      <w:r w:rsidR="0032059B" w:rsidRPr="00CD1D98">
        <w:t xml:space="preserve">Many national authorities </w:t>
      </w:r>
      <w:r w:rsidR="0085550B">
        <w:t>increas</w:t>
      </w:r>
      <w:r w:rsidR="0032059B" w:rsidRPr="00CD1D98">
        <w:t>ed inspections at sites</w:t>
      </w:r>
      <w:r w:rsidR="0032059B">
        <w:t xml:space="preserve"> with hazardous substances, </w:t>
      </w:r>
      <w:r w:rsidR="00EF2F83">
        <w:t>particularly involving</w:t>
      </w:r>
      <w:r w:rsidR="0032059B">
        <w:t xml:space="preserve"> AN and AN-based fertilizers, and </w:t>
      </w:r>
      <w:r w:rsidR="00EF2F83">
        <w:t xml:space="preserve">conducted </w:t>
      </w:r>
      <w:r w:rsidR="0032059B">
        <w:t>follow-up inspections to ensure compliance following the Beirut port explosion</w:t>
      </w:r>
      <w:r w:rsidR="00C54CEA">
        <w:t>.</w:t>
      </w:r>
    </w:p>
    <w:p w14:paraId="79051E83" w14:textId="00D1FABE" w:rsidR="008A4128" w:rsidRPr="00B97B13" w:rsidRDefault="00B4140F" w:rsidP="000E6CD3">
      <w:pPr>
        <w:pStyle w:val="H1G"/>
        <w:keepNext w:val="0"/>
        <w:keepLines w:val="0"/>
      </w:pPr>
      <w:r>
        <w:tab/>
      </w:r>
      <w:r w:rsidR="00A55D23">
        <w:t>D</w:t>
      </w:r>
      <w:r w:rsidR="008A4128" w:rsidRPr="00B97B13">
        <w:t>.</w:t>
      </w:r>
      <w:r w:rsidR="00AA10D4">
        <w:tab/>
      </w:r>
      <w:r w:rsidR="008A4128" w:rsidRPr="00B97B13">
        <w:t>Risk assessments</w:t>
      </w:r>
      <w:r w:rsidR="00076D28">
        <w:t>:</w:t>
      </w:r>
      <w:r w:rsidR="008A4128" w:rsidRPr="00B97B13">
        <w:t xml:space="preserve"> land-use planning and siting</w:t>
      </w:r>
    </w:p>
    <w:p w14:paraId="12437B55" w14:textId="6066666C" w:rsidR="00967433" w:rsidRDefault="00B33FDC" w:rsidP="008A4128">
      <w:pPr>
        <w:pStyle w:val="SingleTxtG"/>
      </w:pPr>
      <w:r>
        <w:tab/>
      </w:r>
      <w:r w:rsidR="00ED52B3">
        <w:t>31</w:t>
      </w:r>
      <w:r>
        <w:t>.</w:t>
      </w:r>
      <w:r>
        <w:tab/>
      </w:r>
      <w:r w:rsidR="008A4128">
        <w:t xml:space="preserve">Many governments have put in place requirements for risk assessments </w:t>
      </w:r>
      <w:proofErr w:type="gramStart"/>
      <w:r w:rsidR="00DD47D2">
        <w:t>in an effort</w:t>
      </w:r>
      <w:r w:rsidR="008A4128">
        <w:t xml:space="preserve"> to</w:t>
      </w:r>
      <w:proofErr w:type="gramEnd"/>
      <w:r w:rsidR="008A4128">
        <w:t xml:space="preserve"> </w:t>
      </w:r>
      <w:r w:rsidR="008A4128" w:rsidRPr="008A4128">
        <w:t>understand</w:t>
      </w:r>
      <w:r w:rsidR="008A4128">
        <w:t xml:space="preserve"> how an industrial facility, such as a port or a storage site for AN, poses risks to the public and the environment. Some good practices and lessons learned </w:t>
      </w:r>
      <w:r w:rsidR="003D1BE3">
        <w:t>from</w:t>
      </w:r>
      <w:r w:rsidR="008A4128">
        <w:t xml:space="preserve"> the seminar showed the importance of conducting risk assessments and considering the results during procedures for land-use planning and siting. The following conclusions </w:t>
      </w:r>
      <w:r w:rsidR="00343E9A">
        <w:t>are</w:t>
      </w:r>
      <w:r w:rsidR="008A4128">
        <w:t xml:space="preserve"> from the seminar:</w:t>
      </w:r>
    </w:p>
    <w:p w14:paraId="52471F0C" w14:textId="5B043254" w:rsidR="001A61C5" w:rsidRPr="00D82761" w:rsidRDefault="005B7A45" w:rsidP="00C13F74">
      <w:pPr>
        <w:pStyle w:val="SingleTxtG"/>
        <w:ind w:left="1701"/>
      </w:pPr>
      <w:r w:rsidRPr="005B7A45">
        <w:rPr>
          <w:b/>
          <w:bCs/>
        </w:rPr>
        <w:t>(a)</w:t>
      </w:r>
      <w:r w:rsidR="001A61C5" w:rsidRPr="005B7A45">
        <w:rPr>
          <w:b/>
          <w:bCs/>
        </w:rPr>
        <w:tab/>
      </w:r>
      <w:r w:rsidR="001A61C5" w:rsidRPr="00603419">
        <w:rPr>
          <w:b/>
          <w:bCs/>
        </w:rPr>
        <w:t>Conducting risk assessments is essential for determining the effects and related risks of hazardous substances, including AN and AN-based fertilizers, in the case of an accident.</w:t>
      </w:r>
      <w:r w:rsidR="001A61C5" w:rsidRPr="00B51DF4">
        <w:t xml:space="preserve"> </w:t>
      </w:r>
      <w:r w:rsidR="001A61C5" w:rsidRPr="00D82761">
        <w:t xml:space="preserve">They provide information on how people, </w:t>
      </w:r>
      <w:proofErr w:type="gramStart"/>
      <w:r w:rsidR="001A61C5" w:rsidRPr="00D82761">
        <w:t>places</w:t>
      </w:r>
      <w:proofErr w:type="gramEnd"/>
      <w:r w:rsidR="001A61C5" w:rsidRPr="00D82761">
        <w:t xml:space="preserve"> and the environment, including beyond national borders, could be exposed during an accident taking into account the hazardous substances (and mixtures), their quantity and the surrounding conditions, as well as different accident scenarios.</w:t>
      </w:r>
    </w:p>
    <w:p w14:paraId="2832D2B0" w14:textId="60CE4241" w:rsidR="00967433" w:rsidRPr="00A44290" w:rsidRDefault="005B7A45" w:rsidP="00C13F74">
      <w:pPr>
        <w:pStyle w:val="SingleTxtG"/>
        <w:ind w:left="1701"/>
        <w:rPr>
          <w:b/>
          <w:bCs/>
        </w:rPr>
      </w:pPr>
      <w:r>
        <w:rPr>
          <w:b/>
          <w:bCs/>
        </w:rPr>
        <w:t>(b)</w:t>
      </w:r>
      <w:r w:rsidR="001A61C5" w:rsidRPr="001A61C5">
        <w:rPr>
          <w:b/>
          <w:bCs/>
        </w:rPr>
        <w:tab/>
        <w:t>National and local authorities, including land-use planners, need to take account of the results of risk assessments to make informed decisions on:</w:t>
      </w:r>
    </w:p>
    <w:p w14:paraId="5B1ADEDA" w14:textId="198FDB48" w:rsidR="00A44290" w:rsidRPr="00A44290" w:rsidRDefault="00ED52B3" w:rsidP="00ED52B3">
      <w:pPr>
        <w:pStyle w:val="Bullet1G"/>
        <w:numPr>
          <w:ilvl w:val="0"/>
          <w:numId w:val="0"/>
        </w:numPr>
        <w:ind w:left="2268"/>
        <w:rPr>
          <w:b/>
          <w:bCs/>
        </w:rPr>
      </w:pPr>
      <w:r>
        <w:rPr>
          <w:b/>
          <w:bCs/>
        </w:rPr>
        <w:t>(</w:t>
      </w:r>
      <w:proofErr w:type="spellStart"/>
      <w:r>
        <w:rPr>
          <w:b/>
          <w:bCs/>
        </w:rPr>
        <w:t>i</w:t>
      </w:r>
      <w:proofErr w:type="spellEnd"/>
      <w:r>
        <w:rPr>
          <w:b/>
          <w:bCs/>
        </w:rPr>
        <w:t>)</w:t>
      </w:r>
      <w:r>
        <w:rPr>
          <w:b/>
          <w:bCs/>
        </w:rPr>
        <w:tab/>
      </w:r>
      <w:r w:rsidR="00A44290" w:rsidRPr="00A44290">
        <w:rPr>
          <w:b/>
          <w:bCs/>
        </w:rPr>
        <w:t xml:space="preserve">Measures to mitigate on-site </w:t>
      </w:r>
      <w:r w:rsidR="00797829" w:rsidRPr="00A44290">
        <w:rPr>
          <w:b/>
          <w:bCs/>
        </w:rPr>
        <w:t>risk</w:t>
      </w:r>
      <w:r w:rsidR="00797829">
        <w:rPr>
          <w:b/>
          <w:bCs/>
        </w:rPr>
        <w:t>s</w:t>
      </w:r>
      <w:r w:rsidR="00797829" w:rsidRPr="00A44290">
        <w:rPr>
          <w:b/>
          <w:bCs/>
        </w:rPr>
        <w:t xml:space="preserve"> </w:t>
      </w:r>
      <w:r w:rsidR="00E53A8E">
        <w:rPr>
          <w:b/>
          <w:bCs/>
        </w:rPr>
        <w:t>for the</w:t>
      </w:r>
      <w:r w:rsidR="00A44290" w:rsidRPr="00A44290">
        <w:rPr>
          <w:b/>
          <w:bCs/>
        </w:rPr>
        <w:t xml:space="preserve"> storage, handling and transport, including how much is allowed to be stored and under which </w:t>
      </w:r>
      <w:proofErr w:type="gramStart"/>
      <w:r w:rsidR="00A44290" w:rsidRPr="00A44290">
        <w:rPr>
          <w:b/>
          <w:bCs/>
        </w:rPr>
        <w:t>conditions;</w:t>
      </w:r>
      <w:proofErr w:type="gramEnd"/>
    </w:p>
    <w:p w14:paraId="30E442B7" w14:textId="4B9A7050" w:rsidR="00A44290" w:rsidRPr="00A44290" w:rsidRDefault="00ED52B3" w:rsidP="00ED52B3">
      <w:pPr>
        <w:pStyle w:val="Bullet1G"/>
        <w:numPr>
          <w:ilvl w:val="0"/>
          <w:numId w:val="0"/>
        </w:numPr>
        <w:ind w:left="2268"/>
        <w:rPr>
          <w:b/>
          <w:bCs/>
        </w:rPr>
      </w:pPr>
      <w:r>
        <w:rPr>
          <w:b/>
          <w:bCs/>
        </w:rPr>
        <w:t>(ii)</w:t>
      </w:r>
      <w:r>
        <w:rPr>
          <w:b/>
          <w:bCs/>
        </w:rPr>
        <w:tab/>
      </w:r>
      <w:r w:rsidR="00A44290" w:rsidRPr="00A44290">
        <w:rPr>
          <w:b/>
          <w:bCs/>
        </w:rPr>
        <w:t xml:space="preserve">Land-use planning and siting, including </w:t>
      </w:r>
      <w:r w:rsidR="00EB6D7A">
        <w:rPr>
          <w:b/>
          <w:bCs/>
        </w:rPr>
        <w:t xml:space="preserve">the minimum distance </w:t>
      </w:r>
      <w:r w:rsidR="001E55F8">
        <w:rPr>
          <w:b/>
          <w:bCs/>
        </w:rPr>
        <w:t xml:space="preserve">of </w:t>
      </w:r>
      <w:r w:rsidR="00A44290" w:rsidRPr="00A44290">
        <w:rPr>
          <w:b/>
          <w:bCs/>
        </w:rPr>
        <w:t>storage, handling and transport sites from people and places to ensure safety; and</w:t>
      </w:r>
    </w:p>
    <w:p w14:paraId="3FE02113" w14:textId="05BC9F79" w:rsidR="00A44290" w:rsidRPr="00A44290" w:rsidRDefault="00ED52B3" w:rsidP="00ED52B3">
      <w:pPr>
        <w:pStyle w:val="Bullet1G"/>
        <w:numPr>
          <w:ilvl w:val="0"/>
          <w:numId w:val="0"/>
        </w:numPr>
        <w:ind w:left="2268"/>
        <w:rPr>
          <w:b/>
          <w:bCs/>
        </w:rPr>
      </w:pPr>
      <w:r>
        <w:rPr>
          <w:b/>
          <w:bCs/>
        </w:rPr>
        <w:t>(iii)</w:t>
      </w:r>
      <w:r>
        <w:rPr>
          <w:b/>
          <w:bCs/>
        </w:rPr>
        <w:tab/>
      </w:r>
      <w:r w:rsidR="00A44290" w:rsidRPr="00A44290">
        <w:rPr>
          <w:b/>
          <w:bCs/>
        </w:rPr>
        <w:t>Emergency management/contingency planning, including on- and off-site contingency plans.</w:t>
      </w:r>
    </w:p>
    <w:p w14:paraId="5304C8EC" w14:textId="3156AB5C" w:rsidR="00475CD0" w:rsidRPr="00235DF1" w:rsidRDefault="00475CD0" w:rsidP="00C13F74">
      <w:pPr>
        <w:pStyle w:val="SingleTxtG"/>
        <w:ind w:left="1701"/>
      </w:pPr>
      <w:r>
        <w:tab/>
      </w:r>
      <w:r w:rsidR="005B7A45">
        <w:t>(c)</w:t>
      </w:r>
      <w:r>
        <w:tab/>
      </w:r>
      <w:r w:rsidRPr="00B51DF4">
        <w:t xml:space="preserve">France made a statement on its land-use planning legislation for high-risk industrial activities, </w:t>
      </w:r>
      <w:r w:rsidR="005E5FAF">
        <w:t>that</w:t>
      </w:r>
      <w:r>
        <w:t xml:space="preserve"> was developed following the Toulouse explosion (2001), </w:t>
      </w:r>
      <w:r w:rsidRPr="00B51DF4">
        <w:t xml:space="preserve">emphasizing that it covers future and present urbanization. Its laws regulate future constructions and present situations where urbanization is </w:t>
      </w:r>
      <w:r w:rsidR="00357BC8">
        <w:t>near</w:t>
      </w:r>
      <w:r w:rsidRPr="00B51DF4">
        <w:t xml:space="preserve"> industrial plants. Its rules allow for expropriation measures in </w:t>
      </w:r>
      <w:r w:rsidRPr="00D634BF">
        <w:t>high-risk</w:t>
      </w:r>
      <w:r w:rsidRPr="00B51DF4">
        <w:t xml:space="preserve"> areas and population protection measures in lower risk areas.</w:t>
      </w:r>
    </w:p>
    <w:p w14:paraId="5A12EE50" w14:textId="7EF7F92D" w:rsidR="00AA10D4" w:rsidRDefault="00475CD0" w:rsidP="00C13F74">
      <w:pPr>
        <w:pStyle w:val="SingleTxtG"/>
        <w:ind w:left="1701"/>
      </w:pPr>
      <w:r>
        <w:rPr>
          <w:b/>
          <w:bCs/>
        </w:rPr>
        <w:lastRenderedPageBreak/>
        <w:tab/>
      </w:r>
      <w:r w:rsidR="005B7A45">
        <w:rPr>
          <w:b/>
          <w:bCs/>
        </w:rPr>
        <w:t>(d)</w:t>
      </w:r>
      <w:r>
        <w:rPr>
          <w:b/>
          <w:bCs/>
        </w:rPr>
        <w:tab/>
      </w:r>
      <w:r w:rsidRPr="00B51DF4">
        <w:rPr>
          <w:b/>
          <w:bCs/>
        </w:rPr>
        <w:t xml:space="preserve">Information and knowledge on risk assessment methodologies should be regularly shared across countries. Land-use </w:t>
      </w:r>
      <w:proofErr w:type="gramStart"/>
      <w:r w:rsidRPr="00B51DF4">
        <w:rPr>
          <w:b/>
          <w:bCs/>
        </w:rPr>
        <w:t>plans</w:t>
      </w:r>
      <w:proofErr w:type="gramEnd"/>
      <w:r w:rsidRPr="00B51DF4">
        <w:rPr>
          <w:b/>
          <w:bCs/>
        </w:rPr>
        <w:t xml:space="preserve"> and siting decisions should take account of </w:t>
      </w:r>
      <w:r w:rsidR="0093119B">
        <w:rPr>
          <w:b/>
          <w:bCs/>
        </w:rPr>
        <w:t xml:space="preserve">the </w:t>
      </w:r>
      <w:r w:rsidRPr="00B51DF4">
        <w:rPr>
          <w:b/>
          <w:bCs/>
        </w:rPr>
        <w:t xml:space="preserve">possible transboundary effects of accidents and seek to mitigate these, including the population of affected neighbouring countries. Decisions on land-use planning and siting should be taken following consultation </w:t>
      </w:r>
      <w:r w:rsidR="00100714">
        <w:rPr>
          <w:b/>
          <w:bCs/>
        </w:rPr>
        <w:t>with</w:t>
      </w:r>
      <w:r w:rsidRPr="00B51DF4">
        <w:rPr>
          <w:b/>
          <w:bCs/>
        </w:rPr>
        <w:t xml:space="preserve"> the affected public.</w:t>
      </w:r>
    </w:p>
    <w:p w14:paraId="01A0337F" w14:textId="7BEF3896" w:rsidR="002B0839" w:rsidRPr="00B97B13" w:rsidRDefault="00B4140F" w:rsidP="00B4140F">
      <w:pPr>
        <w:pStyle w:val="H1G"/>
        <w:keepNext w:val="0"/>
        <w:keepLines w:val="0"/>
      </w:pPr>
      <w:r>
        <w:tab/>
      </w:r>
      <w:r w:rsidR="00A55D23">
        <w:t>E.</w:t>
      </w:r>
      <w:r w:rsidR="002B0839">
        <w:tab/>
      </w:r>
      <w:r>
        <w:t>I</w:t>
      </w:r>
      <w:r w:rsidR="002B0839" w:rsidRPr="00B97B13">
        <w:t xml:space="preserve">nspections and follow-up inspections </w:t>
      </w:r>
      <w:r w:rsidR="004A487D">
        <w:t>for</w:t>
      </w:r>
      <w:r w:rsidR="002B0839" w:rsidRPr="00B97B13">
        <w:t xml:space="preserve"> hazardous sites</w:t>
      </w:r>
    </w:p>
    <w:p w14:paraId="79E43652" w14:textId="7790921C" w:rsidR="002B0839" w:rsidRDefault="00B33FDC" w:rsidP="002B0839">
      <w:pPr>
        <w:pStyle w:val="SingleTxtG"/>
      </w:pPr>
      <w:r>
        <w:tab/>
      </w:r>
      <w:r w:rsidR="00ED52B3">
        <w:t>3</w:t>
      </w:r>
      <w:r>
        <w:t>2.</w:t>
      </w:r>
      <w:r>
        <w:tab/>
      </w:r>
      <w:r w:rsidR="002B0839" w:rsidRPr="00B51DF4">
        <w:t xml:space="preserve">Inspections </w:t>
      </w:r>
      <w:r w:rsidR="00ED213B">
        <w:t>can</w:t>
      </w:r>
      <w:r w:rsidR="002B0839" w:rsidRPr="00B51DF4">
        <w:t xml:space="preserve"> ensure </w:t>
      </w:r>
      <w:r w:rsidR="00ED213B">
        <w:t xml:space="preserve">that </w:t>
      </w:r>
      <w:r w:rsidR="002B0839" w:rsidRPr="00B51DF4">
        <w:t xml:space="preserve">rules and regulations are implemented and complied with. </w:t>
      </w:r>
      <w:r w:rsidR="00281A47">
        <w:t>P</w:t>
      </w:r>
      <w:r w:rsidR="002B0839" w:rsidRPr="0011727F">
        <w:t xml:space="preserve">resentations at the seminar, including from the authority of the </w:t>
      </w:r>
      <w:r w:rsidR="00281A47" w:rsidRPr="0011727F">
        <w:t>Lithuania</w:t>
      </w:r>
      <w:r w:rsidR="00281A47">
        <w:t>n</w:t>
      </w:r>
      <w:r w:rsidR="00281A47" w:rsidRPr="0011727F">
        <w:t xml:space="preserve"> </w:t>
      </w:r>
      <w:r w:rsidR="002B0839" w:rsidRPr="0011727F">
        <w:t xml:space="preserve">Port of </w:t>
      </w:r>
      <w:proofErr w:type="spellStart"/>
      <w:r w:rsidR="002B0839" w:rsidRPr="0011727F">
        <w:t>Klaipėda</w:t>
      </w:r>
      <w:proofErr w:type="spellEnd"/>
      <w:r w:rsidR="002B0839" w:rsidRPr="0011727F">
        <w:t xml:space="preserve"> and the South African Police Service, </w:t>
      </w:r>
      <w:r w:rsidR="002B0839">
        <w:t xml:space="preserve">showed that </w:t>
      </w:r>
      <w:r w:rsidR="002B0839" w:rsidRPr="00B51DF4">
        <w:rPr>
          <w:b/>
          <w:bCs/>
        </w:rPr>
        <w:t xml:space="preserve">regular inspections can ensure </w:t>
      </w:r>
      <w:r w:rsidR="007241BD">
        <w:rPr>
          <w:b/>
          <w:bCs/>
        </w:rPr>
        <w:t xml:space="preserve">that </w:t>
      </w:r>
      <w:r w:rsidR="002B0839" w:rsidRPr="00B51DF4">
        <w:rPr>
          <w:b/>
          <w:bCs/>
        </w:rPr>
        <w:t>safety measures are applied</w:t>
      </w:r>
      <w:r w:rsidR="002B0839" w:rsidRPr="001A517B">
        <w:t>. Some examples of recurring crit</w:t>
      </w:r>
      <w:r w:rsidR="002B0839" w:rsidRPr="003B4BD1">
        <w:t xml:space="preserve">eria for inspections include checking, among others: safety distancing from other hazardous substances and explosives; temperature and ventilation control; placement outside direct sunlight; packaging and labelling conditions; fire extinguishing devices; and emergency management plans. </w:t>
      </w:r>
      <w:r w:rsidR="002B0839" w:rsidRPr="0011727F">
        <w:t>Following the Beirut port explosion, many countries heightened</w:t>
      </w:r>
      <w:r w:rsidR="002B0839">
        <w:t xml:space="preserve"> their</w:t>
      </w:r>
      <w:r w:rsidR="002B0839" w:rsidRPr="0011727F">
        <w:t xml:space="preserve"> inspection</w:t>
      </w:r>
      <w:r w:rsidR="002B0839">
        <w:t xml:space="preserve"> practice</w:t>
      </w:r>
      <w:r w:rsidR="002B0839" w:rsidRPr="0011727F">
        <w:t>s</w:t>
      </w:r>
      <w:r w:rsidR="002B0839">
        <w:t xml:space="preserve"> o</w:t>
      </w:r>
      <w:r w:rsidR="00F22551">
        <w:t>n</w:t>
      </w:r>
      <w:r w:rsidR="002B0839">
        <w:t xml:space="preserve"> sites with AN and AN-based fertilizers</w:t>
      </w:r>
      <w:r w:rsidR="002B0839">
        <w:rPr>
          <w:b/>
          <w:bCs/>
        </w:rPr>
        <w:t>.</w:t>
      </w:r>
      <w:r w:rsidR="002B0839">
        <w:t xml:space="preserve"> </w:t>
      </w:r>
    </w:p>
    <w:p w14:paraId="4304E7EB" w14:textId="7F15108C" w:rsidR="002B0839" w:rsidRPr="00013A0E" w:rsidRDefault="00B33FDC" w:rsidP="002B0839">
      <w:pPr>
        <w:pStyle w:val="SingleTxtG"/>
      </w:pPr>
      <w:r>
        <w:tab/>
        <w:t>3</w:t>
      </w:r>
      <w:r w:rsidR="00ED52B3">
        <w:t>3</w:t>
      </w:r>
      <w:r>
        <w:t>.</w:t>
      </w:r>
      <w:r>
        <w:tab/>
      </w:r>
      <w:r w:rsidR="002B0839" w:rsidRPr="00B51DF4">
        <w:t>The following c</w:t>
      </w:r>
      <w:r w:rsidR="002B0839" w:rsidRPr="00013A0E">
        <w:t>onclusions</w:t>
      </w:r>
      <w:r w:rsidR="002B0839" w:rsidRPr="00B51DF4">
        <w:t xml:space="preserve"> </w:t>
      </w:r>
      <w:r w:rsidR="002B0839">
        <w:t>were drawn from the presentations and statements</w:t>
      </w:r>
      <w:r w:rsidR="002B0839" w:rsidRPr="00013A0E">
        <w:t xml:space="preserve">: </w:t>
      </w:r>
    </w:p>
    <w:p w14:paraId="1B9524C2" w14:textId="0FBB33C0" w:rsidR="00837BCF" w:rsidRPr="00837BCF" w:rsidRDefault="00837BCF" w:rsidP="00EF2A19">
      <w:pPr>
        <w:pStyle w:val="SingleTxtG"/>
        <w:ind w:left="1701"/>
        <w:rPr>
          <w:b/>
          <w:bCs/>
        </w:rPr>
      </w:pPr>
      <w:r>
        <w:rPr>
          <w:b/>
          <w:bCs/>
        </w:rPr>
        <w:tab/>
      </w:r>
      <w:r w:rsidR="00EF2A19">
        <w:rPr>
          <w:b/>
          <w:bCs/>
        </w:rPr>
        <w:t>(a)</w:t>
      </w:r>
      <w:r>
        <w:rPr>
          <w:b/>
          <w:bCs/>
        </w:rPr>
        <w:tab/>
      </w:r>
      <w:r w:rsidRPr="00837BCF">
        <w:rPr>
          <w:b/>
          <w:bCs/>
        </w:rPr>
        <w:t xml:space="preserve">Countries should ensure </w:t>
      </w:r>
      <w:r w:rsidR="00B46420">
        <w:rPr>
          <w:b/>
          <w:bCs/>
        </w:rPr>
        <w:t xml:space="preserve">that </w:t>
      </w:r>
      <w:r w:rsidRPr="00837BCF">
        <w:rPr>
          <w:b/>
          <w:bCs/>
        </w:rPr>
        <w:t>high levels of inspections are developed and maintained for the safe and secure management of hazardous substances.</w:t>
      </w:r>
    </w:p>
    <w:p w14:paraId="43AFE5B7" w14:textId="656D46CE" w:rsidR="00837BCF" w:rsidRPr="00837BCF" w:rsidRDefault="00837BCF" w:rsidP="00EF2A19">
      <w:pPr>
        <w:pStyle w:val="SingleTxtG"/>
        <w:ind w:left="1701"/>
        <w:rPr>
          <w:b/>
          <w:bCs/>
        </w:rPr>
      </w:pPr>
      <w:r>
        <w:rPr>
          <w:b/>
          <w:bCs/>
        </w:rPr>
        <w:tab/>
      </w:r>
      <w:r w:rsidR="00EF2A19">
        <w:rPr>
          <w:b/>
          <w:bCs/>
        </w:rPr>
        <w:t>(b)</w:t>
      </w:r>
      <w:r>
        <w:rPr>
          <w:b/>
          <w:bCs/>
        </w:rPr>
        <w:tab/>
      </w:r>
      <w:r w:rsidRPr="00837BCF">
        <w:rPr>
          <w:b/>
          <w:bCs/>
        </w:rPr>
        <w:t xml:space="preserve">Inspections of sites with hazardous substances </w:t>
      </w:r>
      <w:r w:rsidR="00637B2C">
        <w:rPr>
          <w:b/>
          <w:bCs/>
        </w:rPr>
        <w:t>are</w:t>
      </w:r>
      <w:r w:rsidRPr="00837BCF">
        <w:rPr>
          <w:b/>
          <w:bCs/>
        </w:rPr>
        <w:t xml:space="preserve"> an important means to ensure that rules and guidelines are being implemented and complied with.</w:t>
      </w:r>
    </w:p>
    <w:p w14:paraId="4E0C8302" w14:textId="7FCDBEC9" w:rsidR="00837BCF" w:rsidRPr="00837BCF" w:rsidRDefault="00837BCF" w:rsidP="00EF2A19">
      <w:pPr>
        <w:pStyle w:val="SingleTxtG"/>
        <w:ind w:left="1701"/>
        <w:rPr>
          <w:b/>
          <w:bCs/>
        </w:rPr>
      </w:pPr>
      <w:r>
        <w:rPr>
          <w:b/>
          <w:bCs/>
        </w:rPr>
        <w:tab/>
      </w:r>
      <w:r w:rsidR="00EF2A19">
        <w:rPr>
          <w:b/>
          <w:bCs/>
        </w:rPr>
        <w:t>(c)</w:t>
      </w:r>
      <w:r>
        <w:rPr>
          <w:b/>
          <w:bCs/>
        </w:rPr>
        <w:tab/>
      </w:r>
      <w:r w:rsidRPr="00837BCF">
        <w:rPr>
          <w:b/>
          <w:bCs/>
        </w:rPr>
        <w:t xml:space="preserve">The criteria and frequency for inspections should depend upon, among other components: the type and quantity of the hazardous substance (or fertilizer) being stored, </w:t>
      </w:r>
      <w:proofErr w:type="gramStart"/>
      <w:r w:rsidRPr="00837BCF">
        <w:rPr>
          <w:b/>
          <w:bCs/>
        </w:rPr>
        <w:t>handled</w:t>
      </w:r>
      <w:proofErr w:type="gramEnd"/>
      <w:r w:rsidRPr="00837BCF">
        <w:rPr>
          <w:b/>
          <w:bCs/>
        </w:rPr>
        <w:t xml:space="preserve"> or transported; associated hazards and risks; conditions of the site and other chemicals or explosives present; and </w:t>
      </w:r>
      <w:r w:rsidR="000B22E7">
        <w:rPr>
          <w:b/>
          <w:bCs/>
        </w:rPr>
        <w:t>neighbo</w:t>
      </w:r>
      <w:r w:rsidR="00F25CAF">
        <w:rPr>
          <w:b/>
          <w:bCs/>
        </w:rPr>
        <w:t>u</w:t>
      </w:r>
      <w:r w:rsidR="000B22E7">
        <w:rPr>
          <w:b/>
          <w:bCs/>
        </w:rPr>
        <w:t>ring</w:t>
      </w:r>
      <w:r w:rsidRPr="00837BCF">
        <w:rPr>
          <w:b/>
          <w:bCs/>
        </w:rPr>
        <w:t xml:space="preserve"> residential, commercial or public space, as well as the surrounding environment and national borders, in view of possible transboundary impacts.</w:t>
      </w:r>
    </w:p>
    <w:p w14:paraId="5505470D" w14:textId="1788808E" w:rsidR="00D45E4E" w:rsidRPr="00B97B13" w:rsidRDefault="00B4140F" w:rsidP="00B4140F">
      <w:pPr>
        <w:pStyle w:val="H1G"/>
        <w:keepNext w:val="0"/>
        <w:keepLines w:val="0"/>
      </w:pPr>
      <w:r>
        <w:tab/>
      </w:r>
      <w:r w:rsidR="00DE1F0C">
        <w:t>F.</w:t>
      </w:r>
      <w:r w:rsidR="00D45E4E">
        <w:tab/>
      </w:r>
      <w:r w:rsidR="00D45E4E" w:rsidRPr="00B97B13">
        <w:t>Intermediate/temporary storage of AN and AN-based fertilizers, including in port areas</w:t>
      </w:r>
    </w:p>
    <w:p w14:paraId="468395FD" w14:textId="1AF5F6F9" w:rsidR="00D45E4E" w:rsidRDefault="00B33FDC" w:rsidP="00D45E4E">
      <w:pPr>
        <w:pStyle w:val="SingleTxtG"/>
      </w:pPr>
      <w:r>
        <w:t>3</w:t>
      </w:r>
      <w:r w:rsidR="00A7103D">
        <w:t>4</w:t>
      </w:r>
      <w:r>
        <w:t>.</w:t>
      </w:r>
      <w:r>
        <w:tab/>
      </w:r>
      <w:r w:rsidR="00D45E4E">
        <w:t xml:space="preserve">Hazardous substances, including </w:t>
      </w:r>
      <w:r w:rsidR="00D45E4E" w:rsidRPr="002B0982">
        <w:t>AN and AN-based fertilizers</w:t>
      </w:r>
      <w:r w:rsidR="00D45E4E">
        <w:t>,</w:t>
      </w:r>
      <w:r w:rsidR="00D45E4E" w:rsidRPr="002B0982">
        <w:t xml:space="preserve"> </w:t>
      </w:r>
      <w:r w:rsidR="00D45E4E">
        <w:t>are often</w:t>
      </w:r>
      <w:r w:rsidR="00D45E4E" w:rsidRPr="002B0982">
        <w:t xml:space="preserve"> placed in intermediate/temporary storage</w:t>
      </w:r>
      <w:r w:rsidR="00D45E4E" w:rsidRPr="00AF7462">
        <w:t xml:space="preserve"> </w:t>
      </w:r>
      <w:r w:rsidR="00D45E4E">
        <w:t>at different points in their lifecycle</w:t>
      </w:r>
      <w:r w:rsidR="00D45E4E" w:rsidRPr="002B0982">
        <w:t xml:space="preserve">. </w:t>
      </w:r>
      <w:r w:rsidR="00D45E4E">
        <w:t>While there</w:t>
      </w:r>
      <w:r w:rsidR="00D45E4E" w:rsidRPr="002B0982">
        <w:t xml:space="preserve"> is not an internationally agreed upon definition</w:t>
      </w:r>
      <w:r w:rsidR="00D45E4E">
        <w:t xml:space="preserve"> for</w:t>
      </w:r>
      <w:r w:rsidR="00D45E4E" w:rsidRPr="002B0982">
        <w:t xml:space="preserve"> or </w:t>
      </w:r>
      <w:proofErr w:type="gramStart"/>
      <w:r w:rsidR="00D45E4E" w:rsidRPr="002B0982">
        <w:t>time-frame</w:t>
      </w:r>
      <w:proofErr w:type="gramEnd"/>
      <w:r w:rsidR="00D45E4E" w:rsidRPr="002B0982">
        <w:t xml:space="preserve"> of what constitutes </w:t>
      </w:r>
      <w:r w:rsidR="00D45E4E">
        <w:t>such</w:t>
      </w:r>
      <w:r w:rsidR="00D45E4E" w:rsidRPr="002B0982">
        <w:t xml:space="preserve"> storage</w:t>
      </w:r>
      <w:r w:rsidR="00D45E4E">
        <w:t>,</w:t>
      </w:r>
      <w:r w:rsidR="00D45E4E" w:rsidRPr="002B0982">
        <w:t xml:space="preserve"> </w:t>
      </w:r>
      <w:r w:rsidR="00D45E4E">
        <w:t>this often includes when hazardous substances</w:t>
      </w:r>
      <w:r w:rsidR="00D45E4E" w:rsidRPr="002B0982">
        <w:t xml:space="preserve"> are </w:t>
      </w:r>
      <w:r w:rsidR="00D45E4E">
        <w:t xml:space="preserve">somewhere temporarily, such when </w:t>
      </w:r>
      <w:r w:rsidR="00E90807">
        <w:t xml:space="preserve">as </w:t>
      </w:r>
      <w:r w:rsidR="00D45E4E" w:rsidRPr="002B0982">
        <w:t>being classified, labelled, transported, traded or when confiscated</w:t>
      </w:r>
      <w:r w:rsidR="00D45E4E">
        <w:t xml:space="preserve"> (e.g. in the Beirut port)</w:t>
      </w:r>
      <w:r w:rsidR="00D45E4E" w:rsidRPr="002B0982">
        <w:t xml:space="preserve">. </w:t>
      </w:r>
      <w:r w:rsidR="00D45E4E">
        <w:t>The following conclusions were drawn from the seminar:</w:t>
      </w:r>
    </w:p>
    <w:p w14:paraId="0DC08C27" w14:textId="3CC0BA9D" w:rsidR="00651358" w:rsidRPr="00DD2C83" w:rsidRDefault="0047227C" w:rsidP="001E4B14">
      <w:pPr>
        <w:pStyle w:val="SingleTxtG"/>
        <w:ind w:left="1701"/>
        <w:rPr>
          <w:b/>
          <w:bCs/>
        </w:rPr>
      </w:pPr>
      <w:r>
        <w:rPr>
          <w:b/>
          <w:bCs/>
        </w:rPr>
        <w:tab/>
      </w:r>
      <w:r w:rsidR="001E4B14">
        <w:rPr>
          <w:b/>
          <w:bCs/>
        </w:rPr>
        <w:t>(a)</w:t>
      </w:r>
      <w:r>
        <w:rPr>
          <w:b/>
          <w:bCs/>
        </w:rPr>
        <w:tab/>
      </w:r>
      <w:r w:rsidR="00651358" w:rsidRPr="00DD2C83">
        <w:rPr>
          <w:b/>
          <w:bCs/>
        </w:rPr>
        <w:t>The locations for such transitory activities and for storing AN and AN-based fertilizers for limited periods of time may or may not be designed for this substance or these mixtures specifically. This may thus require different measures to ensure safety.</w:t>
      </w:r>
    </w:p>
    <w:p w14:paraId="2ECD7DD3" w14:textId="7E3C37FF" w:rsidR="00651358" w:rsidRPr="00DD2C83" w:rsidRDefault="0047227C" w:rsidP="001E4B14">
      <w:pPr>
        <w:pStyle w:val="SingleTxtG"/>
        <w:ind w:left="1701"/>
        <w:rPr>
          <w:b/>
          <w:bCs/>
        </w:rPr>
      </w:pPr>
      <w:r>
        <w:rPr>
          <w:b/>
          <w:bCs/>
        </w:rPr>
        <w:tab/>
      </w:r>
      <w:r w:rsidR="001E4B14">
        <w:rPr>
          <w:b/>
          <w:bCs/>
        </w:rPr>
        <w:t>(b)</w:t>
      </w:r>
      <w:r>
        <w:rPr>
          <w:b/>
          <w:bCs/>
        </w:rPr>
        <w:tab/>
      </w:r>
      <w:r w:rsidR="00651358" w:rsidRPr="00DD2C83">
        <w:rPr>
          <w:b/>
          <w:bCs/>
        </w:rPr>
        <w:t>Some countries have rules in place prescribing maximum time limits for AN and AN-based fertilizers to be temporarily stored in certain places (</w:t>
      </w:r>
      <w:proofErr w:type="gramStart"/>
      <w:r w:rsidR="00651358" w:rsidRPr="00DD2C83">
        <w:rPr>
          <w:b/>
          <w:bCs/>
        </w:rPr>
        <w:t>e.g.</w:t>
      </w:r>
      <w:proofErr w:type="gramEnd"/>
      <w:r w:rsidR="00651358" w:rsidRPr="00DD2C83">
        <w:rPr>
          <w:b/>
          <w:bCs/>
        </w:rPr>
        <w:t xml:space="preserve"> port areas) and/or different obligations when temporarily storing these for set </w:t>
      </w:r>
      <w:proofErr w:type="spellStart"/>
      <w:r w:rsidR="006E03E9">
        <w:rPr>
          <w:b/>
          <w:bCs/>
        </w:rPr>
        <w:t>lenght</w:t>
      </w:r>
      <w:r w:rsidR="0047797D">
        <w:rPr>
          <w:b/>
          <w:bCs/>
        </w:rPr>
        <w:t>s</w:t>
      </w:r>
      <w:proofErr w:type="spellEnd"/>
      <w:r w:rsidR="00651358" w:rsidRPr="00DD2C83">
        <w:rPr>
          <w:b/>
          <w:bCs/>
        </w:rPr>
        <w:t xml:space="preserve"> of time.</w:t>
      </w:r>
    </w:p>
    <w:p w14:paraId="1C60D056" w14:textId="3BD5E3A5" w:rsidR="00651358" w:rsidRPr="00DD2C83" w:rsidRDefault="0047227C" w:rsidP="001E4B14">
      <w:pPr>
        <w:pStyle w:val="SingleTxtG"/>
        <w:ind w:left="1701"/>
        <w:rPr>
          <w:b/>
          <w:bCs/>
        </w:rPr>
      </w:pPr>
      <w:r>
        <w:rPr>
          <w:b/>
          <w:bCs/>
        </w:rPr>
        <w:tab/>
      </w:r>
      <w:r w:rsidR="001E4B14">
        <w:rPr>
          <w:b/>
          <w:bCs/>
        </w:rPr>
        <w:t>(c)</w:t>
      </w:r>
      <w:r>
        <w:rPr>
          <w:b/>
          <w:bCs/>
        </w:rPr>
        <w:tab/>
      </w:r>
      <w:r w:rsidR="00651358" w:rsidRPr="00DD2C83">
        <w:rPr>
          <w:b/>
          <w:bCs/>
        </w:rPr>
        <w:t>Intermediate/temporary storage often requires various sets of actors to coordinate and cooperate in handing over or dispos</w:t>
      </w:r>
      <w:r w:rsidR="00FB31F4">
        <w:rPr>
          <w:b/>
          <w:bCs/>
        </w:rPr>
        <w:t>al</w:t>
      </w:r>
      <w:r w:rsidR="00651358" w:rsidRPr="00DD2C83">
        <w:rPr>
          <w:b/>
          <w:bCs/>
        </w:rPr>
        <w:t xml:space="preserve"> of hazardous substances, </w:t>
      </w:r>
      <w:r w:rsidR="00791EBE">
        <w:rPr>
          <w:b/>
          <w:bCs/>
        </w:rPr>
        <w:t>for example</w:t>
      </w:r>
      <w:r w:rsidR="00651358" w:rsidRPr="00DD2C83">
        <w:rPr>
          <w:b/>
          <w:bCs/>
        </w:rPr>
        <w:t xml:space="preserve"> national authorities, customs and border patrol, port authorities, companies, ship crews, truck drivers, etc.</w:t>
      </w:r>
    </w:p>
    <w:p w14:paraId="49252E10" w14:textId="40FFF7BA" w:rsidR="00651358" w:rsidRPr="00DD2C83" w:rsidRDefault="0047227C" w:rsidP="001E4B14">
      <w:pPr>
        <w:pStyle w:val="SingleTxtG"/>
        <w:ind w:left="1701"/>
        <w:rPr>
          <w:b/>
          <w:bCs/>
        </w:rPr>
      </w:pPr>
      <w:r>
        <w:rPr>
          <w:b/>
          <w:bCs/>
        </w:rPr>
        <w:tab/>
      </w:r>
      <w:r w:rsidR="001E4B14">
        <w:rPr>
          <w:b/>
          <w:bCs/>
        </w:rPr>
        <w:t>(d)</w:t>
      </w:r>
      <w:r>
        <w:rPr>
          <w:b/>
          <w:bCs/>
        </w:rPr>
        <w:tab/>
      </w:r>
      <w:r w:rsidR="00651358" w:rsidRPr="00DD2C83">
        <w:rPr>
          <w:b/>
          <w:bCs/>
        </w:rPr>
        <w:t xml:space="preserve">Countries should take the above factors or issues into consideration when reviewing their regulations and inspection criteria, to ensure hazardous </w:t>
      </w:r>
      <w:r w:rsidR="00651358" w:rsidRPr="00DD2C83">
        <w:rPr>
          <w:b/>
          <w:bCs/>
        </w:rPr>
        <w:lastRenderedPageBreak/>
        <w:t>substances, including AN and AN-based fertilizers, are always safety managed and accounted for when in intermediate/temporary storage.</w:t>
      </w:r>
    </w:p>
    <w:p w14:paraId="3264E5D8" w14:textId="7C5F889E" w:rsidR="00651358" w:rsidRPr="00DD2C83" w:rsidRDefault="0047227C" w:rsidP="001E4B14">
      <w:pPr>
        <w:pStyle w:val="SingleTxtG"/>
        <w:ind w:left="1701"/>
        <w:rPr>
          <w:b/>
          <w:bCs/>
        </w:rPr>
      </w:pPr>
      <w:r>
        <w:rPr>
          <w:b/>
          <w:bCs/>
        </w:rPr>
        <w:tab/>
      </w:r>
      <w:r w:rsidR="001E4B14">
        <w:rPr>
          <w:b/>
          <w:bCs/>
        </w:rPr>
        <w:t>(e)</w:t>
      </w:r>
      <w:r>
        <w:rPr>
          <w:b/>
          <w:bCs/>
        </w:rPr>
        <w:tab/>
      </w:r>
      <w:r w:rsidR="00651358" w:rsidRPr="00DD2C83">
        <w:rPr>
          <w:b/>
          <w:bCs/>
        </w:rPr>
        <w:t xml:space="preserve">Implementation of the IMO Revised Recommendations on the safe transport of dangerous cargoes and related activities in port areas provides a basis to safely </w:t>
      </w:r>
      <w:r w:rsidR="00E03004">
        <w:rPr>
          <w:b/>
          <w:bCs/>
        </w:rPr>
        <w:t>st</w:t>
      </w:r>
      <w:r w:rsidR="009131AA">
        <w:rPr>
          <w:b/>
          <w:bCs/>
        </w:rPr>
        <w:t>o</w:t>
      </w:r>
      <w:r w:rsidR="00E03004">
        <w:rPr>
          <w:b/>
          <w:bCs/>
        </w:rPr>
        <w:t>re</w:t>
      </w:r>
      <w:r w:rsidR="00651358" w:rsidRPr="00DD2C83">
        <w:rPr>
          <w:b/>
          <w:bCs/>
        </w:rPr>
        <w:t xml:space="preserve"> dangerous cargoes, including those with AN and AN-based fertilizers, in port areas temporarily. The recommendations can be reviewed for measures </w:t>
      </w:r>
      <w:r w:rsidR="00B8259C">
        <w:rPr>
          <w:b/>
          <w:bCs/>
        </w:rPr>
        <w:t>i</w:t>
      </w:r>
      <w:r w:rsidR="00651358" w:rsidRPr="00DD2C83">
        <w:rPr>
          <w:b/>
          <w:bCs/>
        </w:rPr>
        <w:t xml:space="preserve">n warehouses, terminal </w:t>
      </w:r>
      <w:proofErr w:type="gramStart"/>
      <w:r w:rsidR="00651358" w:rsidRPr="00DD2C83">
        <w:rPr>
          <w:b/>
          <w:bCs/>
        </w:rPr>
        <w:t>areas</w:t>
      </w:r>
      <w:proofErr w:type="gramEnd"/>
      <w:r w:rsidR="00651358" w:rsidRPr="00DD2C83">
        <w:rPr>
          <w:b/>
          <w:bCs/>
        </w:rPr>
        <w:t xml:space="preserve"> and infrastructure in ports, as well as minimum training requirements, security provisions, responsibilities of different actors and more. </w:t>
      </w:r>
    </w:p>
    <w:p w14:paraId="63D254A0" w14:textId="4EBBF6BF" w:rsidR="00651358" w:rsidRPr="00B51DF4" w:rsidRDefault="0047227C" w:rsidP="001E4B14">
      <w:pPr>
        <w:pStyle w:val="SingleTxtG"/>
        <w:ind w:left="1701"/>
      </w:pPr>
      <w:r>
        <w:rPr>
          <w:b/>
          <w:bCs/>
        </w:rPr>
        <w:tab/>
      </w:r>
      <w:r w:rsidR="001E4B14">
        <w:rPr>
          <w:b/>
          <w:bCs/>
        </w:rPr>
        <w:t>(f)</w:t>
      </w:r>
      <w:r>
        <w:rPr>
          <w:b/>
          <w:bCs/>
        </w:rPr>
        <w:tab/>
      </w:r>
      <w:r w:rsidR="00651358" w:rsidRPr="00DD2C83">
        <w:rPr>
          <w:b/>
          <w:bCs/>
        </w:rPr>
        <w:t xml:space="preserve">Intermediate/temporary storage needs further discussion and consideration, </w:t>
      </w:r>
      <w:r w:rsidR="0043600A">
        <w:rPr>
          <w:b/>
          <w:bCs/>
        </w:rPr>
        <w:t xml:space="preserve">such as </w:t>
      </w:r>
      <w:r w:rsidR="00651358" w:rsidRPr="00DD2C83">
        <w:rPr>
          <w:b/>
          <w:bCs/>
        </w:rPr>
        <w:t>definitions and elements involved, interlinkages between relevant regulations, implications for various authorities and various approaches to its management.</w:t>
      </w:r>
    </w:p>
    <w:p w14:paraId="78F1A9E0" w14:textId="31003F9B" w:rsidR="007342BF" w:rsidRDefault="006216B2" w:rsidP="006216B2">
      <w:pPr>
        <w:pStyle w:val="H1G"/>
        <w:keepNext w:val="0"/>
        <w:keepLines w:val="0"/>
      </w:pPr>
      <w:r>
        <w:tab/>
      </w:r>
      <w:r w:rsidR="00DE1F0C">
        <w:t>G</w:t>
      </w:r>
      <w:r w:rsidR="001E5FEA" w:rsidRPr="00B97B13">
        <w:t>.</w:t>
      </w:r>
      <w:r w:rsidR="001E5FEA">
        <w:tab/>
      </w:r>
      <w:r w:rsidR="001E5FEA" w:rsidRPr="00B97B13">
        <w:t>Information-sharing and training on hazardous substances, including AN and AN-based fertilizers</w:t>
      </w:r>
    </w:p>
    <w:p w14:paraId="0D6E8754" w14:textId="53F0D09D" w:rsidR="00FB3751" w:rsidRDefault="00B33FDC" w:rsidP="00931F38">
      <w:pPr>
        <w:pStyle w:val="SingleTxtG"/>
      </w:pPr>
      <w:r>
        <w:tab/>
        <w:t>3</w:t>
      </w:r>
      <w:r w:rsidR="006E03FB">
        <w:t>5</w:t>
      </w:r>
      <w:r>
        <w:t>.</w:t>
      </w:r>
      <w:r>
        <w:tab/>
      </w:r>
      <w:r w:rsidR="00931F38">
        <w:t>The various actors involved in managing the risks of hazardous substances,</w:t>
      </w:r>
      <w:r w:rsidR="00931F38" w:rsidRPr="007940E5">
        <w:t xml:space="preserve"> including AN and AN-based fertilizers, </w:t>
      </w:r>
      <w:r w:rsidR="00931F38">
        <w:t xml:space="preserve">have different sets of </w:t>
      </w:r>
      <w:r w:rsidR="00931F38" w:rsidRPr="00931F38">
        <w:t>knowledge</w:t>
      </w:r>
      <w:r w:rsidR="00931F38">
        <w:t xml:space="preserve">, receive different types and amounts of information and </w:t>
      </w:r>
      <w:proofErr w:type="gramStart"/>
      <w:r w:rsidR="00931F38">
        <w:t>complete</w:t>
      </w:r>
      <w:proofErr w:type="gramEnd"/>
      <w:r w:rsidR="00931F38">
        <w:t xml:space="preserve"> different trainings </w:t>
      </w:r>
      <w:r w:rsidR="005A0F4E">
        <w:t>to</w:t>
      </w:r>
      <w:r w:rsidR="00931F38">
        <w:t xml:space="preserve"> work with substances and mixtures</w:t>
      </w:r>
      <w:r w:rsidR="00931F38" w:rsidRPr="007940E5">
        <w:t>.</w:t>
      </w:r>
      <w:r w:rsidR="00931F38">
        <w:t xml:space="preserve"> </w:t>
      </w:r>
      <w:r w:rsidR="008729AF">
        <w:t>Sharing i</w:t>
      </w:r>
      <w:r w:rsidR="00931F38">
        <w:t xml:space="preserve">nformation and training help to ensure </w:t>
      </w:r>
      <w:r w:rsidR="008729AF">
        <w:t xml:space="preserve">that </w:t>
      </w:r>
      <w:r w:rsidR="00931F38">
        <w:t>all stakeholders are prepared to manage hazardous substances safely</w:t>
      </w:r>
      <w:r w:rsidR="00931F38" w:rsidRPr="007940E5">
        <w:t>. The following conclusions were drawn from the seminar:</w:t>
      </w:r>
    </w:p>
    <w:p w14:paraId="73DA4119" w14:textId="7686C6BD" w:rsidR="00FF75CA" w:rsidRPr="00FF75CA" w:rsidRDefault="00FF75CA" w:rsidP="00F837D7">
      <w:pPr>
        <w:pStyle w:val="SingleTxtG"/>
        <w:ind w:left="1701"/>
        <w:rPr>
          <w:b/>
          <w:bCs/>
        </w:rPr>
      </w:pPr>
      <w:r>
        <w:rPr>
          <w:b/>
          <w:bCs/>
        </w:rPr>
        <w:tab/>
      </w:r>
      <w:r w:rsidR="00D128A7">
        <w:rPr>
          <w:b/>
          <w:bCs/>
        </w:rPr>
        <w:t>(a)</w:t>
      </w:r>
      <w:r>
        <w:rPr>
          <w:b/>
          <w:bCs/>
        </w:rPr>
        <w:tab/>
      </w:r>
      <w:r w:rsidRPr="00FF75CA">
        <w:rPr>
          <w:b/>
          <w:bCs/>
        </w:rPr>
        <w:t xml:space="preserve">To ensure the safe storage, handling and transport of hazardous substances, including AN and AN-based fertilizers, national and local authorities, inspectors, firefighters, workers, truck drivers, responders, among other groups, need to </w:t>
      </w:r>
      <w:r w:rsidR="0093320B">
        <w:rPr>
          <w:b/>
          <w:bCs/>
        </w:rPr>
        <w:t>know</w:t>
      </w:r>
      <w:r w:rsidRPr="00FF75CA">
        <w:rPr>
          <w:b/>
          <w:bCs/>
        </w:rPr>
        <w:t>: (</w:t>
      </w:r>
      <w:proofErr w:type="spellStart"/>
      <w:r w:rsidR="00B23DF0">
        <w:rPr>
          <w:b/>
          <w:bCs/>
        </w:rPr>
        <w:t>i</w:t>
      </w:r>
      <w:proofErr w:type="spellEnd"/>
      <w:r w:rsidRPr="00FF75CA">
        <w:rPr>
          <w:b/>
          <w:bCs/>
        </w:rPr>
        <w:t>) the characteristics and type of the substance/mixture they are working with; (</w:t>
      </w:r>
      <w:r w:rsidR="00B23DF0">
        <w:rPr>
          <w:b/>
          <w:bCs/>
        </w:rPr>
        <w:t>ii</w:t>
      </w:r>
      <w:r w:rsidRPr="00FF75CA">
        <w:rPr>
          <w:b/>
          <w:bCs/>
        </w:rPr>
        <w:t>) the associated hazards and risks; and (</w:t>
      </w:r>
      <w:r w:rsidR="00B23DF0">
        <w:rPr>
          <w:b/>
          <w:bCs/>
        </w:rPr>
        <w:t>iii</w:t>
      </w:r>
      <w:r w:rsidRPr="00FF75CA">
        <w:rPr>
          <w:b/>
          <w:bCs/>
        </w:rPr>
        <w:t xml:space="preserve">) </w:t>
      </w:r>
      <w:r w:rsidR="001D53E0">
        <w:rPr>
          <w:b/>
          <w:bCs/>
        </w:rPr>
        <w:t xml:space="preserve">the </w:t>
      </w:r>
      <w:r w:rsidRPr="00FF75CA">
        <w:rPr>
          <w:b/>
          <w:bCs/>
        </w:rPr>
        <w:t xml:space="preserve">measures </w:t>
      </w:r>
      <w:r w:rsidR="001D53E0">
        <w:rPr>
          <w:b/>
          <w:bCs/>
        </w:rPr>
        <w:t xml:space="preserve">that need to </w:t>
      </w:r>
      <w:r w:rsidRPr="00FF75CA">
        <w:rPr>
          <w:b/>
          <w:bCs/>
        </w:rPr>
        <w:t>be taken to prevent, prepare for and respond to accidents. They also need training to properly implement safety measures.</w:t>
      </w:r>
    </w:p>
    <w:p w14:paraId="170059BD" w14:textId="139BB74F" w:rsidR="00FF75CA" w:rsidRPr="00FF75CA" w:rsidRDefault="00FF75CA" w:rsidP="00F837D7">
      <w:pPr>
        <w:pStyle w:val="SingleTxtG"/>
        <w:ind w:left="1701"/>
        <w:rPr>
          <w:b/>
          <w:bCs/>
        </w:rPr>
      </w:pPr>
      <w:r>
        <w:rPr>
          <w:b/>
          <w:bCs/>
        </w:rPr>
        <w:tab/>
      </w:r>
      <w:r w:rsidR="00D128A7">
        <w:rPr>
          <w:b/>
          <w:bCs/>
        </w:rPr>
        <w:t>(b)</w:t>
      </w:r>
      <w:r>
        <w:rPr>
          <w:b/>
          <w:bCs/>
        </w:rPr>
        <w:tab/>
      </w:r>
      <w:r w:rsidRPr="00FF75CA">
        <w:rPr>
          <w:b/>
          <w:bCs/>
        </w:rPr>
        <w:t xml:space="preserve">The public needs to be informed of the existence of nearby hazardous substances, including AN and AN-based fertilizers, </w:t>
      </w:r>
      <w:r w:rsidR="0027285A">
        <w:rPr>
          <w:b/>
          <w:bCs/>
        </w:rPr>
        <w:t>which</w:t>
      </w:r>
      <w:r w:rsidRPr="00FF75CA">
        <w:rPr>
          <w:b/>
          <w:bCs/>
        </w:rPr>
        <w:t xml:space="preserve"> </w:t>
      </w:r>
      <w:proofErr w:type="gramStart"/>
      <w:r w:rsidRPr="00FF75CA">
        <w:rPr>
          <w:b/>
          <w:bCs/>
        </w:rPr>
        <w:t>are capable of causing</w:t>
      </w:r>
      <w:proofErr w:type="gramEnd"/>
      <w:r w:rsidRPr="00FF75CA">
        <w:rPr>
          <w:b/>
          <w:bCs/>
        </w:rPr>
        <w:t xml:space="preserve"> accidents that could affect them, as well as the associated hazards and risks</w:t>
      </w:r>
      <w:r w:rsidR="00967307">
        <w:rPr>
          <w:b/>
          <w:bCs/>
        </w:rPr>
        <w:t>,</w:t>
      </w:r>
      <w:r w:rsidRPr="00FF75CA">
        <w:rPr>
          <w:b/>
          <w:bCs/>
        </w:rPr>
        <w:t xml:space="preserve"> and what to do in case of an accident. Information-measures should also target the affected public in neighbouring countries.</w:t>
      </w:r>
    </w:p>
    <w:p w14:paraId="037F72AB" w14:textId="0F567F3D" w:rsidR="00FF75CA" w:rsidRPr="00FF75CA" w:rsidRDefault="00FF75CA" w:rsidP="00F837D7">
      <w:pPr>
        <w:pStyle w:val="SingleTxtG"/>
        <w:ind w:left="1701"/>
        <w:rPr>
          <w:b/>
          <w:bCs/>
        </w:rPr>
      </w:pPr>
      <w:r>
        <w:rPr>
          <w:b/>
          <w:bCs/>
        </w:rPr>
        <w:tab/>
      </w:r>
      <w:r w:rsidR="00D128A7">
        <w:rPr>
          <w:b/>
          <w:bCs/>
        </w:rPr>
        <w:t>(c)</w:t>
      </w:r>
      <w:r>
        <w:rPr>
          <w:b/>
          <w:bCs/>
        </w:rPr>
        <w:tab/>
      </w:r>
      <w:r w:rsidRPr="00FF75CA">
        <w:rPr>
          <w:b/>
          <w:bCs/>
        </w:rPr>
        <w:t>Some challenges are: (</w:t>
      </w:r>
      <w:proofErr w:type="spellStart"/>
      <w:r w:rsidR="00F837D7">
        <w:rPr>
          <w:b/>
          <w:bCs/>
        </w:rPr>
        <w:t>i</w:t>
      </w:r>
      <w:proofErr w:type="spellEnd"/>
      <w:r w:rsidRPr="00FF75CA">
        <w:rPr>
          <w:b/>
          <w:bCs/>
        </w:rPr>
        <w:t>) information is not always provided to all those who need it to properly do their job</w:t>
      </w:r>
      <w:r w:rsidR="007E28F5">
        <w:rPr>
          <w:b/>
          <w:bCs/>
        </w:rPr>
        <w:t xml:space="preserve"> to</w:t>
      </w:r>
      <w:r w:rsidRPr="00FF75CA">
        <w:rPr>
          <w:b/>
          <w:bCs/>
        </w:rPr>
        <w:t xml:space="preserve"> ensure safety or to respond to accidents; (</w:t>
      </w:r>
      <w:r w:rsidR="00F837D7">
        <w:rPr>
          <w:b/>
          <w:bCs/>
        </w:rPr>
        <w:t>ii</w:t>
      </w:r>
      <w:r w:rsidRPr="00FF75CA">
        <w:rPr>
          <w:b/>
          <w:bCs/>
        </w:rPr>
        <w:t>) information is not always communicated in an understandable manner to different target groups; and (</w:t>
      </w:r>
      <w:r w:rsidR="00F837D7">
        <w:rPr>
          <w:b/>
          <w:bCs/>
        </w:rPr>
        <w:t>iii</w:t>
      </w:r>
      <w:r w:rsidRPr="00FF75CA">
        <w:rPr>
          <w:b/>
          <w:bCs/>
        </w:rPr>
        <w:t xml:space="preserve">) authorities and companies may not always </w:t>
      </w:r>
      <w:r w:rsidR="003E14DB">
        <w:rPr>
          <w:b/>
          <w:bCs/>
        </w:rPr>
        <w:t>prioritise</w:t>
      </w:r>
      <w:r w:rsidRPr="00FF75CA">
        <w:rPr>
          <w:b/>
          <w:bCs/>
        </w:rPr>
        <w:t xml:space="preserve"> safety.</w:t>
      </w:r>
    </w:p>
    <w:p w14:paraId="4B5EB6C7" w14:textId="2645AECD" w:rsidR="00FF75CA" w:rsidRPr="00FF75CA" w:rsidRDefault="00FF75CA" w:rsidP="00F837D7">
      <w:pPr>
        <w:pStyle w:val="SingleTxtG"/>
        <w:ind w:left="1701"/>
        <w:rPr>
          <w:b/>
          <w:bCs/>
        </w:rPr>
      </w:pPr>
      <w:r>
        <w:rPr>
          <w:b/>
          <w:bCs/>
        </w:rPr>
        <w:tab/>
      </w:r>
      <w:r w:rsidR="00D128A7">
        <w:rPr>
          <w:b/>
          <w:bCs/>
        </w:rPr>
        <w:t>(d)</w:t>
      </w:r>
      <w:r>
        <w:rPr>
          <w:b/>
          <w:bCs/>
        </w:rPr>
        <w:tab/>
      </w:r>
      <w:r w:rsidRPr="00FF75CA">
        <w:rPr>
          <w:b/>
          <w:bCs/>
        </w:rPr>
        <w:t>Such challenges could be addressed by fully scoping the target groups and ensuring information is effectively channelled to them. Th</w:t>
      </w:r>
      <w:r w:rsidR="003E14DB">
        <w:rPr>
          <w:b/>
          <w:bCs/>
        </w:rPr>
        <w:t>is</w:t>
      </w:r>
      <w:r w:rsidRPr="00FF75CA">
        <w:rPr>
          <w:b/>
          <w:bCs/>
        </w:rPr>
        <w:t xml:space="preserve"> information is often highly technical, so tailoring it for target groups and </w:t>
      </w:r>
      <w:r w:rsidR="000E0B7E" w:rsidRPr="00FF75CA">
        <w:rPr>
          <w:b/>
          <w:bCs/>
        </w:rPr>
        <w:t xml:space="preserve">clearly </w:t>
      </w:r>
      <w:r w:rsidRPr="00FF75CA">
        <w:rPr>
          <w:b/>
          <w:bCs/>
        </w:rPr>
        <w:t>presenting it to them is essential. Different forms of communication could include drills/exercises, letters, manuals, trainings, websites, etc.</w:t>
      </w:r>
    </w:p>
    <w:p w14:paraId="0B96D407" w14:textId="133E1A4A" w:rsidR="00FF75CA" w:rsidRPr="00FF75CA" w:rsidRDefault="00FF75CA" w:rsidP="00F837D7">
      <w:pPr>
        <w:pStyle w:val="SingleTxtG"/>
        <w:ind w:left="1701"/>
        <w:rPr>
          <w:b/>
          <w:bCs/>
        </w:rPr>
      </w:pPr>
      <w:r>
        <w:rPr>
          <w:b/>
          <w:bCs/>
        </w:rPr>
        <w:tab/>
      </w:r>
      <w:r w:rsidR="00D128A7">
        <w:rPr>
          <w:b/>
          <w:bCs/>
        </w:rPr>
        <w:t>(e)</w:t>
      </w:r>
      <w:r>
        <w:rPr>
          <w:b/>
          <w:bCs/>
        </w:rPr>
        <w:tab/>
      </w:r>
      <w:r w:rsidR="00CC4231">
        <w:rPr>
          <w:b/>
          <w:bCs/>
        </w:rPr>
        <w:t>The a</w:t>
      </w:r>
      <w:r w:rsidRPr="00FF75CA">
        <w:rPr>
          <w:b/>
          <w:bCs/>
        </w:rPr>
        <w:t>ppl</w:t>
      </w:r>
      <w:r w:rsidR="00D522E4">
        <w:rPr>
          <w:b/>
          <w:bCs/>
        </w:rPr>
        <w:t>ication of</w:t>
      </w:r>
      <w:r w:rsidRPr="00FF75CA">
        <w:rPr>
          <w:b/>
          <w:bCs/>
        </w:rPr>
        <w:t xml:space="preserve"> relevant international instruments, such as the ILO Conventions and Recommendations supports the engagement and training of workers.</w:t>
      </w:r>
    </w:p>
    <w:p w14:paraId="7EDD7A05" w14:textId="3BB904DB" w:rsidR="00E46B7F" w:rsidRPr="00B97B13" w:rsidRDefault="006216B2" w:rsidP="00F356F4">
      <w:pPr>
        <w:pStyle w:val="H1G"/>
      </w:pPr>
      <w:r>
        <w:lastRenderedPageBreak/>
        <w:tab/>
      </w:r>
      <w:r w:rsidR="00D343A2">
        <w:t>H</w:t>
      </w:r>
      <w:r w:rsidR="00E46B7F" w:rsidRPr="00B97B13">
        <w:t>.</w:t>
      </w:r>
      <w:r w:rsidR="00E46B7F">
        <w:tab/>
      </w:r>
      <w:r w:rsidR="00E46B7F" w:rsidRPr="00B97B13">
        <w:t xml:space="preserve">Cooperation and coordination </w:t>
      </w:r>
      <w:r w:rsidR="00175147">
        <w:t>between</w:t>
      </w:r>
      <w:r w:rsidR="00E46B7F" w:rsidRPr="00B97B13">
        <w:t xml:space="preserve"> authorities</w:t>
      </w:r>
    </w:p>
    <w:p w14:paraId="119F0D14" w14:textId="5A90C8E3" w:rsidR="00E46B7F" w:rsidRPr="001B3904" w:rsidRDefault="00B33FDC" w:rsidP="00F356F4">
      <w:pPr>
        <w:pStyle w:val="SingleTxtG"/>
        <w:keepNext/>
        <w:keepLines/>
      </w:pPr>
      <w:r>
        <w:tab/>
        <w:t>3</w:t>
      </w:r>
      <w:r w:rsidR="00F356F4">
        <w:t>6</w:t>
      </w:r>
      <w:r>
        <w:t>.</w:t>
      </w:r>
      <w:r>
        <w:tab/>
      </w:r>
      <w:r w:rsidR="00E46B7F">
        <w:t xml:space="preserve">Many hazardous substances can be used for different purposes and in a variety of sectors. AN and AN-based fertilizers </w:t>
      </w:r>
      <w:r w:rsidR="00347DEA">
        <w:t xml:space="preserve">are used in the </w:t>
      </w:r>
      <w:r w:rsidR="007A3295">
        <w:t>agricul</w:t>
      </w:r>
      <w:r w:rsidR="00CA5EB4">
        <w:t>tural and</w:t>
      </w:r>
      <w:r w:rsidR="00E46B7F">
        <w:t xml:space="preserve"> chemical industr</w:t>
      </w:r>
      <w:r w:rsidR="00347DEA">
        <w:t>ies</w:t>
      </w:r>
      <w:r w:rsidR="00E46B7F">
        <w:t xml:space="preserve">, </w:t>
      </w:r>
      <w:r w:rsidR="00347DEA">
        <w:t>in</w:t>
      </w:r>
      <w:r w:rsidR="00E46B7F">
        <w:t xml:space="preserve"> explosives, </w:t>
      </w:r>
      <w:r w:rsidR="00347DEA">
        <w:t>in</w:t>
      </w:r>
      <w:r w:rsidR="00E46B7F">
        <w:t xml:space="preserve"> mining and more. During the lifecycle of hazardous substances, including AN and AN-based fertilizers, </w:t>
      </w:r>
      <w:r w:rsidR="006A5ECE">
        <w:t>many</w:t>
      </w:r>
      <w:r w:rsidR="00E46B7F">
        <w:t xml:space="preserve"> regulations apply that are overseen by different authorities covering, among other areas, industrial safety, customs, police, emergency response, disaster risk management, occupational safety and health, ports, </w:t>
      </w:r>
      <w:proofErr w:type="gramStart"/>
      <w:r w:rsidR="00E46B7F">
        <w:t>transport</w:t>
      </w:r>
      <w:proofErr w:type="gramEnd"/>
      <w:r w:rsidR="00E46B7F">
        <w:t xml:space="preserve"> and environmental protection. Different authorities often use different terminology, take different </w:t>
      </w:r>
      <w:proofErr w:type="gramStart"/>
      <w:r w:rsidR="00E46B7F">
        <w:t>approaches</w:t>
      </w:r>
      <w:proofErr w:type="gramEnd"/>
      <w:r w:rsidR="00E46B7F">
        <w:t xml:space="preserve"> and have different areas of expertise. The following conclusions </w:t>
      </w:r>
      <w:r w:rsidR="00FA0F8C">
        <w:t>were</w:t>
      </w:r>
      <w:r w:rsidR="00E46B7F">
        <w:t xml:space="preserve"> drawn from the presentations and discussions:</w:t>
      </w:r>
    </w:p>
    <w:p w14:paraId="293F81C0" w14:textId="65CB6BDA" w:rsidR="00632C45" w:rsidRPr="00210445" w:rsidRDefault="00467B34" w:rsidP="00B311C1">
      <w:pPr>
        <w:pStyle w:val="SingleTxtG"/>
        <w:ind w:left="1701"/>
        <w:rPr>
          <w:b/>
          <w:bCs/>
        </w:rPr>
      </w:pPr>
      <w:r w:rsidRPr="00B311C1">
        <w:rPr>
          <w:b/>
          <w:bCs/>
        </w:rPr>
        <w:tab/>
      </w:r>
      <w:r w:rsidR="00B311C1" w:rsidRPr="00B311C1">
        <w:rPr>
          <w:b/>
          <w:bCs/>
        </w:rPr>
        <w:t>(a)</w:t>
      </w:r>
      <w:r w:rsidRPr="00B311C1">
        <w:rPr>
          <w:b/>
          <w:bCs/>
        </w:rPr>
        <w:tab/>
      </w:r>
      <w:r w:rsidR="00D44233">
        <w:rPr>
          <w:b/>
          <w:bCs/>
        </w:rPr>
        <w:t>The</w:t>
      </w:r>
      <w:r w:rsidR="00632C45" w:rsidRPr="00210445">
        <w:rPr>
          <w:b/>
          <w:bCs/>
        </w:rPr>
        <w:t xml:space="preserve"> implement</w:t>
      </w:r>
      <w:r w:rsidR="00D44233">
        <w:rPr>
          <w:b/>
          <w:bCs/>
        </w:rPr>
        <w:t>ation</w:t>
      </w:r>
      <w:r w:rsidR="00632C45" w:rsidRPr="00210445">
        <w:rPr>
          <w:b/>
          <w:bCs/>
        </w:rPr>
        <w:t xml:space="preserve"> and enforce</w:t>
      </w:r>
      <w:r w:rsidR="0034261E">
        <w:rPr>
          <w:b/>
          <w:bCs/>
        </w:rPr>
        <w:t>ment of</w:t>
      </w:r>
      <w:r w:rsidR="00632C45" w:rsidRPr="00210445">
        <w:rPr>
          <w:b/>
          <w:bCs/>
        </w:rPr>
        <w:t xml:space="preserve"> all applicable regulations and </w:t>
      </w:r>
      <w:r w:rsidR="0034261E">
        <w:rPr>
          <w:b/>
          <w:bCs/>
        </w:rPr>
        <w:t>the</w:t>
      </w:r>
      <w:r w:rsidR="00B9718A">
        <w:rPr>
          <w:b/>
          <w:bCs/>
        </w:rPr>
        <w:t xml:space="preserve"> related</w:t>
      </w:r>
      <w:r w:rsidR="00632C45" w:rsidRPr="00210445">
        <w:rPr>
          <w:b/>
          <w:bCs/>
        </w:rPr>
        <w:t xml:space="preserve"> inspections, audits, etc. (see Section </w:t>
      </w:r>
      <w:r w:rsidR="00B9718A">
        <w:rPr>
          <w:b/>
          <w:bCs/>
        </w:rPr>
        <w:t>IV</w:t>
      </w:r>
      <w:r w:rsidR="00632C45" w:rsidRPr="00210445">
        <w:rPr>
          <w:b/>
          <w:bCs/>
        </w:rPr>
        <w:t>(</w:t>
      </w:r>
      <w:r w:rsidR="00B9718A">
        <w:rPr>
          <w:b/>
          <w:bCs/>
        </w:rPr>
        <w:t>E</w:t>
      </w:r>
      <w:r w:rsidR="00632C45" w:rsidRPr="00210445">
        <w:rPr>
          <w:b/>
          <w:bCs/>
        </w:rPr>
        <w:t xml:space="preserve">) above). Safety needs to be given the utmost priority, with the objective of accident </w:t>
      </w:r>
      <w:r w:rsidR="00B9718A" w:rsidRPr="00210445">
        <w:rPr>
          <w:b/>
          <w:bCs/>
        </w:rPr>
        <w:t>preventing</w:t>
      </w:r>
      <w:r w:rsidR="00632C45" w:rsidRPr="00210445">
        <w:rPr>
          <w:b/>
          <w:bCs/>
        </w:rPr>
        <w:t>.</w:t>
      </w:r>
    </w:p>
    <w:p w14:paraId="04616B82" w14:textId="6B501D94" w:rsidR="00632C45" w:rsidRPr="00210445" w:rsidRDefault="00467B34" w:rsidP="00B311C1">
      <w:pPr>
        <w:pStyle w:val="SingleTxtG"/>
        <w:ind w:left="1701"/>
        <w:rPr>
          <w:b/>
          <w:bCs/>
        </w:rPr>
      </w:pPr>
      <w:r w:rsidRPr="00210445">
        <w:rPr>
          <w:b/>
          <w:bCs/>
        </w:rPr>
        <w:tab/>
      </w:r>
      <w:r w:rsidR="00B311C1">
        <w:rPr>
          <w:b/>
          <w:bCs/>
        </w:rPr>
        <w:t>(b)</w:t>
      </w:r>
      <w:r w:rsidRPr="00210445">
        <w:rPr>
          <w:b/>
          <w:bCs/>
        </w:rPr>
        <w:tab/>
      </w:r>
      <w:r w:rsidR="00632C45" w:rsidRPr="00210445">
        <w:rPr>
          <w:b/>
          <w:bCs/>
        </w:rPr>
        <w:t xml:space="preserve">It is essential that authorities coordinate and cooperate with industry and operators to ensure the safe storage, </w:t>
      </w:r>
      <w:proofErr w:type="gramStart"/>
      <w:r w:rsidR="00632C45" w:rsidRPr="00210445">
        <w:rPr>
          <w:b/>
          <w:bCs/>
        </w:rPr>
        <w:t>handling</w:t>
      </w:r>
      <w:proofErr w:type="gramEnd"/>
      <w:r w:rsidR="00632C45" w:rsidRPr="00210445">
        <w:rPr>
          <w:b/>
          <w:bCs/>
        </w:rPr>
        <w:t xml:space="preserve"> and transport of hazardous substances in port areas and beyond. It is also imperative that authorities and operators effectively cooperate to mitigate the effects of any accident, to ensure that preparedness (on- and off-site contingency) plans are in place, and that response measures are taken effectively, to mitigate </w:t>
      </w:r>
      <w:r w:rsidR="00C501EA">
        <w:rPr>
          <w:b/>
          <w:bCs/>
        </w:rPr>
        <w:t xml:space="preserve">the </w:t>
      </w:r>
      <w:r w:rsidR="00632C45" w:rsidRPr="00210445">
        <w:rPr>
          <w:b/>
          <w:bCs/>
        </w:rPr>
        <w:t xml:space="preserve">damage to human lives, </w:t>
      </w:r>
      <w:proofErr w:type="gramStart"/>
      <w:r w:rsidR="00632C45" w:rsidRPr="00210445">
        <w:rPr>
          <w:b/>
          <w:bCs/>
        </w:rPr>
        <w:t>health</w:t>
      </w:r>
      <w:proofErr w:type="gramEnd"/>
      <w:r w:rsidR="00632C45" w:rsidRPr="00210445">
        <w:rPr>
          <w:b/>
          <w:bCs/>
        </w:rPr>
        <w:t xml:space="preserve"> and the environment.</w:t>
      </w:r>
    </w:p>
    <w:p w14:paraId="28661C04" w14:textId="45F5BE97" w:rsidR="00632C45" w:rsidRPr="00210445" w:rsidRDefault="00467B34" w:rsidP="00B311C1">
      <w:pPr>
        <w:pStyle w:val="SingleTxtG"/>
        <w:ind w:left="1701"/>
        <w:rPr>
          <w:b/>
          <w:bCs/>
        </w:rPr>
      </w:pPr>
      <w:r w:rsidRPr="00210445">
        <w:rPr>
          <w:b/>
          <w:bCs/>
        </w:rPr>
        <w:tab/>
      </w:r>
      <w:r w:rsidR="00B311C1">
        <w:rPr>
          <w:b/>
          <w:bCs/>
        </w:rPr>
        <w:t>(c)</w:t>
      </w:r>
      <w:r w:rsidRPr="00210445">
        <w:rPr>
          <w:b/>
          <w:bCs/>
        </w:rPr>
        <w:tab/>
      </w:r>
      <w:r w:rsidR="00D73BAA">
        <w:rPr>
          <w:b/>
          <w:bCs/>
        </w:rPr>
        <w:t>C</w:t>
      </w:r>
      <w:r w:rsidR="00632C45" w:rsidRPr="00210445">
        <w:rPr>
          <w:b/>
          <w:bCs/>
        </w:rPr>
        <w:t>oordination and cooperation</w:t>
      </w:r>
      <w:r w:rsidR="00D73BAA">
        <w:rPr>
          <w:b/>
          <w:bCs/>
        </w:rPr>
        <w:t xml:space="preserve"> between</w:t>
      </w:r>
      <w:r w:rsidR="00632C45" w:rsidRPr="00210445">
        <w:rPr>
          <w:b/>
          <w:bCs/>
        </w:rPr>
        <w:t xml:space="preserve"> national and local authorities</w:t>
      </w:r>
      <w:r w:rsidR="00996E97">
        <w:rPr>
          <w:b/>
          <w:bCs/>
        </w:rPr>
        <w:t>,</w:t>
      </w:r>
      <w:r w:rsidR="00632C45" w:rsidRPr="00210445">
        <w:rPr>
          <w:b/>
          <w:bCs/>
        </w:rPr>
        <w:t xml:space="preserve"> and industry operators should aim to develop</w:t>
      </w:r>
      <w:r w:rsidR="001C1779">
        <w:rPr>
          <w:b/>
          <w:bCs/>
        </w:rPr>
        <w:t xml:space="preserve"> a</w:t>
      </w:r>
      <w:r w:rsidR="00632C45" w:rsidRPr="00210445">
        <w:rPr>
          <w:b/>
          <w:bCs/>
        </w:rPr>
        <w:t xml:space="preserve"> common understanding (</w:t>
      </w:r>
      <w:proofErr w:type="gramStart"/>
      <w:r w:rsidR="00632C45" w:rsidRPr="00210445">
        <w:rPr>
          <w:b/>
          <w:bCs/>
        </w:rPr>
        <w:t>e.g.</w:t>
      </w:r>
      <w:proofErr w:type="gramEnd"/>
      <w:r w:rsidR="00632C45" w:rsidRPr="00210445">
        <w:rPr>
          <w:b/>
          <w:bCs/>
        </w:rPr>
        <w:t xml:space="preserve"> on the basis of safety data sheets), clear communication paths and protocols (e.g. notification systems) and regular tests to ensure and update existing on- and off-site contingency plans, with the latter involving the community/public. It is advised that harmonized or joint off-site contingency plans be developed with </w:t>
      </w:r>
      <w:r w:rsidR="00A571FB">
        <w:rPr>
          <w:b/>
          <w:bCs/>
        </w:rPr>
        <w:t>neighbouring</w:t>
      </w:r>
      <w:r w:rsidR="005950F2">
        <w:rPr>
          <w:b/>
          <w:bCs/>
        </w:rPr>
        <w:t xml:space="preserve"> </w:t>
      </w:r>
      <w:r w:rsidR="00632C45" w:rsidRPr="00210445">
        <w:rPr>
          <w:b/>
          <w:bCs/>
        </w:rPr>
        <w:t>countries</w:t>
      </w:r>
      <w:r w:rsidR="005950F2" w:rsidRPr="005950F2">
        <w:rPr>
          <w:b/>
          <w:bCs/>
        </w:rPr>
        <w:t xml:space="preserve"> </w:t>
      </w:r>
      <w:r w:rsidR="005950F2">
        <w:rPr>
          <w:b/>
          <w:bCs/>
        </w:rPr>
        <w:t xml:space="preserve">that may be </w:t>
      </w:r>
      <w:r w:rsidR="005950F2" w:rsidRPr="00210445">
        <w:rPr>
          <w:b/>
          <w:bCs/>
        </w:rPr>
        <w:t>affected</w:t>
      </w:r>
      <w:r w:rsidR="00632C45" w:rsidRPr="00210445">
        <w:rPr>
          <w:b/>
          <w:bCs/>
        </w:rPr>
        <w:t>.</w:t>
      </w:r>
    </w:p>
    <w:p w14:paraId="704D8B5C" w14:textId="450868EC" w:rsidR="00632C45" w:rsidRPr="00210445" w:rsidRDefault="00467B34" w:rsidP="00B311C1">
      <w:pPr>
        <w:pStyle w:val="SingleTxtG"/>
        <w:ind w:left="1701"/>
        <w:rPr>
          <w:b/>
          <w:bCs/>
        </w:rPr>
      </w:pPr>
      <w:r w:rsidRPr="00210445">
        <w:rPr>
          <w:b/>
          <w:bCs/>
        </w:rPr>
        <w:tab/>
      </w:r>
      <w:r w:rsidR="00B311C1">
        <w:rPr>
          <w:b/>
          <w:bCs/>
        </w:rPr>
        <w:t>(d)</w:t>
      </w:r>
      <w:r w:rsidRPr="00210445">
        <w:rPr>
          <w:b/>
          <w:bCs/>
        </w:rPr>
        <w:tab/>
      </w:r>
      <w:r w:rsidR="00632C45" w:rsidRPr="00210445">
        <w:rPr>
          <w:b/>
          <w:bCs/>
        </w:rPr>
        <w:t xml:space="preserve">Transboundary cooperation </w:t>
      </w:r>
      <w:r w:rsidR="001C1779">
        <w:rPr>
          <w:b/>
          <w:bCs/>
        </w:rPr>
        <w:t>to</w:t>
      </w:r>
      <w:r w:rsidR="00632C45" w:rsidRPr="00210445">
        <w:rPr>
          <w:b/>
          <w:bCs/>
        </w:rPr>
        <w:t xml:space="preserve"> mana</w:t>
      </w:r>
      <w:r w:rsidR="001C1779">
        <w:rPr>
          <w:b/>
          <w:bCs/>
        </w:rPr>
        <w:t>ge</w:t>
      </w:r>
      <w:r w:rsidR="00632C45" w:rsidRPr="00210445">
        <w:rPr>
          <w:b/>
          <w:bCs/>
        </w:rPr>
        <w:t xml:space="preserve"> the risks of hazardous substances, including AN and AN-based fertilizers, is crucial. This should </w:t>
      </w:r>
      <w:proofErr w:type="gramStart"/>
      <w:r w:rsidR="00632C45" w:rsidRPr="00210445">
        <w:rPr>
          <w:b/>
          <w:bCs/>
        </w:rPr>
        <w:t>include:</w:t>
      </w:r>
      <w:proofErr w:type="gramEnd"/>
      <w:r w:rsidR="00632C45" w:rsidRPr="00210445">
        <w:rPr>
          <w:b/>
          <w:bCs/>
        </w:rPr>
        <w:t xml:space="preserve"> exchanging information across countries on the location of hazardous installations with possible transboundary effects; and related risk assessments; harmonized or joint contingency planning; joint preparedness and response exercises; and prompt notification and mutual assistance in case of an accident. Implementation of the UNECE Industrial Accidents Convention and relevant principles of the OECD Guiding Principles </w:t>
      </w:r>
      <w:r w:rsidR="00A17598">
        <w:rPr>
          <w:b/>
          <w:bCs/>
        </w:rPr>
        <w:t>for</w:t>
      </w:r>
      <w:r w:rsidR="00632C45" w:rsidRPr="00210445">
        <w:rPr>
          <w:b/>
          <w:bCs/>
        </w:rPr>
        <w:t xml:space="preserve"> Chemical Accident Prevention, Preparedness and Response </w:t>
      </w:r>
      <w:r w:rsidR="00A01847">
        <w:rPr>
          <w:b/>
          <w:bCs/>
        </w:rPr>
        <w:t>are</w:t>
      </w:r>
      <w:r w:rsidR="00632C45" w:rsidRPr="00210445">
        <w:rPr>
          <w:b/>
          <w:bCs/>
        </w:rPr>
        <w:t xml:space="preserve"> a basis for ensuring that effective principles for transboundary cooperation are in place.</w:t>
      </w:r>
    </w:p>
    <w:p w14:paraId="69E83451" w14:textId="6EAE11B4" w:rsidR="00632C45" w:rsidRPr="00210445" w:rsidRDefault="00467B34" w:rsidP="00B311C1">
      <w:pPr>
        <w:pStyle w:val="SingleTxtG"/>
        <w:ind w:left="1701"/>
        <w:rPr>
          <w:rFonts w:asciiTheme="majorHAnsi" w:eastAsiaTheme="majorEastAsia" w:hAnsiTheme="majorHAnsi" w:cstheme="majorBidi"/>
          <w:b/>
          <w:bCs/>
          <w:i/>
          <w:szCs w:val="24"/>
        </w:rPr>
      </w:pPr>
      <w:r w:rsidRPr="00210445">
        <w:rPr>
          <w:b/>
          <w:bCs/>
        </w:rPr>
        <w:tab/>
      </w:r>
      <w:r w:rsidR="00B311C1">
        <w:rPr>
          <w:b/>
          <w:bCs/>
        </w:rPr>
        <w:t>(e)</w:t>
      </w:r>
      <w:r w:rsidRPr="00210445">
        <w:rPr>
          <w:b/>
          <w:bCs/>
        </w:rPr>
        <w:tab/>
      </w:r>
      <w:r w:rsidR="00632C45" w:rsidRPr="00210445">
        <w:rPr>
          <w:b/>
          <w:bCs/>
        </w:rPr>
        <w:t>Continuous international exchange and information-sharing on, among others, risk assessment and management, the lessons learned from accidents and good practices, are important to advance transboundary cooperation in accident prevention and preparedness.</w:t>
      </w:r>
    </w:p>
    <w:p w14:paraId="452C26FA" w14:textId="1745253C" w:rsidR="00205E3C" w:rsidRPr="00B97B13" w:rsidRDefault="00124C95" w:rsidP="00124C95">
      <w:pPr>
        <w:pStyle w:val="H1G"/>
        <w:keepNext w:val="0"/>
        <w:keepLines w:val="0"/>
      </w:pPr>
      <w:r>
        <w:tab/>
      </w:r>
      <w:r w:rsidR="00D343A2">
        <w:t>I</w:t>
      </w:r>
      <w:r w:rsidR="00205E3C" w:rsidRPr="00B97B13">
        <w:t>.</w:t>
      </w:r>
      <w:r w:rsidR="00205E3C">
        <w:tab/>
      </w:r>
      <w:r w:rsidR="00205E3C" w:rsidRPr="00B97B13">
        <w:t>Sharing knowledge and information, capacity</w:t>
      </w:r>
      <w:r w:rsidR="00B23076">
        <w:t>-</w:t>
      </w:r>
      <w:proofErr w:type="gramStart"/>
      <w:r w:rsidR="00205E3C" w:rsidRPr="00B97B13">
        <w:t>building</w:t>
      </w:r>
      <w:proofErr w:type="gramEnd"/>
      <w:r w:rsidR="00205E3C" w:rsidRPr="00B97B13">
        <w:t xml:space="preserve"> and the role of international organizations</w:t>
      </w:r>
    </w:p>
    <w:p w14:paraId="49E02BEC" w14:textId="32635404" w:rsidR="00205E3C" w:rsidRPr="00B51DF4" w:rsidRDefault="00B33FDC" w:rsidP="00205E3C">
      <w:pPr>
        <w:pStyle w:val="SingleTxtG"/>
        <w:rPr>
          <w:b/>
          <w:bCs/>
        </w:rPr>
      </w:pPr>
      <w:r>
        <w:tab/>
        <w:t>3</w:t>
      </w:r>
      <w:r w:rsidR="00E02969">
        <w:t>7</w:t>
      </w:r>
      <w:r>
        <w:t>.</w:t>
      </w:r>
      <w:r>
        <w:tab/>
      </w:r>
      <w:r w:rsidR="00205E3C">
        <w:t xml:space="preserve">Many </w:t>
      </w:r>
      <w:r w:rsidR="00205E3C" w:rsidRPr="009C4E46">
        <w:t>countries</w:t>
      </w:r>
      <w:r w:rsidR="00205E3C">
        <w:t xml:space="preserve">’ national </w:t>
      </w:r>
      <w:r w:rsidR="00205E3C" w:rsidRPr="009C4E46">
        <w:t xml:space="preserve">laws and regulations </w:t>
      </w:r>
      <w:r w:rsidR="00B23076">
        <w:t>on</w:t>
      </w:r>
      <w:r w:rsidR="00205E3C">
        <w:t xml:space="preserve"> the safe storage, handling and transport of</w:t>
      </w:r>
      <w:r w:rsidR="00205E3C" w:rsidRPr="009C4E46">
        <w:t xml:space="preserve"> </w:t>
      </w:r>
      <w:r w:rsidR="00205E3C">
        <w:t>hazardous substances</w:t>
      </w:r>
      <w:r w:rsidR="00B23076">
        <w:t>,</w:t>
      </w:r>
      <w:r w:rsidR="00205E3C">
        <w:t xml:space="preserve"> and </w:t>
      </w:r>
      <w:r w:rsidR="00215C35">
        <w:t>the</w:t>
      </w:r>
      <w:r w:rsidR="00205E3C">
        <w:t xml:space="preserve"> industrial accident prevention, preparedness and response are</w:t>
      </w:r>
      <w:r w:rsidR="00205E3C" w:rsidRPr="009C4E46">
        <w:t xml:space="preserve"> </w:t>
      </w:r>
      <w:r w:rsidR="00205E3C">
        <w:t xml:space="preserve">developed to implement international legal instruments, including recommendations and industry guidance. Sharing knowledge and information on national and international instruments can foster enhanced implementation and capacity building. </w:t>
      </w:r>
      <w:r w:rsidR="00205E3C" w:rsidRPr="007940E5">
        <w:t>The following conclusions were drawn from the seminar:</w:t>
      </w:r>
    </w:p>
    <w:p w14:paraId="3FDE4135" w14:textId="1303B7B9" w:rsidR="001E3897" w:rsidRPr="001E3897" w:rsidRDefault="001E3897" w:rsidP="00E02969">
      <w:pPr>
        <w:pStyle w:val="SingleTxtG"/>
        <w:ind w:left="1701"/>
        <w:rPr>
          <w:b/>
          <w:bCs/>
        </w:rPr>
      </w:pPr>
      <w:r>
        <w:rPr>
          <w:b/>
          <w:bCs/>
        </w:rPr>
        <w:tab/>
      </w:r>
      <w:r w:rsidR="00E02969">
        <w:rPr>
          <w:b/>
          <w:bCs/>
        </w:rPr>
        <w:t>(a)</w:t>
      </w:r>
      <w:r>
        <w:rPr>
          <w:b/>
          <w:bCs/>
        </w:rPr>
        <w:tab/>
      </w:r>
      <w:r w:rsidR="000018BA">
        <w:rPr>
          <w:b/>
          <w:bCs/>
        </w:rPr>
        <w:t>The e</w:t>
      </w:r>
      <w:r w:rsidRPr="001E3897">
        <w:rPr>
          <w:b/>
          <w:bCs/>
        </w:rPr>
        <w:t xml:space="preserve">ffective implementation of existing legal and policy instruments is essential to ensure </w:t>
      </w:r>
      <w:r w:rsidR="000018BA">
        <w:rPr>
          <w:b/>
          <w:bCs/>
        </w:rPr>
        <w:t xml:space="preserve">that </w:t>
      </w:r>
      <w:r w:rsidRPr="001E3897">
        <w:rPr>
          <w:b/>
          <w:bCs/>
        </w:rPr>
        <w:t xml:space="preserve">all measures are in place to prevent industrial/chemical accidents. </w:t>
      </w:r>
    </w:p>
    <w:p w14:paraId="4C786ED6" w14:textId="781F2D7F" w:rsidR="001E3897" w:rsidRPr="001E3897" w:rsidRDefault="001E3897" w:rsidP="00E02969">
      <w:pPr>
        <w:pStyle w:val="SingleTxtG"/>
        <w:ind w:left="1701"/>
        <w:rPr>
          <w:b/>
          <w:bCs/>
        </w:rPr>
      </w:pPr>
      <w:r>
        <w:rPr>
          <w:b/>
          <w:bCs/>
        </w:rPr>
        <w:lastRenderedPageBreak/>
        <w:tab/>
      </w:r>
      <w:r w:rsidR="00E02969">
        <w:rPr>
          <w:b/>
          <w:bCs/>
        </w:rPr>
        <w:t>(b)</w:t>
      </w:r>
      <w:r>
        <w:rPr>
          <w:b/>
          <w:bCs/>
        </w:rPr>
        <w:tab/>
      </w:r>
      <w:r w:rsidRPr="001E3897">
        <w:rPr>
          <w:b/>
          <w:bCs/>
        </w:rPr>
        <w:t xml:space="preserve">Measures </w:t>
      </w:r>
      <w:r w:rsidR="00334A75">
        <w:rPr>
          <w:b/>
          <w:bCs/>
        </w:rPr>
        <w:t xml:space="preserve">may be </w:t>
      </w:r>
      <w:r w:rsidRPr="001E3897">
        <w:rPr>
          <w:b/>
          <w:bCs/>
        </w:rPr>
        <w:t>need</w:t>
      </w:r>
      <w:r w:rsidR="00446991">
        <w:rPr>
          <w:b/>
          <w:bCs/>
        </w:rPr>
        <w:t>ed</w:t>
      </w:r>
      <w:r w:rsidRPr="001E3897">
        <w:rPr>
          <w:b/>
          <w:bCs/>
        </w:rPr>
        <w:t xml:space="preserve"> to mitigate any possible effects of an accident, including transboundary effects, </w:t>
      </w:r>
      <w:proofErr w:type="gramStart"/>
      <w:r w:rsidRPr="001E3897">
        <w:rPr>
          <w:b/>
          <w:bCs/>
        </w:rPr>
        <w:t>e.g.</w:t>
      </w:r>
      <w:proofErr w:type="gramEnd"/>
      <w:r w:rsidRPr="001E3897">
        <w:rPr>
          <w:b/>
          <w:bCs/>
        </w:rPr>
        <w:t xml:space="preserve"> through risk assessment and land-use planning and siting decisions (see Section </w:t>
      </w:r>
      <w:r w:rsidR="00334A75">
        <w:rPr>
          <w:b/>
          <w:bCs/>
        </w:rPr>
        <w:t>IV</w:t>
      </w:r>
      <w:r w:rsidRPr="001E3897">
        <w:rPr>
          <w:b/>
          <w:bCs/>
        </w:rPr>
        <w:t>(</w:t>
      </w:r>
      <w:r w:rsidR="00334A75">
        <w:rPr>
          <w:b/>
          <w:bCs/>
        </w:rPr>
        <w:t>D</w:t>
      </w:r>
      <w:r w:rsidRPr="001E3897">
        <w:rPr>
          <w:b/>
          <w:bCs/>
        </w:rPr>
        <w:t xml:space="preserve">) above). International organizations support countries in the implementation of international legal and policy </w:t>
      </w:r>
      <w:proofErr w:type="gramStart"/>
      <w:r w:rsidRPr="001E3897">
        <w:rPr>
          <w:b/>
          <w:bCs/>
        </w:rPr>
        <w:t>instruments, and</w:t>
      </w:r>
      <w:proofErr w:type="gramEnd"/>
      <w:r w:rsidRPr="001E3897">
        <w:rPr>
          <w:b/>
          <w:bCs/>
        </w:rPr>
        <w:t xml:space="preserve"> can provide assistance to those aspiring to implement them which are not yet Parties.</w:t>
      </w:r>
    </w:p>
    <w:p w14:paraId="4340E6C0" w14:textId="49C50E62" w:rsidR="001E3897" w:rsidRPr="001E3897" w:rsidRDefault="001E3897" w:rsidP="00E02969">
      <w:pPr>
        <w:pStyle w:val="SingleTxtG"/>
        <w:ind w:left="1701"/>
        <w:rPr>
          <w:b/>
          <w:bCs/>
        </w:rPr>
      </w:pPr>
      <w:r>
        <w:rPr>
          <w:b/>
          <w:bCs/>
        </w:rPr>
        <w:tab/>
      </w:r>
      <w:r w:rsidR="00E02969">
        <w:rPr>
          <w:b/>
          <w:bCs/>
        </w:rPr>
        <w:t>(c)</w:t>
      </w:r>
      <w:r>
        <w:rPr>
          <w:b/>
          <w:bCs/>
        </w:rPr>
        <w:tab/>
      </w:r>
      <w:r w:rsidRPr="001E3897">
        <w:rPr>
          <w:b/>
          <w:bCs/>
        </w:rPr>
        <w:t xml:space="preserve">Emergency management planning is a key component of accident prevention and preparedness. International organizations can assist countries in building their response and in providing emergency assistance in the event of major accidents that may exceed local, </w:t>
      </w:r>
      <w:proofErr w:type="gramStart"/>
      <w:r w:rsidR="003C5EEA" w:rsidRPr="001E3897">
        <w:rPr>
          <w:b/>
          <w:bCs/>
        </w:rPr>
        <w:t>regional</w:t>
      </w:r>
      <w:proofErr w:type="gramEnd"/>
      <w:r w:rsidR="003C5EEA" w:rsidRPr="001E3897">
        <w:rPr>
          <w:b/>
          <w:bCs/>
        </w:rPr>
        <w:t xml:space="preserve"> </w:t>
      </w:r>
      <w:r w:rsidRPr="001E3897">
        <w:rPr>
          <w:b/>
          <w:bCs/>
        </w:rPr>
        <w:t xml:space="preserve">or </w:t>
      </w:r>
      <w:r w:rsidR="003C5EEA" w:rsidRPr="001E3897">
        <w:rPr>
          <w:b/>
          <w:bCs/>
        </w:rPr>
        <w:t xml:space="preserve">national </w:t>
      </w:r>
      <w:r w:rsidRPr="001E3897">
        <w:rPr>
          <w:b/>
          <w:bCs/>
        </w:rPr>
        <w:t>capacities.</w:t>
      </w:r>
    </w:p>
    <w:p w14:paraId="2BE139E1" w14:textId="43A2A967" w:rsidR="001E3897" w:rsidRPr="001E3897" w:rsidRDefault="001E3897" w:rsidP="00E02969">
      <w:pPr>
        <w:pStyle w:val="SingleTxtG"/>
        <w:ind w:left="1701"/>
        <w:rPr>
          <w:b/>
          <w:bCs/>
        </w:rPr>
      </w:pPr>
      <w:r>
        <w:rPr>
          <w:b/>
          <w:bCs/>
        </w:rPr>
        <w:tab/>
      </w:r>
      <w:r w:rsidR="00E02969">
        <w:rPr>
          <w:b/>
          <w:bCs/>
        </w:rPr>
        <w:t>(d)</w:t>
      </w:r>
      <w:r>
        <w:rPr>
          <w:b/>
          <w:bCs/>
        </w:rPr>
        <w:tab/>
      </w:r>
      <w:r w:rsidRPr="001E3897">
        <w:rPr>
          <w:b/>
          <w:bCs/>
        </w:rPr>
        <w:t>Some countries struggle to ensure the provision of the required human and financial resources, institutional capacities (including for inter-agency coordination), technology and training (</w:t>
      </w:r>
      <w:proofErr w:type="gramStart"/>
      <w:r w:rsidRPr="001E3897">
        <w:rPr>
          <w:b/>
          <w:bCs/>
        </w:rPr>
        <w:t>i.e.</w:t>
      </w:r>
      <w:proofErr w:type="gramEnd"/>
      <w:r w:rsidRPr="001E3897">
        <w:rPr>
          <w:b/>
          <w:bCs/>
        </w:rPr>
        <w:t xml:space="preserve"> of authorities, experts and workers) for</w:t>
      </w:r>
      <w:r w:rsidR="00043BCD">
        <w:rPr>
          <w:b/>
          <w:bCs/>
        </w:rPr>
        <w:t xml:space="preserve"> a</w:t>
      </w:r>
      <w:r w:rsidRPr="001E3897">
        <w:rPr>
          <w:b/>
          <w:bCs/>
        </w:rPr>
        <w:t xml:space="preserve"> full and effective implementation of legal and policy instruments. This is particularly important for developing countries and countries with economies in transition, as some major economic activities (</w:t>
      </w:r>
      <w:proofErr w:type="gramStart"/>
      <w:r w:rsidRPr="001E3897">
        <w:rPr>
          <w:b/>
          <w:bCs/>
        </w:rPr>
        <w:t>e.g.</w:t>
      </w:r>
      <w:proofErr w:type="gramEnd"/>
      <w:r w:rsidRPr="001E3897">
        <w:rPr>
          <w:b/>
          <w:bCs/>
        </w:rPr>
        <w:t xml:space="preserve"> agriculture and mining) often require </w:t>
      </w:r>
      <w:r w:rsidR="00043BCD">
        <w:rPr>
          <w:b/>
          <w:bCs/>
        </w:rPr>
        <w:t xml:space="preserve">the </w:t>
      </w:r>
      <w:r w:rsidRPr="001E3897">
        <w:rPr>
          <w:b/>
          <w:bCs/>
        </w:rPr>
        <w:t>us</w:t>
      </w:r>
      <w:r w:rsidR="00043BCD">
        <w:rPr>
          <w:b/>
          <w:bCs/>
        </w:rPr>
        <w:t>e of</w:t>
      </w:r>
      <w:r w:rsidRPr="001E3897">
        <w:rPr>
          <w:b/>
          <w:bCs/>
        </w:rPr>
        <w:t xml:space="preserve"> AN and AN-based fertilizers.</w:t>
      </w:r>
    </w:p>
    <w:p w14:paraId="7A763651" w14:textId="6D6765E6" w:rsidR="001E3897" w:rsidRPr="001E3897" w:rsidRDefault="001E3897" w:rsidP="00E02969">
      <w:pPr>
        <w:pStyle w:val="SingleTxtG"/>
        <w:ind w:left="1701"/>
        <w:rPr>
          <w:b/>
          <w:bCs/>
        </w:rPr>
      </w:pPr>
      <w:r>
        <w:rPr>
          <w:b/>
          <w:bCs/>
        </w:rPr>
        <w:tab/>
      </w:r>
      <w:r w:rsidR="00E02969">
        <w:rPr>
          <w:b/>
          <w:bCs/>
        </w:rPr>
        <w:t>(e)</w:t>
      </w:r>
      <w:r>
        <w:rPr>
          <w:b/>
          <w:bCs/>
        </w:rPr>
        <w:tab/>
      </w:r>
      <w:r w:rsidRPr="001E3897">
        <w:rPr>
          <w:b/>
          <w:bCs/>
        </w:rPr>
        <w:t>Capacity</w:t>
      </w:r>
      <w:r w:rsidR="00043BCD">
        <w:rPr>
          <w:b/>
          <w:bCs/>
        </w:rPr>
        <w:t>-</w:t>
      </w:r>
      <w:r w:rsidRPr="001E3897">
        <w:rPr>
          <w:b/>
          <w:bCs/>
        </w:rPr>
        <w:t>building activities, including with the support of international organizations, can further assist countries in strengthening their capacities, as can the sharing of knowledge by other countries, industry and stakeholders that have expertise (</w:t>
      </w:r>
      <w:proofErr w:type="gramStart"/>
      <w:r w:rsidRPr="001E3897">
        <w:rPr>
          <w:b/>
          <w:bCs/>
        </w:rPr>
        <w:t>e.g.</w:t>
      </w:r>
      <w:proofErr w:type="gramEnd"/>
      <w:r w:rsidRPr="001E3897">
        <w:rPr>
          <w:b/>
          <w:bCs/>
        </w:rPr>
        <w:t xml:space="preserve"> through their research programmes or lessons learned from past accidents in their jurisdiction).</w:t>
      </w:r>
    </w:p>
    <w:p w14:paraId="65B5616D" w14:textId="2D333A47" w:rsidR="00210445" w:rsidRPr="006A3F10" w:rsidRDefault="001E3897" w:rsidP="00E02969">
      <w:pPr>
        <w:pStyle w:val="SingleTxtG"/>
        <w:ind w:left="1701"/>
        <w:rPr>
          <w:b/>
          <w:bCs/>
        </w:rPr>
      </w:pPr>
      <w:r>
        <w:rPr>
          <w:b/>
          <w:bCs/>
        </w:rPr>
        <w:tab/>
      </w:r>
      <w:r w:rsidR="00E02969">
        <w:rPr>
          <w:b/>
          <w:bCs/>
        </w:rPr>
        <w:t>(f)</w:t>
      </w:r>
      <w:r>
        <w:rPr>
          <w:b/>
          <w:bCs/>
        </w:rPr>
        <w:tab/>
      </w:r>
      <w:r w:rsidRPr="001E3897">
        <w:rPr>
          <w:b/>
          <w:bCs/>
        </w:rPr>
        <w:t xml:space="preserve">International organizations have an important role </w:t>
      </w:r>
      <w:r w:rsidR="00805395">
        <w:rPr>
          <w:b/>
          <w:bCs/>
        </w:rPr>
        <w:t>in</w:t>
      </w:r>
      <w:r w:rsidRPr="001E3897">
        <w:rPr>
          <w:b/>
          <w:bCs/>
        </w:rPr>
        <w:t xml:space="preserve"> facilitat</w:t>
      </w:r>
      <w:r w:rsidR="00805395">
        <w:rPr>
          <w:b/>
          <w:bCs/>
        </w:rPr>
        <w:t>ing</w:t>
      </w:r>
      <w:r w:rsidRPr="001E3897">
        <w:rPr>
          <w:b/>
          <w:bCs/>
        </w:rPr>
        <w:t xml:space="preserve"> </w:t>
      </w:r>
      <w:r w:rsidR="00805395">
        <w:rPr>
          <w:b/>
          <w:bCs/>
        </w:rPr>
        <w:t xml:space="preserve">the exchange of </w:t>
      </w:r>
      <w:r w:rsidRPr="001E3897">
        <w:rPr>
          <w:b/>
          <w:bCs/>
        </w:rPr>
        <w:t>information and knowledge (</w:t>
      </w:r>
      <w:proofErr w:type="gramStart"/>
      <w:r w:rsidRPr="001E3897">
        <w:rPr>
          <w:b/>
          <w:bCs/>
        </w:rPr>
        <w:t>e.g.</w:t>
      </w:r>
      <w:proofErr w:type="gramEnd"/>
      <w:r w:rsidRPr="001E3897">
        <w:rPr>
          <w:b/>
          <w:bCs/>
        </w:rPr>
        <w:t xml:space="preserve"> on good practices, lessons learned, new technologies, guidance)</w:t>
      </w:r>
      <w:r w:rsidR="00801507">
        <w:rPr>
          <w:b/>
          <w:bCs/>
        </w:rPr>
        <w:t>,</w:t>
      </w:r>
      <w:r w:rsidRPr="001E3897">
        <w:rPr>
          <w:b/>
          <w:bCs/>
        </w:rPr>
        <w:t xml:space="preserve"> to support countries </w:t>
      </w:r>
      <w:r w:rsidR="00D25543">
        <w:rPr>
          <w:b/>
          <w:bCs/>
        </w:rPr>
        <w:t>o</w:t>
      </w:r>
      <w:r w:rsidRPr="001E3897">
        <w:rPr>
          <w:b/>
          <w:bCs/>
        </w:rPr>
        <w:t>n policy</w:t>
      </w:r>
      <w:r w:rsidR="00D25543">
        <w:rPr>
          <w:b/>
          <w:bCs/>
        </w:rPr>
        <w:t xml:space="preserve"> </w:t>
      </w:r>
      <w:r w:rsidRPr="001E3897">
        <w:rPr>
          <w:b/>
          <w:bCs/>
        </w:rPr>
        <w:t xml:space="preserve">making and governance (inter-institutional cooperation), </w:t>
      </w:r>
      <w:r w:rsidR="001F7C0E">
        <w:rPr>
          <w:b/>
          <w:bCs/>
        </w:rPr>
        <w:t>and</w:t>
      </w:r>
      <w:r w:rsidRPr="001E3897">
        <w:rPr>
          <w:b/>
          <w:bCs/>
        </w:rPr>
        <w:t xml:space="preserve"> </w:t>
      </w:r>
      <w:r w:rsidR="001F7C0E">
        <w:rPr>
          <w:b/>
          <w:bCs/>
        </w:rPr>
        <w:t>to</w:t>
      </w:r>
      <w:r w:rsidRPr="001E3897">
        <w:rPr>
          <w:b/>
          <w:bCs/>
        </w:rPr>
        <w:t xml:space="preserve"> train authorities and stakeholders.</w:t>
      </w:r>
    </w:p>
    <w:p w14:paraId="20940A73" w14:textId="7E35DAD8" w:rsidR="006A3F10" w:rsidRPr="00B97B13" w:rsidRDefault="006A3F10" w:rsidP="00D13662">
      <w:pPr>
        <w:pStyle w:val="HChG"/>
        <w:keepNext w:val="0"/>
        <w:keepLines w:val="0"/>
      </w:pPr>
      <w:r>
        <w:tab/>
      </w:r>
      <w:r w:rsidR="0063033B">
        <w:t>V.</w:t>
      </w:r>
      <w:r>
        <w:tab/>
      </w:r>
      <w:r w:rsidRPr="00B97B13">
        <w:t>Actions needed and next steps</w:t>
      </w:r>
    </w:p>
    <w:p w14:paraId="6A619692" w14:textId="2AB9CC39" w:rsidR="006A3F10" w:rsidRPr="00191073" w:rsidRDefault="00B33FDC" w:rsidP="006A3F10">
      <w:pPr>
        <w:pStyle w:val="SingleTxtG"/>
      </w:pPr>
      <w:r>
        <w:tab/>
        <w:t>3</w:t>
      </w:r>
      <w:r w:rsidR="000F7C67">
        <w:t>8</w:t>
      </w:r>
      <w:r>
        <w:t>.</w:t>
      </w:r>
      <w:r>
        <w:tab/>
      </w:r>
      <w:r w:rsidR="006A3F10" w:rsidRPr="00117B5B">
        <w:t xml:space="preserve">The seminar </w:t>
      </w:r>
      <w:r w:rsidR="006A3F10">
        <w:t>highlighted key areas of challenges and gaps that need to be addressed</w:t>
      </w:r>
      <w:r w:rsidR="006A3F10" w:rsidRPr="00B51DF4">
        <w:t xml:space="preserve">. </w:t>
      </w:r>
      <w:r w:rsidR="006A3F10" w:rsidRPr="006E32E7">
        <w:rPr>
          <w:b/>
          <w:bCs/>
        </w:rPr>
        <w:t xml:space="preserve">Related actions that could be considered by national authorities, industry and stakeholders </w:t>
      </w:r>
      <w:r w:rsidR="006A3F10" w:rsidRPr="00191073">
        <w:t>comprise:</w:t>
      </w:r>
    </w:p>
    <w:p w14:paraId="33F6DBEA" w14:textId="6D761F32" w:rsidR="00482167" w:rsidRDefault="00482167" w:rsidP="00DC5030">
      <w:pPr>
        <w:pStyle w:val="SingleTxtG"/>
        <w:ind w:left="1701"/>
      </w:pPr>
      <w:r>
        <w:tab/>
      </w:r>
      <w:r w:rsidR="003A2623">
        <w:t>(a)</w:t>
      </w:r>
      <w:r>
        <w:tab/>
        <w:t>Strengthen the implementation of existing legal and policy instruments and recommendations</w:t>
      </w:r>
      <w:r w:rsidR="00E6343C">
        <w:t>.</w:t>
      </w:r>
    </w:p>
    <w:p w14:paraId="205F7C8C" w14:textId="48E2FA50" w:rsidR="00482167" w:rsidRDefault="00482167" w:rsidP="00DC5030">
      <w:pPr>
        <w:pStyle w:val="SingleTxtG"/>
        <w:ind w:left="1701"/>
      </w:pPr>
      <w:r>
        <w:tab/>
      </w:r>
      <w:r w:rsidR="003A2623">
        <w:t>(b)</w:t>
      </w:r>
      <w:r>
        <w:tab/>
        <w:t>Review and, as necessary, updat</w:t>
      </w:r>
      <w:r w:rsidR="00D80AF3">
        <w:t>e</w:t>
      </w:r>
      <w:r>
        <w:t xml:space="preserve"> national (implementation) laws and regulations, as well as guidance materials and industry standards, to ensure they are up-to-date, </w:t>
      </w:r>
      <w:proofErr w:type="gramStart"/>
      <w:r>
        <w:t>sufficient</w:t>
      </w:r>
      <w:proofErr w:type="gramEnd"/>
      <w:r>
        <w:t xml:space="preserve"> and accessible to all stakeholders</w:t>
      </w:r>
      <w:r w:rsidR="00E6343C">
        <w:t>.</w:t>
      </w:r>
    </w:p>
    <w:p w14:paraId="0A39C6DA" w14:textId="22392CCD" w:rsidR="00482167" w:rsidRDefault="00482167" w:rsidP="00DC5030">
      <w:pPr>
        <w:pStyle w:val="SingleTxtG"/>
        <w:ind w:left="1701"/>
      </w:pPr>
      <w:r>
        <w:tab/>
      </w:r>
      <w:r w:rsidR="003A2623">
        <w:t>(c)</w:t>
      </w:r>
      <w:r>
        <w:tab/>
        <w:t>Rais</w:t>
      </w:r>
      <w:r w:rsidR="008D0C3A">
        <w:t>e</w:t>
      </w:r>
      <w:r>
        <w:t xml:space="preserve"> awareness of the characteristics and types of hazardous substances, AN and AN-based fertilizers, and their intrinsic hazards and risks among national authorities, industry, operators, workers, first responders, etc. </w:t>
      </w:r>
      <w:r w:rsidR="007E061C">
        <w:t>T</w:t>
      </w:r>
      <w:r>
        <w:t xml:space="preserve">raining </w:t>
      </w:r>
      <w:r w:rsidR="007E061C">
        <w:t xml:space="preserve">should be provided </w:t>
      </w:r>
      <w:r>
        <w:t>for these groups to ensure safety</w:t>
      </w:r>
      <w:r w:rsidR="00E6343C">
        <w:t>.</w:t>
      </w:r>
    </w:p>
    <w:p w14:paraId="658E5151" w14:textId="05253A24" w:rsidR="00482167" w:rsidRDefault="00482167" w:rsidP="00DC5030">
      <w:pPr>
        <w:pStyle w:val="SingleTxtG"/>
        <w:ind w:left="1701"/>
      </w:pPr>
      <w:r>
        <w:tab/>
      </w:r>
      <w:r w:rsidR="003A2623">
        <w:t>(d)</w:t>
      </w:r>
      <w:r>
        <w:tab/>
        <w:t>Ensur</w:t>
      </w:r>
      <w:r w:rsidR="001730F3">
        <w:t xml:space="preserve">e that </w:t>
      </w:r>
      <w:r>
        <w:t xml:space="preserve">sufficient resources, </w:t>
      </w:r>
      <w:proofErr w:type="gramStart"/>
      <w:r>
        <w:t>training</w:t>
      </w:r>
      <w:proofErr w:type="gramEnd"/>
      <w:r>
        <w:t xml:space="preserve"> and tools are available for the testing, classification and labelling of AN and AN-based fertilizers</w:t>
      </w:r>
      <w:r w:rsidR="00E6343C">
        <w:t>.</w:t>
      </w:r>
    </w:p>
    <w:p w14:paraId="1FD26C24" w14:textId="62AD3A49" w:rsidR="00482167" w:rsidRDefault="00482167" w:rsidP="00DC5030">
      <w:pPr>
        <w:pStyle w:val="SingleTxtG"/>
        <w:ind w:left="1701"/>
      </w:pPr>
      <w:r>
        <w:tab/>
      </w:r>
      <w:r w:rsidR="003A2623">
        <w:t>(e)</w:t>
      </w:r>
      <w:r>
        <w:tab/>
      </w:r>
      <w:r w:rsidR="001759F6">
        <w:t>Improve</w:t>
      </w:r>
      <w:r>
        <w:t xml:space="preserve"> public information on the hazards and risks of hazardous substance</w:t>
      </w:r>
      <w:r w:rsidR="001759F6">
        <w:t>s</w:t>
      </w:r>
      <w:r w:rsidR="00AB0210">
        <w:t xml:space="preserve">, and </w:t>
      </w:r>
      <w:r>
        <w:t xml:space="preserve">AN and AN-based fertilizers, that are stored, </w:t>
      </w:r>
      <w:proofErr w:type="gramStart"/>
      <w:r>
        <w:t>handled</w:t>
      </w:r>
      <w:proofErr w:type="gramEnd"/>
      <w:r>
        <w:t xml:space="preserve"> and transported nearby, including response measures in case of emergencies, and involv</w:t>
      </w:r>
      <w:r w:rsidR="00AB0210">
        <w:t>e</w:t>
      </w:r>
      <w:r>
        <w:t xml:space="preserve"> the </w:t>
      </w:r>
      <w:r w:rsidR="00985109">
        <w:t>populations</w:t>
      </w:r>
      <w:r>
        <w:t xml:space="preserve"> in neighbouring countries</w:t>
      </w:r>
      <w:r w:rsidR="00E6343C">
        <w:t>.</w:t>
      </w:r>
    </w:p>
    <w:p w14:paraId="668B6124" w14:textId="2C745185" w:rsidR="00482167" w:rsidRDefault="00482167" w:rsidP="00DC5030">
      <w:pPr>
        <w:pStyle w:val="SingleTxtG"/>
        <w:ind w:left="1701"/>
      </w:pPr>
      <w:r>
        <w:tab/>
      </w:r>
      <w:r w:rsidR="003A2623">
        <w:t>(f)</w:t>
      </w:r>
      <w:r>
        <w:tab/>
        <w:t>Ensur</w:t>
      </w:r>
      <w:r w:rsidR="009D30EE">
        <w:t>e</w:t>
      </w:r>
      <w:r>
        <w:t xml:space="preserve"> that inspections of sites </w:t>
      </w:r>
      <w:r w:rsidR="009D30EE">
        <w:t>with</w:t>
      </w:r>
      <w:r>
        <w:t xml:space="preserve"> hazardous substance</w:t>
      </w:r>
      <w:r w:rsidR="009D30EE">
        <w:t>s</w:t>
      </w:r>
      <w:r>
        <w:t xml:space="preserve"> </w:t>
      </w:r>
      <w:r w:rsidR="009D30EE">
        <w:t>or</w:t>
      </w:r>
      <w:r>
        <w:t xml:space="preserve"> AN and AN-based fertilizers, </w:t>
      </w:r>
      <w:r w:rsidR="00352EFA">
        <w:t>use</w:t>
      </w:r>
      <w:r>
        <w:t xml:space="preserve"> the appropriate criteria and are </w:t>
      </w:r>
      <w:r w:rsidR="00352EFA">
        <w:t>in</w:t>
      </w:r>
      <w:r>
        <w:t xml:space="preserve"> the appropriate frequency</w:t>
      </w:r>
      <w:r w:rsidR="00E6343C">
        <w:t>.</w:t>
      </w:r>
    </w:p>
    <w:p w14:paraId="0C1A8789" w14:textId="391173A3" w:rsidR="00482167" w:rsidRDefault="00482167" w:rsidP="00DC5030">
      <w:pPr>
        <w:pStyle w:val="SingleTxtG"/>
        <w:ind w:left="1701"/>
      </w:pPr>
      <w:r>
        <w:tab/>
      </w:r>
      <w:r w:rsidR="003A2623">
        <w:t>(g)</w:t>
      </w:r>
      <w:r>
        <w:tab/>
        <w:t>Us</w:t>
      </w:r>
      <w:r w:rsidR="00352EFA">
        <w:t>e</w:t>
      </w:r>
      <w:r>
        <w:t xml:space="preserve"> and/or develop new traceability, inventory or monitoring systems for the storage, </w:t>
      </w:r>
      <w:proofErr w:type="gramStart"/>
      <w:r>
        <w:t>transport</w:t>
      </w:r>
      <w:proofErr w:type="gramEnd"/>
      <w:r>
        <w:t xml:space="preserve"> and handling of hazardous substances</w:t>
      </w:r>
      <w:r w:rsidR="00E6343C">
        <w:t>.</w:t>
      </w:r>
    </w:p>
    <w:p w14:paraId="70CE43FF" w14:textId="2E9BDA7D" w:rsidR="00482167" w:rsidRDefault="00482167" w:rsidP="00DC5030">
      <w:pPr>
        <w:pStyle w:val="SingleTxtG"/>
        <w:ind w:left="1701"/>
      </w:pPr>
      <w:r>
        <w:lastRenderedPageBreak/>
        <w:tab/>
      </w:r>
      <w:r w:rsidR="003A2623">
        <w:t>(h)</w:t>
      </w:r>
      <w:r>
        <w:tab/>
        <w:t>M</w:t>
      </w:r>
      <w:r w:rsidRPr="00E13D2D">
        <w:t>ainstrea</w:t>
      </w:r>
      <w:r w:rsidR="005F29E7">
        <w:t>m</w:t>
      </w:r>
      <w:r w:rsidRPr="00E13D2D">
        <w:t xml:space="preserve"> </w:t>
      </w:r>
      <w:r>
        <w:t>hu</w:t>
      </w:r>
      <w:r w:rsidRPr="00E13D2D">
        <w:t>man-made hazards and technological disasters into disaster risk reduction plans and strategies</w:t>
      </w:r>
      <w:r w:rsidR="00E6343C">
        <w:t>.</w:t>
      </w:r>
    </w:p>
    <w:p w14:paraId="34137470" w14:textId="20B92F81" w:rsidR="00482167" w:rsidRDefault="00482167" w:rsidP="00DC5030">
      <w:pPr>
        <w:pStyle w:val="SingleTxtG"/>
        <w:ind w:left="1701"/>
      </w:pPr>
      <w:r>
        <w:tab/>
      </w:r>
      <w:r w:rsidR="003A2623">
        <w:t>(</w:t>
      </w:r>
      <w:proofErr w:type="spellStart"/>
      <w:r w:rsidR="003A2623">
        <w:t>i</w:t>
      </w:r>
      <w:proofErr w:type="spellEnd"/>
      <w:r w:rsidR="003A2623">
        <w:t>)</w:t>
      </w:r>
      <w:r>
        <w:tab/>
        <w:t>Shar</w:t>
      </w:r>
      <w:r w:rsidR="00286F72">
        <w:t>e</w:t>
      </w:r>
      <w:r>
        <w:t xml:space="preserve"> experiences, lessons learned and good practices with other countries to assist other countries in preventing accidents and mitigating their consequences should they occur</w:t>
      </w:r>
      <w:r w:rsidR="00E6343C">
        <w:t>.</w:t>
      </w:r>
    </w:p>
    <w:p w14:paraId="6966CE9E" w14:textId="63079B15" w:rsidR="00482167" w:rsidRDefault="00482167" w:rsidP="00DC5030">
      <w:pPr>
        <w:pStyle w:val="SingleTxtG"/>
        <w:ind w:left="1701"/>
      </w:pPr>
      <w:r>
        <w:tab/>
      </w:r>
      <w:r w:rsidR="003A2623">
        <w:t>(j)</w:t>
      </w:r>
      <w:r>
        <w:tab/>
        <w:t>Shar</w:t>
      </w:r>
      <w:r w:rsidR="00286F72">
        <w:t>e</w:t>
      </w:r>
      <w:r>
        <w:t xml:space="preserve"> research with other countries </w:t>
      </w:r>
      <w:r w:rsidR="00286F72">
        <w:t xml:space="preserve">to </w:t>
      </w:r>
      <w:r>
        <w:t>avoid the duplication of work and developing joint research on AN and AN-based fertilizers</w:t>
      </w:r>
      <w:r w:rsidR="00E6343C">
        <w:t>.</w:t>
      </w:r>
    </w:p>
    <w:p w14:paraId="28116CC0" w14:textId="43019862" w:rsidR="00482167" w:rsidRDefault="00482167" w:rsidP="00DC5030">
      <w:pPr>
        <w:pStyle w:val="SingleTxtG"/>
        <w:ind w:left="1701"/>
      </w:pPr>
      <w:r>
        <w:tab/>
      </w:r>
      <w:r w:rsidR="003A2623">
        <w:t>(k)</w:t>
      </w:r>
      <w:r>
        <w:tab/>
        <w:t>Us</w:t>
      </w:r>
      <w:r w:rsidR="00FC3A97">
        <w:t>e</w:t>
      </w:r>
      <w:r>
        <w:t xml:space="preserve"> international notification systems and mutual and international assistance mechanisms, including by conducting tests and exercises to ensure readiness in case of emergencies</w:t>
      </w:r>
      <w:r w:rsidR="00E6343C">
        <w:t>.</w:t>
      </w:r>
    </w:p>
    <w:p w14:paraId="3F85C410" w14:textId="2A277946" w:rsidR="00482167" w:rsidRDefault="00482167" w:rsidP="00DC5030">
      <w:pPr>
        <w:pStyle w:val="SingleTxtG"/>
        <w:ind w:left="1701"/>
      </w:pPr>
      <w:r>
        <w:tab/>
      </w:r>
      <w:r w:rsidR="003A2623">
        <w:t>(</w:t>
      </w:r>
      <w:r w:rsidR="00DC5030">
        <w:t>l</w:t>
      </w:r>
      <w:r w:rsidR="003A2623">
        <w:t>)</w:t>
      </w:r>
      <w:r>
        <w:tab/>
        <w:t>Review and test internal and external contingency plans to ensure their sufficiency and to ensure readiness</w:t>
      </w:r>
      <w:r w:rsidR="00E6343C">
        <w:t>.</w:t>
      </w:r>
    </w:p>
    <w:p w14:paraId="00762F6B" w14:textId="08EB0C88" w:rsidR="004F0096" w:rsidRDefault="00482167" w:rsidP="00DC5030">
      <w:pPr>
        <w:pStyle w:val="SingleTxtG"/>
        <w:ind w:left="1701"/>
      </w:pPr>
      <w:r>
        <w:tab/>
      </w:r>
      <w:r w:rsidR="00DC5030">
        <w:t>(m)</w:t>
      </w:r>
      <w:r>
        <w:tab/>
        <w:t>Develop capacity</w:t>
      </w:r>
      <w:r w:rsidR="0019536A">
        <w:t>-</w:t>
      </w:r>
      <w:r>
        <w:t>building projects to enhance inter-agency coordination and to train authorities on tools and methodologies</w:t>
      </w:r>
      <w:r w:rsidR="00152CCF">
        <w:t>.</w:t>
      </w:r>
    </w:p>
    <w:p w14:paraId="1FA53EF9" w14:textId="70A48103" w:rsidR="002966BC" w:rsidRDefault="00B33FDC" w:rsidP="002966BC">
      <w:pPr>
        <w:pStyle w:val="SingleTxtG"/>
      </w:pPr>
      <w:r>
        <w:tab/>
        <w:t>3</w:t>
      </w:r>
      <w:r w:rsidR="000F7C67">
        <w:t>9</w:t>
      </w:r>
      <w:r>
        <w:t>.</w:t>
      </w:r>
      <w:r>
        <w:tab/>
      </w:r>
      <w:r w:rsidR="002966BC">
        <w:t>T</w:t>
      </w:r>
      <w:r w:rsidR="002966BC" w:rsidRPr="00117B5B">
        <w:t xml:space="preserve">he international organizations </w:t>
      </w:r>
      <w:r w:rsidR="002966BC">
        <w:t>of</w:t>
      </w:r>
      <w:r w:rsidR="002966BC" w:rsidRPr="00117B5B">
        <w:t xml:space="preserve"> the Organizing Committee </w:t>
      </w:r>
      <w:r w:rsidR="002966BC">
        <w:t>further support efforts to strengthen the implementation of the legal and policy instruments developed under their auspices. More specifically,</w:t>
      </w:r>
      <w:r w:rsidR="00D4362B">
        <w:t xml:space="preserve"> by</w:t>
      </w:r>
      <w:r w:rsidR="002966BC">
        <w:t xml:space="preserve"> </w:t>
      </w:r>
      <w:r w:rsidR="002966BC" w:rsidRPr="00117B5B">
        <w:t xml:space="preserve">building on </w:t>
      </w:r>
      <w:r w:rsidR="00D4362B">
        <w:t>results</w:t>
      </w:r>
      <w:r w:rsidR="002966BC" w:rsidRPr="00117B5B">
        <w:t xml:space="preserve"> </w:t>
      </w:r>
      <w:r w:rsidR="00323111">
        <w:t>o</w:t>
      </w:r>
      <w:r w:rsidR="002966BC">
        <w:t>f</w:t>
      </w:r>
      <w:r w:rsidR="002966BC" w:rsidRPr="00117B5B">
        <w:t xml:space="preserve"> the seminar</w:t>
      </w:r>
      <w:r w:rsidR="002966BC">
        <w:t xml:space="preserve">, the </w:t>
      </w:r>
      <w:r w:rsidR="002966BC" w:rsidRPr="00B51DF4">
        <w:rPr>
          <w:b/>
          <w:bCs/>
        </w:rPr>
        <w:t>following follow-up activities may be conducted by international organizations</w:t>
      </w:r>
      <w:r w:rsidR="002966BC">
        <w:t>, if supported and financed:</w:t>
      </w:r>
    </w:p>
    <w:p w14:paraId="61F4B108" w14:textId="615008EA" w:rsidR="00C92EC9" w:rsidRDefault="00C92EC9" w:rsidP="00971691">
      <w:pPr>
        <w:pStyle w:val="SingleTxtG"/>
        <w:ind w:left="1701"/>
      </w:pPr>
      <w:r>
        <w:tab/>
      </w:r>
      <w:r w:rsidR="00B22656">
        <w:t>(a)</w:t>
      </w:r>
      <w:r>
        <w:tab/>
        <w:t xml:space="preserve">Maintain dialogue to ensure </w:t>
      </w:r>
      <w:r w:rsidR="00E97388">
        <w:t xml:space="preserve">that </w:t>
      </w:r>
      <w:r>
        <w:t xml:space="preserve">knowledge and information </w:t>
      </w:r>
      <w:r w:rsidR="00E97388">
        <w:t>are</w:t>
      </w:r>
      <w:r>
        <w:t xml:space="preserve"> regularly exchanged across international organizations and</w:t>
      </w:r>
      <w:r w:rsidR="00E97388">
        <w:t xml:space="preserve"> the</w:t>
      </w:r>
      <w:r>
        <w:t xml:space="preserve"> relevant organizations engage</w:t>
      </w:r>
      <w:r w:rsidR="00071F19">
        <w:t xml:space="preserve"> in the</w:t>
      </w:r>
      <w:r>
        <w:t xml:space="preserve"> key events; coordinat</w:t>
      </w:r>
      <w:r w:rsidR="00071F19">
        <w:t>e</w:t>
      </w:r>
      <w:r>
        <w:t xml:space="preserve"> and cooperat</w:t>
      </w:r>
      <w:r w:rsidR="00071F19">
        <w:t>e</w:t>
      </w:r>
      <w:r>
        <w:t xml:space="preserve"> across relevant international organizations </w:t>
      </w:r>
      <w:r w:rsidR="00EE7C75">
        <w:t>to</w:t>
      </w:r>
      <w:r>
        <w:t xml:space="preserve"> develop</w:t>
      </w:r>
      <w:r w:rsidR="00EE7C75">
        <w:t xml:space="preserve"> the</w:t>
      </w:r>
      <w:r>
        <w:t xml:space="preserve"> tools and guidance that can serve multiple constituencies; and further explor</w:t>
      </w:r>
      <w:r w:rsidR="007002DA">
        <w:t>e</w:t>
      </w:r>
      <w:r>
        <w:t xml:space="preserve"> and promot</w:t>
      </w:r>
      <w:r w:rsidR="007002DA">
        <w:t>e</w:t>
      </w:r>
      <w:r>
        <w:t xml:space="preserve"> the synergies between international organizations, </w:t>
      </w:r>
      <w:proofErr w:type="gramStart"/>
      <w:r w:rsidR="007002DA">
        <w:t>e.g.</w:t>
      </w:r>
      <w:proofErr w:type="gramEnd"/>
      <w:r>
        <w:t xml:space="preserve"> their instruments and mechanisms</w:t>
      </w:r>
      <w:r w:rsidR="00F41449">
        <w:t>.</w:t>
      </w:r>
    </w:p>
    <w:p w14:paraId="033874B9" w14:textId="60ED784E" w:rsidR="00C92EC9" w:rsidRDefault="00C92EC9" w:rsidP="00971691">
      <w:pPr>
        <w:pStyle w:val="SingleTxtG"/>
        <w:ind w:left="1701"/>
      </w:pPr>
      <w:r>
        <w:tab/>
      </w:r>
      <w:r w:rsidR="00B22656">
        <w:t>(b)</w:t>
      </w:r>
      <w:r>
        <w:tab/>
      </w:r>
      <w:r w:rsidRPr="00FF5CEA">
        <w:t>Further exchang</w:t>
      </w:r>
      <w:r w:rsidR="002E02DF">
        <w:t>e</w:t>
      </w:r>
      <w:r w:rsidRPr="00FF5CEA">
        <w:t xml:space="preserve"> of information and </w:t>
      </w:r>
      <w:r>
        <w:t xml:space="preserve">management of </w:t>
      </w:r>
      <w:r w:rsidRPr="00FF5CEA">
        <w:t xml:space="preserve">knowledge </w:t>
      </w:r>
      <w:r w:rsidR="002A7E4A">
        <w:t xml:space="preserve">by </w:t>
      </w:r>
      <w:r w:rsidR="00B058A6">
        <w:t>for</w:t>
      </w:r>
      <w:r w:rsidR="002A7E4A">
        <w:t xml:space="preserve"> example</w:t>
      </w:r>
      <w:r w:rsidR="00B058A6">
        <w:t>,</w:t>
      </w:r>
      <w:r w:rsidRPr="00FF5CEA">
        <w:t xml:space="preserve"> </w:t>
      </w:r>
      <w:r>
        <w:t xml:space="preserve">the </w:t>
      </w:r>
      <w:r w:rsidRPr="00FF5CEA">
        <w:t xml:space="preserve">development of </w:t>
      </w:r>
      <w:r>
        <w:t xml:space="preserve">an </w:t>
      </w:r>
      <w:r w:rsidRPr="00FF5CEA">
        <w:t>information repository on</w:t>
      </w:r>
      <w:r>
        <w:t>:</w:t>
      </w:r>
      <w:r w:rsidR="006E719B">
        <w:t xml:space="preserve"> (</w:t>
      </w:r>
      <w:proofErr w:type="spellStart"/>
      <w:r w:rsidR="006E719B">
        <w:t>i</w:t>
      </w:r>
      <w:proofErr w:type="spellEnd"/>
      <w:r w:rsidR="006E719B">
        <w:t>)</w:t>
      </w:r>
      <w:r w:rsidRPr="00FF5CEA">
        <w:t xml:space="preserve"> international legal and policy instruments for risk management of AN, and deriv</w:t>
      </w:r>
      <w:r w:rsidR="00F01349">
        <w:t>a</w:t>
      </w:r>
      <w:r w:rsidRPr="00FF5CEA">
        <w:t>t</w:t>
      </w:r>
      <w:r w:rsidR="00FE0555">
        <w:t>ive</w:t>
      </w:r>
      <w:r w:rsidRPr="00FF5CEA">
        <w:t xml:space="preserve">s; </w:t>
      </w:r>
      <w:r w:rsidR="006E719B">
        <w:t xml:space="preserve">(ii) </w:t>
      </w:r>
      <w:r w:rsidRPr="00FF5CEA">
        <w:t xml:space="preserve">industrial accident prevention, </w:t>
      </w:r>
      <w:proofErr w:type="gramStart"/>
      <w:r w:rsidRPr="00FF5CEA">
        <w:t>preparedness</w:t>
      </w:r>
      <w:proofErr w:type="gramEnd"/>
      <w:r>
        <w:t xml:space="preserve"> and</w:t>
      </w:r>
      <w:r w:rsidRPr="00FF5CEA">
        <w:t xml:space="preserve"> response; </w:t>
      </w:r>
      <w:r>
        <w:t xml:space="preserve">and </w:t>
      </w:r>
      <w:r w:rsidR="00F41449">
        <w:t xml:space="preserve">(iii) </w:t>
      </w:r>
      <w:r w:rsidRPr="00FF5CEA">
        <w:t>implementation experiences, lessons learned and good practices (UNECE)</w:t>
      </w:r>
      <w:r w:rsidR="00F41449">
        <w:t>.</w:t>
      </w:r>
    </w:p>
    <w:p w14:paraId="27E29781" w14:textId="15516E2E" w:rsidR="00C92EC9" w:rsidRDefault="00C92EC9" w:rsidP="00971691">
      <w:pPr>
        <w:pStyle w:val="SingleTxtG"/>
        <w:ind w:left="1701"/>
      </w:pPr>
      <w:r>
        <w:tab/>
      </w:r>
      <w:r w:rsidR="006E719B">
        <w:t>(c)</w:t>
      </w:r>
      <w:r>
        <w:tab/>
        <w:t>Updat</w:t>
      </w:r>
      <w:r w:rsidR="002E02DF">
        <w:t>e</w:t>
      </w:r>
      <w:r>
        <w:t xml:space="preserve"> and expand the section </w:t>
      </w:r>
      <w:r w:rsidR="00FE0555">
        <w:t>on</w:t>
      </w:r>
      <w:r>
        <w:t xml:space="preserve"> ports in the forthcoming third edition of the </w:t>
      </w:r>
      <w:r w:rsidRPr="00117B5B">
        <w:t xml:space="preserve">OECD </w:t>
      </w:r>
      <w:r w:rsidRPr="004C7B66">
        <w:t>Guiding Principles for Chemical Accident Prevention, Preparedness and Response</w:t>
      </w:r>
      <w:r w:rsidR="00750068">
        <w:t>,</w:t>
      </w:r>
      <w:r>
        <w:t xml:space="preserve"> </w:t>
      </w:r>
      <w:proofErr w:type="gramStart"/>
      <w:r>
        <w:t xml:space="preserve">and </w:t>
      </w:r>
      <w:r w:rsidR="00750068">
        <w:t>also</w:t>
      </w:r>
      <w:proofErr w:type="gramEnd"/>
      <w:r w:rsidR="00750068">
        <w:t xml:space="preserve"> </w:t>
      </w:r>
      <w:r>
        <w:t>conside</w:t>
      </w:r>
      <w:r w:rsidR="00750068">
        <w:t>r</w:t>
      </w:r>
      <w:r>
        <w:t xml:space="preserve"> another seminar </w:t>
      </w:r>
      <w:r w:rsidR="009A7E2D">
        <w:t>on</w:t>
      </w:r>
      <w:r>
        <w:t xml:space="preserve"> manag</w:t>
      </w:r>
      <w:r w:rsidR="009A7E2D">
        <w:t>ing</w:t>
      </w:r>
      <w:r>
        <w:t xml:space="preserve"> hazardous installations at port</w:t>
      </w:r>
      <w:r w:rsidR="00CE2D12">
        <w:t>s</w:t>
      </w:r>
      <w:r>
        <w:t xml:space="preserve"> (OECD)</w:t>
      </w:r>
      <w:r w:rsidR="00971691">
        <w:t>.</w:t>
      </w:r>
    </w:p>
    <w:p w14:paraId="3ADAEF7B" w14:textId="65817CA0" w:rsidR="00C92EC9" w:rsidRPr="00894FDE" w:rsidRDefault="00C92EC9" w:rsidP="00971691">
      <w:pPr>
        <w:pStyle w:val="SingleTxtG"/>
        <w:ind w:left="1701"/>
      </w:pPr>
      <w:r>
        <w:tab/>
      </w:r>
      <w:r w:rsidR="006E719B">
        <w:t>(d)</w:t>
      </w:r>
      <w:r>
        <w:tab/>
      </w:r>
      <w:r w:rsidRPr="00B51DF4">
        <w:t>Mainstream/integrat</w:t>
      </w:r>
      <w:r w:rsidR="00E1224F">
        <w:t>e</w:t>
      </w:r>
      <w:r w:rsidRPr="00B51DF4">
        <w:t xml:space="preserve"> technological disaster risk reduction into national (and local) disaster risk reduction strategies prepared by countries under the Sendai Framework (UNDRR, UNECE)</w:t>
      </w:r>
      <w:r w:rsidR="00971691">
        <w:t>.</w:t>
      </w:r>
    </w:p>
    <w:p w14:paraId="7C221453" w14:textId="511CCEAE" w:rsidR="00C92EC9" w:rsidRPr="00191073" w:rsidRDefault="00C92EC9" w:rsidP="00971691">
      <w:pPr>
        <w:pStyle w:val="SingleTxtG"/>
        <w:ind w:left="1701"/>
      </w:pPr>
      <w:r>
        <w:tab/>
      </w:r>
      <w:r w:rsidR="006E719B">
        <w:t>(e)</w:t>
      </w:r>
      <w:r>
        <w:tab/>
      </w:r>
      <w:r w:rsidRPr="00191073">
        <w:t>Continu</w:t>
      </w:r>
      <w:r w:rsidR="00E1224F">
        <w:t>e</w:t>
      </w:r>
      <w:r w:rsidRPr="00191073">
        <w:t xml:space="preserve"> emergency readiness and response services for accidents involving AN and AN-based fertilizers by the UNEP/OCHA Joint Environment Unit. The respon</w:t>
      </w:r>
      <w:r w:rsidR="00ED3B2C">
        <w:t>se</w:t>
      </w:r>
      <w:r w:rsidRPr="00191073">
        <w:t xml:space="preserve"> </w:t>
      </w:r>
      <w:r w:rsidR="007905BC">
        <w:t>of</w:t>
      </w:r>
      <w:r w:rsidRPr="00191073">
        <w:t xml:space="preserve"> the</w:t>
      </w:r>
      <w:r w:rsidR="00CD7FB5">
        <w:t xml:space="preserve"> Unit</w:t>
      </w:r>
      <w:r w:rsidRPr="00191073">
        <w:t xml:space="preserve"> to Beirut port explosion </w:t>
      </w:r>
      <w:r w:rsidR="007905BC">
        <w:t>and to</w:t>
      </w:r>
      <w:r w:rsidRPr="00191073">
        <w:t xml:space="preserve"> the more recent Bata explosions in Equatorial Guinea </w:t>
      </w:r>
      <w:r w:rsidR="00F423F1">
        <w:t>are</w:t>
      </w:r>
      <w:r w:rsidRPr="00191073">
        <w:t xml:space="preserve"> being </w:t>
      </w:r>
      <w:r w:rsidR="00265EAC">
        <w:t>examined</w:t>
      </w:r>
      <w:r w:rsidRPr="00191073">
        <w:t xml:space="preserve"> and </w:t>
      </w:r>
      <w:r w:rsidR="003720FF">
        <w:t>analysed for</w:t>
      </w:r>
      <w:r w:rsidRPr="00191073">
        <w:t xml:space="preserve"> future work.</w:t>
      </w:r>
    </w:p>
    <w:p w14:paraId="4272C1C4" w14:textId="08CE1750" w:rsidR="00C92EC9" w:rsidRDefault="00C92EC9" w:rsidP="00971691">
      <w:pPr>
        <w:pStyle w:val="SingleTxtG"/>
        <w:ind w:left="1701"/>
      </w:pPr>
      <w:r>
        <w:tab/>
      </w:r>
      <w:r w:rsidR="00971691">
        <w:t>(f)</w:t>
      </w:r>
      <w:r>
        <w:tab/>
      </w:r>
      <w:r w:rsidRPr="00191073">
        <w:t>Strengthen countries’ legal and compliance framework on occupational safety and health</w:t>
      </w:r>
      <w:r w:rsidR="00B97CE7">
        <w:t>,</w:t>
      </w:r>
      <w:r w:rsidRPr="00191073">
        <w:t xml:space="preserve"> and chemical management, including in Lebanon based on the ILO national legislation gap analysis</w:t>
      </w:r>
      <w:r w:rsidR="00971691">
        <w:t>.</w:t>
      </w:r>
    </w:p>
    <w:p w14:paraId="550F1978" w14:textId="2DE738F0" w:rsidR="00152CCF" w:rsidRDefault="00C92EC9" w:rsidP="000F7C67">
      <w:pPr>
        <w:pStyle w:val="SingleTxtG"/>
        <w:ind w:left="1701"/>
      </w:pPr>
      <w:r>
        <w:tab/>
      </w:r>
      <w:r w:rsidR="00971691">
        <w:t>(g)</w:t>
      </w:r>
      <w:r>
        <w:tab/>
        <w:t>Mainstream and updat</w:t>
      </w:r>
      <w:r w:rsidR="00B97CE7">
        <w:t>e</w:t>
      </w:r>
      <w:r>
        <w:t xml:space="preserve"> existing toolkits (</w:t>
      </w:r>
      <w:proofErr w:type="gramStart"/>
      <w:r>
        <w:t>e.g.</w:t>
      </w:r>
      <w:proofErr w:type="gramEnd"/>
      <w:r>
        <w:t xml:space="preserve"> the IOMC toolbox for </w:t>
      </w:r>
      <w:r w:rsidRPr="00E3592D">
        <w:t>decision</w:t>
      </w:r>
      <w:r>
        <w:t>-</w:t>
      </w:r>
      <w:r w:rsidRPr="00E3592D">
        <w:t>making in chemicals management</w:t>
      </w:r>
      <w:r>
        <w:t>) with the conclusions from the seminar and integrat</w:t>
      </w:r>
      <w:r w:rsidR="00ED3AAB">
        <w:t>e</w:t>
      </w:r>
      <w:r>
        <w:t xml:space="preserve"> them into training modules (ILO, OECD</w:t>
      </w:r>
      <w:r w:rsidRPr="004927E5">
        <w:t>, other organizations, as opportunities arise</w:t>
      </w:r>
      <w:r>
        <w:t>).</w:t>
      </w:r>
    </w:p>
    <w:p w14:paraId="1CDFC5C7" w14:textId="0638B77C" w:rsidR="00F258BF" w:rsidRDefault="00F258BF" w:rsidP="00482167">
      <w:pPr>
        <w:pStyle w:val="SingleTxtG"/>
      </w:pPr>
      <w:r>
        <w:br w:type="page"/>
      </w:r>
    </w:p>
    <w:p w14:paraId="1532C557" w14:textId="47A6AFD3" w:rsidR="009961FC" w:rsidRPr="00DC35C7" w:rsidRDefault="009961FC" w:rsidP="00043543">
      <w:pPr>
        <w:pStyle w:val="HChG"/>
        <w:tabs>
          <w:tab w:val="left" w:pos="7088"/>
        </w:tabs>
        <w:rPr>
          <w:sz w:val="24"/>
          <w:szCs w:val="16"/>
        </w:rPr>
      </w:pPr>
      <w:r w:rsidRPr="00D70827">
        <w:lastRenderedPageBreak/>
        <w:t xml:space="preserve">Annex </w:t>
      </w:r>
      <w:r w:rsidR="00DC35C7">
        <w:tab/>
      </w:r>
      <w:r w:rsidR="00DC35C7">
        <w:tab/>
      </w:r>
      <w:r w:rsidR="00DC35C7">
        <w:tab/>
      </w:r>
      <w:r w:rsidR="00DC35C7" w:rsidRPr="00DC35C7">
        <w:rPr>
          <w:sz w:val="20"/>
        </w:rPr>
        <w:t>[English only]</w:t>
      </w:r>
    </w:p>
    <w:p w14:paraId="08824959" w14:textId="3E6D4133" w:rsidR="009961FC" w:rsidRPr="00D70827" w:rsidRDefault="009961FC" w:rsidP="009961FC">
      <w:pPr>
        <w:pStyle w:val="HChG"/>
      </w:pPr>
      <w:r>
        <w:tab/>
      </w:r>
      <w:r>
        <w:tab/>
        <w:t>Participating authorities and institutions</w:t>
      </w:r>
    </w:p>
    <w:tbl>
      <w:tblPr>
        <w:tblStyle w:val="TableGrid"/>
        <w:tblW w:w="5000" w:type="pct"/>
        <w:tblBorders>
          <w:top w:val="none" w:sz="0" w:space="0" w:color="auto"/>
          <w:left w:val="none" w:sz="0" w:space="0" w:color="auto"/>
          <w:bottom w:val="none" w:sz="0" w:space="0" w:color="auto"/>
          <w:right w:val="none" w:sz="0" w:space="0" w:color="auto"/>
        </w:tblBorders>
        <w:tblCellMar>
          <w:top w:w="29" w:type="dxa"/>
          <w:bottom w:w="29" w:type="dxa"/>
        </w:tblCellMar>
        <w:tblLook w:val="04A0" w:firstRow="1" w:lastRow="0" w:firstColumn="1" w:lastColumn="0" w:noHBand="0" w:noVBand="1"/>
      </w:tblPr>
      <w:tblGrid>
        <w:gridCol w:w="2304"/>
        <w:gridCol w:w="7335"/>
      </w:tblGrid>
      <w:tr w:rsidR="000A07CE" w:rsidRPr="006C3ADD" w14:paraId="0EAC4ADC" w14:textId="77777777" w:rsidTr="00D763A8">
        <w:tc>
          <w:tcPr>
            <w:tcW w:w="5000" w:type="pct"/>
            <w:gridSpan w:val="2"/>
            <w:shd w:val="clear" w:color="auto" w:fill="95B3D7" w:themeFill="accent1" w:themeFillTint="99"/>
          </w:tcPr>
          <w:p w14:paraId="70768A80" w14:textId="77777777" w:rsidR="000A07CE" w:rsidRPr="006C3ADD" w:rsidRDefault="000A07CE" w:rsidP="00D763A8">
            <w:pPr>
              <w:rPr>
                <w:rFonts w:asciiTheme="majorBidi" w:hAnsiTheme="majorBidi" w:cstheme="majorBidi"/>
                <w:b/>
                <w:bCs/>
                <w:sz w:val="22"/>
                <w:szCs w:val="22"/>
              </w:rPr>
            </w:pPr>
            <w:r w:rsidRPr="006C3ADD">
              <w:rPr>
                <w:rFonts w:asciiTheme="majorBidi" w:hAnsiTheme="majorBidi" w:cstheme="majorBidi"/>
                <w:b/>
                <w:bCs/>
                <w:sz w:val="22"/>
                <w:szCs w:val="22"/>
              </w:rPr>
              <w:t>National and local authorities</w:t>
            </w:r>
          </w:p>
        </w:tc>
      </w:tr>
      <w:tr w:rsidR="000A07CE" w:rsidRPr="000A07CE" w14:paraId="1FF96932" w14:textId="77777777" w:rsidTr="00D763A8">
        <w:tc>
          <w:tcPr>
            <w:tcW w:w="1195" w:type="pct"/>
            <w:shd w:val="clear" w:color="auto" w:fill="DBE5F1" w:themeFill="accent1" w:themeFillTint="33"/>
          </w:tcPr>
          <w:p w14:paraId="02C0A53B" w14:textId="77777777" w:rsidR="000A07CE" w:rsidRPr="000A07CE" w:rsidRDefault="000A07CE" w:rsidP="00D763A8">
            <w:pPr>
              <w:rPr>
                <w:rFonts w:asciiTheme="majorBidi" w:hAnsiTheme="majorBidi" w:cstheme="majorBidi"/>
                <w:b/>
                <w:bCs/>
              </w:rPr>
            </w:pPr>
            <w:r w:rsidRPr="000A07CE">
              <w:rPr>
                <w:rFonts w:asciiTheme="majorBidi" w:hAnsiTheme="majorBidi" w:cstheme="majorBidi"/>
                <w:b/>
                <w:bCs/>
              </w:rPr>
              <w:t>Country</w:t>
            </w:r>
          </w:p>
        </w:tc>
        <w:tc>
          <w:tcPr>
            <w:tcW w:w="3805" w:type="pct"/>
            <w:shd w:val="clear" w:color="auto" w:fill="DBE5F1" w:themeFill="accent1" w:themeFillTint="33"/>
          </w:tcPr>
          <w:p w14:paraId="338F6A9A" w14:textId="77777777" w:rsidR="000A07CE" w:rsidRPr="000A07CE" w:rsidRDefault="000A07CE" w:rsidP="00D763A8">
            <w:pPr>
              <w:rPr>
                <w:rFonts w:asciiTheme="majorBidi" w:hAnsiTheme="majorBidi" w:cstheme="majorBidi"/>
                <w:b/>
                <w:bCs/>
              </w:rPr>
            </w:pPr>
            <w:r w:rsidRPr="000A07CE">
              <w:rPr>
                <w:rFonts w:asciiTheme="majorBidi" w:hAnsiTheme="majorBidi" w:cstheme="majorBidi"/>
                <w:b/>
                <w:bCs/>
              </w:rPr>
              <w:t>Authorities (national and local)</w:t>
            </w:r>
          </w:p>
        </w:tc>
      </w:tr>
      <w:tr w:rsidR="000A07CE" w:rsidRPr="000A07CE" w14:paraId="38EF8005" w14:textId="77777777" w:rsidTr="00D763A8">
        <w:tc>
          <w:tcPr>
            <w:tcW w:w="1195" w:type="pct"/>
          </w:tcPr>
          <w:p w14:paraId="3E456613" w14:textId="77777777" w:rsidR="000A07CE" w:rsidRPr="000A07CE" w:rsidRDefault="000A07CE" w:rsidP="00D763A8">
            <w:pPr>
              <w:rPr>
                <w:rFonts w:asciiTheme="majorBidi" w:hAnsiTheme="majorBidi" w:cstheme="majorBidi"/>
              </w:rPr>
            </w:pPr>
            <w:r w:rsidRPr="000A07CE">
              <w:rPr>
                <w:rFonts w:asciiTheme="majorBidi" w:hAnsiTheme="majorBidi" w:cstheme="majorBidi"/>
              </w:rPr>
              <w:t>Australia</w:t>
            </w:r>
          </w:p>
        </w:tc>
        <w:tc>
          <w:tcPr>
            <w:tcW w:w="3805" w:type="pct"/>
          </w:tcPr>
          <w:p w14:paraId="0769C89D" w14:textId="77777777" w:rsidR="000A07CE" w:rsidRPr="000A07CE" w:rsidRDefault="000A07CE" w:rsidP="000A07CE">
            <w:pPr>
              <w:keepNext/>
              <w:keepLines/>
              <w:numPr>
                <w:ilvl w:val="0"/>
                <w:numId w:val="31"/>
              </w:numPr>
              <w:tabs>
                <w:tab w:val="left" w:pos="4536"/>
              </w:tabs>
              <w:suppressAutoHyphens w:val="0"/>
              <w:kinsoku/>
              <w:overflowPunct/>
              <w:autoSpaceDE/>
              <w:autoSpaceDN/>
              <w:adjustRightInd/>
              <w:snapToGrid/>
              <w:spacing w:line="240" w:lineRule="auto"/>
              <w:ind w:left="256" w:hanging="180"/>
              <w:rPr>
                <w:rFonts w:asciiTheme="majorBidi" w:hAnsiTheme="majorBidi" w:cstheme="majorBidi"/>
              </w:rPr>
            </w:pPr>
            <w:r w:rsidRPr="000A07CE">
              <w:rPr>
                <w:rFonts w:asciiTheme="majorBidi" w:hAnsiTheme="majorBidi" w:cstheme="majorBidi"/>
              </w:rPr>
              <w:t>Australian Federal Police</w:t>
            </w:r>
          </w:p>
          <w:p w14:paraId="0041DD1F" w14:textId="34B7CAC5" w:rsidR="000A07CE" w:rsidRPr="000A07CE" w:rsidRDefault="000A07CE" w:rsidP="000A07CE">
            <w:pPr>
              <w:pStyle w:val="ListParagraph"/>
              <w:keepNext/>
              <w:keepLines/>
              <w:numPr>
                <w:ilvl w:val="0"/>
                <w:numId w:val="31"/>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Mines, Industry Regulation and Safety, Western Australia</w:t>
            </w:r>
            <w:r w:rsidRPr="000A07CE" w:rsidDel="00674649">
              <w:rPr>
                <w:rFonts w:asciiTheme="majorBidi" w:hAnsiTheme="majorBidi" w:cstheme="majorBidi"/>
                <w:sz w:val="20"/>
                <w:szCs w:val="20"/>
              </w:rPr>
              <w:t xml:space="preserve"> </w:t>
            </w:r>
            <w:r w:rsidRPr="000A07CE">
              <w:rPr>
                <w:rFonts w:asciiTheme="majorBidi" w:hAnsiTheme="majorBidi" w:cstheme="majorBidi"/>
                <w:sz w:val="20"/>
                <w:szCs w:val="20"/>
              </w:rPr>
              <w:t>Environment Protection Authority (EPA)</w:t>
            </w:r>
            <w:r w:rsidR="00986C3A">
              <w:rPr>
                <w:rFonts w:asciiTheme="majorBidi" w:hAnsiTheme="majorBidi" w:cstheme="majorBidi"/>
                <w:sz w:val="20"/>
                <w:szCs w:val="20"/>
              </w:rPr>
              <w:t>,</w:t>
            </w:r>
            <w:r w:rsidRPr="000A07CE">
              <w:rPr>
                <w:rFonts w:asciiTheme="majorBidi" w:hAnsiTheme="majorBidi" w:cstheme="majorBidi"/>
                <w:sz w:val="20"/>
                <w:szCs w:val="20"/>
              </w:rPr>
              <w:t xml:space="preserve"> New South Wales</w:t>
            </w:r>
          </w:p>
          <w:p w14:paraId="79CC9692" w14:textId="77777777" w:rsidR="000A07CE" w:rsidRPr="000A07CE" w:rsidRDefault="000A07CE" w:rsidP="000A07CE">
            <w:pPr>
              <w:pStyle w:val="ListParagraph"/>
              <w:keepNext/>
              <w:keepLines/>
              <w:numPr>
                <w:ilvl w:val="0"/>
                <w:numId w:val="31"/>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Resources Safety and Health Queensland</w:t>
            </w:r>
          </w:p>
          <w:p w14:paraId="38B9549B" w14:textId="77777777" w:rsidR="000A07CE" w:rsidRPr="000A07CE" w:rsidRDefault="000A07CE" w:rsidP="000A07CE">
            <w:pPr>
              <w:pStyle w:val="ListParagraph"/>
              <w:keepNext/>
              <w:keepLines/>
              <w:numPr>
                <w:ilvl w:val="0"/>
                <w:numId w:val="31"/>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SafeWork New South Wales</w:t>
            </w:r>
          </w:p>
        </w:tc>
      </w:tr>
      <w:tr w:rsidR="000A07CE" w:rsidRPr="000A07CE" w14:paraId="0621500E" w14:textId="77777777" w:rsidTr="00D763A8">
        <w:tc>
          <w:tcPr>
            <w:tcW w:w="1195" w:type="pct"/>
          </w:tcPr>
          <w:p w14:paraId="570F251E" w14:textId="77777777" w:rsidR="000A07CE" w:rsidRPr="000A07CE" w:rsidRDefault="000A07CE" w:rsidP="00D763A8">
            <w:pPr>
              <w:rPr>
                <w:rFonts w:asciiTheme="majorBidi" w:hAnsiTheme="majorBidi" w:cstheme="majorBidi"/>
              </w:rPr>
            </w:pPr>
            <w:r w:rsidRPr="000A07CE">
              <w:rPr>
                <w:rFonts w:asciiTheme="majorBidi" w:hAnsiTheme="majorBidi" w:cstheme="majorBidi"/>
              </w:rPr>
              <w:t xml:space="preserve">Austria </w:t>
            </w:r>
          </w:p>
        </w:tc>
        <w:tc>
          <w:tcPr>
            <w:tcW w:w="3805" w:type="pct"/>
          </w:tcPr>
          <w:p w14:paraId="7B0FDFEA" w14:textId="77777777" w:rsidR="000A07CE" w:rsidRPr="000A07CE" w:rsidRDefault="000A07CE" w:rsidP="000A07CE">
            <w:pPr>
              <w:pStyle w:val="ListParagraph"/>
              <w:numPr>
                <w:ilvl w:val="0"/>
                <w:numId w:val="30"/>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Federal Ministry for Climate Action</w:t>
            </w:r>
          </w:p>
          <w:p w14:paraId="2B0E030E" w14:textId="77777777" w:rsidR="000A07CE" w:rsidRPr="000A07CE" w:rsidRDefault="000A07CE" w:rsidP="000A07CE">
            <w:pPr>
              <w:pStyle w:val="ListParagraph"/>
              <w:numPr>
                <w:ilvl w:val="0"/>
                <w:numId w:val="30"/>
              </w:numPr>
              <w:ind w:left="256" w:hanging="180"/>
              <w:rPr>
                <w:rFonts w:asciiTheme="majorBidi" w:hAnsiTheme="majorBidi" w:cstheme="majorBidi"/>
                <w:sz w:val="20"/>
                <w:szCs w:val="20"/>
              </w:rPr>
            </w:pPr>
            <w:r w:rsidRPr="000A07CE">
              <w:rPr>
                <w:rFonts w:asciiTheme="majorBidi" w:hAnsiTheme="majorBidi" w:cstheme="majorBidi"/>
                <w:sz w:val="20"/>
                <w:szCs w:val="20"/>
              </w:rPr>
              <w:t>Federal Ministry for Digital and Economic Affairs</w:t>
            </w:r>
          </w:p>
          <w:p w14:paraId="5397EB0E" w14:textId="77777777" w:rsidR="000A07CE" w:rsidRPr="000A07CE" w:rsidRDefault="000A07CE" w:rsidP="000A07CE">
            <w:pPr>
              <w:pStyle w:val="ListParagraph"/>
              <w:numPr>
                <w:ilvl w:val="0"/>
                <w:numId w:val="30"/>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Federal Ministry for Environment, Energy, Mobility and Technology </w:t>
            </w:r>
          </w:p>
        </w:tc>
      </w:tr>
      <w:tr w:rsidR="000A07CE" w:rsidRPr="000A07CE" w14:paraId="4FE983F6" w14:textId="77777777" w:rsidTr="00D763A8">
        <w:tc>
          <w:tcPr>
            <w:tcW w:w="1195" w:type="pct"/>
          </w:tcPr>
          <w:p w14:paraId="4708E601" w14:textId="77777777" w:rsidR="000A07CE" w:rsidRPr="000A07CE" w:rsidRDefault="000A07CE" w:rsidP="00D763A8">
            <w:pPr>
              <w:rPr>
                <w:rFonts w:asciiTheme="majorBidi" w:hAnsiTheme="majorBidi" w:cstheme="majorBidi"/>
              </w:rPr>
            </w:pPr>
            <w:r w:rsidRPr="000A07CE">
              <w:rPr>
                <w:rFonts w:asciiTheme="majorBidi" w:hAnsiTheme="majorBidi" w:cstheme="majorBidi"/>
              </w:rPr>
              <w:t>Belarus</w:t>
            </w:r>
          </w:p>
        </w:tc>
        <w:tc>
          <w:tcPr>
            <w:tcW w:w="3805" w:type="pct"/>
          </w:tcPr>
          <w:p w14:paraId="3B6C81B1" w14:textId="77777777" w:rsidR="000A07CE" w:rsidRPr="000A07CE" w:rsidRDefault="000A07CE" w:rsidP="000A07CE">
            <w:pPr>
              <w:pStyle w:val="ListParagraph"/>
              <w:numPr>
                <w:ilvl w:val="0"/>
                <w:numId w:val="30"/>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Administration of State Control</w:t>
            </w:r>
          </w:p>
          <w:p w14:paraId="4CB82829" w14:textId="77777777" w:rsidR="000A07CE" w:rsidRPr="000A07CE" w:rsidRDefault="000A07CE" w:rsidP="000A07CE">
            <w:pPr>
              <w:pStyle w:val="ListParagraph"/>
              <w:numPr>
                <w:ilvl w:val="0"/>
                <w:numId w:val="30"/>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for Emergency Situations (</w:t>
            </w:r>
            <w:proofErr w:type="spellStart"/>
            <w:r w:rsidRPr="000A07CE">
              <w:rPr>
                <w:rFonts w:asciiTheme="majorBidi" w:hAnsiTheme="majorBidi" w:cstheme="majorBidi"/>
                <w:sz w:val="20"/>
                <w:szCs w:val="20"/>
              </w:rPr>
              <w:t>Gospromnadzor</w:t>
            </w:r>
            <w:proofErr w:type="spellEnd"/>
            <w:r w:rsidRPr="000A07CE">
              <w:rPr>
                <w:rFonts w:asciiTheme="majorBidi" w:hAnsiTheme="majorBidi" w:cstheme="majorBidi"/>
                <w:sz w:val="20"/>
                <w:szCs w:val="20"/>
              </w:rPr>
              <w:t>)</w:t>
            </w:r>
          </w:p>
        </w:tc>
      </w:tr>
      <w:tr w:rsidR="000A07CE" w:rsidRPr="000A07CE" w14:paraId="5F7430E2" w14:textId="77777777" w:rsidTr="00D763A8">
        <w:tc>
          <w:tcPr>
            <w:tcW w:w="1195" w:type="pct"/>
          </w:tcPr>
          <w:p w14:paraId="4C7850C1" w14:textId="77777777" w:rsidR="000A07CE" w:rsidRPr="000A07CE" w:rsidRDefault="000A07CE" w:rsidP="00D763A8">
            <w:pPr>
              <w:rPr>
                <w:rFonts w:asciiTheme="majorBidi" w:hAnsiTheme="majorBidi" w:cstheme="majorBidi"/>
              </w:rPr>
            </w:pPr>
            <w:r w:rsidRPr="000A07CE">
              <w:rPr>
                <w:rFonts w:asciiTheme="majorBidi" w:hAnsiTheme="majorBidi" w:cstheme="majorBidi"/>
              </w:rPr>
              <w:t xml:space="preserve">Belgium </w:t>
            </w:r>
          </w:p>
        </w:tc>
        <w:tc>
          <w:tcPr>
            <w:tcW w:w="3805" w:type="pct"/>
          </w:tcPr>
          <w:p w14:paraId="3EBED487"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 xml:space="preserve">Administration of Wallonia (SPW ARNE) </w:t>
            </w:r>
          </w:p>
          <w:p w14:paraId="39EC25C5"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Federal Public Service Employment, Labour and Social Dialogue</w:t>
            </w:r>
          </w:p>
          <w:p w14:paraId="3371D188" w14:textId="2A5E8608" w:rsidR="000A07CE" w:rsidRPr="000A07CE" w:rsidRDefault="000A07CE" w:rsidP="000A07CE">
            <w:pPr>
              <w:keepNext/>
              <w:keepLines/>
              <w:numPr>
                <w:ilvl w:val="0"/>
                <w:numId w:val="32"/>
              </w:numPr>
              <w:tabs>
                <w:tab w:val="left" w:pos="4536"/>
              </w:tabs>
              <w:suppressAutoHyphens w:val="0"/>
              <w:kinsoku/>
              <w:overflowPunct/>
              <w:autoSpaceDE/>
              <w:autoSpaceDN/>
              <w:adjustRightInd/>
              <w:snapToGrid/>
              <w:spacing w:line="240" w:lineRule="auto"/>
              <w:ind w:left="256" w:hanging="180"/>
              <w:rPr>
                <w:rFonts w:asciiTheme="majorBidi" w:hAnsiTheme="majorBidi" w:cstheme="majorBidi"/>
                <w:noProof/>
              </w:rPr>
            </w:pPr>
            <w:r w:rsidRPr="000A07CE">
              <w:rPr>
                <w:rFonts w:asciiTheme="majorBidi" w:hAnsiTheme="majorBidi" w:cstheme="majorBidi"/>
                <w:noProof/>
              </w:rPr>
              <w:t xml:space="preserve">Flemish </w:t>
            </w:r>
            <w:r w:rsidR="004552BC">
              <w:rPr>
                <w:rFonts w:asciiTheme="majorBidi" w:hAnsiTheme="majorBidi" w:cstheme="majorBidi"/>
                <w:noProof/>
              </w:rPr>
              <w:t>G</w:t>
            </w:r>
            <w:r w:rsidRPr="000A07CE">
              <w:rPr>
                <w:rFonts w:asciiTheme="majorBidi" w:hAnsiTheme="majorBidi" w:cstheme="majorBidi"/>
                <w:noProof/>
              </w:rPr>
              <w:t>over</w:t>
            </w:r>
            <w:r w:rsidR="004552BC">
              <w:rPr>
                <w:rFonts w:asciiTheme="majorBidi" w:hAnsiTheme="majorBidi" w:cstheme="majorBidi"/>
                <w:noProof/>
              </w:rPr>
              <w:t>n</w:t>
            </w:r>
            <w:r w:rsidRPr="000A07CE">
              <w:rPr>
                <w:rFonts w:asciiTheme="majorBidi" w:hAnsiTheme="majorBidi" w:cstheme="majorBidi"/>
                <w:noProof/>
              </w:rPr>
              <w:t>ment-External Safety-Division Enforcement, Supervision of Major Hazard Companies</w:t>
            </w:r>
          </w:p>
          <w:p w14:paraId="30801584"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FPS Economy, SMEs, Middle Classes, and Energy</w:t>
            </w:r>
          </w:p>
          <w:p w14:paraId="3CC62AE4"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Economy</w:t>
            </w:r>
          </w:p>
          <w:p w14:paraId="196840AD"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Service Public de Wallonie</w:t>
            </w:r>
          </w:p>
          <w:p w14:paraId="4F85EA23" w14:textId="77777777" w:rsidR="000A07CE" w:rsidRPr="000A07CE" w:rsidRDefault="000A07CE" w:rsidP="000A07CE">
            <w:pPr>
              <w:pStyle w:val="ListParagraph"/>
              <w:numPr>
                <w:ilvl w:val="0"/>
                <w:numId w:val="32"/>
              </w:numPr>
              <w:spacing w:after="0" w:line="240" w:lineRule="auto"/>
              <w:ind w:left="256" w:hanging="180"/>
              <w:rPr>
                <w:rFonts w:asciiTheme="majorBidi" w:hAnsiTheme="majorBidi" w:cstheme="majorBidi"/>
                <w:sz w:val="20"/>
                <w:szCs w:val="20"/>
                <w:lang w:val="fr-CH"/>
              </w:rPr>
            </w:pPr>
            <w:r w:rsidRPr="000A07CE">
              <w:rPr>
                <w:rFonts w:asciiTheme="majorBidi" w:hAnsiTheme="majorBidi" w:cstheme="majorBidi"/>
                <w:sz w:val="20"/>
                <w:szCs w:val="20"/>
                <w:lang w:val="fr-CH"/>
              </w:rPr>
              <w:t>SPW ARNE Agriculture, Ressources naturelles et Environnement (Wallonie)</w:t>
            </w:r>
          </w:p>
        </w:tc>
      </w:tr>
      <w:tr w:rsidR="000A07CE" w:rsidRPr="000A07CE" w14:paraId="4A100CCC" w14:textId="77777777" w:rsidTr="00D763A8">
        <w:tc>
          <w:tcPr>
            <w:tcW w:w="1195" w:type="pct"/>
          </w:tcPr>
          <w:p w14:paraId="078424B9" w14:textId="77777777" w:rsidR="000A07CE" w:rsidRPr="000A07CE" w:rsidRDefault="000A07CE" w:rsidP="00D763A8">
            <w:pPr>
              <w:rPr>
                <w:rFonts w:asciiTheme="majorBidi" w:hAnsiTheme="majorBidi" w:cstheme="majorBidi"/>
              </w:rPr>
            </w:pPr>
            <w:r w:rsidRPr="000A07CE">
              <w:rPr>
                <w:rFonts w:asciiTheme="majorBidi" w:hAnsiTheme="majorBidi" w:cstheme="majorBidi"/>
              </w:rPr>
              <w:t>Brazil</w:t>
            </w:r>
          </w:p>
        </w:tc>
        <w:tc>
          <w:tcPr>
            <w:tcW w:w="3805" w:type="pct"/>
          </w:tcPr>
          <w:p w14:paraId="73817FC8" w14:textId="7474A6C3"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Brazilian Institute </w:t>
            </w:r>
            <w:r w:rsidR="00A11FEE">
              <w:rPr>
                <w:rFonts w:asciiTheme="majorBidi" w:hAnsiTheme="majorBidi" w:cstheme="majorBidi"/>
                <w:sz w:val="20"/>
                <w:szCs w:val="20"/>
              </w:rPr>
              <w:t>o</w:t>
            </w:r>
            <w:r w:rsidRPr="000A07CE">
              <w:rPr>
                <w:rFonts w:asciiTheme="majorBidi" w:hAnsiTheme="majorBidi" w:cstheme="majorBidi"/>
                <w:sz w:val="20"/>
                <w:szCs w:val="20"/>
              </w:rPr>
              <w:t>f Environment and Renewable Natural Resources (IBAMA)</w:t>
            </w:r>
          </w:p>
        </w:tc>
      </w:tr>
      <w:tr w:rsidR="000A07CE" w:rsidRPr="000A07CE" w14:paraId="6A3781EC" w14:textId="77777777" w:rsidTr="00D763A8">
        <w:tc>
          <w:tcPr>
            <w:tcW w:w="1195" w:type="pct"/>
          </w:tcPr>
          <w:p w14:paraId="64C7D2BC" w14:textId="77777777" w:rsidR="000A07CE" w:rsidRPr="000A07CE" w:rsidRDefault="000A07CE" w:rsidP="00D763A8">
            <w:pPr>
              <w:rPr>
                <w:rFonts w:asciiTheme="majorBidi" w:hAnsiTheme="majorBidi" w:cstheme="majorBidi"/>
              </w:rPr>
            </w:pPr>
            <w:r w:rsidRPr="000A07CE">
              <w:rPr>
                <w:rFonts w:asciiTheme="majorBidi" w:hAnsiTheme="majorBidi" w:cstheme="majorBidi"/>
              </w:rPr>
              <w:t>Bulgaria</w:t>
            </w:r>
          </w:p>
        </w:tc>
        <w:tc>
          <w:tcPr>
            <w:tcW w:w="3805" w:type="pct"/>
          </w:tcPr>
          <w:p w14:paraId="60EC745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Environment and Water</w:t>
            </w:r>
          </w:p>
        </w:tc>
      </w:tr>
      <w:tr w:rsidR="000A07CE" w:rsidRPr="000A07CE" w14:paraId="086D1F58" w14:textId="77777777" w:rsidTr="00D763A8">
        <w:tc>
          <w:tcPr>
            <w:tcW w:w="1195" w:type="pct"/>
          </w:tcPr>
          <w:p w14:paraId="6E80188B" w14:textId="77777777" w:rsidR="000A07CE" w:rsidRPr="000A07CE" w:rsidRDefault="000A07CE" w:rsidP="00D763A8">
            <w:pPr>
              <w:rPr>
                <w:rFonts w:asciiTheme="majorBidi" w:hAnsiTheme="majorBidi" w:cstheme="majorBidi"/>
              </w:rPr>
            </w:pPr>
            <w:r w:rsidRPr="000A07CE">
              <w:rPr>
                <w:rFonts w:asciiTheme="majorBidi" w:hAnsiTheme="majorBidi" w:cstheme="majorBidi"/>
              </w:rPr>
              <w:t>Canada</w:t>
            </w:r>
          </w:p>
        </w:tc>
        <w:tc>
          <w:tcPr>
            <w:tcW w:w="3805" w:type="pct"/>
          </w:tcPr>
          <w:p w14:paraId="433A7638" w14:textId="1E1316EE"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Canada Border Service</w:t>
            </w:r>
            <w:r w:rsidR="003F073B">
              <w:rPr>
                <w:rFonts w:asciiTheme="majorBidi" w:hAnsiTheme="majorBidi" w:cstheme="majorBidi"/>
                <w:noProof/>
                <w:sz w:val="20"/>
                <w:szCs w:val="20"/>
              </w:rPr>
              <w:t>s</w:t>
            </w:r>
            <w:r w:rsidRPr="000A07CE">
              <w:rPr>
                <w:rFonts w:asciiTheme="majorBidi" w:hAnsiTheme="majorBidi" w:cstheme="majorBidi"/>
                <w:noProof/>
                <w:sz w:val="20"/>
                <w:szCs w:val="20"/>
              </w:rPr>
              <w:t xml:space="preserve"> Agency</w:t>
            </w:r>
          </w:p>
          <w:p w14:paraId="34D6279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Transport of Quebec</w:t>
            </w:r>
          </w:p>
          <w:p w14:paraId="16B8F517"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Natural Resources Canada</w:t>
            </w:r>
          </w:p>
          <w:p w14:paraId="509F4028"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Transport Canada</w:t>
            </w:r>
          </w:p>
        </w:tc>
      </w:tr>
      <w:tr w:rsidR="000A07CE" w:rsidRPr="000A07CE" w14:paraId="785F104F" w14:textId="77777777" w:rsidTr="00D763A8">
        <w:tc>
          <w:tcPr>
            <w:tcW w:w="1195" w:type="pct"/>
          </w:tcPr>
          <w:p w14:paraId="5D581A28" w14:textId="77777777" w:rsidR="000A07CE" w:rsidRPr="000A07CE" w:rsidRDefault="000A07CE" w:rsidP="00D763A8">
            <w:pPr>
              <w:rPr>
                <w:rFonts w:asciiTheme="majorBidi" w:hAnsiTheme="majorBidi" w:cstheme="majorBidi"/>
              </w:rPr>
            </w:pPr>
            <w:r w:rsidRPr="000A07CE">
              <w:rPr>
                <w:rFonts w:asciiTheme="majorBidi" w:hAnsiTheme="majorBidi" w:cstheme="majorBidi"/>
              </w:rPr>
              <w:t>China</w:t>
            </w:r>
          </w:p>
        </w:tc>
        <w:tc>
          <w:tcPr>
            <w:tcW w:w="3805" w:type="pct"/>
          </w:tcPr>
          <w:p w14:paraId="17F04A4C" w14:textId="56D3ED5F"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Transport</w:t>
            </w:r>
            <w:r w:rsidR="003F073B">
              <w:rPr>
                <w:rFonts w:asciiTheme="majorBidi" w:hAnsiTheme="majorBidi" w:cstheme="majorBidi"/>
                <w:noProof/>
                <w:sz w:val="20"/>
                <w:szCs w:val="20"/>
              </w:rPr>
              <w:t>,</w:t>
            </w:r>
            <w:r w:rsidRPr="000A07CE">
              <w:rPr>
                <w:rFonts w:asciiTheme="majorBidi" w:hAnsiTheme="majorBidi" w:cstheme="majorBidi"/>
                <w:noProof/>
                <w:sz w:val="20"/>
                <w:szCs w:val="20"/>
              </w:rPr>
              <w:t xml:space="preserve"> Civil Aviation Administration of China (CAAC)</w:t>
            </w:r>
          </w:p>
        </w:tc>
      </w:tr>
      <w:tr w:rsidR="000A07CE" w:rsidRPr="000A07CE" w14:paraId="609D2FEB" w14:textId="77777777" w:rsidTr="00D763A8">
        <w:tc>
          <w:tcPr>
            <w:tcW w:w="1195" w:type="pct"/>
          </w:tcPr>
          <w:p w14:paraId="7201AA92" w14:textId="77777777" w:rsidR="000A07CE" w:rsidRPr="000A07CE" w:rsidRDefault="000A07CE" w:rsidP="00D763A8">
            <w:pPr>
              <w:rPr>
                <w:rFonts w:asciiTheme="majorBidi" w:hAnsiTheme="majorBidi" w:cstheme="majorBidi"/>
              </w:rPr>
            </w:pPr>
            <w:r w:rsidRPr="000A07CE">
              <w:rPr>
                <w:rFonts w:asciiTheme="majorBidi" w:hAnsiTheme="majorBidi" w:cstheme="majorBidi"/>
              </w:rPr>
              <w:t>Costa Rica</w:t>
            </w:r>
          </w:p>
        </w:tc>
        <w:tc>
          <w:tcPr>
            <w:tcW w:w="3805" w:type="pct"/>
          </w:tcPr>
          <w:p w14:paraId="44F9974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Costa Rican Fire Department</w:t>
            </w:r>
          </w:p>
          <w:p w14:paraId="362C67F7"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Finance</w:t>
            </w:r>
          </w:p>
        </w:tc>
      </w:tr>
      <w:tr w:rsidR="000A07CE" w:rsidRPr="000A07CE" w14:paraId="4F7A837E" w14:textId="77777777" w:rsidTr="00D763A8">
        <w:tc>
          <w:tcPr>
            <w:tcW w:w="1195" w:type="pct"/>
          </w:tcPr>
          <w:p w14:paraId="09442543" w14:textId="77777777" w:rsidR="000A07CE" w:rsidRPr="000A07CE" w:rsidRDefault="000A07CE" w:rsidP="00D763A8">
            <w:pPr>
              <w:rPr>
                <w:rFonts w:asciiTheme="majorBidi" w:hAnsiTheme="majorBidi" w:cstheme="majorBidi"/>
              </w:rPr>
            </w:pPr>
            <w:r w:rsidRPr="000A07CE">
              <w:rPr>
                <w:rFonts w:asciiTheme="majorBidi" w:hAnsiTheme="majorBidi" w:cstheme="majorBidi"/>
              </w:rPr>
              <w:t>Cyprus</w:t>
            </w:r>
          </w:p>
        </w:tc>
        <w:tc>
          <w:tcPr>
            <w:tcW w:w="3805" w:type="pct"/>
          </w:tcPr>
          <w:p w14:paraId="16563B7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 xml:space="preserve">Department of Labour Inspection </w:t>
            </w:r>
          </w:p>
          <w:p w14:paraId="0534A3BF"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Labour, Welfare and Social Insurance</w:t>
            </w:r>
          </w:p>
        </w:tc>
      </w:tr>
      <w:tr w:rsidR="000A07CE" w:rsidRPr="000A07CE" w14:paraId="0416F3AF" w14:textId="77777777" w:rsidTr="00D763A8">
        <w:tc>
          <w:tcPr>
            <w:tcW w:w="1195" w:type="pct"/>
          </w:tcPr>
          <w:p w14:paraId="2A135FF4" w14:textId="0FA67A4B" w:rsidR="000A07CE" w:rsidRPr="000A07CE" w:rsidRDefault="000A07CE" w:rsidP="00D763A8">
            <w:pPr>
              <w:rPr>
                <w:rFonts w:asciiTheme="majorBidi" w:hAnsiTheme="majorBidi" w:cstheme="majorBidi"/>
              </w:rPr>
            </w:pPr>
            <w:r w:rsidRPr="000A07CE">
              <w:rPr>
                <w:rFonts w:asciiTheme="majorBidi" w:hAnsiTheme="majorBidi" w:cstheme="majorBidi"/>
              </w:rPr>
              <w:t>Czech</w:t>
            </w:r>
            <w:r w:rsidR="00AA3719">
              <w:rPr>
                <w:rFonts w:asciiTheme="majorBidi" w:hAnsiTheme="majorBidi" w:cstheme="majorBidi"/>
              </w:rPr>
              <w:t>ia</w:t>
            </w:r>
          </w:p>
        </w:tc>
        <w:tc>
          <w:tcPr>
            <w:tcW w:w="3805" w:type="pct"/>
          </w:tcPr>
          <w:p w14:paraId="4454CBB0"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the Environment</w:t>
            </w:r>
          </w:p>
        </w:tc>
      </w:tr>
      <w:tr w:rsidR="000A07CE" w:rsidRPr="000A07CE" w14:paraId="16D724F2" w14:textId="77777777" w:rsidTr="00D763A8">
        <w:tc>
          <w:tcPr>
            <w:tcW w:w="1195" w:type="pct"/>
          </w:tcPr>
          <w:p w14:paraId="7F8F44C1" w14:textId="77777777" w:rsidR="000A07CE" w:rsidRPr="000A07CE" w:rsidRDefault="000A07CE" w:rsidP="00D763A8">
            <w:pPr>
              <w:rPr>
                <w:rFonts w:asciiTheme="majorBidi" w:hAnsiTheme="majorBidi" w:cstheme="majorBidi"/>
              </w:rPr>
            </w:pPr>
            <w:r w:rsidRPr="000A07CE">
              <w:rPr>
                <w:rFonts w:asciiTheme="majorBidi" w:hAnsiTheme="majorBidi" w:cstheme="majorBidi"/>
              </w:rPr>
              <w:t>Denmark</w:t>
            </w:r>
          </w:p>
        </w:tc>
        <w:tc>
          <w:tcPr>
            <w:tcW w:w="3805" w:type="pct"/>
          </w:tcPr>
          <w:p w14:paraId="364DAB8E"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Danish Environmental Protection Agency (EPA)</w:t>
            </w:r>
          </w:p>
          <w:p w14:paraId="5CBB41C6"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Municipality of </w:t>
            </w:r>
            <w:proofErr w:type="spellStart"/>
            <w:r w:rsidRPr="000A07CE">
              <w:rPr>
                <w:rFonts w:asciiTheme="majorBidi" w:hAnsiTheme="majorBidi" w:cstheme="majorBidi"/>
                <w:sz w:val="20"/>
                <w:szCs w:val="20"/>
              </w:rPr>
              <w:t>Vejle</w:t>
            </w:r>
            <w:proofErr w:type="spellEnd"/>
          </w:p>
        </w:tc>
      </w:tr>
      <w:tr w:rsidR="000A07CE" w:rsidRPr="000A07CE" w14:paraId="0D976957" w14:textId="77777777" w:rsidTr="00D763A8">
        <w:tc>
          <w:tcPr>
            <w:tcW w:w="1195" w:type="pct"/>
          </w:tcPr>
          <w:p w14:paraId="56B10D7D" w14:textId="77777777" w:rsidR="000A07CE" w:rsidRPr="000A07CE" w:rsidRDefault="000A07CE" w:rsidP="00D763A8">
            <w:pPr>
              <w:rPr>
                <w:rFonts w:asciiTheme="majorBidi" w:hAnsiTheme="majorBidi" w:cstheme="majorBidi"/>
              </w:rPr>
            </w:pPr>
            <w:r w:rsidRPr="000A07CE">
              <w:rPr>
                <w:rFonts w:asciiTheme="majorBidi" w:hAnsiTheme="majorBidi" w:cstheme="majorBidi"/>
              </w:rPr>
              <w:t>Estonia</w:t>
            </w:r>
          </w:p>
        </w:tc>
        <w:tc>
          <w:tcPr>
            <w:tcW w:w="3805" w:type="pct"/>
          </w:tcPr>
          <w:p w14:paraId="615F496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Consumer Protection and Technical Regulatory Authority</w:t>
            </w:r>
          </w:p>
          <w:p w14:paraId="1F8EE75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Environmental Board of Estonia</w:t>
            </w:r>
          </w:p>
          <w:p w14:paraId="484D5A3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Estonian Rescue Board</w:t>
            </w:r>
          </w:p>
          <w:p w14:paraId="5A8B65AB" w14:textId="63F9C81F"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of </w:t>
            </w:r>
            <w:r w:rsidR="007773FD">
              <w:rPr>
                <w:rFonts w:asciiTheme="majorBidi" w:hAnsiTheme="majorBidi" w:cstheme="majorBidi"/>
                <w:sz w:val="20"/>
                <w:szCs w:val="20"/>
              </w:rPr>
              <w:t xml:space="preserve">the </w:t>
            </w:r>
            <w:r w:rsidRPr="000A07CE">
              <w:rPr>
                <w:rFonts w:asciiTheme="majorBidi" w:hAnsiTheme="majorBidi" w:cstheme="majorBidi"/>
                <w:sz w:val="20"/>
                <w:szCs w:val="20"/>
              </w:rPr>
              <w:t>Interior</w:t>
            </w:r>
          </w:p>
          <w:p w14:paraId="30C841F7" w14:textId="12F19958"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State Fire and Rescue </w:t>
            </w:r>
            <w:r w:rsidR="007773FD">
              <w:rPr>
                <w:rFonts w:asciiTheme="majorBidi" w:hAnsiTheme="majorBidi" w:cstheme="majorBidi"/>
                <w:sz w:val="20"/>
                <w:szCs w:val="20"/>
              </w:rPr>
              <w:t>Board</w:t>
            </w:r>
          </w:p>
        </w:tc>
      </w:tr>
      <w:tr w:rsidR="000A07CE" w:rsidRPr="000A07CE" w14:paraId="59AAA1D0" w14:textId="77777777" w:rsidTr="00D763A8">
        <w:tc>
          <w:tcPr>
            <w:tcW w:w="1195" w:type="pct"/>
          </w:tcPr>
          <w:p w14:paraId="04B0E276" w14:textId="77777777" w:rsidR="000A07CE" w:rsidRPr="000A07CE" w:rsidRDefault="000A07CE" w:rsidP="00D763A8">
            <w:pPr>
              <w:rPr>
                <w:rFonts w:asciiTheme="majorBidi" w:hAnsiTheme="majorBidi" w:cstheme="majorBidi"/>
              </w:rPr>
            </w:pPr>
            <w:r w:rsidRPr="000A07CE">
              <w:rPr>
                <w:rFonts w:asciiTheme="majorBidi" w:hAnsiTheme="majorBidi" w:cstheme="majorBidi"/>
              </w:rPr>
              <w:t>Finland</w:t>
            </w:r>
          </w:p>
        </w:tc>
        <w:tc>
          <w:tcPr>
            <w:tcW w:w="3805" w:type="pct"/>
          </w:tcPr>
          <w:p w14:paraId="10EC70A8" w14:textId="03490D6C"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Finnish Safety and Chemical</w:t>
            </w:r>
            <w:r w:rsidR="001164F9">
              <w:rPr>
                <w:rFonts w:asciiTheme="majorBidi" w:hAnsiTheme="majorBidi" w:cstheme="majorBidi"/>
                <w:sz w:val="20"/>
                <w:szCs w:val="20"/>
              </w:rPr>
              <w:t>s</w:t>
            </w:r>
            <w:r w:rsidRPr="000A07CE">
              <w:rPr>
                <w:rFonts w:asciiTheme="majorBidi" w:hAnsiTheme="majorBidi" w:cstheme="majorBidi"/>
                <w:sz w:val="20"/>
                <w:szCs w:val="20"/>
              </w:rPr>
              <w:t xml:space="preserve"> Agency</w:t>
            </w:r>
          </w:p>
        </w:tc>
      </w:tr>
      <w:tr w:rsidR="000A07CE" w:rsidRPr="000A07CE" w14:paraId="0469FCFC" w14:textId="77777777" w:rsidTr="00D763A8">
        <w:tc>
          <w:tcPr>
            <w:tcW w:w="1195" w:type="pct"/>
          </w:tcPr>
          <w:p w14:paraId="020E9F07" w14:textId="77777777" w:rsidR="000A07CE" w:rsidRPr="000A07CE" w:rsidRDefault="000A07CE" w:rsidP="00D763A8">
            <w:pPr>
              <w:rPr>
                <w:rFonts w:asciiTheme="majorBidi" w:hAnsiTheme="majorBidi" w:cstheme="majorBidi"/>
              </w:rPr>
            </w:pPr>
            <w:r w:rsidRPr="000A07CE">
              <w:rPr>
                <w:rFonts w:asciiTheme="majorBidi" w:hAnsiTheme="majorBidi" w:cstheme="majorBidi"/>
              </w:rPr>
              <w:t>France</w:t>
            </w:r>
          </w:p>
        </w:tc>
        <w:tc>
          <w:tcPr>
            <w:tcW w:w="3805" w:type="pct"/>
          </w:tcPr>
          <w:p w14:paraId="05F789B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for the Ecological Transition </w:t>
            </w:r>
          </w:p>
        </w:tc>
      </w:tr>
      <w:tr w:rsidR="000A07CE" w:rsidRPr="000A07CE" w14:paraId="33CAE40C" w14:textId="77777777" w:rsidTr="00D763A8">
        <w:tc>
          <w:tcPr>
            <w:tcW w:w="1195" w:type="pct"/>
          </w:tcPr>
          <w:p w14:paraId="711B040F" w14:textId="77777777" w:rsidR="000A07CE" w:rsidRPr="000A07CE" w:rsidRDefault="000A07CE" w:rsidP="00D763A8">
            <w:pPr>
              <w:rPr>
                <w:rFonts w:asciiTheme="majorBidi" w:hAnsiTheme="majorBidi" w:cstheme="majorBidi"/>
              </w:rPr>
            </w:pPr>
            <w:r w:rsidRPr="000A07CE">
              <w:rPr>
                <w:rFonts w:asciiTheme="majorBidi" w:hAnsiTheme="majorBidi" w:cstheme="majorBidi"/>
              </w:rPr>
              <w:t>Germany</w:t>
            </w:r>
          </w:p>
        </w:tc>
        <w:tc>
          <w:tcPr>
            <w:tcW w:w="3805" w:type="pct"/>
          </w:tcPr>
          <w:p w14:paraId="3477B10F"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Bundeswehr (Design Safety of Ammunition and Range Safety)</w:t>
            </w:r>
          </w:p>
          <w:p w14:paraId="6ED057E6"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Fire and Rescue Services Hamburg</w:t>
            </w:r>
          </w:p>
          <w:p w14:paraId="49C90F6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German Environment Agency (</w:t>
            </w:r>
            <w:proofErr w:type="spellStart"/>
            <w:r w:rsidRPr="000A07CE">
              <w:rPr>
                <w:rFonts w:asciiTheme="majorBidi" w:hAnsiTheme="majorBidi" w:cstheme="majorBidi"/>
                <w:sz w:val="20"/>
                <w:szCs w:val="20"/>
              </w:rPr>
              <w:t>Umweltbundesamt</w:t>
            </w:r>
            <w:proofErr w:type="spellEnd"/>
            <w:r w:rsidRPr="000A07CE">
              <w:rPr>
                <w:rFonts w:asciiTheme="majorBidi" w:hAnsiTheme="majorBidi" w:cstheme="majorBidi"/>
                <w:sz w:val="20"/>
                <w:szCs w:val="20"/>
              </w:rPr>
              <w:t>)</w:t>
            </w:r>
          </w:p>
          <w:p w14:paraId="4160141E" w14:textId="459DE9D9"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for Environment, Agriculture, Conservation and Consumer Protection of the </w:t>
            </w:r>
            <w:r w:rsidR="00835A27">
              <w:rPr>
                <w:rFonts w:asciiTheme="majorBidi" w:hAnsiTheme="majorBidi" w:cstheme="majorBidi"/>
                <w:sz w:val="20"/>
                <w:szCs w:val="20"/>
              </w:rPr>
              <w:t xml:space="preserve">German </w:t>
            </w:r>
            <w:r w:rsidRPr="000A07CE">
              <w:rPr>
                <w:rFonts w:asciiTheme="majorBidi" w:hAnsiTheme="majorBidi" w:cstheme="majorBidi"/>
                <w:sz w:val="20"/>
                <w:szCs w:val="20"/>
              </w:rPr>
              <w:t>State of North Rhine-Westphalia (MULNV)</w:t>
            </w:r>
          </w:p>
          <w:p w14:paraId="1DF0A3DC"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for the Environment, Nature Conservation and Nuclear Safety</w:t>
            </w:r>
          </w:p>
        </w:tc>
      </w:tr>
      <w:tr w:rsidR="000A07CE" w:rsidRPr="000A07CE" w14:paraId="04A43C0F" w14:textId="77777777" w:rsidTr="00D763A8">
        <w:tc>
          <w:tcPr>
            <w:tcW w:w="1195" w:type="pct"/>
          </w:tcPr>
          <w:p w14:paraId="099B71E3" w14:textId="77777777" w:rsidR="000A07CE" w:rsidRPr="000A07CE" w:rsidRDefault="000A07CE" w:rsidP="00D763A8">
            <w:pPr>
              <w:rPr>
                <w:rFonts w:asciiTheme="majorBidi" w:hAnsiTheme="majorBidi" w:cstheme="majorBidi"/>
              </w:rPr>
            </w:pPr>
            <w:r w:rsidRPr="000A07CE">
              <w:rPr>
                <w:rFonts w:asciiTheme="majorBidi" w:hAnsiTheme="majorBidi" w:cstheme="majorBidi"/>
              </w:rPr>
              <w:t>Greece</w:t>
            </w:r>
          </w:p>
        </w:tc>
        <w:tc>
          <w:tcPr>
            <w:tcW w:w="3805" w:type="pct"/>
          </w:tcPr>
          <w:p w14:paraId="2B6CB68E" w14:textId="1E11022A"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of </w:t>
            </w:r>
            <w:r w:rsidR="00835A27">
              <w:rPr>
                <w:rFonts w:asciiTheme="majorBidi" w:hAnsiTheme="majorBidi" w:cstheme="majorBidi"/>
                <w:sz w:val="20"/>
                <w:szCs w:val="20"/>
              </w:rPr>
              <w:t xml:space="preserve">the </w:t>
            </w:r>
            <w:r w:rsidRPr="000A07CE">
              <w:rPr>
                <w:rFonts w:asciiTheme="majorBidi" w:hAnsiTheme="majorBidi" w:cstheme="majorBidi"/>
                <w:sz w:val="20"/>
                <w:szCs w:val="20"/>
              </w:rPr>
              <w:t>Environment and Energy</w:t>
            </w:r>
          </w:p>
        </w:tc>
      </w:tr>
      <w:tr w:rsidR="000A07CE" w:rsidRPr="000A07CE" w14:paraId="0D5C879C" w14:textId="77777777" w:rsidTr="00D763A8">
        <w:tc>
          <w:tcPr>
            <w:tcW w:w="1195" w:type="pct"/>
          </w:tcPr>
          <w:p w14:paraId="2BA0B017" w14:textId="77777777" w:rsidR="000A07CE" w:rsidRPr="000A07CE" w:rsidRDefault="000A07CE" w:rsidP="00D763A8">
            <w:pPr>
              <w:rPr>
                <w:rFonts w:asciiTheme="majorBidi" w:hAnsiTheme="majorBidi" w:cstheme="majorBidi"/>
              </w:rPr>
            </w:pPr>
            <w:r w:rsidRPr="000A07CE">
              <w:rPr>
                <w:rFonts w:asciiTheme="majorBidi" w:hAnsiTheme="majorBidi" w:cstheme="majorBidi"/>
              </w:rPr>
              <w:t>Hungary</w:t>
            </w:r>
          </w:p>
        </w:tc>
        <w:tc>
          <w:tcPr>
            <w:tcW w:w="3805" w:type="pct"/>
          </w:tcPr>
          <w:p w14:paraId="4E903560"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Directorate General for Disaster Management</w:t>
            </w:r>
          </w:p>
        </w:tc>
      </w:tr>
      <w:tr w:rsidR="000A07CE" w:rsidRPr="000A07CE" w14:paraId="5BE72044" w14:textId="77777777" w:rsidTr="00D763A8">
        <w:tc>
          <w:tcPr>
            <w:tcW w:w="1195" w:type="pct"/>
          </w:tcPr>
          <w:p w14:paraId="31CB1615" w14:textId="77777777" w:rsidR="000A07CE" w:rsidRPr="000A07CE" w:rsidRDefault="000A07CE" w:rsidP="00D763A8">
            <w:pPr>
              <w:rPr>
                <w:rFonts w:asciiTheme="majorBidi" w:hAnsiTheme="majorBidi" w:cstheme="majorBidi"/>
              </w:rPr>
            </w:pPr>
            <w:r w:rsidRPr="000A07CE">
              <w:rPr>
                <w:rFonts w:asciiTheme="majorBidi" w:hAnsiTheme="majorBidi" w:cstheme="majorBidi"/>
              </w:rPr>
              <w:lastRenderedPageBreak/>
              <w:t>Ireland</w:t>
            </w:r>
          </w:p>
        </w:tc>
        <w:tc>
          <w:tcPr>
            <w:tcW w:w="3805" w:type="pct"/>
          </w:tcPr>
          <w:p w14:paraId="571AF620" w14:textId="77777777"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 xml:space="preserve">Department of Agriculture, </w:t>
            </w:r>
            <w:proofErr w:type="gramStart"/>
            <w:r w:rsidRPr="000A07CE">
              <w:rPr>
                <w:rFonts w:asciiTheme="majorBidi" w:hAnsiTheme="majorBidi" w:cstheme="majorBidi"/>
                <w:sz w:val="20"/>
                <w:szCs w:val="20"/>
              </w:rPr>
              <w:t>Food</w:t>
            </w:r>
            <w:proofErr w:type="gramEnd"/>
            <w:r w:rsidRPr="000A07CE">
              <w:rPr>
                <w:rFonts w:asciiTheme="majorBidi" w:hAnsiTheme="majorBidi" w:cstheme="majorBidi"/>
                <w:sz w:val="20"/>
                <w:szCs w:val="20"/>
              </w:rPr>
              <w:t xml:space="preserve"> and the Marine (DAFM)</w:t>
            </w:r>
          </w:p>
          <w:p w14:paraId="406102F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Enterprise, Trade and Employment</w:t>
            </w:r>
          </w:p>
          <w:p w14:paraId="64BA9ECE"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Justice (Government Inspector of Explosives)</w:t>
            </w:r>
          </w:p>
          <w:p w14:paraId="666B3B12"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Health &amp; Safety Authority</w:t>
            </w:r>
          </w:p>
          <w:p w14:paraId="3AC6138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Irish Maritime Administration</w:t>
            </w:r>
          </w:p>
        </w:tc>
      </w:tr>
      <w:tr w:rsidR="000A07CE" w:rsidRPr="000A07CE" w14:paraId="4F0974B5" w14:textId="77777777" w:rsidTr="00D763A8">
        <w:tc>
          <w:tcPr>
            <w:tcW w:w="1195" w:type="pct"/>
          </w:tcPr>
          <w:p w14:paraId="4CCDB9D4" w14:textId="77777777" w:rsidR="000A07CE" w:rsidRPr="000A07CE" w:rsidRDefault="000A07CE" w:rsidP="00D763A8">
            <w:pPr>
              <w:rPr>
                <w:rFonts w:asciiTheme="majorBidi" w:hAnsiTheme="majorBidi" w:cstheme="majorBidi"/>
              </w:rPr>
            </w:pPr>
            <w:r w:rsidRPr="000A07CE">
              <w:rPr>
                <w:rFonts w:asciiTheme="majorBidi" w:hAnsiTheme="majorBidi" w:cstheme="majorBidi"/>
              </w:rPr>
              <w:t>Israel</w:t>
            </w:r>
          </w:p>
        </w:tc>
        <w:tc>
          <w:tcPr>
            <w:tcW w:w="3805" w:type="pct"/>
          </w:tcPr>
          <w:p w14:paraId="0B5ECDCA"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Environmental Protection</w:t>
            </w:r>
          </w:p>
        </w:tc>
      </w:tr>
      <w:tr w:rsidR="000A07CE" w:rsidRPr="000A07CE" w14:paraId="173D8A3E" w14:textId="77777777" w:rsidTr="00D763A8">
        <w:tc>
          <w:tcPr>
            <w:tcW w:w="1195" w:type="pct"/>
          </w:tcPr>
          <w:p w14:paraId="38CF11AE" w14:textId="77777777" w:rsidR="000A07CE" w:rsidRPr="000A07CE" w:rsidRDefault="000A07CE" w:rsidP="00D763A8">
            <w:pPr>
              <w:rPr>
                <w:rFonts w:asciiTheme="majorBidi" w:hAnsiTheme="majorBidi" w:cstheme="majorBidi"/>
              </w:rPr>
            </w:pPr>
            <w:r w:rsidRPr="000A07CE">
              <w:rPr>
                <w:rFonts w:asciiTheme="majorBidi" w:hAnsiTheme="majorBidi" w:cstheme="majorBidi"/>
              </w:rPr>
              <w:t>Latvia</w:t>
            </w:r>
          </w:p>
        </w:tc>
        <w:tc>
          <w:tcPr>
            <w:tcW w:w="3805" w:type="pct"/>
          </w:tcPr>
          <w:p w14:paraId="7AE6167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proofErr w:type="spellStart"/>
            <w:r w:rsidRPr="000A07CE">
              <w:rPr>
                <w:rFonts w:asciiTheme="majorBidi" w:hAnsiTheme="majorBidi" w:cstheme="majorBidi"/>
                <w:sz w:val="20"/>
                <w:szCs w:val="20"/>
              </w:rPr>
              <w:t>Kurzeme</w:t>
            </w:r>
            <w:proofErr w:type="spellEnd"/>
            <w:r w:rsidRPr="000A07CE">
              <w:rPr>
                <w:rFonts w:asciiTheme="majorBidi" w:hAnsiTheme="majorBidi" w:cstheme="majorBidi"/>
                <w:sz w:val="20"/>
                <w:szCs w:val="20"/>
              </w:rPr>
              <w:t xml:space="preserve"> Regional Environmental Board</w:t>
            </w:r>
          </w:p>
          <w:p w14:paraId="67F83C9A"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proofErr w:type="spellStart"/>
            <w:r w:rsidRPr="000A07CE">
              <w:rPr>
                <w:rFonts w:asciiTheme="majorBidi" w:hAnsiTheme="majorBidi" w:cstheme="majorBidi"/>
                <w:sz w:val="20"/>
                <w:szCs w:val="20"/>
              </w:rPr>
              <w:t>Lielrīgas</w:t>
            </w:r>
            <w:proofErr w:type="spellEnd"/>
            <w:r w:rsidRPr="000A07CE">
              <w:rPr>
                <w:rFonts w:asciiTheme="majorBidi" w:hAnsiTheme="majorBidi" w:cstheme="majorBidi"/>
                <w:sz w:val="20"/>
                <w:szCs w:val="20"/>
              </w:rPr>
              <w:t xml:space="preserve"> Regional Environmental Board</w:t>
            </w:r>
          </w:p>
          <w:p w14:paraId="3939BF7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Maritime Administration</w:t>
            </w:r>
          </w:p>
          <w:p w14:paraId="77739BDC" w14:textId="7A7170CD"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w:t>
            </w:r>
            <w:r w:rsidR="006F7DD2">
              <w:rPr>
                <w:rFonts w:asciiTheme="majorBidi" w:hAnsiTheme="majorBidi" w:cstheme="majorBidi"/>
                <w:sz w:val="20"/>
                <w:szCs w:val="20"/>
              </w:rPr>
              <w:t>of</w:t>
            </w:r>
            <w:r w:rsidRPr="000A07CE">
              <w:rPr>
                <w:rFonts w:asciiTheme="majorBidi" w:hAnsiTheme="majorBidi" w:cstheme="majorBidi"/>
                <w:sz w:val="20"/>
                <w:szCs w:val="20"/>
              </w:rPr>
              <w:t xml:space="preserve"> the Interior (State Fire and Rescue Service)</w:t>
            </w:r>
          </w:p>
          <w:p w14:paraId="292F4062"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Environmental Protection and Regional Development</w:t>
            </w:r>
          </w:p>
          <w:p w14:paraId="14C5B40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Transport</w:t>
            </w:r>
          </w:p>
          <w:p w14:paraId="7F97AAB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Armed Forces</w:t>
            </w:r>
          </w:p>
          <w:p w14:paraId="787CD6DD"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Port Authority of Liepaja</w:t>
            </w:r>
          </w:p>
          <w:p w14:paraId="684BD8E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Port Authority of </w:t>
            </w:r>
            <w:proofErr w:type="spellStart"/>
            <w:r w:rsidRPr="000A07CE">
              <w:rPr>
                <w:rFonts w:asciiTheme="majorBidi" w:hAnsiTheme="majorBidi" w:cstheme="majorBidi"/>
                <w:sz w:val="20"/>
                <w:szCs w:val="20"/>
              </w:rPr>
              <w:t>Salacgriva</w:t>
            </w:r>
            <w:proofErr w:type="spellEnd"/>
          </w:p>
          <w:p w14:paraId="40CC7F5D"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State Emergency Medical Service</w:t>
            </w:r>
          </w:p>
          <w:p w14:paraId="003EF92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Armed Forces</w:t>
            </w:r>
          </w:p>
          <w:p w14:paraId="0AE8923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State Environmental Service</w:t>
            </w:r>
          </w:p>
        </w:tc>
      </w:tr>
      <w:tr w:rsidR="000A07CE" w:rsidRPr="000A07CE" w14:paraId="23DF2443" w14:textId="77777777" w:rsidTr="00D763A8">
        <w:tc>
          <w:tcPr>
            <w:tcW w:w="1195" w:type="pct"/>
          </w:tcPr>
          <w:p w14:paraId="2EED3AF7" w14:textId="77777777" w:rsidR="000A07CE" w:rsidRPr="000A07CE" w:rsidRDefault="000A07CE" w:rsidP="00D763A8">
            <w:pPr>
              <w:rPr>
                <w:rFonts w:asciiTheme="majorBidi" w:hAnsiTheme="majorBidi" w:cstheme="majorBidi"/>
              </w:rPr>
            </w:pPr>
            <w:r w:rsidRPr="000A07CE">
              <w:rPr>
                <w:rFonts w:asciiTheme="majorBidi" w:hAnsiTheme="majorBidi" w:cstheme="majorBidi"/>
              </w:rPr>
              <w:t>Lebanon</w:t>
            </w:r>
          </w:p>
        </w:tc>
        <w:tc>
          <w:tcPr>
            <w:tcW w:w="3805" w:type="pct"/>
          </w:tcPr>
          <w:p w14:paraId="5DFBE72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Presidency of the Council of Ministers</w:t>
            </w:r>
          </w:p>
        </w:tc>
      </w:tr>
      <w:tr w:rsidR="000A07CE" w:rsidRPr="000A07CE" w14:paraId="382D6818" w14:textId="77777777" w:rsidTr="00D763A8">
        <w:tc>
          <w:tcPr>
            <w:tcW w:w="1195" w:type="pct"/>
          </w:tcPr>
          <w:p w14:paraId="427EE7C5" w14:textId="77777777" w:rsidR="000A07CE" w:rsidRPr="000A07CE" w:rsidRDefault="000A07CE" w:rsidP="00D763A8">
            <w:pPr>
              <w:rPr>
                <w:rFonts w:asciiTheme="majorBidi" w:hAnsiTheme="majorBidi" w:cstheme="majorBidi"/>
              </w:rPr>
            </w:pPr>
            <w:r w:rsidRPr="000A07CE">
              <w:rPr>
                <w:rFonts w:asciiTheme="majorBidi" w:hAnsiTheme="majorBidi" w:cstheme="majorBidi"/>
              </w:rPr>
              <w:t>Lithuania</w:t>
            </w:r>
          </w:p>
        </w:tc>
        <w:tc>
          <w:tcPr>
            <w:tcW w:w="3805" w:type="pct"/>
          </w:tcPr>
          <w:p w14:paraId="198E4AB5" w14:textId="6765B892"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noProof/>
                <w:sz w:val="20"/>
                <w:szCs w:val="20"/>
              </w:rPr>
              <w:t xml:space="preserve">Ministry of </w:t>
            </w:r>
            <w:r w:rsidR="00BC4CF1">
              <w:rPr>
                <w:rFonts w:asciiTheme="majorBidi" w:hAnsiTheme="majorBidi" w:cstheme="majorBidi"/>
                <w:noProof/>
                <w:sz w:val="20"/>
                <w:szCs w:val="20"/>
              </w:rPr>
              <w:t xml:space="preserve">the </w:t>
            </w:r>
            <w:r w:rsidRPr="000A07CE">
              <w:rPr>
                <w:rFonts w:asciiTheme="majorBidi" w:hAnsiTheme="majorBidi" w:cstheme="majorBidi"/>
                <w:noProof/>
                <w:sz w:val="20"/>
                <w:szCs w:val="20"/>
              </w:rPr>
              <w:t xml:space="preserve">Interior (Fire </w:t>
            </w:r>
            <w:r w:rsidR="00BC4CF1">
              <w:rPr>
                <w:rFonts w:asciiTheme="majorBidi" w:hAnsiTheme="majorBidi" w:cstheme="majorBidi"/>
                <w:noProof/>
                <w:sz w:val="20"/>
                <w:szCs w:val="20"/>
              </w:rPr>
              <w:t xml:space="preserve">and </w:t>
            </w:r>
            <w:r w:rsidRPr="000A07CE">
              <w:rPr>
                <w:rFonts w:asciiTheme="majorBidi" w:hAnsiTheme="majorBidi" w:cstheme="majorBidi"/>
                <w:noProof/>
                <w:sz w:val="20"/>
                <w:szCs w:val="20"/>
              </w:rPr>
              <w:t>Rescue Department)</w:t>
            </w:r>
          </w:p>
          <w:p w14:paraId="02D4C8F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SE </w:t>
            </w:r>
            <w:proofErr w:type="spellStart"/>
            <w:r w:rsidRPr="000A07CE">
              <w:rPr>
                <w:rFonts w:asciiTheme="majorBidi" w:hAnsiTheme="majorBidi" w:cstheme="majorBidi"/>
                <w:sz w:val="20"/>
                <w:szCs w:val="20"/>
              </w:rPr>
              <w:t>Klaipėda</w:t>
            </w:r>
            <w:proofErr w:type="spellEnd"/>
            <w:r w:rsidRPr="000A07CE">
              <w:rPr>
                <w:rFonts w:asciiTheme="majorBidi" w:hAnsiTheme="majorBidi" w:cstheme="majorBidi"/>
                <w:sz w:val="20"/>
                <w:szCs w:val="20"/>
              </w:rPr>
              <w:t xml:space="preserve"> State Seaport Authority</w:t>
            </w:r>
          </w:p>
        </w:tc>
      </w:tr>
      <w:tr w:rsidR="000A07CE" w:rsidRPr="000A07CE" w14:paraId="2476BB36" w14:textId="77777777" w:rsidTr="00D763A8">
        <w:tc>
          <w:tcPr>
            <w:tcW w:w="1195" w:type="pct"/>
          </w:tcPr>
          <w:p w14:paraId="40FF3072" w14:textId="77777777" w:rsidR="000A07CE" w:rsidRPr="000A07CE" w:rsidRDefault="000A07CE" w:rsidP="00D763A8">
            <w:pPr>
              <w:rPr>
                <w:rFonts w:asciiTheme="majorBidi" w:hAnsiTheme="majorBidi" w:cstheme="majorBidi"/>
              </w:rPr>
            </w:pPr>
            <w:r w:rsidRPr="000A07CE">
              <w:rPr>
                <w:rFonts w:asciiTheme="majorBidi" w:hAnsiTheme="majorBidi" w:cstheme="majorBidi"/>
              </w:rPr>
              <w:t>Luxembourg</w:t>
            </w:r>
          </w:p>
        </w:tc>
        <w:tc>
          <w:tcPr>
            <w:tcW w:w="3805" w:type="pct"/>
          </w:tcPr>
          <w:p w14:paraId="18F25A16"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lang w:val="fr-CH"/>
              </w:rPr>
            </w:pPr>
            <w:r w:rsidRPr="000A07CE">
              <w:rPr>
                <w:rFonts w:asciiTheme="majorBidi" w:hAnsiTheme="majorBidi" w:cstheme="majorBidi"/>
                <w:sz w:val="20"/>
                <w:szCs w:val="20"/>
                <w:lang w:val="fr-CH"/>
              </w:rPr>
              <w:t>Inspection du Travail et des Mines</w:t>
            </w:r>
          </w:p>
        </w:tc>
      </w:tr>
      <w:tr w:rsidR="000A07CE" w:rsidRPr="000A07CE" w14:paraId="59CD2D61" w14:textId="77777777" w:rsidTr="00D763A8">
        <w:tc>
          <w:tcPr>
            <w:tcW w:w="1195" w:type="pct"/>
          </w:tcPr>
          <w:p w14:paraId="79F8C973" w14:textId="77777777" w:rsidR="000A07CE" w:rsidRPr="000A07CE" w:rsidRDefault="000A07CE" w:rsidP="00D763A8">
            <w:pPr>
              <w:rPr>
                <w:rFonts w:asciiTheme="majorBidi" w:hAnsiTheme="majorBidi" w:cstheme="majorBidi"/>
              </w:rPr>
            </w:pPr>
            <w:r w:rsidRPr="000A07CE">
              <w:rPr>
                <w:rFonts w:asciiTheme="majorBidi" w:hAnsiTheme="majorBidi" w:cstheme="majorBidi"/>
              </w:rPr>
              <w:t>Malta</w:t>
            </w:r>
          </w:p>
        </w:tc>
        <w:tc>
          <w:tcPr>
            <w:tcW w:w="3805" w:type="pct"/>
          </w:tcPr>
          <w:p w14:paraId="585541E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Occupational Health and Safety Authority</w:t>
            </w:r>
          </w:p>
        </w:tc>
      </w:tr>
      <w:tr w:rsidR="000A07CE" w:rsidRPr="000A07CE" w14:paraId="02C9C140" w14:textId="77777777" w:rsidTr="00D763A8">
        <w:tc>
          <w:tcPr>
            <w:tcW w:w="1195" w:type="pct"/>
          </w:tcPr>
          <w:p w14:paraId="2F52B782" w14:textId="77777777" w:rsidR="000A07CE" w:rsidRPr="000A07CE" w:rsidRDefault="000A07CE" w:rsidP="00D763A8">
            <w:pPr>
              <w:rPr>
                <w:rFonts w:asciiTheme="majorBidi" w:hAnsiTheme="majorBidi" w:cstheme="majorBidi"/>
              </w:rPr>
            </w:pPr>
            <w:r w:rsidRPr="000A07CE">
              <w:rPr>
                <w:rFonts w:asciiTheme="majorBidi" w:hAnsiTheme="majorBidi" w:cstheme="majorBidi"/>
              </w:rPr>
              <w:t>Mexico</w:t>
            </w:r>
          </w:p>
        </w:tc>
        <w:tc>
          <w:tcPr>
            <w:tcW w:w="3805" w:type="pct"/>
          </w:tcPr>
          <w:p w14:paraId="1356C4D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Secretariat of Infrastructure, Communications and Transportation</w:t>
            </w:r>
          </w:p>
        </w:tc>
      </w:tr>
      <w:tr w:rsidR="000A07CE" w:rsidRPr="000A07CE" w14:paraId="184CE93C" w14:textId="77777777" w:rsidTr="00D763A8">
        <w:tc>
          <w:tcPr>
            <w:tcW w:w="1195" w:type="pct"/>
          </w:tcPr>
          <w:p w14:paraId="11076BA0"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Myanmar</w:t>
            </w:r>
          </w:p>
        </w:tc>
        <w:tc>
          <w:tcPr>
            <w:tcW w:w="3805" w:type="pct"/>
          </w:tcPr>
          <w:p w14:paraId="64B8958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Natural Resources and Environmental Conservation (MONREC)</w:t>
            </w:r>
          </w:p>
        </w:tc>
      </w:tr>
      <w:tr w:rsidR="000A07CE" w:rsidRPr="000A07CE" w14:paraId="75195995" w14:textId="77777777" w:rsidTr="00D763A8">
        <w:tc>
          <w:tcPr>
            <w:tcW w:w="1195" w:type="pct"/>
          </w:tcPr>
          <w:p w14:paraId="599C5513" w14:textId="77777777" w:rsidR="000A07CE" w:rsidRPr="000A07CE" w:rsidRDefault="000A07CE" w:rsidP="00D763A8">
            <w:pPr>
              <w:rPr>
                <w:rFonts w:asciiTheme="majorBidi" w:hAnsiTheme="majorBidi" w:cstheme="majorBidi"/>
              </w:rPr>
            </w:pPr>
            <w:r w:rsidRPr="000A07CE">
              <w:rPr>
                <w:rFonts w:asciiTheme="majorBidi" w:hAnsiTheme="majorBidi" w:cstheme="majorBidi"/>
              </w:rPr>
              <w:t>Netherlands</w:t>
            </w:r>
          </w:p>
        </w:tc>
        <w:tc>
          <w:tcPr>
            <w:tcW w:w="3805" w:type="pct"/>
          </w:tcPr>
          <w:p w14:paraId="5D788F2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Infrastructure and Water Management</w:t>
            </w:r>
          </w:p>
        </w:tc>
      </w:tr>
      <w:tr w:rsidR="000A07CE" w:rsidRPr="000A07CE" w14:paraId="5B42529C" w14:textId="77777777" w:rsidTr="00D763A8">
        <w:tc>
          <w:tcPr>
            <w:tcW w:w="1195" w:type="pct"/>
          </w:tcPr>
          <w:p w14:paraId="688E97B9"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New Zealand</w:t>
            </w:r>
          </w:p>
        </w:tc>
        <w:tc>
          <w:tcPr>
            <w:tcW w:w="3805" w:type="pct"/>
          </w:tcPr>
          <w:p w14:paraId="415F71F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Environmental Protection Authority</w:t>
            </w:r>
          </w:p>
          <w:p w14:paraId="05A30D4F" w14:textId="02F3A8C5"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Work</w:t>
            </w:r>
            <w:r w:rsidR="00400C2E">
              <w:rPr>
                <w:rFonts w:asciiTheme="majorBidi" w:hAnsiTheme="majorBidi" w:cstheme="majorBidi"/>
                <w:sz w:val="20"/>
                <w:szCs w:val="20"/>
              </w:rPr>
              <w:t>S</w:t>
            </w:r>
            <w:r w:rsidRPr="000A07CE">
              <w:rPr>
                <w:rFonts w:asciiTheme="majorBidi" w:hAnsiTheme="majorBidi" w:cstheme="majorBidi"/>
                <w:sz w:val="20"/>
                <w:szCs w:val="20"/>
              </w:rPr>
              <w:t>afe, New Zealand Government</w:t>
            </w:r>
          </w:p>
        </w:tc>
      </w:tr>
      <w:tr w:rsidR="000A07CE" w:rsidRPr="000A07CE" w14:paraId="38F3C776" w14:textId="77777777" w:rsidTr="00D763A8">
        <w:tc>
          <w:tcPr>
            <w:tcW w:w="1195" w:type="pct"/>
          </w:tcPr>
          <w:p w14:paraId="1A680C62"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Norway</w:t>
            </w:r>
          </w:p>
        </w:tc>
        <w:tc>
          <w:tcPr>
            <w:tcW w:w="3805" w:type="pct"/>
          </w:tcPr>
          <w:p w14:paraId="24AFB9AF"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Criminal Investigation Service</w:t>
            </w:r>
          </w:p>
          <w:p w14:paraId="04733D4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Norwegian Coastal Administration</w:t>
            </w:r>
          </w:p>
          <w:p w14:paraId="54018F73" w14:textId="77777777"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Norwegian Directorate for Civil Protection (DSB)</w:t>
            </w:r>
          </w:p>
          <w:p w14:paraId="5AE90864" w14:textId="445E735A"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Norwegian Police</w:t>
            </w:r>
            <w:r w:rsidR="00400C2E">
              <w:rPr>
                <w:rFonts w:asciiTheme="majorBidi" w:hAnsiTheme="majorBidi" w:cstheme="majorBidi"/>
                <w:sz w:val="20"/>
                <w:szCs w:val="20"/>
              </w:rPr>
              <w:t xml:space="preserve"> Service</w:t>
            </w:r>
          </w:p>
        </w:tc>
      </w:tr>
      <w:tr w:rsidR="000A07CE" w:rsidRPr="000A07CE" w14:paraId="39E963A9" w14:textId="77777777" w:rsidTr="00D763A8">
        <w:tc>
          <w:tcPr>
            <w:tcW w:w="1195" w:type="pct"/>
          </w:tcPr>
          <w:p w14:paraId="7B37B941"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Philippines</w:t>
            </w:r>
          </w:p>
        </w:tc>
        <w:tc>
          <w:tcPr>
            <w:tcW w:w="3805" w:type="pct"/>
          </w:tcPr>
          <w:p w14:paraId="23CAE61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Food and Drug Administration</w:t>
            </w:r>
          </w:p>
        </w:tc>
      </w:tr>
      <w:tr w:rsidR="000A07CE" w:rsidRPr="000A07CE" w14:paraId="4F223761" w14:textId="77777777" w:rsidTr="00D763A8">
        <w:tc>
          <w:tcPr>
            <w:tcW w:w="1195" w:type="pct"/>
          </w:tcPr>
          <w:p w14:paraId="49A10E6E" w14:textId="77777777" w:rsidR="000A07CE" w:rsidRPr="000A07CE" w:rsidRDefault="000A07CE" w:rsidP="00D763A8">
            <w:pPr>
              <w:rPr>
                <w:rFonts w:asciiTheme="majorBidi" w:hAnsiTheme="majorBidi" w:cstheme="majorBidi"/>
              </w:rPr>
            </w:pPr>
            <w:r w:rsidRPr="000A07CE">
              <w:rPr>
                <w:rFonts w:asciiTheme="majorBidi" w:hAnsiTheme="majorBidi" w:cstheme="majorBidi"/>
              </w:rPr>
              <w:t>Poland</w:t>
            </w:r>
          </w:p>
        </w:tc>
        <w:tc>
          <w:tcPr>
            <w:tcW w:w="3805" w:type="pct"/>
          </w:tcPr>
          <w:p w14:paraId="42B3691A"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Chief Inspectorate of Environmental Protection</w:t>
            </w:r>
          </w:p>
          <w:p w14:paraId="77D3EDCC"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of Economic Development, </w:t>
            </w:r>
            <w:proofErr w:type="spellStart"/>
            <w:r w:rsidRPr="000A07CE">
              <w:rPr>
                <w:rFonts w:asciiTheme="majorBidi" w:hAnsiTheme="majorBidi" w:cstheme="majorBidi"/>
                <w:sz w:val="20"/>
                <w:szCs w:val="20"/>
              </w:rPr>
              <w:t>Labour</w:t>
            </w:r>
            <w:proofErr w:type="spellEnd"/>
            <w:r w:rsidRPr="000A07CE">
              <w:rPr>
                <w:rFonts w:asciiTheme="majorBidi" w:hAnsiTheme="majorBidi" w:cstheme="majorBidi"/>
                <w:sz w:val="20"/>
                <w:szCs w:val="20"/>
              </w:rPr>
              <w:t xml:space="preserve"> and Technology</w:t>
            </w:r>
          </w:p>
          <w:p w14:paraId="1856A5C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Headquarters of the State Fire Service</w:t>
            </w:r>
          </w:p>
        </w:tc>
      </w:tr>
      <w:tr w:rsidR="000A07CE" w:rsidRPr="000A07CE" w14:paraId="64DBAE4E" w14:textId="77777777" w:rsidTr="00D763A8">
        <w:tc>
          <w:tcPr>
            <w:tcW w:w="1195" w:type="pct"/>
          </w:tcPr>
          <w:p w14:paraId="6EB362A5" w14:textId="77777777" w:rsidR="000A07CE" w:rsidRPr="000A07CE" w:rsidRDefault="000A07CE" w:rsidP="00D763A8">
            <w:pPr>
              <w:rPr>
                <w:rFonts w:asciiTheme="majorBidi" w:hAnsiTheme="majorBidi" w:cstheme="majorBidi"/>
              </w:rPr>
            </w:pPr>
            <w:r w:rsidRPr="000A07CE">
              <w:rPr>
                <w:rFonts w:asciiTheme="majorBidi" w:hAnsiTheme="majorBidi" w:cstheme="majorBidi"/>
              </w:rPr>
              <w:t>Portugal</w:t>
            </w:r>
          </w:p>
        </w:tc>
        <w:tc>
          <w:tcPr>
            <w:tcW w:w="3805" w:type="pct"/>
          </w:tcPr>
          <w:p w14:paraId="72DC4F0C" w14:textId="77777777" w:rsidR="000A07CE" w:rsidRPr="000A07CE" w:rsidRDefault="000A07CE" w:rsidP="000A07CE">
            <w:pPr>
              <w:pStyle w:val="ListParagraph"/>
              <w:keepNext/>
              <w:keepLines/>
              <w:numPr>
                <w:ilvl w:val="0"/>
                <w:numId w:val="33"/>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Public Security Police, Special Police Unit</w:t>
            </w:r>
          </w:p>
          <w:p w14:paraId="08D169FC"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Portuguese Environment Agency</w:t>
            </w:r>
          </w:p>
        </w:tc>
      </w:tr>
      <w:tr w:rsidR="000A07CE" w:rsidRPr="000A07CE" w14:paraId="660A6931" w14:textId="77777777" w:rsidTr="00D763A8">
        <w:tc>
          <w:tcPr>
            <w:tcW w:w="1195" w:type="pct"/>
          </w:tcPr>
          <w:p w14:paraId="5ABAC44B" w14:textId="77777777" w:rsidR="000A07CE" w:rsidRPr="000A07CE" w:rsidRDefault="000A07CE" w:rsidP="00D763A8">
            <w:pPr>
              <w:rPr>
                <w:rFonts w:asciiTheme="majorBidi" w:hAnsiTheme="majorBidi" w:cstheme="majorBidi"/>
              </w:rPr>
            </w:pPr>
            <w:r w:rsidRPr="000A07CE">
              <w:rPr>
                <w:rFonts w:asciiTheme="majorBidi" w:hAnsiTheme="majorBidi" w:cstheme="majorBidi"/>
              </w:rPr>
              <w:t>Republic of Korea</w:t>
            </w:r>
          </w:p>
        </w:tc>
        <w:tc>
          <w:tcPr>
            <w:tcW w:w="3805" w:type="pct"/>
          </w:tcPr>
          <w:p w14:paraId="4A0968E8"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Korea Fire Institute</w:t>
            </w:r>
          </w:p>
        </w:tc>
      </w:tr>
      <w:tr w:rsidR="000A07CE" w:rsidRPr="000A07CE" w14:paraId="0E3DF79C" w14:textId="77777777" w:rsidTr="00D763A8">
        <w:tc>
          <w:tcPr>
            <w:tcW w:w="1195" w:type="pct"/>
          </w:tcPr>
          <w:p w14:paraId="38725FA2" w14:textId="77777777" w:rsidR="000A07CE" w:rsidRPr="000A07CE" w:rsidRDefault="000A07CE" w:rsidP="00D763A8">
            <w:pPr>
              <w:rPr>
                <w:rFonts w:asciiTheme="majorBidi" w:hAnsiTheme="majorBidi" w:cstheme="majorBidi"/>
              </w:rPr>
            </w:pPr>
            <w:r w:rsidRPr="000A07CE">
              <w:rPr>
                <w:rFonts w:asciiTheme="majorBidi" w:hAnsiTheme="majorBidi" w:cstheme="majorBidi"/>
              </w:rPr>
              <w:t>Republic of Moldova</w:t>
            </w:r>
          </w:p>
        </w:tc>
        <w:tc>
          <w:tcPr>
            <w:tcW w:w="3805" w:type="pct"/>
          </w:tcPr>
          <w:p w14:paraId="16CB93BC"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General Inspectorate for Emergency Situations</w:t>
            </w:r>
          </w:p>
          <w:p w14:paraId="1AEF4A86" w14:textId="48F47FD2"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Agriculture, Regional Development and Envi</w:t>
            </w:r>
            <w:r w:rsidR="009962CD">
              <w:rPr>
                <w:rFonts w:asciiTheme="majorBidi" w:hAnsiTheme="majorBidi" w:cstheme="majorBidi"/>
                <w:noProof/>
                <w:sz w:val="20"/>
                <w:szCs w:val="20"/>
              </w:rPr>
              <w:t>r</w:t>
            </w:r>
            <w:r w:rsidRPr="000A07CE">
              <w:rPr>
                <w:rFonts w:asciiTheme="majorBidi" w:hAnsiTheme="majorBidi" w:cstheme="majorBidi"/>
                <w:noProof/>
                <w:sz w:val="20"/>
                <w:szCs w:val="20"/>
              </w:rPr>
              <w:t>onment (Monitoring Department, Environmental Agency)</w:t>
            </w:r>
          </w:p>
          <w:p w14:paraId="690AA522" w14:textId="77777777" w:rsidR="000A07CE" w:rsidRPr="000A07CE" w:rsidRDefault="000A07CE" w:rsidP="000A07CE">
            <w:pPr>
              <w:pStyle w:val="ListParagraph"/>
              <w:keepNext/>
              <w:keepLines/>
              <w:numPr>
                <w:ilvl w:val="0"/>
                <w:numId w:val="29"/>
              </w:numPr>
              <w:tabs>
                <w:tab w:val="left" w:pos="4536"/>
              </w:tabs>
              <w:ind w:left="256" w:hanging="180"/>
              <w:rPr>
                <w:rFonts w:asciiTheme="majorBidi" w:hAnsiTheme="majorBidi" w:cstheme="majorBidi"/>
                <w:sz w:val="20"/>
                <w:szCs w:val="20"/>
              </w:rPr>
            </w:pPr>
            <w:r w:rsidRPr="000A07CE">
              <w:rPr>
                <w:rFonts w:asciiTheme="majorBidi" w:hAnsiTheme="majorBidi" w:cstheme="majorBidi"/>
                <w:sz w:val="20"/>
                <w:szCs w:val="20"/>
              </w:rPr>
              <w:t>Ministry of Infrastructure and Regional Development (Agency for Technical Supervision)</w:t>
            </w:r>
          </w:p>
          <w:p w14:paraId="586DFADE"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Permanent Mission of the Republic of Moldova to the United Nations Office and other international organizations in Geneva</w:t>
            </w:r>
          </w:p>
        </w:tc>
      </w:tr>
      <w:tr w:rsidR="000A07CE" w:rsidRPr="000A07CE" w14:paraId="2877DBCE" w14:textId="77777777" w:rsidTr="00D763A8">
        <w:tc>
          <w:tcPr>
            <w:tcW w:w="1195" w:type="pct"/>
          </w:tcPr>
          <w:p w14:paraId="7A50D0CB"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Romania</w:t>
            </w:r>
          </w:p>
        </w:tc>
        <w:tc>
          <w:tcPr>
            <w:tcW w:w="3805" w:type="pct"/>
          </w:tcPr>
          <w:p w14:paraId="0966F3A3" w14:textId="77777777"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Ministry of Internal Affairs (General Inspectorate for Emergency Situations)</w:t>
            </w:r>
          </w:p>
          <w:p w14:paraId="4D9D594E"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the Environment, Water and Forests (Risk Secretariat)</w:t>
            </w:r>
          </w:p>
        </w:tc>
      </w:tr>
      <w:tr w:rsidR="000A07CE" w:rsidRPr="000A07CE" w14:paraId="6ED6C1D4" w14:textId="77777777" w:rsidTr="00D763A8">
        <w:tc>
          <w:tcPr>
            <w:tcW w:w="1195" w:type="pct"/>
          </w:tcPr>
          <w:p w14:paraId="193838D8"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Russian Federation</w:t>
            </w:r>
          </w:p>
        </w:tc>
        <w:tc>
          <w:tcPr>
            <w:tcW w:w="3805" w:type="pct"/>
          </w:tcPr>
          <w:p w14:paraId="1CE96321" w14:textId="4B4F5C90"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noProof/>
                <w:sz w:val="20"/>
                <w:szCs w:val="20"/>
              </w:rPr>
              <w:t>Federal Service for Environmental, Technological and Nuclear Supervision (Roste</w:t>
            </w:r>
            <w:r w:rsidR="008E1A70">
              <w:rPr>
                <w:rFonts w:asciiTheme="majorBidi" w:hAnsiTheme="majorBidi" w:cstheme="majorBidi"/>
                <w:noProof/>
                <w:sz w:val="20"/>
                <w:szCs w:val="20"/>
              </w:rPr>
              <w:t>k</w:t>
            </w:r>
            <w:r w:rsidRPr="000A07CE">
              <w:rPr>
                <w:rFonts w:asciiTheme="majorBidi" w:hAnsiTheme="majorBidi" w:cstheme="majorBidi"/>
                <w:noProof/>
                <w:sz w:val="20"/>
                <w:szCs w:val="20"/>
              </w:rPr>
              <w:t>hnadzor)</w:t>
            </w:r>
          </w:p>
          <w:p w14:paraId="408CA65B" w14:textId="3E9ED0DC"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Emergency Situations (EMERCOM)</w:t>
            </w:r>
          </w:p>
        </w:tc>
      </w:tr>
      <w:tr w:rsidR="000A07CE" w:rsidRPr="000A07CE" w14:paraId="4365D96E" w14:textId="77777777" w:rsidTr="00D763A8">
        <w:tc>
          <w:tcPr>
            <w:tcW w:w="1195" w:type="pct"/>
          </w:tcPr>
          <w:p w14:paraId="3FD6DAE0"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Serbia</w:t>
            </w:r>
          </w:p>
        </w:tc>
        <w:tc>
          <w:tcPr>
            <w:tcW w:w="3805" w:type="pct"/>
          </w:tcPr>
          <w:p w14:paraId="30979CC4" w14:textId="639A560D"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Environment</w:t>
            </w:r>
            <w:r w:rsidR="008E1A70">
              <w:rPr>
                <w:rFonts w:asciiTheme="majorBidi" w:hAnsiTheme="majorBidi" w:cstheme="majorBidi"/>
                <w:sz w:val="20"/>
                <w:szCs w:val="20"/>
              </w:rPr>
              <w:t>al</w:t>
            </w:r>
            <w:r w:rsidRPr="000A07CE">
              <w:rPr>
                <w:rFonts w:asciiTheme="majorBidi" w:hAnsiTheme="majorBidi" w:cstheme="majorBidi"/>
                <w:sz w:val="20"/>
                <w:szCs w:val="20"/>
              </w:rPr>
              <w:t xml:space="preserve"> Protection (Department for Risk Management and Accident Response)</w:t>
            </w:r>
          </w:p>
        </w:tc>
      </w:tr>
      <w:tr w:rsidR="000A07CE" w:rsidRPr="000A07CE" w14:paraId="5129537C" w14:textId="77777777" w:rsidTr="00D763A8">
        <w:tc>
          <w:tcPr>
            <w:tcW w:w="1195" w:type="pct"/>
          </w:tcPr>
          <w:p w14:paraId="35531CB7" w14:textId="77777777" w:rsidR="000A07CE" w:rsidRPr="000A07CE" w:rsidRDefault="000A07CE" w:rsidP="00D763A8">
            <w:pPr>
              <w:rPr>
                <w:rFonts w:asciiTheme="majorBidi" w:hAnsiTheme="majorBidi" w:cstheme="majorBidi"/>
              </w:rPr>
            </w:pPr>
            <w:r w:rsidRPr="000A07CE">
              <w:rPr>
                <w:rFonts w:asciiTheme="majorBidi" w:hAnsiTheme="majorBidi" w:cstheme="majorBidi"/>
              </w:rPr>
              <w:lastRenderedPageBreak/>
              <w:t>Slovakia</w:t>
            </w:r>
          </w:p>
        </w:tc>
        <w:tc>
          <w:tcPr>
            <w:tcW w:w="3805" w:type="pct"/>
          </w:tcPr>
          <w:p w14:paraId="50816475"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Environment (Environmental Risk and Biosafety Department)</w:t>
            </w:r>
          </w:p>
          <w:p w14:paraId="0EF7BD6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National </w:t>
            </w:r>
            <w:proofErr w:type="spellStart"/>
            <w:r w:rsidRPr="000A07CE">
              <w:rPr>
                <w:rFonts w:asciiTheme="majorBidi" w:hAnsiTheme="majorBidi" w:cstheme="majorBidi"/>
                <w:sz w:val="20"/>
                <w:szCs w:val="20"/>
              </w:rPr>
              <w:t>Labour</w:t>
            </w:r>
            <w:proofErr w:type="spellEnd"/>
            <w:r w:rsidRPr="000A07CE">
              <w:rPr>
                <w:rFonts w:asciiTheme="majorBidi" w:hAnsiTheme="majorBidi" w:cstheme="majorBidi"/>
                <w:sz w:val="20"/>
                <w:szCs w:val="20"/>
              </w:rPr>
              <w:t xml:space="preserve"> Inspectorate</w:t>
            </w:r>
          </w:p>
        </w:tc>
      </w:tr>
      <w:tr w:rsidR="000A07CE" w:rsidRPr="000A07CE" w14:paraId="7FF4F5AD" w14:textId="77777777" w:rsidTr="00D763A8">
        <w:tc>
          <w:tcPr>
            <w:tcW w:w="1195" w:type="pct"/>
          </w:tcPr>
          <w:p w14:paraId="397491B1"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Slovenia</w:t>
            </w:r>
          </w:p>
        </w:tc>
        <w:tc>
          <w:tcPr>
            <w:tcW w:w="3805" w:type="pct"/>
          </w:tcPr>
          <w:p w14:paraId="4805FE61" w14:textId="77777777" w:rsidR="000A07CE" w:rsidRPr="000A07CE" w:rsidRDefault="000A07CE" w:rsidP="000A07CE">
            <w:pPr>
              <w:pStyle w:val="ListParagraph"/>
              <w:keepNext/>
              <w:keepLines/>
              <w:numPr>
                <w:ilvl w:val="0"/>
                <w:numId w:val="34"/>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Defence (Administration for Civil Protection and Disaster Relief)</w:t>
            </w:r>
          </w:p>
          <w:p w14:paraId="28FCA93B" w14:textId="77777777" w:rsidR="000A07CE" w:rsidRPr="000A07CE" w:rsidRDefault="000A07CE" w:rsidP="000A07CE">
            <w:pPr>
              <w:pStyle w:val="ListParagraph"/>
              <w:keepNext/>
              <w:keepLines/>
              <w:numPr>
                <w:ilvl w:val="0"/>
                <w:numId w:val="34"/>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the Environment and Spatial Planning</w:t>
            </w:r>
          </w:p>
        </w:tc>
      </w:tr>
      <w:tr w:rsidR="000A07CE" w:rsidRPr="000A07CE" w14:paraId="2D90A2BB" w14:textId="77777777" w:rsidTr="00D763A8">
        <w:tc>
          <w:tcPr>
            <w:tcW w:w="1195" w:type="pct"/>
          </w:tcPr>
          <w:p w14:paraId="7381E55B"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South Africa</w:t>
            </w:r>
          </w:p>
        </w:tc>
        <w:tc>
          <w:tcPr>
            <w:tcW w:w="3805" w:type="pct"/>
          </w:tcPr>
          <w:p w14:paraId="5948C978"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Dangerous Goods Inspectorate</w:t>
            </w:r>
          </w:p>
          <w:p w14:paraId="5865F2B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Department of Employment and </w:t>
            </w:r>
            <w:proofErr w:type="spellStart"/>
            <w:r w:rsidRPr="000A07CE">
              <w:rPr>
                <w:rFonts w:asciiTheme="majorBidi" w:hAnsiTheme="majorBidi" w:cstheme="majorBidi"/>
                <w:sz w:val="20"/>
                <w:szCs w:val="20"/>
              </w:rPr>
              <w:t>Labour</w:t>
            </w:r>
            <w:proofErr w:type="spellEnd"/>
            <w:r w:rsidRPr="000A07CE">
              <w:rPr>
                <w:rFonts w:asciiTheme="majorBidi" w:hAnsiTheme="majorBidi" w:cstheme="majorBidi"/>
                <w:sz w:val="20"/>
                <w:szCs w:val="20"/>
              </w:rPr>
              <w:t xml:space="preserve"> </w:t>
            </w:r>
          </w:p>
          <w:p w14:paraId="5A1CFC18"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Environmental Affairs (DFFE)</w:t>
            </w:r>
          </w:p>
          <w:p w14:paraId="2500059A"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Transport (Dangerous Goods Inspectorate)</w:t>
            </w:r>
          </w:p>
          <w:p w14:paraId="0CE3B978" w14:textId="24952518"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Fire </w:t>
            </w:r>
            <w:r w:rsidR="00387E01">
              <w:rPr>
                <w:rFonts w:asciiTheme="majorBidi" w:hAnsiTheme="majorBidi" w:cstheme="majorBidi"/>
                <w:sz w:val="20"/>
                <w:szCs w:val="20"/>
              </w:rPr>
              <w:t>Protection Association of South</w:t>
            </w:r>
            <w:r w:rsidR="00E11C1F">
              <w:rPr>
                <w:rFonts w:asciiTheme="majorBidi" w:hAnsiTheme="majorBidi" w:cstheme="majorBidi"/>
                <w:sz w:val="20"/>
                <w:szCs w:val="20"/>
              </w:rPr>
              <w:t xml:space="preserve"> Africa</w:t>
            </w:r>
            <w:r w:rsidRPr="000A07CE">
              <w:rPr>
                <w:rFonts w:asciiTheme="majorBidi" w:hAnsiTheme="majorBidi" w:cstheme="majorBidi"/>
                <w:sz w:val="20"/>
                <w:szCs w:val="20"/>
              </w:rPr>
              <w:t xml:space="preserve"> (FPASA)</w:t>
            </w:r>
          </w:p>
          <w:p w14:paraId="174EDFE0" w14:textId="08BCC33B"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Transport</w:t>
            </w:r>
          </w:p>
          <w:p w14:paraId="47EF5F74" w14:textId="0F0B95C4"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South Africa</w:t>
            </w:r>
            <w:r w:rsidR="00EC438F">
              <w:rPr>
                <w:rFonts w:asciiTheme="majorBidi" w:hAnsiTheme="majorBidi" w:cstheme="majorBidi"/>
                <w:sz w:val="20"/>
                <w:szCs w:val="20"/>
              </w:rPr>
              <w:t>n</w:t>
            </w:r>
            <w:r w:rsidRPr="000A07CE">
              <w:rPr>
                <w:rFonts w:asciiTheme="majorBidi" w:hAnsiTheme="majorBidi" w:cstheme="majorBidi"/>
                <w:sz w:val="20"/>
                <w:szCs w:val="20"/>
              </w:rPr>
              <w:t xml:space="preserve"> Maritime Safety Authority</w:t>
            </w:r>
          </w:p>
          <w:p w14:paraId="452DBF21" w14:textId="35DCEC00"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South African Civil Aviation</w:t>
            </w:r>
            <w:r w:rsidR="00EC438F">
              <w:rPr>
                <w:rFonts w:asciiTheme="majorBidi" w:hAnsiTheme="majorBidi" w:cstheme="majorBidi"/>
                <w:sz w:val="20"/>
                <w:szCs w:val="20"/>
              </w:rPr>
              <w:t xml:space="preserve"> Authority</w:t>
            </w:r>
          </w:p>
          <w:p w14:paraId="070A349A" w14:textId="4BDF7765"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South A</w:t>
            </w:r>
            <w:r w:rsidR="00EC438F">
              <w:rPr>
                <w:rFonts w:asciiTheme="majorBidi" w:hAnsiTheme="majorBidi" w:cstheme="majorBidi"/>
                <w:sz w:val="20"/>
                <w:szCs w:val="20"/>
              </w:rPr>
              <w:t>f</w:t>
            </w:r>
            <w:r w:rsidRPr="000A07CE">
              <w:rPr>
                <w:rFonts w:asciiTheme="majorBidi" w:hAnsiTheme="majorBidi" w:cstheme="majorBidi"/>
                <w:sz w:val="20"/>
                <w:szCs w:val="20"/>
              </w:rPr>
              <w:t>rica</w:t>
            </w:r>
            <w:r w:rsidR="00EC438F">
              <w:rPr>
                <w:rFonts w:asciiTheme="majorBidi" w:hAnsiTheme="majorBidi" w:cstheme="majorBidi"/>
                <w:sz w:val="20"/>
                <w:szCs w:val="20"/>
              </w:rPr>
              <w:t>n</w:t>
            </w:r>
            <w:r w:rsidRPr="000A07CE">
              <w:rPr>
                <w:rFonts w:asciiTheme="majorBidi" w:hAnsiTheme="majorBidi" w:cstheme="majorBidi"/>
                <w:sz w:val="20"/>
                <w:szCs w:val="20"/>
              </w:rPr>
              <w:t xml:space="preserve"> Police Service</w:t>
            </w:r>
          </w:p>
        </w:tc>
      </w:tr>
      <w:tr w:rsidR="000A07CE" w:rsidRPr="000A07CE" w14:paraId="6B3FA6D7" w14:textId="77777777" w:rsidTr="00D763A8">
        <w:tc>
          <w:tcPr>
            <w:tcW w:w="1195" w:type="pct"/>
          </w:tcPr>
          <w:p w14:paraId="20BFAEE9" w14:textId="77777777" w:rsidR="000A07CE" w:rsidRPr="000A07CE" w:rsidRDefault="000A07CE" w:rsidP="00D763A8">
            <w:pPr>
              <w:rPr>
                <w:rFonts w:asciiTheme="majorBidi" w:hAnsiTheme="majorBidi" w:cstheme="majorBidi"/>
              </w:rPr>
            </w:pPr>
            <w:r w:rsidRPr="000A07CE">
              <w:rPr>
                <w:rFonts w:asciiTheme="majorBidi" w:hAnsiTheme="majorBidi" w:cstheme="majorBidi"/>
              </w:rPr>
              <w:t>Spain</w:t>
            </w:r>
          </w:p>
        </w:tc>
        <w:tc>
          <w:tcPr>
            <w:tcW w:w="3805" w:type="pct"/>
          </w:tcPr>
          <w:p w14:paraId="74A5E55A" w14:textId="341B189A"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for </w:t>
            </w:r>
            <w:r w:rsidR="00C32FF0">
              <w:rPr>
                <w:rFonts w:asciiTheme="majorBidi" w:hAnsiTheme="majorBidi" w:cstheme="majorBidi"/>
                <w:sz w:val="20"/>
                <w:szCs w:val="20"/>
              </w:rPr>
              <w:t xml:space="preserve">the </w:t>
            </w:r>
            <w:r w:rsidRPr="000A07CE">
              <w:rPr>
                <w:rFonts w:asciiTheme="majorBidi" w:hAnsiTheme="majorBidi" w:cstheme="majorBidi"/>
                <w:sz w:val="20"/>
                <w:szCs w:val="20"/>
              </w:rPr>
              <w:t xml:space="preserve">Ecological Transition and </w:t>
            </w:r>
            <w:r w:rsidR="00C32FF0">
              <w:rPr>
                <w:rFonts w:asciiTheme="majorBidi" w:hAnsiTheme="majorBidi" w:cstheme="majorBidi"/>
                <w:sz w:val="20"/>
                <w:szCs w:val="20"/>
              </w:rPr>
              <w:t xml:space="preserve">the </w:t>
            </w:r>
            <w:r w:rsidRPr="000A07CE">
              <w:rPr>
                <w:rFonts w:asciiTheme="majorBidi" w:hAnsiTheme="majorBidi" w:cstheme="majorBidi"/>
                <w:sz w:val="20"/>
                <w:szCs w:val="20"/>
              </w:rPr>
              <w:t xml:space="preserve">Demographic Challenge </w:t>
            </w:r>
          </w:p>
          <w:p w14:paraId="1B5C9D3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noProof/>
                <w:sz w:val="20"/>
                <w:szCs w:val="20"/>
              </w:rPr>
              <w:t xml:space="preserve">Ministry of Transport </w:t>
            </w:r>
          </w:p>
          <w:p w14:paraId="4B071F1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Port Authority of Ceuta</w:t>
            </w:r>
          </w:p>
        </w:tc>
      </w:tr>
      <w:tr w:rsidR="000A07CE" w:rsidRPr="000A07CE" w14:paraId="492072AB" w14:textId="77777777" w:rsidTr="00D763A8">
        <w:tc>
          <w:tcPr>
            <w:tcW w:w="1195" w:type="pct"/>
          </w:tcPr>
          <w:p w14:paraId="03F073E1"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Suriname</w:t>
            </w:r>
          </w:p>
        </w:tc>
        <w:tc>
          <w:tcPr>
            <w:tcW w:w="3805" w:type="pct"/>
          </w:tcPr>
          <w:p w14:paraId="3A9A364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Natural Resources</w:t>
            </w:r>
          </w:p>
        </w:tc>
      </w:tr>
      <w:tr w:rsidR="000A07CE" w:rsidRPr="000A07CE" w14:paraId="5ED9E17F" w14:textId="77777777" w:rsidTr="00D763A8">
        <w:tc>
          <w:tcPr>
            <w:tcW w:w="1195" w:type="pct"/>
          </w:tcPr>
          <w:p w14:paraId="7CDBEB26"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Sweden</w:t>
            </w:r>
          </w:p>
        </w:tc>
        <w:tc>
          <w:tcPr>
            <w:tcW w:w="3805" w:type="pct"/>
          </w:tcPr>
          <w:p w14:paraId="1BD919A0"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Administration Board of </w:t>
            </w:r>
            <w:proofErr w:type="spellStart"/>
            <w:r w:rsidRPr="000A07CE">
              <w:rPr>
                <w:rFonts w:asciiTheme="majorBidi" w:hAnsiTheme="majorBidi" w:cstheme="majorBidi"/>
                <w:sz w:val="20"/>
                <w:szCs w:val="20"/>
              </w:rPr>
              <w:t>Östergötland</w:t>
            </w:r>
            <w:proofErr w:type="spellEnd"/>
          </w:p>
          <w:p w14:paraId="72B8DCAC" w14:textId="68F1C399"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County Administrative Board of Kalmar</w:t>
            </w:r>
          </w:p>
          <w:p w14:paraId="38F6B29D"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Administrative Board of </w:t>
            </w:r>
            <w:proofErr w:type="spellStart"/>
            <w:r w:rsidRPr="000A07CE">
              <w:rPr>
                <w:rFonts w:asciiTheme="majorBidi" w:hAnsiTheme="majorBidi" w:cstheme="majorBidi"/>
                <w:sz w:val="20"/>
                <w:szCs w:val="20"/>
              </w:rPr>
              <w:t>Norrbotten</w:t>
            </w:r>
            <w:proofErr w:type="spellEnd"/>
          </w:p>
          <w:p w14:paraId="6B2EFBE3"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Administrative Board of </w:t>
            </w:r>
            <w:proofErr w:type="spellStart"/>
            <w:r w:rsidRPr="000A07CE">
              <w:rPr>
                <w:rFonts w:asciiTheme="majorBidi" w:hAnsiTheme="majorBidi" w:cstheme="majorBidi"/>
                <w:sz w:val="20"/>
                <w:szCs w:val="20"/>
              </w:rPr>
              <w:t>Södermanland</w:t>
            </w:r>
            <w:proofErr w:type="spellEnd"/>
          </w:p>
          <w:p w14:paraId="04821EEA" w14:textId="7B85095F"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w:t>
            </w:r>
            <w:r w:rsidR="008422DE">
              <w:rPr>
                <w:rFonts w:asciiTheme="majorBidi" w:hAnsiTheme="majorBidi" w:cstheme="majorBidi"/>
                <w:sz w:val="20"/>
                <w:szCs w:val="20"/>
              </w:rPr>
              <w:t>A</w:t>
            </w:r>
            <w:r w:rsidRPr="000A07CE">
              <w:rPr>
                <w:rFonts w:asciiTheme="majorBidi" w:hAnsiTheme="majorBidi" w:cstheme="majorBidi"/>
                <w:sz w:val="20"/>
                <w:szCs w:val="20"/>
              </w:rPr>
              <w:t xml:space="preserve">dministrative </w:t>
            </w:r>
            <w:r w:rsidR="008422DE">
              <w:rPr>
                <w:rFonts w:asciiTheme="majorBidi" w:hAnsiTheme="majorBidi" w:cstheme="majorBidi"/>
                <w:sz w:val="20"/>
                <w:szCs w:val="20"/>
              </w:rPr>
              <w:t>B</w:t>
            </w:r>
            <w:r w:rsidRPr="000A07CE">
              <w:rPr>
                <w:rFonts w:asciiTheme="majorBidi" w:hAnsiTheme="majorBidi" w:cstheme="majorBidi"/>
                <w:sz w:val="20"/>
                <w:szCs w:val="20"/>
              </w:rPr>
              <w:t>oard of Stockholm</w:t>
            </w:r>
          </w:p>
          <w:p w14:paraId="0EE8BCC5" w14:textId="77AB0E8C"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Administrative Board of </w:t>
            </w:r>
            <w:proofErr w:type="spellStart"/>
            <w:r w:rsidRPr="000A07CE">
              <w:rPr>
                <w:rFonts w:asciiTheme="majorBidi" w:hAnsiTheme="majorBidi" w:cstheme="majorBidi"/>
                <w:sz w:val="20"/>
                <w:szCs w:val="20"/>
              </w:rPr>
              <w:t>Västmanlands</w:t>
            </w:r>
            <w:proofErr w:type="spellEnd"/>
          </w:p>
          <w:p w14:paraId="119E892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proofErr w:type="spellStart"/>
            <w:r w:rsidRPr="000A07CE">
              <w:rPr>
                <w:rFonts w:asciiTheme="majorBidi" w:hAnsiTheme="majorBidi" w:cstheme="majorBidi"/>
                <w:sz w:val="20"/>
                <w:szCs w:val="20"/>
              </w:rPr>
              <w:t>Länsstyrelsen</w:t>
            </w:r>
            <w:proofErr w:type="spellEnd"/>
            <w:r w:rsidRPr="000A07CE">
              <w:rPr>
                <w:rFonts w:asciiTheme="majorBidi" w:hAnsiTheme="majorBidi" w:cstheme="majorBidi"/>
                <w:sz w:val="20"/>
                <w:szCs w:val="20"/>
              </w:rPr>
              <w:t xml:space="preserve"> Dalarna</w:t>
            </w:r>
          </w:p>
          <w:p w14:paraId="0A00E18F" w14:textId="7C3358C5" w:rsidR="000A07CE" w:rsidRPr="000A07CE" w:rsidRDefault="00FE2546" w:rsidP="000A07CE">
            <w:pPr>
              <w:pStyle w:val="ListParagraph"/>
              <w:numPr>
                <w:ilvl w:val="0"/>
                <w:numId w:val="29"/>
              </w:numPr>
              <w:spacing w:after="0" w:line="240" w:lineRule="auto"/>
              <w:ind w:left="256" w:hanging="180"/>
              <w:rPr>
                <w:rFonts w:asciiTheme="majorBidi" w:hAnsiTheme="majorBidi" w:cstheme="majorBidi"/>
                <w:sz w:val="20"/>
                <w:szCs w:val="20"/>
              </w:rPr>
            </w:pPr>
            <w:r>
              <w:rPr>
                <w:rFonts w:asciiTheme="majorBidi" w:hAnsiTheme="majorBidi" w:cstheme="majorBidi"/>
                <w:sz w:val="20"/>
                <w:szCs w:val="20"/>
              </w:rPr>
              <w:t xml:space="preserve">The </w:t>
            </w:r>
            <w:r w:rsidR="000A07CE" w:rsidRPr="000A07CE">
              <w:rPr>
                <w:rFonts w:asciiTheme="majorBidi" w:hAnsiTheme="majorBidi" w:cstheme="majorBidi"/>
                <w:sz w:val="20"/>
                <w:szCs w:val="20"/>
              </w:rPr>
              <w:t>Swedish Civil Contingencies Agency (MSB)</w:t>
            </w:r>
          </w:p>
        </w:tc>
      </w:tr>
      <w:tr w:rsidR="000A07CE" w:rsidRPr="000A07CE" w14:paraId="5D43940A" w14:textId="77777777" w:rsidTr="00D763A8">
        <w:tc>
          <w:tcPr>
            <w:tcW w:w="1195" w:type="pct"/>
          </w:tcPr>
          <w:p w14:paraId="67ACA7F7"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Switzerland</w:t>
            </w:r>
          </w:p>
        </w:tc>
        <w:tc>
          <w:tcPr>
            <w:tcW w:w="3805" w:type="pct"/>
          </w:tcPr>
          <w:p w14:paraId="65B49EF9" w14:textId="6BA402C8"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Federal Office for </w:t>
            </w:r>
            <w:r w:rsidR="00951D3B">
              <w:rPr>
                <w:rFonts w:asciiTheme="majorBidi" w:hAnsiTheme="majorBidi" w:cstheme="majorBidi"/>
                <w:sz w:val="20"/>
                <w:szCs w:val="20"/>
              </w:rPr>
              <w:t xml:space="preserve">the </w:t>
            </w:r>
            <w:r w:rsidRPr="000A07CE">
              <w:rPr>
                <w:rFonts w:asciiTheme="majorBidi" w:hAnsiTheme="majorBidi" w:cstheme="majorBidi"/>
                <w:sz w:val="20"/>
                <w:szCs w:val="20"/>
              </w:rPr>
              <w:t>Environment (FOEN)</w:t>
            </w:r>
          </w:p>
        </w:tc>
      </w:tr>
      <w:tr w:rsidR="000A07CE" w:rsidRPr="000A07CE" w14:paraId="0E75C133" w14:textId="77777777" w:rsidTr="00D763A8">
        <w:tc>
          <w:tcPr>
            <w:tcW w:w="1195" w:type="pct"/>
          </w:tcPr>
          <w:p w14:paraId="04933ED2" w14:textId="77777777" w:rsidR="000A07CE" w:rsidRPr="000A07CE" w:rsidRDefault="000A07CE" w:rsidP="00D763A8">
            <w:pPr>
              <w:rPr>
                <w:rFonts w:asciiTheme="majorBidi" w:hAnsiTheme="majorBidi" w:cstheme="majorBidi"/>
              </w:rPr>
            </w:pPr>
            <w:r w:rsidRPr="000A07CE">
              <w:rPr>
                <w:rFonts w:asciiTheme="majorBidi" w:hAnsiTheme="majorBidi" w:cstheme="majorBidi"/>
              </w:rPr>
              <w:t>United Kingdom of Great Britain and Northern Ireland</w:t>
            </w:r>
          </w:p>
        </w:tc>
        <w:tc>
          <w:tcPr>
            <w:tcW w:w="3805" w:type="pct"/>
          </w:tcPr>
          <w:p w14:paraId="1FDDA315"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Health &amp; Safety Executive</w:t>
            </w:r>
          </w:p>
          <w:p w14:paraId="14C6173A"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Health Security Agency</w:t>
            </w:r>
          </w:p>
        </w:tc>
      </w:tr>
      <w:tr w:rsidR="000A07CE" w:rsidRPr="000A07CE" w14:paraId="012FBD48" w14:textId="77777777" w:rsidTr="00D763A8">
        <w:tc>
          <w:tcPr>
            <w:tcW w:w="1195" w:type="pct"/>
          </w:tcPr>
          <w:p w14:paraId="56816CAF" w14:textId="77777777" w:rsidR="000A07CE" w:rsidRPr="000A07CE" w:rsidRDefault="000A07CE" w:rsidP="00D763A8">
            <w:pPr>
              <w:rPr>
                <w:rFonts w:asciiTheme="majorBidi" w:hAnsiTheme="majorBidi" w:cstheme="majorBidi"/>
              </w:rPr>
            </w:pPr>
            <w:r w:rsidRPr="000A07CE">
              <w:rPr>
                <w:rFonts w:asciiTheme="majorBidi" w:hAnsiTheme="majorBidi" w:cstheme="majorBidi"/>
              </w:rPr>
              <w:t>United States of America</w:t>
            </w:r>
          </w:p>
        </w:tc>
        <w:tc>
          <w:tcPr>
            <w:tcW w:w="3805" w:type="pct"/>
          </w:tcPr>
          <w:p w14:paraId="3E336764"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Bureau of Alcohol, Tobacco, Firearms and Explosives</w:t>
            </w:r>
          </w:p>
          <w:p w14:paraId="55123DCB"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proofErr w:type="spellStart"/>
            <w:r w:rsidRPr="000A07CE">
              <w:rPr>
                <w:rFonts w:asciiTheme="majorBidi" w:hAnsiTheme="majorBidi" w:cstheme="majorBidi"/>
                <w:sz w:val="20"/>
                <w:szCs w:val="20"/>
              </w:rPr>
              <w:t>Defence</w:t>
            </w:r>
            <w:proofErr w:type="spellEnd"/>
            <w:r w:rsidRPr="000A07CE">
              <w:rPr>
                <w:rFonts w:asciiTheme="majorBidi" w:hAnsiTheme="majorBidi" w:cstheme="majorBidi"/>
                <w:sz w:val="20"/>
                <w:szCs w:val="20"/>
              </w:rPr>
              <w:t xml:space="preserve"> Explosives Safety Board</w:t>
            </w:r>
          </w:p>
          <w:p w14:paraId="37D9861D"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Defense</w:t>
            </w:r>
          </w:p>
          <w:p w14:paraId="2EFAD98F"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Department of Homeland Security </w:t>
            </w:r>
          </w:p>
          <w:p w14:paraId="68790050"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Interior</w:t>
            </w:r>
          </w:p>
          <w:p w14:paraId="050DF434"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Labor</w:t>
            </w:r>
          </w:p>
          <w:p w14:paraId="035E1B07"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Environmental Protection Agency</w:t>
            </w:r>
          </w:p>
          <w:p w14:paraId="4C3F8E7E" w14:textId="77777777" w:rsidR="000A07CE" w:rsidRPr="000A07CE" w:rsidRDefault="000A07CE" w:rsidP="000A07CE">
            <w:pPr>
              <w:pStyle w:val="ListParagraph"/>
              <w:numPr>
                <w:ilvl w:val="0"/>
                <w:numId w:val="28"/>
              </w:numPr>
              <w:ind w:left="256" w:hanging="180"/>
              <w:rPr>
                <w:rFonts w:asciiTheme="majorBidi" w:hAnsiTheme="majorBidi" w:cstheme="majorBidi"/>
                <w:sz w:val="20"/>
                <w:szCs w:val="20"/>
              </w:rPr>
            </w:pPr>
            <w:r w:rsidRPr="000A07CE">
              <w:rPr>
                <w:rFonts w:asciiTheme="majorBidi" w:hAnsiTheme="majorBidi" w:cstheme="majorBidi"/>
                <w:sz w:val="20"/>
                <w:szCs w:val="20"/>
              </w:rPr>
              <w:t>National Cargo Bureau</w:t>
            </w:r>
          </w:p>
          <w:p w14:paraId="3D4A6565"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Occupational Safety and Health Administration (OSHA)</w:t>
            </w:r>
          </w:p>
          <w:p w14:paraId="6A20A390"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US Agency for International Development (USAID)</w:t>
            </w:r>
          </w:p>
        </w:tc>
      </w:tr>
      <w:tr w:rsidR="000A07CE" w:rsidRPr="000A07CE" w14:paraId="7C14F580" w14:textId="77777777" w:rsidTr="00D763A8">
        <w:tc>
          <w:tcPr>
            <w:tcW w:w="1195" w:type="pct"/>
          </w:tcPr>
          <w:p w14:paraId="1F7D3133" w14:textId="77777777" w:rsidR="000A07CE" w:rsidRPr="000A07CE" w:rsidRDefault="000A07CE" w:rsidP="00D763A8">
            <w:pPr>
              <w:rPr>
                <w:rFonts w:asciiTheme="majorBidi" w:hAnsiTheme="majorBidi" w:cstheme="majorBidi"/>
              </w:rPr>
            </w:pPr>
            <w:r w:rsidRPr="000A07CE">
              <w:rPr>
                <w:rFonts w:asciiTheme="majorBidi" w:hAnsiTheme="majorBidi" w:cstheme="majorBidi"/>
              </w:rPr>
              <w:t>Yemen</w:t>
            </w:r>
          </w:p>
        </w:tc>
        <w:tc>
          <w:tcPr>
            <w:tcW w:w="3805" w:type="pct"/>
          </w:tcPr>
          <w:p w14:paraId="20D5344B"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Water and Environment</w:t>
            </w:r>
          </w:p>
          <w:p w14:paraId="2E43DA28" w14:textId="77777777" w:rsidR="000A07CE" w:rsidRPr="000A07CE" w:rsidRDefault="000A07CE" w:rsidP="00D763A8">
            <w:pPr>
              <w:pStyle w:val="ListParagraph"/>
              <w:ind w:left="256" w:hanging="180"/>
              <w:rPr>
                <w:rFonts w:asciiTheme="majorBidi" w:hAnsiTheme="majorBidi" w:cstheme="majorBidi"/>
                <w:sz w:val="20"/>
                <w:szCs w:val="20"/>
              </w:rPr>
            </w:pPr>
          </w:p>
        </w:tc>
      </w:tr>
    </w:tbl>
    <w:p w14:paraId="3CF340F8" w14:textId="0C25EC3D" w:rsidR="006C3ADD" w:rsidRDefault="006C3ADD" w:rsidP="00482167">
      <w:pPr>
        <w:pStyle w:val="SingleTxtG"/>
      </w:pPr>
    </w:p>
    <w:p w14:paraId="25E4851A" w14:textId="77777777" w:rsidR="006C3ADD" w:rsidRDefault="006C3ADD">
      <w:pPr>
        <w:suppressAutoHyphens w:val="0"/>
        <w:kinsoku/>
        <w:overflowPunct/>
        <w:autoSpaceDE/>
        <w:autoSpaceDN/>
        <w:adjustRightInd/>
        <w:snapToGrid/>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tblBorders>
        <w:tblCellMar>
          <w:top w:w="29" w:type="dxa"/>
          <w:bottom w:w="29" w:type="dxa"/>
        </w:tblCellMar>
        <w:tblLook w:val="04A0" w:firstRow="1" w:lastRow="0" w:firstColumn="1" w:lastColumn="0" w:noHBand="0" w:noVBand="1"/>
      </w:tblPr>
      <w:tblGrid>
        <w:gridCol w:w="2111"/>
        <w:gridCol w:w="7528"/>
      </w:tblGrid>
      <w:tr w:rsidR="006C3ADD" w:rsidRPr="00900F35" w14:paraId="7A7FAE72" w14:textId="77777777" w:rsidTr="00D763A8">
        <w:tc>
          <w:tcPr>
            <w:tcW w:w="5000" w:type="pct"/>
            <w:gridSpan w:val="2"/>
            <w:shd w:val="clear" w:color="auto" w:fill="95B3D7" w:themeFill="accent1" w:themeFillTint="99"/>
          </w:tcPr>
          <w:p w14:paraId="1B8C9011" w14:textId="77777777" w:rsidR="006C3ADD" w:rsidRPr="00900F35" w:rsidRDefault="006C3ADD" w:rsidP="00D763A8">
            <w:pPr>
              <w:rPr>
                <w:rFonts w:asciiTheme="majorBidi" w:hAnsiTheme="majorBidi" w:cstheme="majorBidi"/>
                <w:b/>
                <w:bCs/>
                <w:sz w:val="22"/>
                <w:szCs w:val="22"/>
              </w:rPr>
            </w:pPr>
            <w:r w:rsidRPr="00900F35">
              <w:rPr>
                <w:rFonts w:asciiTheme="majorBidi" w:hAnsiTheme="majorBidi" w:cstheme="majorBidi"/>
                <w:b/>
                <w:bCs/>
                <w:sz w:val="22"/>
                <w:szCs w:val="22"/>
              </w:rPr>
              <w:lastRenderedPageBreak/>
              <w:t xml:space="preserve">International or intergovernmental organizations  </w:t>
            </w:r>
          </w:p>
        </w:tc>
      </w:tr>
      <w:tr w:rsidR="006C3ADD" w:rsidRPr="006C3ADD" w14:paraId="711CC2C5" w14:textId="77777777" w:rsidTr="00D763A8">
        <w:tc>
          <w:tcPr>
            <w:tcW w:w="5000" w:type="pct"/>
            <w:gridSpan w:val="2"/>
          </w:tcPr>
          <w:p w14:paraId="0F543631"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CIS Inter-State Council on Industrial Safety</w:t>
            </w:r>
          </w:p>
          <w:p w14:paraId="2CAFA322"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European Union (Directorate-General for European Civil Protection and Humanitarian Aid Operations (DG ECHO), Directorate-General for the Environment (DG Environment), and Joint Research Centre of the Major Accident Hazards Bureau (JRC)), as well as the European Investment Bank (EIB)</w:t>
            </w:r>
          </w:p>
          <w:p w14:paraId="69122511"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Food and Agriculture Organization (FAO)</w:t>
            </w:r>
          </w:p>
          <w:p w14:paraId="7824F595"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Intergovernmental Organization for International Carriage by Rail (OTIF)</w:t>
            </w:r>
          </w:p>
          <w:p w14:paraId="3CEE515C"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 xml:space="preserve">International </w:t>
            </w:r>
            <w:proofErr w:type="spellStart"/>
            <w:r w:rsidRPr="006C3ADD">
              <w:rPr>
                <w:rFonts w:asciiTheme="majorBidi" w:hAnsiTheme="majorBidi" w:cstheme="majorBidi"/>
                <w:sz w:val="20"/>
                <w:szCs w:val="20"/>
              </w:rPr>
              <w:t>Labour</w:t>
            </w:r>
            <w:proofErr w:type="spellEnd"/>
            <w:r w:rsidRPr="006C3ADD">
              <w:rPr>
                <w:rFonts w:asciiTheme="majorBidi" w:hAnsiTheme="majorBidi" w:cstheme="majorBidi"/>
                <w:sz w:val="20"/>
                <w:szCs w:val="20"/>
              </w:rPr>
              <w:t xml:space="preserve"> Organization (ILO)</w:t>
            </w:r>
          </w:p>
          <w:p w14:paraId="1DB4168F"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International Maritime Organization (IMO)</w:t>
            </w:r>
          </w:p>
          <w:p w14:paraId="20D22127"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North Atlantic Treaty Organization (NATO) (Munitions Safety Information Analysis Center)</w:t>
            </w:r>
          </w:p>
          <w:p w14:paraId="384E874C"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6C3ADD">
              <w:rPr>
                <w:rFonts w:asciiTheme="majorBidi" w:hAnsiTheme="majorBidi" w:cstheme="majorBidi"/>
                <w:sz w:val="20"/>
                <w:szCs w:val="20"/>
              </w:rPr>
              <w:t>Organisation</w:t>
            </w:r>
            <w:proofErr w:type="spellEnd"/>
            <w:r w:rsidRPr="006C3ADD">
              <w:rPr>
                <w:rFonts w:asciiTheme="majorBidi" w:hAnsiTheme="majorBidi" w:cstheme="majorBidi"/>
                <w:sz w:val="20"/>
                <w:szCs w:val="20"/>
              </w:rPr>
              <w:t xml:space="preserve"> for Economic Co-operation and Development (OECD)</w:t>
            </w:r>
          </w:p>
          <w:p w14:paraId="37A935F1"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Organization for the Prohibition of Chemical Weapons (OPCW)</w:t>
            </w:r>
          </w:p>
          <w:p w14:paraId="6B182B2C"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United Nations Economic Commission for Europe (UNECE)</w:t>
            </w:r>
          </w:p>
          <w:p w14:paraId="193D1BEA" w14:textId="7BB92AD5"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 xml:space="preserve">United Nations Environment </w:t>
            </w:r>
            <w:proofErr w:type="spellStart"/>
            <w:r w:rsidRPr="006C3ADD">
              <w:rPr>
                <w:rFonts w:asciiTheme="majorBidi" w:hAnsiTheme="majorBidi" w:cstheme="majorBidi"/>
                <w:sz w:val="20"/>
                <w:szCs w:val="20"/>
              </w:rPr>
              <w:t>Programme</w:t>
            </w:r>
            <w:proofErr w:type="spellEnd"/>
            <w:r w:rsidRPr="006C3ADD">
              <w:rPr>
                <w:rFonts w:asciiTheme="majorBidi" w:hAnsiTheme="majorBidi" w:cstheme="majorBidi"/>
                <w:sz w:val="20"/>
                <w:szCs w:val="20"/>
              </w:rPr>
              <w:t>/Office for the Coordination of Humanitarian Affairs Joint Environment Unit (</w:t>
            </w:r>
            <w:r w:rsidR="002D43D4">
              <w:rPr>
                <w:rFonts w:asciiTheme="majorBidi" w:hAnsiTheme="majorBidi" w:cstheme="majorBidi"/>
                <w:sz w:val="20"/>
                <w:szCs w:val="20"/>
              </w:rPr>
              <w:t xml:space="preserve">JEU) </w:t>
            </w:r>
            <w:r w:rsidRPr="006C3ADD">
              <w:rPr>
                <w:rFonts w:asciiTheme="majorBidi" w:hAnsiTheme="majorBidi" w:cstheme="majorBidi"/>
                <w:sz w:val="20"/>
                <w:szCs w:val="20"/>
              </w:rPr>
              <w:t>(</w:t>
            </w:r>
            <w:r w:rsidR="002D43D4">
              <w:rPr>
                <w:rFonts w:asciiTheme="majorBidi" w:hAnsiTheme="majorBidi" w:cstheme="majorBidi"/>
                <w:sz w:val="20"/>
                <w:szCs w:val="20"/>
              </w:rPr>
              <w:t>UNEP/</w:t>
            </w:r>
            <w:r w:rsidRPr="006C3ADD">
              <w:rPr>
                <w:rFonts w:asciiTheme="majorBidi" w:hAnsiTheme="majorBidi" w:cstheme="majorBidi"/>
                <w:sz w:val="20"/>
                <w:szCs w:val="20"/>
              </w:rPr>
              <w:t xml:space="preserve">OCHA </w:t>
            </w:r>
            <w:r w:rsidR="002216E1" w:rsidRPr="008B3281">
              <w:rPr>
                <w:rFonts w:asciiTheme="majorBidi" w:hAnsiTheme="majorBidi" w:cstheme="majorBidi"/>
                <w:sz w:val="20"/>
                <w:szCs w:val="20"/>
                <w:lang w:val="en-GB"/>
              </w:rPr>
              <w:t>Joint Environment Unit</w:t>
            </w:r>
            <w:r w:rsidRPr="006C3ADD">
              <w:rPr>
                <w:rFonts w:asciiTheme="majorBidi" w:hAnsiTheme="majorBidi" w:cstheme="majorBidi"/>
                <w:sz w:val="20"/>
                <w:szCs w:val="20"/>
              </w:rPr>
              <w:t>)</w:t>
            </w:r>
          </w:p>
          <w:p w14:paraId="5864AD42"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United Nations Institute for Training and Research (UNITAR)</w:t>
            </w:r>
          </w:p>
          <w:p w14:paraId="2957A13B" w14:textId="4DBCF4E8"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United Nations International Computing Centre (UNICC)</w:t>
            </w:r>
          </w:p>
          <w:p w14:paraId="223A71F8" w14:textId="19637E07" w:rsidR="00F3700F" w:rsidRPr="006C3ADD" w:rsidRDefault="0088165B" w:rsidP="006C3ADD">
            <w:pPr>
              <w:pStyle w:val="ListParagraph"/>
              <w:numPr>
                <w:ilvl w:val="0"/>
                <w:numId w:val="35"/>
              </w:numPr>
              <w:spacing w:after="0" w:line="240" w:lineRule="auto"/>
              <w:ind w:left="330" w:hanging="270"/>
              <w:rPr>
                <w:rFonts w:asciiTheme="majorBidi" w:hAnsiTheme="majorBidi" w:cstheme="majorBidi"/>
                <w:sz w:val="20"/>
                <w:szCs w:val="20"/>
              </w:rPr>
            </w:pPr>
            <w:r w:rsidRPr="008B3281">
              <w:rPr>
                <w:rFonts w:asciiTheme="majorBidi" w:hAnsiTheme="majorBidi" w:cstheme="majorBidi"/>
                <w:sz w:val="20"/>
                <w:szCs w:val="20"/>
                <w:lang w:val="en-GB"/>
              </w:rPr>
              <w:t>United Nations</w:t>
            </w:r>
            <w:r>
              <w:rPr>
                <w:rFonts w:asciiTheme="majorBidi" w:hAnsiTheme="majorBidi" w:cstheme="majorBidi"/>
                <w:sz w:val="20"/>
                <w:szCs w:val="20"/>
                <w:lang w:val="en-GB"/>
              </w:rPr>
              <w:t xml:space="preserve"> Office for</w:t>
            </w:r>
            <w:r w:rsidRPr="008B3281">
              <w:rPr>
                <w:rFonts w:asciiTheme="majorBidi" w:hAnsiTheme="majorBidi" w:cstheme="majorBidi"/>
                <w:sz w:val="20"/>
                <w:szCs w:val="20"/>
                <w:lang w:val="en-GB"/>
              </w:rPr>
              <w:t xml:space="preserve"> Disaster Risk Reduction (UNDRR)</w:t>
            </w:r>
          </w:p>
          <w:p w14:paraId="21D12FA0" w14:textId="77777777" w:rsidR="006C3ADD" w:rsidRPr="006C3ADD" w:rsidRDefault="006C3ADD" w:rsidP="00D763A8">
            <w:pPr>
              <w:rPr>
                <w:rFonts w:asciiTheme="majorBidi" w:hAnsiTheme="majorBidi" w:cstheme="majorBidi"/>
              </w:rPr>
            </w:pPr>
          </w:p>
        </w:tc>
      </w:tr>
      <w:tr w:rsidR="005B3446" w:rsidRPr="005B3446" w14:paraId="73D9D667" w14:textId="77777777" w:rsidTr="00D763A8">
        <w:tc>
          <w:tcPr>
            <w:tcW w:w="5000" w:type="pct"/>
            <w:gridSpan w:val="2"/>
            <w:shd w:val="clear" w:color="auto" w:fill="95B3D7" w:themeFill="accent1" w:themeFillTint="99"/>
          </w:tcPr>
          <w:p w14:paraId="7FEE4BAB" w14:textId="77777777" w:rsidR="005B3446" w:rsidRPr="005B3446" w:rsidRDefault="005B3446" w:rsidP="00D763A8">
            <w:pPr>
              <w:rPr>
                <w:rFonts w:asciiTheme="majorBidi" w:hAnsiTheme="majorBidi" w:cstheme="majorBidi"/>
                <w:b/>
                <w:bCs/>
                <w:sz w:val="22"/>
                <w:szCs w:val="22"/>
              </w:rPr>
            </w:pPr>
            <w:r w:rsidRPr="005B3446">
              <w:rPr>
                <w:rFonts w:asciiTheme="majorBidi" w:hAnsiTheme="majorBidi" w:cstheme="majorBidi"/>
                <w:b/>
                <w:bCs/>
                <w:sz w:val="22"/>
                <w:szCs w:val="22"/>
              </w:rPr>
              <w:t>Non-governmental organizations (NGOs)</w:t>
            </w:r>
          </w:p>
        </w:tc>
      </w:tr>
      <w:tr w:rsidR="005B3446" w:rsidRPr="005B3446" w14:paraId="7BA7CC56" w14:textId="77777777" w:rsidTr="00D763A8">
        <w:tc>
          <w:tcPr>
            <w:tcW w:w="5000" w:type="pct"/>
            <w:gridSpan w:val="2"/>
            <w:shd w:val="clear" w:color="auto" w:fill="auto"/>
          </w:tcPr>
          <w:p w14:paraId="07033438" w14:textId="77777777" w:rsidR="005B3446" w:rsidRPr="005B3446" w:rsidRDefault="005B3446" w:rsidP="005B3446">
            <w:pPr>
              <w:pStyle w:val="ListParagraph"/>
              <w:numPr>
                <w:ilvl w:val="0"/>
                <w:numId w:val="35"/>
              </w:numPr>
              <w:spacing w:after="0" w:line="240" w:lineRule="auto"/>
              <w:ind w:left="330" w:hanging="270"/>
              <w:rPr>
                <w:rFonts w:asciiTheme="majorBidi" w:hAnsiTheme="majorBidi" w:cstheme="majorBidi"/>
                <w:sz w:val="20"/>
                <w:szCs w:val="20"/>
              </w:rPr>
            </w:pPr>
            <w:r w:rsidRPr="005B3446">
              <w:rPr>
                <w:rFonts w:asciiTheme="majorBidi" w:hAnsiTheme="majorBidi" w:cstheme="majorBidi"/>
                <w:sz w:val="20"/>
                <w:szCs w:val="20"/>
              </w:rPr>
              <w:t>Earthjustice</w:t>
            </w:r>
          </w:p>
          <w:p w14:paraId="20F6F321" w14:textId="77777777" w:rsidR="005B3446" w:rsidRPr="005B3446" w:rsidRDefault="005B3446" w:rsidP="005B3446">
            <w:pPr>
              <w:pStyle w:val="ListParagraph"/>
              <w:numPr>
                <w:ilvl w:val="0"/>
                <w:numId w:val="35"/>
              </w:numPr>
              <w:spacing w:after="0" w:line="240" w:lineRule="auto"/>
              <w:ind w:left="330" w:hanging="270"/>
              <w:rPr>
                <w:rFonts w:asciiTheme="majorBidi" w:hAnsiTheme="majorBidi" w:cstheme="majorBidi"/>
                <w:sz w:val="20"/>
                <w:szCs w:val="20"/>
              </w:rPr>
            </w:pPr>
            <w:r w:rsidRPr="005B3446">
              <w:rPr>
                <w:rFonts w:asciiTheme="majorBidi" w:hAnsiTheme="majorBidi" w:cstheme="majorBidi"/>
                <w:sz w:val="20"/>
                <w:szCs w:val="20"/>
              </w:rPr>
              <w:t>France Nature Environment</w:t>
            </w:r>
          </w:p>
          <w:p w14:paraId="3CDA07F7" w14:textId="77777777" w:rsidR="005B3446" w:rsidRPr="005B3446" w:rsidRDefault="005B3446" w:rsidP="005B3446">
            <w:pPr>
              <w:pStyle w:val="ListParagraph"/>
              <w:numPr>
                <w:ilvl w:val="0"/>
                <w:numId w:val="35"/>
              </w:numPr>
              <w:spacing w:after="0" w:line="240" w:lineRule="auto"/>
              <w:ind w:left="330" w:hanging="270"/>
              <w:rPr>
                <w:rFonts w:asciiTheme="majorBidi" w:hAnsiTheme="majorBidi" w:cstheme="majorBidi"/>
                <w:sz w:val="20"/>
                <w:szCs w:val="20"/>
              </w:rPr>
            </w:pPr>
            <w:r w:rsidRPr="005B3446">
              <w:rPr>
                <w:rFonts w:asciiTheme="majorBidi" w:hAnsiTheme="majorBidi" w:cstheme="majorBidi"/>
                <w:sz w:val="20"/>
                <w:szCs w:val="20"/>
              </w:rPr>
              <w:t>International Dangerous Goods and Containers Association (IDGCA)-Russian Federation</w:t>
            </w:r>
          </w:p>
          <w:p w14:paraId="13705371" w14:textId="77777777" w:rsidR="005B3446" w:rsidRPr="005B3446" w:rsidRDefault="005B3446" w:rsidP="005B3446">
            <w:pPr>
              <w:pStyle w:val="ListParagraph"/>
              <w:numPr>
                <w:ilvl w:val="0"/>
                <w:numId w:val="35"/>
              </w:numPr>
              <w:spacing w:after="0" w:line="240" w:lineRule="auto"/>
              <w:ind w:left="330" w:hanging="270"/>
              <w:rPr>
                <w:rFonts w:asciiTheme="majorBidi" w:hAnsiTheme="majorBidi" w:cstheme="majorBidi"/>
                <w:sz w:val="20"/>
                <w:szCs w:val="20"/>
                <w:lang w:val="fr-CH"/>
              </w:rPr>
            </w:pPr>
            <w:r w:rsidRPr="005B3446">
              <w:rPr>
                <w:rFonts w:asciiTheme="majorBidi" w:hAnsiTheme="majorBidi" w:cstheme="majorBidi"/>
                <w:sz w:val="20"/>
                <w:szCs w:val="20"/>
                <w:lang w:val="fr-CH"/>
              </w:rPr>
              <w:t>ONG LA GRANDE PUISSANCE DE DIEU (Benin)</w:t>
            </w:r>
          </w:p>
          <w:p w14:paraId="573DDF2E" w14:textId="77777777" w:rsidR="005B3446" w:rsidRPr="005B3446" w:rsidRDefault="005B3446" w:rsidP="005B3446">
            <w:pPr>
              <w:pStyle w:val="ListParagraph"/>
              <w:numPr>
                <w:ilvl w:val="0"/>
                <w:numId w:val="35"/>
              </w:numPr>
              <w:ind w:left="330" w:hanging="270"/>
              <w:rPr>
                <w:rFonts w:asciiTheme="majorBidi" w:hAnsiTheme="majorBidi" w:cstheme="majorBidi"/>
                <w:sz w:val="20"/>
                <w:szCs w:val="20"/>
              </w:rPr>
            </w:pPr>
            <w:r w:rsidRPr="005B3446">
              <w:rPr>
                <w:rFonts w:asciiTheme="majorBidi" w:hAnsiTheme="majorBidi" w:cstheme="majorBidi"/>
                <w:sz w:val="20"/>
                <w:szCs w:val="20"/>
              </w:rPr>
              <w:t>Responsible Packaging Management Association of Southern Africa (RPMASA)</w:t>
            </w:r>
          </w:p>
        </w:tc>
      </w:tr>
      <w:tr w:rsidR="00C82919" w:rsidRPr="00C82919" w14:paraId="2D8B738E" w14:textId="77777777" w:rsidTr="00D763A8">
        <w:tc>
          <w:tcPr>
            <w:tcW w:w="5000" w:type="pct"/>
            <w:gridSpan w:val="2"/>
            <w:shd w:val="clear" w:color="auto" w:fill="95B3D7" w:themeFill="accent1" w:themeFillTint="99"/>
          </w:tcPr>
          <w:p w14:paraId="26769052" w14:textId="77777777" w:rsidR="00C82919" w:rsidRPr="00C82919" w:rsidRDefault="00C82919" w:rsidP="00D763A8">
            <w:pPr>
              <w:rPr>
                <w:rFonts w:asciiTheme="majorBidi" w:hAnsiTheme="majorBidi" w:cstheme="majorBidi"/>
                <w:b/>
                <w:bCs/>
                <w:sz w:val="22"/>
                <w:szCs w:val="22"/>
              </w:rPr>
            </w:pPr>
            <w:r w:rsidRPr="00C82919">
              <w:rPr>
                <w:rFonts w:asciiTheme="majorBidi" w:hAnsiTheme="majorBidi" w:cstheme="majorBidi"/>
                <w:b/>
                <w:bCs/>
                <w:sz w:val="22"/>
                <w:szCs w:val="22"/>
              </w:rPr>
              <w:t>Industry associations and companies</w:t>
            </w:r>
          </w:p>
        </w:tc>
      </w:tr>
      <w:tr w:rsidR="00C82919" w:rsidRPr="00C82919" w14:paraId="7D7DE3CA" w14:textId="77777777" w:rsidTr="00D763A8">
        <w:tc>
          <w:tcPr>
            <w:tcW w:w="5000" w:type="pct"/>
            <w:gridSpan w:val="2"/>
          </w:tcPr>
          <w:p w14:paraId="59DCD94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Absa Insurance Company Limited (South Africa)</w:t>
            </w:r>
          </w:p>
          <w:p w14:paraId="0888C96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Afdeling</w:t>
            </w:r>
            <w:proofErr w:type="spellEnd"/>
            <w:r w:rsidRPr="00C82919">
              <w:rPr>
                <w:rFonts w:asciiTheme="majorBidi" w:hAnsiTheme="majorBidi" w:cstheme="majorBidi"/>
                <w:sz w:val="20"/>
                <w:szCs w:val="20"/>
              </w:rPr>
              <w:t xml:space="preserve"> </w:t>
            </w:r>
            <w:proofErr w:type="spellStart"/>
            <w:r w:rsidRPr="00C82919">
              <w:rPr>
                <w:rFonts w:asciiTheme="majorBidi" w:hAnsiTheme="majorBidi" w:cstheme="majorBidi"/>
                <w:sz w:val="20"/>
                <w:szCs w:val="20"/>
              </w:rPr>
              <w:t>Handhaving</w:t>
            </w:r>
            <w:proofErr w:type="spellEnd"/>
            <w:r w:rsidRPr="00C82919">
              <w:rPr>
                <w:rFonts w:asciiTheme="majorBidi" w:hAnsiTheme="majorBidi" w:cstheme="majorBidi"/>
                <w:sz w:val="20"/>
                <w:szCs w:val="20"/>
              </w:rPr>
              <w:t xml:space="preserve"> (Belgium)</w:t>
            </w:r>
          </w:p>
          <w:p w14:paraId="02A2F58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Agricultural Industries Confederation (AIC) Ltd (UK)</w:t>
            </w:r>
          </w:p>
          <w:p w14:paraId="40B2A4C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Allianz Global Corporate &amp; Specialty (UK)</w:t>
            </w:r>
          </w:p>
          <w:p w14:paraId="2067FA27"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gramStart"/>
            <w:r w:rsidRPr="00C82919">
              <w:rPr>
                <w:rFonts w:asciiTheme="majorBidi" w:hAnsiTheme="majorBidi" w:cstheme="majorBidi"/>
                <w:sz w:val="20"/>
                <w:szCs w:val="20"/>
              </w:rPr>
              <w:t>An</w:t>
            </w:r>
            <w:proofErr w:type="gramEnd"/>
            <w:r w:rsidRPr="00C82919">
              <w:rPr>
                <w:rFonts w:asciiTheme="majorBidi" w:hAnsiTheme="majorBidi" w:cstheme="majorBidi"/>
                <w:sz w:val="20"/>
                <w:szCs w:val="20"/>
              </w:rPr>
              <w:t xml:space="preserve"> Garda Siochana (Ireland)</w:t>
            </w:r>
          </w:p>
          <w:p w14:paraId="4FF479D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Anglo American</w:t>
            </w:r>
          </w:p>
          <w:p w14:paraId="70F223F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Arrmz</w:t>
            </w:r>
            <w:proofErr w:type="spellEnd"/>
            <w:r w:rsidRPr="00C82919">
              <w:rPr>
                <w:rFonts w:asciiTheme="majorBidi" w:hAnsiTheme="majorBidi" w:cstheme="majorBidi"/>
                <w:sz w:val="20"/>
                <w:szCs w:val="20"/>
              </w:rPr>
              <w:t xml:space="preserve"> - Arkema</w:t>
            </w:r>
          </w:p>
          <w:p w14:paraId="145B6B5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AS DBT, Estonia </w:t>
            </w:r>
          </w:p>
          <w:p w14:paraId="1230C42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Associated British Ports</w:t>
            </w:r>
          </w:p>
          <w:p w14:paraId="73E1580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Association for Development, Education, Law, Training, Art and Security (</w:t>
            </w:r>
            <w:proofErr w:type="gramStart"/>
            <w:r w:rsidRPr="00C82919">
              <w:rPr>
                <w:rFonts w:asciiTheme="majorBidi" w:hAnsiTheme="majorBidi" w:cstheme="majorBidi"/>
                <w:sz w:val="20"/>
                <w:szCs w:val="20"/>
              </w:rPr>
              <w:t>ADELFAS)  (</w:t>
            </w:r>
            <w:proofErr w:type="gramEnd"/>
            <w:r w:rsidRPr="00C82919">
              <w:rPr>
                <w:rFonts w:asciiTheme="majorBidi" w:hAnsiTheme="majorBidi" w:cstheme="majorBidi"/>
                <w:sz w:val="20"/>
                <w:szCs w:val="20"/>
              </w:rPr>
              <w:t xml:space="preserve">Spain) </w:t>
            </w:r>
          </w:p>
          <w:p w14:paraId="26FA8179" w14:textId="06F88689"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AST (Rep</w:t>
            </w:r>
            <w:r w:rsidR="00ED495D">
              <w:rPr>
                <w:rFonts w:asciiTheme="majorBidi" w:hAnsiTheme="majorBidi" w:cstheme="majorBidi"/>
                <w:sz w:val="20"/>
                <w:szCs w:val="20"/>
              </w:rPr>
              <w:t>ublic</w:t>
            </w:r>
            <w:r w:rsidRPr="00C82919">
              <w:rPr>
                <w:rFonts w:asciiTheme="majorBidi" w:hAnsiTheme="majorBidi" w:cstheme="majorBidi"/>
                <w:sz w:val="20"/>
                <w:szCs w:val="20"/>
              </w:rPr>
              <w:t xml:space="preserve"> of Moldova) </w:t>
            </w:r>
          </w:p>
          <w:p w14:paraId="7345C7B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Austin Powder Co. </w:t>
            </w:r>
          </w:p>
          <w:p w14:paraId="570B794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Australasian Institute of Dangerous Goods Consultants (AIDGC)</w:t>
            </w:r>
          </w:p>
          <w:p w14:paraId="6E38121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Australian Explosives Industry and Safety Group Inc. (AEISG)</w:t>
            </w:r>
          </w:p>
          <w:p w14:paraId="781C2918" w14:textId="77777777" w:rsidR="00C82919" w:rsidRPr="00C82919" w:rsidRDefault="00C82919" w:rsidP="00C82919">
            <w:pPr>
              <w:pStyle w:val="ListParagraph"/>
              <w:numPr>
                <w:ilvl w:val="0"/>
                <w:numId w:val="35"/>
              </w:numPr>
              <w:ind w:left="330" w:hanging="270"/>
              <w:rPr>
                <w:rFonts w:asciiTheme="majorBidi" w:hAnsiTheme="majorBidi" w:cstheme="majorBidi"/>
                <w:sz w:val="20"/>
                <w:szCs w:val="20"/>
              </w:rPr>
            </w:pPr>
            <w:r w:rsidRPr="00C82919">
              <w:rPr>
                <w:rFonts w:asciiTheme="majorBidi" w:hAnsiTheme="majorBidi" w:cstheme="majorBidi"/>
                <w:sz w:val="20"/>
                <w:szCs w:val="20"/>
              </w:rPr>
              <w:t>Austrian Federal Economic Chamber</w:t>
            </w:r>
          </w:p>
          <w:p w14:paraId="6B61650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BakerRisk</w:t>
            </w:r>
            <w:proofErr w:type="spellEnd"/>
            <w:r w:rsidRPr="00C82919">
              <w:rPr>
                <w:rFonts w:asciiTheme="majorBidi" w:hAnsiTheme="majorBidi" w:cstheme="majorBidi"/>
                <w:sz w:val="20"/>
                <w:szCs w:val="20"/>
              </w:rPr>
              <w:t xml:space="preserve"> Baker Engineering and Risk Consultants, Inc.</w:t>
            </w:r>
          </w:p>
          <w:p w14:paraId="126E436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de-CH"/>
              </w:rPr>
            </w:pPr>
            <w:r w:rsidRPr="00C82919">
              <w:rPr>
                <w:rFonts w:asciiTheme="majorBidi" w:hAnsiTheme="majorBidi" w:cstheme="majorBidi"/>
                <w:sz w:val="20"/>
                <w:szCs w:val="20"/>
                <w:lang w:val="de-CH"/>
              </w:rPr>
              <w:t>Bienz, Kummer &amp; Partner AG (Switzerland)</w:t>
            </w:r>
          </w:p>
          <w:p w14:paraId="2B1D336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Borealis </w:t>
            </w:r>
            <w:proofErr w:type="spellStart"/>
            <w:r w:rsidRPr="00C82919">
              <w:rPr>
                <w:rFonts w:asciiTheme="majorBidi" w:hAnsiTheme="majorBidi" w:cstheme="majorBidi"/>
                <w:sz w:val="20"/>
                <w:szCs w:val="20"/>
              </w:rPr>
              <w:t>Chimie</w:t>
            </w:r>
            <w:proofErr w:type="spellEnd"/>
          </w:p>
          <w:p w14:paraId="1A4A57A8"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BSL (Sweden)</w:t>
            </w:r>
          </w:p>
          <w:p w14:paraId="31117BF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Bulk Mining explosives</w:t>
            </w:r>
          </w:p>
          <w:p w14:paraId="06CD3B20"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Chain Solutions </w:t>
            </w:r>
          </w:p>
          <w:p w14:paraId="0A61FB4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Chamber of Shipping UK </w:t>
            </w:r>
          </w:p>
          <w:p w14:paraId="6BF2165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China Explosive Materials Trade Associations</w:t>
            </w:r>
          </w:p>
          <w:p w14:paraId="41507E0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China Railway</w:t>
            </w:r>
          </w:p>
          <w:p w14:paraId="480055D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CIS Center</w:t>
            </w:r>
          </w:p>
          <w:p w14:paraId="4FEB18B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Compressed Gas Association (CGA) (USA)</w:t>
            </w:r>
          </w:p>
          <w:p w14:paraId="0920E4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CSBP (Wesfarmers Chemicals, Energy &amp; </w:t>
            </w:r>
            <w:proofErr w:type="spellStart"/>
            <w:r w:rsidRPr="00C82919">
              <w:rPr>
                <w:rFonts w:asciiTheme="majorBidi" w:hAnsiTheme="majorBidi" w:cstheme="majorBidi"/>
                <w:sz w:val="20"/>
                <w:szCs w:val="20"/>
              </w:rPr>
              <w:t>Fertilisers</w:t>
            </w:r>
            <w:proofErr w:type="spellEnd"/>
            <w:r w:rsidRPr="00C82919">
              <w:rPr>
                <w:rFonts w:asciiTheme="majorBidi" w:hAnsiTheme="majorBidi" w:cstheme="majorBidi"/>
                <w:sz w:val="20"/>
                <w:szCs w:val="20"/>
              </w:rPr>
              <w:t>)</w:t>
            </w:r>
          </w:p>
          <w:p w14:paraId="4DEAD42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es-ES"/>
              </w:rPr>
            </w:pPr>
            <w:r w:rsidRPr="00C82919">
              <w:rPr>
                <w:rFonts w:asciiTheme="majorBidi" w:hAnsiTheme="majorBidi" w:cstheme="majorBidi"/>
                <w:sz w:val="20"/>
                <w:szCs w:val="20"/>
                <w:lang w:val="es-ES"/>
              </w:rPr>
              <w:t>Cuerpo de Bomberos de Costa Rica</w:t>
            </w:r>
          </w:p>
          <w:p w14:paraId="44DA7560" w14:textId="77777777" w:rsidR="00C82919" w:rsidRPr="00C82919" w:rsidRDefault="00C82919" w:rsidP="00C82919">
            <w:pPr>
              <w:pStyle w:val="ListParagraph"/>
              <w:keepNext/>
              <w:keepLines/>
              <w:numPr>
                <w:ilvl w:val="0"/>
                <w:numId w:val="35"/>
              </w:numPr>
              <w:tabs>
                <w:tab w:val="left" w:pos="4536"/>
              </w:tabs>
              <w:ind w:left="330" w:hanging="270"/>
              <w:rPr>
                <w:rFonts w:asciiTheme="majorBidi" w:hAnsiTheme="majorBidi" w:cstheme="majorBidi"/>
                <w:noProof/>
                <w:sz w:val="20"/>
                <w:szCs w:val="20"/>
              </w:rPr>
            </w:pPr>
            <w:r w:rsidRPr="00C82919">
              <w:rPr>
                <w:rFonts w:asciiTheme="majorBidi" w:hAnsiTheme="majorBidi" w:cstheme="majorBidi"/>
                <w:noProof/>
                <w:sz w:val="20"/>
                <w:szCs w:val="20"/>
              </w:rPr>
              <w:t>Danube Logistics SRL</w:t>
            </w:r>
          </w:p>
          <w:p w14:paraId="0BD5B21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DBT AS, Estonia</w:t>
            </w:r>
          </w:p>
          <w:p w14:paraId="201E5B33"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lastRenderedPageBreak/>
              <w:t xml:space="preserve">Deepak Fertilizers &amp; Petrochemicals Corporation Limited </w:t>
            </w:r>
          </w:p>
          <w:p w14:paraId="479D7F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Dev Global Logistics Services </w:t>
            </w:r>
          </w:p>
          <w:p w14:paraId="003158C0"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Dublin Port Company</w:t>
            </w:r>
          </w:p>
          <w:p w14:paraId="00266BE9" w14:textId="1FD0B2B5"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E.M.I- Medical Equipment and Supplies Manufacturing Industry-Pumping Technologies LTD (Isra</w:t>
            </w:r>
            <w:r w:rsidR="00133ED4">
              <w:rPr>
                <w:rFonts w:asciiTheme="majorBidi" w:hAnsiTheme="majorBidi" w:cstheme="majorBidi"/>
                <w:sz w:val="20"/>
                <w:szCs w:val="20"/>
              </w:rPr>
              <w:t>e</w:t>
            </w:r>
            <w:r w:rsidRPr="00C82919">
              <w:rPr>
                <w:rFonts w:asciiTheme="majorBidi" w:hAnsiTheme="majorBidi" w:cstheme="majorBidi"/>
                <w:sz w:val="20"/>
                <w:szCs w:val="20"/>
              </w:rPr>
              <w:t>l)</w:t>
            </w:r>
          </w:p>
          <w:p w14:paraId="5D0678ED" w14:textId="0157C576"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E.M.I. (1997) L.T.D. Explosives Industries Ltd. (Isra</w:t>
            </w:r>
            <w:r w:rsidR="00133ED4">
              <w:rPr>
                <w:rFonts w:asciiTheme="majorBidi" w:hAnsiTheme="majorBidi" w:cstheme="majorBidi"/>
                <w:sz w:val="20"/>
                <w:szCs w:val="20"/>
              </w:rPr>
              <w:t>e</w:t>
            </w:r>
            <w:r w:rsidRPr="00C82919">
              <w:rPr>
                <w:rFonts w:asciiTheme="majorBidi" w:hAnsiTheme="majorBidi" w:cstheme="majorBidi"/>
                <w:sz w:val="20"/>
                <w:szCs w:val="20"/>
              </w:rPr>
              <w:t>l)</w:t>
            </w:r>
          </w:p>
          <w:p w14:paraId="5C59F58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East African Business Company Ltd (Kenya)</w:t>
            </w:r>
          </w:p>
          <w:p w14:paraId="022DF1C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Estonian, Latvian &amp; Lithuanian Environment </w:t>
            </w:r>
          </w:p>
          <w:p w14:paraId="37A1F53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EuroChem</w:t>
            </w:r>
            <w:proofErr w:type="spellEnd"/>
            <w:r w:rsidRPr="00C82919">
              <w:rPr>
                <w:rFonts w:asciiTheme="majorBidi" w:hAnsiTheme="majorBidi" w:cstheme="majorBidi"/>
                <w:sz w:val="20"/>
                <w:szCs w:val="20"/>
              </w:rPr>
              <w:t xml:space="preserve"> </w:t>
            </w:r>
            <w:proofErr w:type="spellStart"/>
            <w:r w:rsidRPr="00C82919">
              <w:rPr>
                <w:rFonts w:asciiTheme="majorBidi" w:hAnsiTheme="majorBidi" w:cstheme="majorBidi"/>
                <w:sz w:val="20"/>
                <w:szCs w:val="20"/>
              </w:rPr>
              <w:t>Antwerpen</w:t>
            </w:r>
            <w:proofErr w:type="spellEnd"/>
            <w:r w:rsidRPr="00C82919">
              <w:rPr>
                <w:rFonts w:asciiTheme="majorBidi" w:hAnsiTheme="majorBidi" w:cstheme="majorBidi"/>
                <w:sz w:val="20"/>
                <w:szCs w:val="20"/>
              </w:rPr>
              <w:t xml:space="preserve"> NV</w:t>
            </w:r>
          </w:p>
          <w:p w14:paraId="5B489A6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Eurodyn</w:t>
            </w:r>
            <w:proofErr w:type="spellEnd"/>
            <w:r w:rsidRPr="00C82919">
              <w:rPr>
                <w:rFonts w:asciiTheme="majorBidi" w:hAnsiTheme="majorBidi" w:cstheme="majorBidi"/>
                <w:sz w:val="20"/>
                <w:szCs w:val="20"/>
              </w:rPr>
              <w:t xml:space="preserve"> </w:t>
            </w:r>
            <w:proofErr w:type="spellStart"/>
            <w:r w:rsidRPr="00C82919">
              <w:rPr>
                <w:rFonts w:asciiTheme="majorBidi" w:hAnsiTheme="majorBidi" w:cstheme="majorBidi"/>
                <w:sz w:val="20"/>
                <w:szCs w:val="20"/>
              </w:rPr>
              <w:t>Sprengmittel</w:t>
            </w:r>
            <w:proofErr w:type="spellEnd"/>
            <w:r w:rsidRPr="00C82919">
              <w:rPr>
                <w:rFonts w:asciiTheme="majorBidi" w:hAnsiTheme="majorBidi" w:cstheme="majorBidi"/>
                <w:sz w:val="20"/>
                <w:szCs w:val="20"/>
              </w:rPr>
              <w:t xml:space="preserve"> GmbH (Germany)</w:t>
            </w:r>
          </w:p>
          <w:p w14:paraId="0B58D32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European Association for Study of Safety Problems in Production and Use of Propellant Powders</w:t>
            </w:r>
          </w:p>
          <w:p w14:paraId="69A8BE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European Chemical Industry Council (CEFIC)</w:t>
            </w:r>
          </w:p>
          <w:p w14:paraId="09A13E1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Experts Mountain Works – AV Group (Russian Federation)</w:t>
            </w:r>
          </w:p>
          <w:p w14:paraId="09D6FEE6" w14:textId="77777777" w:rsidR="00C82919" w:rsidRPr="00C82919" w:rsidRDefault="00C82919" w:rsidP="00C82919">
            <w:pPr>
              <w:pStyle w:val="ListParagraph"/>
              <w:numPr>
                <w:ilvl w:val="0"/>
                <w:numId w:val="35"/>
              </w:numPr>
              <w:ind w:left="330" w:hanging="270"/>
              <w:rPr>
                <w:rFonts w:asciiTheme="majorBidi" w:hAnsiTheme="majorBidi" w:cstheme="majorBidi"/>
                <w:sz w:val="20"/>
                <w:szCs w:val="20"/>
              </w:rPr>
            </w:pPr>
            <w:r w:rsidRPr="00C82919">
              <w:rPr>
                <w:rFonts w:asciiTheme="majorBidi" w:hAnsiTheme="majorBidi" w:cstheme="majorBidi"/>
                <w:sz w:val="20"/>
                <w:szCs w:val="20"/>
              </w:rPr>
              <w:t>Federation of European Explosives (FEEM)</w:t>
            </w:r>
          </w:p>
          <w:p w14:paraId="17FD868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Fertiberia</w:t>
            </w:r>
            <w:proofErr w:type="spellEnd"/>
          </w:p>
          <w:p w14:paraId="741F0C7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Fertilizer Industry Assurance Scheme (FIAS) in the UK (KIWA)</w:t>
            </w:r>
          </w:p>
          <w:p w14:paraId="662DEAC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Fertilizers Canada</w:t>
            </w:r>
          </w:p>
          <w:p w14:paraId="0A949AF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Fertilizers Europe</w:t>
            </w:r>
          </w:p>
          <w:p w14:paraId="02094123"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FM Global</w:t>
            </w:r>
          </w:p>
          <w:p w14:paraId="38147B8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Forcit</w:t>
            </w:r>
            <w:proofErr w:type="spellEnd"/>
            <w:r w:rsidRPr="00C82919">
              <w:rPr>
                <w:rFonts w:asciiTheme="majorBidi" w:hAnsiTheme="majorBidi" w:cstheme="majorBidi"/>
                <w:sz w:val="20"/>
                <w:szCs w:val="20"/>
              </w:rPr>
              <w:t xml:space="preserve"> Sweden AB</w:t>
            </w:r>
          </w:p>
          <w:p w14:paraId="04D4FE5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Framesi</w:t>
            </w:r>
            <w:proofErr w:type="spellEnd"/>
            <w:r w:rsidRPr="00C82919">
              <w:rPr>
                <w:rFonts w:asciiTheme="majorBidi" w:hAnsiTheme="majorBidi" w:cstheme="majorBidi"/>
                <w:sz w:val="20"/>
                <w:szCs w:val="20"/>
              </w:rPr>
              <w:t>-Mexico</w:t>
            </w:r>
          </w:p>
          <w:p w14:paraId="7A2EDEFE"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Givaudan International</w:t>
            </w:r>
          </w:p>
          <w:p w14:paraId="732DB2B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Groupe </w:t>
            </w:r>
            <w:proofErr w:type="spellStart"/>
            <w:r w:rsidRPr="00C82919">
              <w:rPr>
                <w:rFonts w:asciiTheme="majorBidi" w:hAnsiTheme="majorBidi" w:cstheme="majorBidi"/>
                <w:sz w:val="20"/>
                <w:szCs w:val="20"/>
              </w:rPr>
              <w:t>Somavrac</w:t>
            </w:r>
            <w:proofErr w:type="spellEnd"/>
            <w:r w:rsidRPr="00C82919">
              <w:rPr>
                <w:rFonts w:asciiTheme="majorBidi" w:hAnsiTheme="majorBidi" w:cstheme="majorBidi"/>
                <w:sz w:val="20"/>
                <w:szCs w:val="20"/>
              </w:rPr>
              <w:t xml:space="preserve"> (Water Transportation Industry) and is part of the Pesticide, Fertilizer, and Other Agricultural Chemical Manufacturing Industry (Canada)</w:t>
            </w:r>
          </w:p>
          <w:p w14:paraId="3B2E7E89"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es-ES"/>
              </w:rPr>
            </w:pPr>
            <w:r w:rsidRPr="00C82919">
              <w:rPr>
                <w:rFonts w:asciiTheme="majorBidi" w:hAnsiTheme="majorBidi" w:cstheme="majorBidi"/>
                <w:sz w:val="20"/>
                <w:szCs w:val="20"/>
                <w:lang w:val="es-ES"/>
              </w:rPr>
              <w:t xml:space="preserve">Grupa </w:t>
            </w:r>
            <w:proofErr w:type="spellStart"/>
            <w:r w:rsidRPr="00C82919">
              <w:rPr>
                <w:rFonts w:asciiTheme="majorBidi" w:hAnsiTheme="majorBidi" w:cstheme="majorBidi"/>
                <w:sz w:val="20"/>
                <w:szCs w:val="20"/>
                <w:lang w:val="es-ES"/>
              </w:rPr>
              <w:t>Azoty</w:t>
            </w:r>
            <w:proofErr w:type="spellEnd"/>
            <w:r w:rsidRPr="00C82919">
              <w:rPr>
                <w:rFonts w:asciiTheme="majorBidi" w:hAnsiTheme="majorBidi" w:cstheme="majorBidi"/>
                <w:sz w:val="20"/>
                <w:szCs w:val="20"/>
                <w:lang w:val="es-ES"/>
              </w:rPr>
              <w:t xml:space="preserve"> ZAK S.A, </w:t>
            </w:r>
            <w:proofErr w:type="spellStart"/>
            <w:r w:rsidRPr="00C82919">
              <w:rPr>
                <w:rFonts w:asciiTheme="majorBidi" w:hAnsiTheme="majorBidi" w:cstheme="majorBidi"/>
                <w:sz w:val="20"/>
                <w:szCs w:val="20"/>
                <w:lang w:val="es-ES"/>
              </w:rPr>
              <w:t>Poland</w:t>
            </w:r>
            <w:proofErr w:type="spellEnd"/>
          </w:p>
          <w:p w14:paraId="01B9161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HCB (UK)</w:t>
            </w:r>
          </w:p>
          <w:p w14:paraId="3490BB9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HighChem</w:t>
            </w:r>
            <w:proofErr w:type="spellEnd"/>
            <w:r w:rsidRPr="00C82919">
              <w:rPr>
                <w:rFonts w:asciiTheme="majorBidi" w:hAnsiTheme="majorBidi" w:cstheme="majorBidi"/>
                <w:sz w:val="20"/>
                <w:szCs w:val="20"/>
              </w:rPr>
              <w:t xml:space="preserve"> East Africa Ltd, Kenya</w:t>
            </w:r>
          </w:p>
          <w:p w14:paraId="2F7A07F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es-ES"/>
              </w:rPr>
            </w:pPr>
            <w:proofErr w:type="spellStart"/>
            <w:r w:rsidRPr="00C82919">
              <w:rPr>
                <w:rFonts w:asciiTheme="majorBidi" w:hAnsiTheme="majorBidi" w:cstheme="majorBidi"/>
                <w:sz w:val="20"/>
                <w:szCs w:val="20"/>
                <w:lang w:val="es-ES"/>
              </w:rPr>
              <w:t>Huc</w:t>
            </w:r>
            <w:proofErr w:type="spellEnd"/>
            <w:r w:rsidRPr="00C82919">
              <w:rPr>
                <w:rFonts w:asciiTheme="majorBidi" w:hAnsiTheme="majorBidi" w:cstheme="majorBidi"/>
                <w:sz w:val="20"/>
                <w:szCs w:val="20"/>
                <w:lang w:val="es-ES"/>
              </w:rPr>
              <w:t xml:space="preserve"> Todo en </w:t>
            </w:r>
            <w:proofErr w:type="spellStart"/>
            <w:r w:rsidRPr="00C82919">
              <w:rPr>
                <w:rFonts w:asciiTheme="majorBidi" w:hAnsiTheme="majorBidi" w:cstheme="majorBidi"/>
                <w:sz w:val="20"/>
                <w:szCs w:val="20"/>
                <w:lang w:val="es-ES"/>
              </w:rPr>
              <w:t>Mercancias</w:t>
            </w:r>
            <w:proofErr w:type="spellEnd"/>
            <w:r w:rsidRPr="00C82919">
              <w:rPr>
                <w:rFonts w:asciiTheme="majorBidi" w:hAnsiTheme="majorBidi" w:cstheme="majorBidi"/>
                <w:sz w:val="20"/>
                <w:szCs w:val="20"/>
                <w:lang w:val="es-ES"/>
              </w:rPr>
              <w:t xml:space="preserve"> peligrosas, S. de R.L. de C.V</w:t>
            </w:r>
          </w:p>
          <w:p w14:paraId="778FA933"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Hutchison Ports</w:t>
            </w:r>
          </w:p>
          <w:p w14:paraId="5D5B050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ICHCA International- Independent Children’s Homes Association (UK)</w:t>
            </w:r>
          </w:p>
          <w:p w14:paraId="07DC04C2" w14:textId="1749F93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ICL Essential Minerals and Specialty Solutions (Isra</w:t>
            </w:r>
            <w:r w:rsidR="00FE6C3C">
              <w:rPr>
                <w:rFonts w:asciiTheme="majorBidi" w:hAnsiTheme="majorBidi" w:cstheme="majorBidi"/>
                <w:sz w:val="20"/>
                <w:szCs w:val="20"/>
              </w:rPr>
              <w:t>e</w:t>
            </w:r>
            <w:r w:rsidRPr="00C82919">
              <w:rPr>
                <w:rFonts w:asciiTheme="majorBidi" w:hAnsiTheme="majorBidi" w:cstheme="majorBidi"/>
                <w:sz w:val="20"/>
                <w:szCs w:val="20"/>
              </w:rPr>
              <w:t>l)</w:t>
            </w:r>
          </w:p>
          <w:p w14:paraId="1EAF3097" w14:textId="77777777" w:rsidR="00C82919" w:rsidRPr="00C82919" w:rsidRDefault="00C82919" w:rsidP="00C82919">
            <w:pPr>
              <w:pStyle w:val="ListParagraph"/>
              <w:keepNext/>
              <w:keepLines/>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ICL-Group (Democratic People's Republic of Korea)</w:t>
            </w:r>
          </w:p>
          <w:p w14:paraId="41E7C77A" w14:textId="77777777" w:rsidR="00C82919" w:rsidRPr="00C82919" w:rsidRDefault="00C82919" w:rsidP="00C82919">
            <w:pPr>
              <w:pStyle w:val="ListParagraph"/>
              <w:keepNext/>
              <w:keepLines/>
              <w:numPr>
                <w:ilvl w:val="0"/>
                <w:numId w:val="35"/>
              </w:numPr>
              <w:tabs>
                <w:tab w:val="left" w:pos="4536"/>
              </w:tabs>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Industrial Chemicals (AECI) (South Africa) </w:t>
            </w:r>
          </w:p>
          <w:p w14:paraId="73DC7D1E" w14:textId="77777777" w:rsidR="00C82919" w:rsidRPr="00C82919" w:rsidRDefault="00C82919" w:rsidP="00C82919">
            <w:pPr>
              <w:pStyle w:val="ListParagraph"/>
              <w:keepNext/>
              <w:keepLines/>
              <w:numPr>
                <w:ilvl w:val="0"/>
                <w:numId w:val="35"/>
              </w:numPr>
              <w:tabs>
                <w:tab w:val="left" w:pos="4536"/>
              </w:tabs>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Industrial Engineer (South Africa)</w:t>
            </w:r>
          </w:p>
          <w:p w14:paraId="6CB8D404" w14:textId="0BEA7598"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es-ES"/>
              </w:rPr>
            </w:pPr>
            <w:r w:rsidRPr="00C82919">
              <w:rPr>
                <w:rFonts w:asciiTheme="majorBidi" w:hAnsiTheme="majorBidi" w:cstheme="majorBidi"/>
                <w:sz w:val="20"/>
                <w:szCs w:val="20"/>
                <w:lang w:val="es-ES"/>
              </w:rPr>
              <w:t>Infraestructura, Comunicaciones y Transportes (</w:t>
            </w:r>
            <w:proofErr w:type="spellStart"/>
            <w:r w:rsidRPr="00C82919">
              <w:rPr>
                <w:rFonts w:asciiTheme="majorBidi" w:hAnsiTheme="majorBidi" w:cstheme="majorBidi"/>
                <w:sz w:val="20"/>
                <w:szCs w:val="20"/>
                <w:lang w:val="es-ES"/>
              </w:rPr>
              <w:t>Mexico</w:t>
            </w:r>
            <w:proofErr w:type="spellEnd"/>
            <w:r w:rsidRPr="00C82919">
              <w:rPr>
                <w:rFonts w:asciiTheme="majorBidi" w:hAnsiTheme="majorBidi" w:cstheme="majorBidi"/>
                <w:sz w:val="20"/>
                <w:szCs w:val="20"/>
                <w:lang w:val="es-ES"/>
              </w:rPr>
              <w:t>)</w:t>
            </w:r>
          </w:p>
          <w:p w14:paraId="09AAA1D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Institute of Makers of Explosives (IME)</w:t>
            </w:r>
          </w:p>
          <w:p w14:paraId="72100088"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Institution of Chemical Engineers (</w:t>
            </w:r>
            <w:proofErr w:type="spellStart"/>
            <w:r w:rsidRPr="00C82919">
              <w:rPr>
                <w:rFonts w:asciiTheme="majorBidi" w:hAnsiTheme="majorBidi" w:cstheme="majorBidi"/>
                <w:sz w:val="20"/>
                <w:szCs w:val="20"/>
              </w:rPr>
              <w:t>IChemE</w:t>
            </w:r>
            <w:proofErr w:type="spellEnd"/>
            <w:r w:rsidRPr="00C82919">
              <w:rPr>
                <w:rFonts w:asciiTheme="majorBidi" w:hAnsiTheme="majorBidi" w:cstheme="majorBidi"/>
                <w:sz w:val="20"/>
                <w:szCs w:val="20"/>
              </w:rPr>
              <w:t>) (United Arab Emirates)</w:t>
            </w:r>
          </w:p>
          <w:p w14:paraId="6AF16787"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IOS</w:t>
            </w:r>
          </w:p>
          <w:p w14:paraId="4A1D8547"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ISO Standardization, Testing and Certification </w:t>
            </w:r>
          </w:p>
          <w:p w14:paraId="698EC989"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J. Lauritzen Bulkers (Denmark)</w:t>
            </w:r>
          </w:p>
          <w:p w14:paraId="25D6775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Jensen Hughes</w:t>
            </w:r>
          </w:p>
          <w:p w14:paraId="2FAC43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Lukasiewicz Research Network-Institute of Industrial Organic Chemistry (Poland)</w:t>
            </w:r>
          </w:p>
          <w:p w14:paraId="7EA686F9"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Maxam </w:t>
            </w:r>
            <w:proofErr w:type="spellStart"/>
            <w:r w:rsidRPr="00C82919">
              <w:rPr>
                <w:rFonts w:asciiTheme="majorBidi" w:hAnsiTheme="majorBidi" w:cstheme="majorBidi"/>
                <w:sz w:val="20"/>
                <w:szCs w:val="20"/>
              </w:rPr>
              <w:t>Dantex</w:t>
            </w:r>
            <w:proofErr w:type="spellEnd"/>
          </w:p>
          <w:p w14:paraId="5594F9D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NCP </w:t>
            </w:r>
            <w:proofErr w:type="spellStart"/>
            <w:r w:rsidRPr="00C82919">
              <w:rPr>
                <w:rFonts w:asciiTheme="majorBidi" w:hAnsiTheme="majorBidi" w:cstheme="majorBidi"/>
                <w:sz w:val="20"/>
                <w:szCs w:val="20"/>
              </w:rPr>
              <w:t>Chlorchem</w:t>
            </w:r>
            <w:proofErr w:type="spellEnd"/>
            <w:r w:rsidRPr="00C82919">
              <w:rPr>
                <w:rFonts w:asciiTheme="majorBidi" w:hAnsiTheme="majorBidi" w:cstheme="majorBidi"/>
                <w:sz w:val="20"/>
                <w:szCs w:val="20"/>
              </w:rPr>
              <w:t xml:space="preserve"> (South Africa)</w:t>
            </w:r>
          </w:p>
          <w:p w14:paraId="4F42736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OCI NV - global producer of natural gas-based fertilizers and industrial chemicals - nitrogen fertilizers, methanol and other natural gas based chemical products, serving agricultural and industrial customers around the world (Netherlands)</w:t>
            </w:r>
          </w:p>
          <w:p w14:paraId="4352AB6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Old Mutual Insure </w:t>
            </w:r>
          </w:p>
          <w:p w14:paraId="558799D0"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Omnia Fertilizer (South Africa)</w:t>
            </w:r>
          </w:p>
          <w:p w14:paraId="4E24AE4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Orica</w:t>
            </w:r>
          </w:p>
          <w:p w14:paraId="703DF0D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Petrokemija</w:t>
            </w:r>
            <w:proofErr w:type="spellEnd"/>
            <w:r w:rsidRPr="00C82919">
              <w:rPr>
                <w:rFonts w:asciiTheme="majorBidi" w:hAnsiTheme="majorBidi" w:cstheme="majorBidi"/>
                <w:sz w:val="20"/>
                <w:szCs w:val="20"/>
              </w:rPr>
              <w:t xml:space="preserve"> Plc. Fertilizer Company (Croatia)</w:t>
            </w:r>
          </w:p>
          <w:p w14:paraId="134C6FC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QatarEnergy</w:t>
            </w:r>
            <w:proofErr w:type="spellEnd"/>
            <w:r w:rsidRPr="00C82919">
              <w:rPr>
                <w:rFonts w:asciiTheme="majorBidi" w:hAnsiTheme="majorBidi" w:cstheme="majorBidi"/>
                <w:sz w:val="20"/>
                <w:szCs w:val="20"/>
              </w:rPr>
              <w:t xml:space="preserve"> </w:t>
            </w:r>
          </w:p>
          <w:p w14:paraId="7668BD7E"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Remote Sensing and Space Sciences Office (Syrian Arab Republic)</w:t>
            </w:r>
          </w:p>
          <w:p w14:paraId="2B3A7E5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Research Group Energetic Materials TNO (Netherlands)</w:t>
            </w:r>
          </w:p>
          <w:p w14:paraId="7E0CA07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Rheinmetall Denel Munition (south Africa) </w:t>
            </w:r>
          </w:p>
          <w:p w14:paraId="4576156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Riga Fertilizer Terminal</w:t>
            </w:r>
          </w:p>
          <w:p w14:paraId="5E1F242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Risk Exchange (DIFC) Limited</w:t>
            </w:r>
          </w:p>
          <w:p w14:paraId="6BBA8D9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Risk Integrated Solutions and Technology Ltd. (</w:t>
            </w:r>
            <w:proofErr w:type="spellStart"/>
            <w:r w:rsidRPr="00C82919">
              <w:rPr>
                <w:rFonts w:asciiTheme="majorBidi" w:hAnsiTheme="majorBidi" w:cstheme="majorBidi"/>
                <w:sz w:val="20"/>
                <w:szCs w:val="20"/>
              </w:rPr>
              <w:t>RiskTech</w:t>
            </w:r>
            <w:proofErr w:type="spellEnd"/>
            <w:r w:rsidRPr="00C82919">
              <w:rPr>
                <w:rFonts w:asciiTheme="majorBidi" w:hAnsiTheme="majorBidi" w:cstheme="majorBidi"/>
                <w:sz w:val="20"/>
                <w:szCs w:val="20"/>
              </w:rPr>
              <w:t>) (Turkey)</w:t>
            </w:r>
          </w:p>
          <w:p w14:paraId="6ED68DC7" w14:textId="500060E0"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SAFEX International (</w:t>
            </w:r>
            <w:proofErr w:type="spellStart"/>
            <w:r w:rsidRPr="00C82919">
              <w:rPr>
                <w:rFonts w:asciiTheme="majorBidi" w:hAnsiTheme="majorBidi" w:cstheme="majorBidi"/>
                <w:sz w:val="20"/>
                <w:szCs w:val="20"/>
              </w:rPr>
              <w:t>Isra</w:t>
            </w:r>
            <w:r w:rsidR="00B2186D">
              <w:rPr>
                <w:rFonts w:asciiTheme="majorBidi" w:hAnsiTheme="majorBidi" w:cstheme="majorBidi"/>
                <w:sz w:val="20"/>
                <w:szCs w:val="20"/>
              </w:rPr>
              <w:t>e</w:t>
            </w:r>
            <w:r w:rsidRPr="00C82919">
              <w:rPr>
                <w:rFonts w:asciiTheme="majorBidi" w:hAnsiTheme="majorBidi" w:cstheme="majorBidi"/>
                <w:sz w:val="20"/>
                <w:szCs w:val="20"/>
              </w:rPr>
              <w:t>l+South</w:t>
            </w:r>
            <w:proofErr w:type="spellEnd"/>
            <w:r w:rsidRPr="00C82919">
              <w:rPr>
                <w:rFonts w:asciiTheme="majorBidi" w:hAnsiTheme="majorBidi" w:cstheme="majorBidi"/>
                <w:sz w:val="20"/>
                <w:szCs w:val="20"/>
              </w:rPr>
              <w:t xml:space="preserve"> Africa)</w:t>
            </w:r>
          </w:p>
          <w:p w14:paraId="380A06D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lastRenderedPageBreak/>
              <w:t>Sawa’a</w:t>
            </w:r>
            <w:proofErr w:type="spellEnd"/>
            <w:r w:rsidRPr="00C82919">
              <w:rPr>
                <w:rFonts w:asciiTheme="majorBidi" w:hAnsiTheme="majorBidi" w:cstheme="majorBidi"/>
                <w:sz w:val="20"/>
                <w:szCs w:val="20"/>
              </w:rPr>
              <w:t xml:space="preserve"> for Community Development</w:t>
            </w:r>
          </w:p>
          <w:p w14:paraId="73B5A0E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Shanghai Research Institute of Chemical Industry</w:t>
            </w:r>
          </w:p>
          <w:p w14:paraId="19EA913E"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Shannon </w:t>
            </w:r>
            <w:proofErr w:type="spellStart"/>
            <w:r w:rsidRPr="00C82919">
              <w:rPr>
                <w:rFonts w:asciiTheme="majorBidi" w:hAnsiTheme="majorBidi" w:cstheme="majorBidi"/>
                <w:sz w:val="20"/>
                <w:szCs w:val="20"/>
              </w:rPr>
              <w:t>Foynes</w:t>
            </w:r>
            <w:proofErr w:type="spellEnd"/>
            <w:r w:rsidRPr="00C82919">
              <w:rPr>
                <w:rFonts w:asciiTheme="majorBidi" w:hAnsiTheme="majorBidi" w:cstheme="majorBidi"/>
                <w:sz w:val="20"/>
                <w:szCs w:val="20"/>
              </w:rPr>
              <w:t xml:space="preserve"> Port Company, Ireland</w:t>
            </w:r>
          </w:p>
          <w:p w14:paraId="56D2AA6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South African Insurance Association (SAIA)</w:t>
            </w:r>
          </w:p>
          <w:p w14:paraId="6ADFF1B4" w14:textId="77777777" w:rsidR="00C82919" w:rsidRPr="00C82919" w:rsidRDefault="00C82919" w:rsidP="00C82919">
            <w:pPr>
              <w:pStyle w:val="ListParagraph"/>
              <w:keepNext/>
              <w:keepLines/>
              <w:numPr>
                <w:ilvl w:val="0"/>
                <w:numId w:val="35"/>
              </w:numPr>
              <w:tabs>
                <w:tab w:val="left" w:pos="4536"/>
              </w:tabs>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Southern African Institute for Occupational Hygiene</w:t>
            </w:r>
          </w:p>
          <w:p w14:paraId="2C4880C0"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Sporting Arms &amp; Ammunition Manufacturers’ Institute (SAAMI)</w:t>
            </w:r>
          </w:p>
          <w:p w14:paraId="7480110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SQM (Chile)</w:t>
            </w:r>
          </w:p>
          <w:p w14:paraId="701B0E9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TDG-GHS Consulting International (France)</w:t>
            </w:r>
          </w:p>
          <w:p w14:paraId="590C96A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TNO, Research Group Energetic Materials (Netherlands)</w:t>
            </w:r>
          </w:p>
          <w:p w14:paraId="52FC0A49"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Toxicology Brazilian Society </w:t>
            </w:r>
          </w:p>
          <w:p w14:paraId="2A238443"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Transnet National Ports Authority (TNPA) (South Africa)</w:t>
            </w:r>
          </w:p>
          <w:p w14:paraId="2F95CDD7"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TT Club &amp; International Cargo Handling Co-ordinating Association- International Ltd (ICHCA)</w:t>
            </w:r>
          </w:p>
          <w:p w14:paraId="2106803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VURUP, </w:t>
            </w:r>
            <w:proofErr w:type="spellStart"/>
            <w:r w:rsidRPr="00C82919">
              <w:rPr>
                <w:rFonts w:asciiTheme="majorBidi" w:hAnsiTheme="majorBidi" w:cstheme="majorBidi"/>
                <w:sz w:val="20"/>
                <w:szCs w:val="20"/>
              </w:rPr>
              <w:t>a.s.</w:t>
            </w:r>
            <w:proofErr w:type="spellEnd"/>
            <w:r w:rsidRPr="00C82919">
              <w:rPr>
                <w:rFonts w:asciiTheme="majorBidi" w:hAnsiTheme="majorBidi" w:cstheme="majorBidi"/>
                <w:sz w:val="20"/>
                <w:szCs w:val="20"/>
              </w:rPr>
              <w:t>- Laboratory testing (Slovakia)</w:t>
            </w:r>
          </w:p>
          <w:p w14:paraId="11722A1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Wesmans</w:t>
            </w:r>
            <w:proofErr w:type="spellEnd"/>
            <w:r w:rsidRPr="00C82919">
              <w:rPr>
                <w:rFonts w:asciiTheme="majorBidi" w:hAnsiTheme="majorBidi" w:cstheme="majorBidi"/>
                <w:sz w:val="20"/>
                <w:szCs w:val="20"/>
              </w:rPr>
              <w:t xml:space="preserve"> Scandinavia AB (Sweden)</w:t>
            </w:r>
          </w:p>
          <w:p w14:paraId="63C5288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World Shipping Council (WSC)</w:t>
            </w:r>
          </w:p>
          <w:p w14:paraId="1DB0355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Yara International </w:t>
            </w:r>
          </w:p>
          <w:p w14:paraId="0BFACE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Zhoushan Hazardous Emergency Rescue Base</w:t>
            </w:r>
          </w:p>
          <w:p w14:paraId="2FD0EF6D" w14:textId="77777777" w:rsidR="00C82919" w:rsidRPr="00C82919" w:rsidRDefault="00C82919" w:rsidP="00D763A8">
            <w:pPr>
              <w:pStyle w:val="ListParagraph"/>
              <w:rPr>
                <w:rFonts w:asciiTheme="majorBidi" w:hAnsiTheme="majorBidi" w:cstheme="majorBidi"/>
                <w:sz w:val="20"/>
                <w:szCs w:val="20"/>
              </w:rPr>
            </w:pPr>
          </w:p>
        </w:tc>
      </w:tr>
      <w:tr w:rsidR="009717CC" w:rsidRPr="009717CC" w14:paraId="03865EA9" w14:textId="77777777" w:rsidTr="00D763A8">
        <w:tc>
          <w:tcPr>
            <w:tcW w:w="5000" w:type="pct"/>
            <w:gridSpan w:val="2"/>
            <w:shd w:val="clear" w:color="auto" w:fill="95B3D7" w:themeFill="accent1" w:themeFillTint="99"/>
          </w:tcPr>
          <w:p w14:paraId="5E4E790A" w14:textId="77777777" w:rsidR="009717CC" w:rsidRPr="009717CC" w:rsidRDefault="009717CC" w:rsidP="00D763A8">
            <w:pPr>
              <w:rPr>
                <w:rFonts w:asciiTheme="majorBidi" w:hAnsiTheme="majorBidi" w:cstheme="majorBidi"/>
                <w:sz w:val="22"/>
                <w:szCs w:val="22"/>
              </w:rPr>
            </w:pPr>
            <w:r w:rsidRPr="009717CC">
              <w:rPr>
                <w:rFonts w:asciiTheme="majorBidi" w:hAnsiTheme="majorBidi" w:cstheme="majorBidi"/>
                <w:b/>
                <w:bCs/>
                <w:sz w:val="22"/>
                <w:szCs w:val="22"/>
              </w:rPr>
              <w:lastRenderedPageBreak/>
              <w:t>Universities and national research institutes</w:t>
            </w:r>
          </w:p>
        </w:tc>
      </w:tr>
      <w:tr w:rsidR="009717CC" w:rsidRPr="009717CC" w14:paraId="7739F7C2" w14:textId="77777777" w:rsidTr="00D763A8">
        <w:tc>
          <w:tcPr>
            <w:tcW w:w="1095" w:type="pct"/>
            <w:shd w:val="clear" w:color="auto" w:fill="DBE5F1" w:themeFill="accent1" w:themeFillTint="33"/>
          </w:tcPr>
          <w:p w14:paraId="54EA2DB2" w14:textId="77777777" w:rsidR="009717CC" w:rsidRPr="009717CC" w:rsidRDefault="009717CC" w:rsidP="00D763A8">
            <w:pPr>
              <w:rPr>
                <w:rFonts w:asciiTheme="majorBidi" w:hAnsiTheme="majorBidi" w:cstheme="majorBidi"/>
                <w:b/>
                <w:bCs/>
              </w:rPr>
            </w:pPr>
            <w:r w:rsidRPr="009717CC">
              <w:rPr>
                <w:rFonts w:asciiTheme="majorBidi" w:hAnsiTheme="majorBidi" w:cstheme="majorBidi"/>
                <w:b/>
                <w:bCs/>
              </w:rPr>
              <w:t>Country</w:t>
            </w:r>
          </w:p>
        </w:tc>
        <w:tc>
          <w:tcPr>
            <w:tcW w:w="3905" w:type="pct"/>
            <w:shd w:val="clear" w:color="auto" w:fill="DBE5F1" w:themeFill="accent1" w:themeFillTint="33"/>
          </w:tcPr>
          <w:p w14:paraId="36E7D743" w14:textId="77777777" w:rsidR="009717CC" w:rsidRPr="009717CC" w:rsidRDefault="009717CC" w:rsidP="00D763A8">
            <w:pPr>
              <w:rPr>
                <w:rFonts w:asciiTheme="majorBidi" w:hAnsiTheme="majorBidi" w:cstheme="majorBidi"/>
                <w:b/>
                <w:bCs/>
              </w:rPr>
            </w:pPr>
            <w:r w:rsidRPr="009717CC">
              <w:rPr>
                <w:rFonts w:asciiTheme="majorBidi" w:hAnsiTheme="majorBidi" w:cstheme="majorBidi"/>
                <w:b/>
                <w:bCs/>
              </w:rPr>
              <w:t>Name</w:t>
            </w:r>
          </w:p>
        </w:tc>
      </w:tr>
      <w:tr w:rsidR="009717CC" w:rsidRPr="009717CC" w14:paraId="2E15034C" w14:textId="77777777" w:rsidTr="00D763A8">
        <w:tc>
          <w:tcPr>
            <w:tcW w:w="1095" w:type="pct"/>
          </w:tcPr>
          <w:p w14:paraId="05E2C631" w14:textId="77777777" w:rsidR="009717CC" w:rsidRPr="009717CC" w:rsidRDefault="009717CC" w:rsidP="00D763A8">
            <w:pPr>
              <w:rPr>
                <w:rFonts w:asciiTheme="majorBidi" w:hAnsiTheme="majorBidi" w:cstheme="majorBidi"/>
              </w:rPr>
            </w:pPr>
            <w:r w:rsidRPr="009717CC">
              <w:rPr>
                <w:rFonts w:asciiTheme="majorBidi" w:hAnsiTheme="majorBidi" w:cstheme="majorBidi"/>
              </w:rPr>
              <w:t>Canada</w:t>
            </w:r>
          </w:p>
        </w:tc>
        <w:tc>
          <w:tcPr>
            <w:tcW w:w="3905" w:type="pct"/>
          </w:tcPr>
          <w:p w14:paraId="67D9EAE3"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noProof/>
                <w:sz w:val="20"/>
                <w:szCs w:val="20"/>
              </w:rPr>
              <w:t xml:space="preserve">Université de Sherbrooke, Quebec, Canada </w:t>
            </w:r>
          </w:p>
        </w:tc>
      </w:tr>
      <w:tr w:rsidR="008765BF" w:rsidRPr="009717CC" w14:paraId="7C56B374" w14:textId="77777777" w:rsidTr="00D763A8">
        <w:tc>
          <w:tcPr>
            <w:tcW w:w="1095" w:type="pct"/>
          </w:tcPr>
          <w:p w14:paraId="266165D4" w14:textId="77EDB697" w:rsidR="008765BF" w:rsidRPr="009717CC" w:rsidRDefault="008765BF" w:rsidP="008765BF">
            <w:pPr>
              <w:rPr>
                <w:rFonts w:asciiTheme="majorBidi" w:hAnsiTheme="majorBidi" w:cstheme="majorBidi"/>
              </w:rPr>
            </w:pPr>
            <w:r w:rsidRPr="008B3281">
              <w:rPr>
                <w:rFonts w:asciiTheme="majorBidi" w:hAnsiTheme="majorBidi" w:cstheme="majorBidi"/>
                <w:lang w:val="en-GB"/>
              </w:rPr>
              <w:t>China</w:t>
            </w:r>
          </w:p>
        </w:tc>
        <w:tc>
          <w:tcPr>
            <w:tcW w:w="3905" w:type="pct"/>
          </w:tcPr>
          <w:p w14:paraId="018C3EED" w14:textId="7582B5EA" w:rsidR="008765BF" w:rsidRPr="009717CC" w:rsidRDefault="008765BF" w:rsidP="008765BF">
            <w:pPr>
              <w:pStyle w:val="ListParagraph"/>
              <w:numPr>
                <w:ilvl w:val="0"/>
                <w:numId w:val="35"/>
              </w:numPr>
              <w:spacing w:after="0" w:line="240" w:lineRule="auto"/>
              <w:ind w:left="339" w:hanging="270"/>
              <w:rPr>
                <w:rFonts w:asciiTheme="majorBidi" w:hAnsiTheme="majorBidi" w:cstheme="majorBidi"/>
                <w:noProof/>
                <w:sz w:val="20"/>
                <w:szCs w:val="20"/>
              </w:rPr>
            </w:pPr>
            <w:r w:rsidRPr="008B3281">
              <w:rPr>
                <w:rFonts w:asciiTheme="majorBidi" w:hAnsiTheme="majorBidi" w:cstheme="majorBidi"/>
                <w:sz w:val="20"/>
                <w:szCs w:val="20"/>
                <w:lang w:val="en-GB"/>
              </w:rPr>
              <w:t xml:space="preserve">Beijing </w:t>
            </w:r>
            <w:proofErr w:type="spellStart"/>
            <w:r w:rsidRPr="008B3281">
              <w:rPr>
                <w:rFonts w:asciiTheme="majorBidi" w:hAnsiTheme="majorBidi" w:cstheme="majorBidi"/>
                <w:sz w:val="20"/>
                <w:szCs w:val="20"/>
                <w:lang w:val="en-GB"/>
              </w:rPr>
              <w:t>Jiaotong</w:t>
            </w:r>
            <w:proofErr w:type="spellEnd"/>
            <w:r w:rsidRPr="008B3281">
              <w:rPr>
                <w:rFonts w:asciiTheme="majorBidi" w:hAnsiTheme="majorBidi" w:cstheme="majorBidi"/>
                <w:sz w:val="20"/>
                <w:szCs w:val="20"/>
                <w:lang w:val="en-GB"/>
              </w:rPr>
              <w:t xml:space="preserve"> University</w:t>
            </w:r>
          </w:p>
        </w:tc>
      </w:tr>
      <w:tr w:rsidR="009717CC" w:rsidRPr="009717CC" w14:paraId="1852DBD1" w14:textId="77777777" w:rsidTr="00D763A8">
        <w:tc>
          <w:tcPr>
            <w:tcW w:w="1095" w:type="pct"/>
          </w:tcPr>
          <w:p w14:paraId="772C459C" w14:textId="77777777" w:rsidR="009717CC" w:rsidRPr="009717CC" w:rsidRDefault="009717CC" w:rsidP="00D763A8">
            <w:pPr>
              <w:rPr>
                <w:rFonts w:asciiTheme="majorBidi" w:hAnsiTheme="majorBidi" w:cstheme="majorBidi"/>
              </w:rPr>
            </w:pPr>
            <w:r w:rsidRPr="009717CC">
              <w:rPr>
                <w:rFonts w:asciiTheme="majorBidi" w:hAnsiTheme="majorBidi" w:cstheme="majorBidi"/>
              </w:rPr>
              <w:t>Costa Rica</w:t>
            </w:r>
          </w:p>
        </w:tc>
        <w:tc>
          <w:tcPr>
            <w:tcW w:w="3905" w:type="pct"/>
          </w:tcPr>
          <w:p w14:paraId="78776B0D"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Costa Rica</w:t>
            </w:r>
          </w:p>
        </w:tc>
      </w:tr>
      <w:tr w:rsidR="009717CC" w:rsidRPr="009717CC" w14:paraId="47C341E2" w14:textId="77777777" w:rsidTr="00D763A8">
        <w:tc>
          <w:tcPr>
            <w:tcW w:w="1095" w:type="pct"/>
          </w:tcPr>
          <w:p w14:paraId="3DC7B1C6" w14:textId="77777777" w:rsidR="009717CC" w:rsidRPr="009717CC" w:rsidRDefault="009717CC" w:rsidP="00D763A8">
            <w:pPr>
              <w:rPr>
                <w:rFonts w:asciiTheme="majorBidi" w:hAnsiTheme="majorBidi" w:cstheme="majorBidi"/>
              </w:rPr>
            </w:pPr>
            <w:r w:rsidRPr="009717CC">
              <w:rPr>
                <w:rFonts w:asciiTheme="majorBidi" w:hAnsiTheme="majorBidi" w:cstheme="majorBidi"/>
              </w:rPr>
              <w:t>Belarus</w:t>
            </w:r>
          </w:p>
        </w:tc>
        <w:tc>
          <w:tcPr>
            <w:tcW w:w="3905" w:type="pct"/>
          </w:tcPr>
          <w:p w14:paraId="30FBD265"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State Educational Institution, University of Civil Defense of the Ministry of Emergency Situations of the Republic of Belarus</w:t>
            </w:r>
          </w:p>
        </w:tc>
      </w:tr>
      <w:tr w:rsidR="009717CC" w:rsidRPr="009717CC" w14:paraId="01B46FB0" w14:textId="77777777" w:rsidTr="00D763A8">
        <w:tc>
          <w:tcPr>
            <w:tcW w:w="1095" w:type="pct"/>
          </w:tcPr>
          <w:p w14:paraId="28C36919" w14:textId="77777777" w:rsidR="009717CC" w:rsidRPr="009717CC" w:rsidRDefault="009717CC" w:rsidP="00D763A8">
            <w:pPr>
              <w:rPr>
                <w:rFonts w:asciiTheme="majorBidi" w:hAnsiTheme="majorBidi" w:cstheme="majorBidi"/>
              </w:rPr>
            </w:pPr>
            <w:r w:rsidRPr="009717CC">
              <w:rPr>
                <w:rFonts w:asciiTheme="majorBidi" w:hAnsiTheme="majorBidi" w:cstheme="majorBidi"/>
              </w:rPr>
              <w:t>Finland</w:t>
            </w:r>
          </w:p>
        </w:tc>
        <w:tc>
          <w:tcPr>
            <w:tcW w:w="3905" w:type="pct"/>
          </w:tcPr>
          <w:p w14:paraId="6BA3B06E"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Finnish </w:t>
            </w:r>
            <w:proofErr w:type="spellStart"/>
            <w:r w:rsidRPr="009717CC">
              <w:rPr>
                <w:rFonts w:asciiTheme="majorBidi" w:hAnsiTheme="majorBidi" w:cstheme="majorBidi"/>
                <w:sz w:val="20"/>
                <w:szCs w:val="20"/>
              </w:rPr>
              <w:t>Defence</w:t>
            </w:r>
            <w:proofErr w:type="spellEnd"/>
            <w:r w:rsidRPr="009717CC">
              <w:rPr>
                <w:rFonts w:asciiTheme="majorBidi" w:hAnsiTheme="majorBidi" w:cstheme="majorBidi"/>
                <w:sz w:val="20"/>
                <w:szCs w:val="20"/>
              </w:rPr>
              <w:t xml:space="preserve"> Research Agency (FDRA)</w:t>
            </w:r>
          </w:p>
        </w:tc>
      </w:tr>
      <w:tr w:rsidR="009717CC" w:rsidRPr="009717CC" w14:paraId="67F7F806" w14:textId="77777777" w:rsidTr="00D763A8">
        <w:tc>
          <w:tcPr>
            <w:tcW w:w="1095" w:type="pct"/>
          </w:tcPr>
          <w:p w14:paraId="022D7301" w14:textId="77777777" w:rsidR="009717CC" w:rsidRPr="009717CC" w:rsidRDefault="009717CC" w:rsidP="00D763A8">
            <w:pPr>
              <w:rPr>
                <w:rFonts w:asciiTheme="majorBidi" w:hAnsiTheme="majorBidi" w:cstheme="majorBidi"/>
              </w:rPr>
            </w:pPr>
            <w:r w:rsidRPr="009717CC">
              <w:rPr>
                <w:rFonts w:asciiTheme="majorBidi" w:hAnsiTheme="majorBidi" w:cstheme="majorBidi"/>
              </w:rPr>
              <w:t>France</w:t>
            </w:r>
          </w:p>
        </w:tc>
        <w:tc>
          <w:tcPr>
            <w:tcW w:w="3905" w:type="pct"/>
          </w:tcPr>
          <w:p w14:paraId="24A1AC75"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National Institute for Industrial Environment and Risks (</w:t>
            </w:r>
            <w:proofErr w:type="spellStart"/>
            <w:r w:rsidRPr="009717CC">
              <w:rPr>
                <w:rFonts w:asciiTheme="majorBidi" w:hAnsiTheme="majorBidi" w:cstheme="majorBidi"/>
                <w:sz w:val="20"/>
                <w:szCs w:val="20"/>
              </w:rPr>
              <w:t>Ineris</w:t>
            </w:r>
            <w:proofErr w:type="spellEnd"/>
            <w:r w:rsidRPr="009717CC">
              <w:rPr>
                <w:rFonts w:asciiTheme="majorBidi" w:hAnsiTheme="majorBidi" w:cstheme="majorBidi"/>
                <w:sz w:val="20"/>
                <w:szCs w:val="20"/>
              </w:rPr>
              <w:t>)</w:t>
            </w:r>
          </w:p>
          <w:p w14:paraId="6961CCBA"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Sciences Po</w:t>
            </w:r>
          </w:p>
        </w:tc>
      </w:tr>
      <w:tr w:rsidR="009717CC" w:rsidRPr="009717CC" w14:paraId="7D7061FC" w14:textId="77777777" w:rsidTr="00D763A8">
        <w:tc>
          <w:tcPr>
            <w:tcW w:w="1095" w:type="pct"/>
          </w:tcPr>
          <w:p w14:paraId="2EF2F312" w14:textId="77777777" w:rsidR="009717CC" w:rsidRPr="009717CC" w:rsidRDefault="009717CC" w:rsidP="00D763A8">
            <w:pPr>
              <w:rPr>
                <w:rFonts w:asciiTheme="majorBidi" w:hAnsiTheme="majorBidi" w:cstheme="majorBidi"/>
              </w:rPr>
            </w:pPr>
            <w:r w:rsidRPr="009717CC">
              <w:rPr>
                <w:rFonts w:asciiTheme="majorBidi" w:hAnsiTheme="majorBidi" w:cstheme="majorBidi"/>
              </w:rPr>
              <w:t>Germany</w:t>
            </w:r>
          </w:p>
        </w:tc>
        <w:tc>
          <w:tcPr>
            <w:tcW w:w="3905" w:type="pct"/>
          </w:tcPr>
          <w:p w14:paraId="3963BACD" w14:textId="77777777" w:rsidR="009717CC" w:rsidRPr="009717CC" w:rsidRDefault="009717CC" w:rsidP="009717CC">
            <w:pPr>
              <w:pStyle w:val="ListParagraph"/>
              <w:numPr>
                <w:ilvl w:val="0"/>
                <w:numId w:val="35"/>
              </w:numPr>
              <w:ind w:left="339" w:hanging="270"/>
              <w:rPr>
                <w:rFonts w:asciiTheme="majorBidi" w:hAnsiTheme="majorBidi" w:cstheme="majorBidi"/>
                <w:sz w:val="20"/>
                <w:szCs w:val="20"/>
              </w:rPr>
            </w:pPr>
            <w:r w:rsidRPr="009717CC">
              <w:rPr>
                <w:rFonts w:asciiTheme="majorBidi" w:hAnsiTheme="majorBidi" w:cstheme="majorBidi"/>
                <w:sz w:val="20"/>
                <w:szCs w:val="20"/>
              </w:rPr>
              <w:t>Federal Institute for Materials Research and Testing (BAM)</w:t>
            </w:r>
          </w:p>
          <w:p w14:paraId="42022C54"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Federal Institute of Risk Assessment </w:t>
            </w:r>
          </w:p>
          <w:p w14:paraId="686B74E5"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LUBW State Institute for Environment Baden-Württemberg</w:t>
            </w:r>
          </w:p>
        </w:tc>
      </w:tr>
      <w:tr w:rsidR="009717CC" w:rsidRPr="009717CC" w14:paraId="4D2329ED" w14:textId="77777777" w:rsidTr="00D763A8">
        <w:tc>
          <w:tcPr>
            <w:tcW w:w="1095" w:type="pct"/>
          </w:tcPr>
          <w:p w14:paraId="5B6BF6DB" w14:textId="77777777" w:rsidR="009717CC" w:rsidRPr="009717CC" w:rsidRDefault="009717CC" w:rsidP="00D763A8">
            <w:pPr>
              <w:rPr>
                <w:rFonts w:asciiTheme="majorBidi" w:hAnsiTheme="majorBidi" w:cstheme="majorBidi"/>
              </w:rPr>
            </w:pPr>
            <w:r w:rsidRPr="009717CC">
              <w:rPr>
                <w:rFonts w:asciiTheme="majorBidi" w:hAnsiTheme="majorBidi" w:cstheme="majorBidi"/>
              </w:rPr>
              <w:t>Jamaica</w:t>
            </w:r>
          </w:p>
        </w:tc>
        <w:tc>
          <w:tcPr>
            <w:tcW w:w="3905" w:type="pct"/>
          </w:tcPr>
          <w:p w14:paraId="57EA2891"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Technology</w:t>
            </w:r>
          </w:p>
        </w:tc>
      </w:tr>
      <w:tr w:rsidR="009717CC" w:rsidRPr="009717CC" w14:paraId="0F6E4984" w14:textId="77777777" w:rsidTr="00D763A8">
        <w:tc>
          <w:tcPr>
            <w:tcW w:w="1095" w:type="pct"/>
          </w:tcPr>
          <w:p w14:paraId="590C4E79" w14:textId="77777777" w:rsidR="009717CC" w:rsidRPr="009717CC" w:rsidRDefault="009717CC" w:rsidP="00D763A8">
            <w:pPr>
              <w:rPr>
                <w:rFonts w:asciiTheme="majorBidi" w:hAnsiTheme="majorBidi" w:cstheme="majorBidi"/>
              </w:rPr>
            </w:pPr>
            <w:r w:rsidRPr="009717CC">
              <w:rPr>
                <w:rFonts w:asciiTheme="majorBidi" w:hAnsiTheme="majorBidi" w:cstheme="majorBidi"/>
              </w:rPr>
              <w:t>Japan</w:t>
            </w:r>
          </w:p>
        </w:tc>
        <w:tc>
          <w:tcPr>
            <w:tcW w:w="3905" w:type="pct"/>
          </w:tcPr>
          <w:p w14:paraId="482B6EF1"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National Institute of Advanced Industrial Science and Technology (AIST) </w:t>
            </w:r>
          </w:p>
          <w:p w14:paraId="454BFE79"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National Institute of Occupational Safety and Health</w:t>
            </w:r>
          </w:p>
        </w:tc>
      </w:tr>
      <w:tr w:rsidR="009717CC" w:rsidRPr="009717CC" w14:paraId="65942978" w14:textId="77777777" w:rsidTr="00D763A8">
        <w:tc>
          <w:tcPr>
            <w:tcW w:w="1095" w:type="pct"/>
          </w:tcPr>
          <w:p w14:paraId="15071377" w14:textId="77777777" w:rsidR="009717CC" w:rsidRPr="009717CC" w:rsidRDefault="009717CC" w:rsidP="00D763A8">
            <w:pPr>
              <w:rPr>
                <w:rFonts w:asciiTheme="majorBidi" w:hAnsiTheme="majorBidi" w:cstheme="majorBidi"/>
              </w:rPr>
            </w:pPr>
            <w:r w:rsidRPr="009717CC">
              <w:rPr>
                <w:rFonts w:asciiTheme="majorBidi" w:hAnsiTheme="majorBidi" w:cstheme="majorBidi"/>
              </w:rPr>
              <w:t>Lebanon</w:t>
            </w:r>
          </w:p>
        </w:tc>
        <w:tc>
          <w:tcPr>
            <w:tcW w:w="3905" w:type="pct"/>
          </w:tcPr>
          <w:p w14:paraId="4B826CC9"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American University of Beirut</w:t>
            </w:r>
          </w:p>
        </w:tc>
      </w:tr>
      <w:tr w:rsidR="009717CC" w:rsidRPr="009717CC" w14:paraId="07628515" w14:textId="77777777" w:rsidTr="00D763A8">
        <w:tc>
          <w:tcPr>
            <w:tcW w:w="1095" w:type="pct"/>
          </w:tcPr>
          <w:p w14:paraId="0007C141" w14:textId="77777777" w:rsidR="009717CC" w:rsidRPr="009717CC" w:rsidRDefault="009717CC" w:rsidP="00D763A8">
            <w:pPr>
              <w:rPr>
                <w:rFonts w:asciiTheme="majorBidi" w:hAnsiTheme="majorBidi" w:cstheme="majorBidi"/>
              </w:rPr>
            </w:pPr>
            <w:r w:rsidRPr="009717CC">
              <w:rPr>
                <w:rFonts w:asciiTheme="majorBidi" w:hAnsiTheme="majorBidi" w:cstheme="majorBidi"/>
              </w:rPr>
              <w:t>Netherlands</w:t>
            </w:r>
          </w:p>
        </w:tc>
        <w:tc>
          <w:tcPr>
            <w:tcW w:w="3905" w:type="pct"/>
          </w:tcPr>
          <w:p w14:paraId="448D9A3A" w14:textId="77777777" w:rsidR="009717CC" w:rsidRPr="009717CC" w:rsidRDefault="009717CC" w:rsidP="009717CC">
            <w:pPr>
              <w:pStyle w:val="ListParagraph"/>
              <w:numPr>
                <w:ilvl w:val="0"/>
                <w:numId w:val="35"/>
              </w:numPr>
              <w:ind w:left="339" w:hanging="270"/>
              <w:rPr>
                <w:rFonts w:asciiTheme="majorBidi" w:hAnsiTheme="majorBidi" w:cstheme="majorBidi"/>
                <w:sz w:val="20"/>
                <w:szCs w:val="20"/>
              </w:rPr>
            </w:pPr>
            <w:r w:rsidRPr="009717CC">
              <w:rPr>
                <w:rFonts w:asciiTheme="majorBidi" w:hAnsiTheme="majorBidi" w:cstheme="majorBidi"/>
                <w:sz w:val="20"/>
                <w:szCs w:val="20"/>
              </w:rPr>
              <w:t>National Institute for Public Health and the Environment (RIVM)</w:t>
            </w:r>
          </w:p>
        </w:tc>
      </w:tr>
      <w:tr w:rsidR="009717CC" w:rsidRPr="009717CC" w14:paraId="5C5AC00B" w14:textId="77777777" w:rsidTr="00D763A8">
        <w:tc>
          <w:tcPr>
            <w:tcW w:w="1095" w:type="pct"/>
          </w:tcPr>
          <w:p w14:paraId="699827DB" w14:textId="77777777" w:rsidR="009717CC" w:rsidRPr="009717CC" w:rsidRDefault="009717CC" w:rsidP="00D763A8">
            <w:pPr>
              <w:rPr>
                <w:rFonts w:asciiTheme="majorBidi" w:hAnsiTheme="majorBidi" w:cstheme="majorBidi"/>
              </w:rPr>
            </w:pPr>
            <w:r w:rsidRPr="009717CC">
              <w:rPr>
                <w:rFonts w:asciiTheme="majorBidi" w:hAnsiTheme="majorBidi" w:cstheme="majorBidi"/>
              </w:rPr>
              <w:t>Norway</w:t>
            </w:r>
          </w:p>
        </w:tc>
        <w:tc>
          <w:tcPr>
            <w:tcW w:w="3905" w:type="pct"/>
          </w:tcPr>
          <w:p w14:paraId="0D3DE35D"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Norwegian </w:t>
            </w:r>
            <w:proofErr w:type="spellStart"/>
            <w:r w:rsidRPr="009717CC">
              <w:rPr>
                <w:rFonts w:asciiTheme="majorBidi" w:hAnsiTheme="majorBidi" w:cstheme="majorBidi"/>
                <w:sz w:val="20"/>
                <w:szCs w:val="20"/>
              </w:rPr>
              <w:t>Defence</w:t>
            </w:r>
            <w:proofErr w:type="spellEnd"/>
            <w:r w:rsidRPr="009717CC">
              <w:rPr>
                <w:rFonts w:asciiTheme="majorBidi" w:hAnsiTheme="majorBidi" w:cstheme="majorBidi"/>
                <w:sz w:val="20"/>
                <w:szCs w:val="20"/>
              </w:rPr>
              <w:t xml:space="preserve"> Research Establishment (FFI)</w:t>
            </w:r>
          </w:p>
          <w:p w14:paraId="1A48225B"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Oslo University Hospital</w:t>
            </w:r>
          </w:p>
        </w:tc>
      </w:tr>
      <w:tr w:rsidR="009717CC" w:rsidRPr="009717CC" w14:paraId="4911F599" w14:textId="77777777" w:rsidTr="00D763A8">
        <w:tc>
          <w:tcPr>
            <w:tcW w:w="1095" w:type="pct"/>
          </w:tcPr>
          <w:p w14:paraId="0D13B2EE" w14:textId="77777777" w:rsidR="009717CC" w:rsidRPr="009717CC" w:rsidRDefault="009717CC" w:rsidP="00D763A8">
            <w:pPr>
              <w:rPr>
                <w:rFonts w:asciiTheme="majorBidi" w:hAnsiTheme="majorBidi" w:cstheme="majorBidi"/>
              </w:rPr>
            </w:pPr>
            <w:r w:rsidRPr="009717CC">
              <w:rPr>
                <w:rFonts w:asciiTheme="majorBidi" w:hAnsiTheme="majorBidi" w:cstheme="majorBidi"/>
              </w:rPr>
              <w:t>Republic of Moldova</w:t>
            </w:r>
          </w:p>
        </w:tc>
        <w:tc>
          <w:tcPr>
            <w:tcW w:w="3905" w:type="pct"/>
          </w:tcPr>
          <w:p w14:paraId="47C41978"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Technical University of Moldova</w:t>
            </w:r>
          </w:p>
        </w:tc>
      </w:tr>
      <w:tr w:rsidR="009717CC" w:rsidRPr="009717CC" w14:paraId="4644B64D" w14:textId="77777777" w:rsidTr="00D763A8">
        <w:tc>
          <w:tcPr>
            <w:tcW w:w="1095" w:type="pct"/>
          </w:tcPr>
          <w:p w14:paraId="5107C2BA" w14:textId="77777777" w:rsidR="009717CC" w:rsidRPr="009717CC" w:rsidRDefault="009717CC" w:rsidP="00D763A8">
            <w:pPr>
              <w:rPr>
                <w:rFonts w:asciiTheme="majorBidi" w:hAnsiTheme="majorBidi" w:cstheme="majorBidi"/>
              </w:rPr>
            </w:pPr>
            <w:r w:rsidRPr="009717CC">
              <w:rPr>
                <w:rFonts w:asciiTheme="majorBidi" w:hAnsiTheme="majorBidi" w:cstheme="majorBidi"/>
              </w:rPr>
              <w:t>Russian Federation</w:t>
            </w:r>
          </w:p>
        </w:tc>
        <w:tc>
          <w:tcPr>
            <w:tcW w:w="3905" w:type="pct"/>
          </w:tcPr>
          <w:p w14:paraId="31C632BC"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All-Russian Scientific Research Institute of Civil </w:t>
            </w:r>
            <w:proofErr w:type="spellStart"/>
            <w:r w:rsidRPr="009717CC">
              <w:rPr>
                <w:rFonts w:asciiTheme="majorBidi" w:hAnsiTheme="majorBidi" w:cstheme="majorBidi"/>
                <w:sz w:val="20"/>
                <w:szCs w:val="20"/>
              </w:rPr>
              <w:t>Defence</w:t>
            </w:r>
            <w:proofErr w:type="spellEnd"/>
            <w:r w:rsidRPr="009717CC">
              <w:rPr>
                <w:rFonts w:asciiTheme="majorBidi" w:hAnsiTheme="majorBidi" w:cstheme="majorBidi"/>
                <w:sz w:val="20"/>
                <w:szCs w:val="20"/>
              </w:rPr>
              <w:t xml:space="preserve"> and Emergencies of the EMERCOM of the Russian Federation (Federal Science and High Technology Center)  </w:t>
            </w:r>
          </w:p>
          <w:p w14:paraId="1B9535FC"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Institute of blast</w:t>
            </w:r>
          </w:p>
        </w:tc>
      </w:tr>
      <w:tr w:rsidR="009717CC" w:rsidRPr="009717CC" w14:paraId="0CF496D2" w14:textId="77777777" w:rsidTr="00D763A8">
        <w:tc>
          <w:tcPr>
            <w:tcW w:w="1095" w:type="pct"/>
          </w:tcPr>
          <w:p w14:paraId="551272D3" w14:textId="77777777" w:rsidR="009717CC" w:rsidRPr="009717CC" w:rsidRDefault="009717CC" w:rsidP="00D763A8">
            <w:pPr>
              <w:rPr>
                <w:rFonts w:asciiTheme="majorBidi" w:hAnsiTheme="majorBidi" w:cstheme="majorBidi"/>
              </w:rPr>
            </w:pPr>
            <w:r w:rsidRPr="009717CC">
              <w:rPr>
                <w:rFonts w:asciiTheme="majorBidi" w:hAnsiTheme="majorBidi" w:cstheme="majorBidi"/>
              </w:rPr>
              <w:t>South Africa</w:t>
            </w:r>
          </w:p>
        </w:tc>
        <w:tc>
          <w:tcPr>
            <w:tcW w:w="3905" w:type="pct"/>
          </w:tcPr>
          <w:p w14:paraId="3FCBF41A"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North-West University</w:t>
            </w:r>
          </w:p>
          <w:p w14:paraId="0E604F0F"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University of Kwazulu-Natal </w:t>
            </w:r>
          </w:p>
          <w:p w14:paraId="1FC59C1D"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Johannesburg</w:t>
            </w:r>
          </w:p>
          <w:p w14:paraId="7B02B7B5"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Pretoria</w:t>
            </w:r>
          </w:p>
          <w:p w14:paraId="324E9D48"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Cape Peninsula University of Technology</w:t>
            </w:r>
          </w:p>
        </w:tc>
      </w:tr>
      <w:tr w:rsidR="009717CC" w:rsidRPr="009717CC" w14:paraId="780C188F" w14:textId="77777777" w:rsidTr="00D763A8">
        <w:tc>
          <w:tcPr>
            <w:tcW w:w="1095" w:type="pct"/>
          </w:tcPr>
          <w:p w14:paraId="1E4AAA97" w14:textId="77777777" w:rsidR="009717CC" w:rsidRPr="009717CC" w:rsidRDefault="009717CC" w:rsidP="00D763A8">
            <w:pPr>
              <w:rPr>
                <w:rFonts w:asciiTheme="majorBidi" w:hAnsiTheme="majorBidi" w:cstheme="majorBidi"/>
              </w:rPr>
            </w:pPr>
            <w:r w:rsidRPr="009717CC">
              <w:rPr>
                <w:rFonts w:asciiTheme="majorBidi" w:hAnsiTheme="majorBidi" w:cstheme="majorBidi"/>
              </w:rPr>
              <w:t>Suriname</w:t>
            </w:r>
          </w:p>
        </w:tc>
        <w:tc>
          <w:tcPr>
            <w:tcW w:w="3905" w:type="pct"/>
          </w:tcPr>
          <w:p w14:paraId="317F3474"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National Institute for Environment and Development in Suriname (NIMOS)</w:t>
            </w:r>
          </w:p>
        </w:tc>
      </w:tr>
      <w:tr w:rsidR="009717CC" w:rsidRPr="009717CC" w14:paraId="00C6CF4E" w14:textId="77777777" w:rsidTr="00D763A8">
        <w:trPr>
          <w:trHeight w:val="263"/>
        </w:trPr>
        <w:tc>
          <w:tcPr>
            <w:tcW w:w="1095" w:type="pct"/>
          </w:tcPr>
          <w:p w14:paraId="03171EAA" w14:textId="77777777" w:rsidR="009717CC" w:rsidRPr="009717CC" w:rsidRDefault="009717CC" w:rsidP="00D763A8">
            <w:pPr>
              <w:rPr>
                <w:rFonts w:asciiTheme="majorBidi" w:hAnsiTheme="majorBidi" w:cstheme="majorBidi"/>
              </w:rPr>
            </w:pPr>
            <w:r w:rsidRPr="009717CC">
              <w:rPr>
                <w:rFonts w:asciiTheme="majorBidi" w:hAnsiTheme="majorBidi" w:cstheme="majorBidi"/>
              </w:rPr>
              <w:t>Switzerland</w:t>
            </w:r>
          </w:p>
        </w:tc>
        <w:tc>
          <w:tcPr>
            <w:tcW w:w="3905" w:type="pct"/>
          </w:tcPr>
          <w:p w14:paraId="290004D9" w14:textId="6300401B"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Geneva</w:t>
            </w:r>
          </w:p>
        </w:tc>
      </w:tr>
      <w:tr w:rsidR="009717CC" w:rsidRPr="009717CC" w14:paraId="16091B01" w14:textId="77777777" w:rsidTr="00D763A8">
        <w:trPr>
          <w:trHeight w:val="976"/>
        </w:trPr>
        <w:tc>
          <w:tcPr>
            <w:tcW w:w="1095" w:type="pct"/>
          </w:tcPr>
          <w:p w14:paraId="660B9EFA" w14:textId="77777777" w:rsidR="009717CC" w:rsidRPr="009717CC" w:rsidRDefault="009717CC" w:rsidP="00D763A8">
            <w:pPr>
              <w:rPr>
                <w:rFonts w:asciiTheme="majorBidi" w:hAnsiTheme="majorBidi" w:cstheme="majorBidi"/>
              </w:rPr>
            </w:pPr>
            <w:r w:rsidRPr="009717CC">
              <w:rPr>
                <w:rFonts w:asciiTheme="majorBidi" w:hAnsiTheme="majorBidi" w:cstheme="majorBidi"/>
              </w:rPr>
              <w:lastRenderedPageBreak/>
              <w:t>United Kingdom of Great Britain and Northern Ireland</w:t>
            </w:r>
          </w:p>
        </w:tc>
        <w:tc>
          <w:tcPr>
            <w:tcW w:w="3905" w:type="pct"/>
          </w:tcPr>
          <w:p w14:paraId="66DECD23"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Cambridge</w:t>
            </w:r>
          </w:p>
          <w:p w14:paraId="0C70A7BC"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College London</w:t>
            </w:r>
          </w:p>
          <w:p w14:paraId="58DF9FFA"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Sherbrooke</w:t>
            </w:r>
          </w:p>
        </w:tc>
      </w:tr>
      <w:tr w:rsidR="009717CC" w:rsidRPr="009717CC" w14:paraId="597D4B2F" w14:textId="77777777" w:rsidTr="00D763A8">
        <w:tc>
          <w:tcPr>
            <w:tcW w:w="1095" w:type="pct"/>
          </w:tcPr>
          <w:p w14:paraId="765DBF64" w14:textId="77777777" w:rsidR="009717CC" w:rsidRPr="009717CC" w:rsidRDefault="009717CC" w:rsidP="00D763A8">
            <w:pPr>
              <w:rPr>
                <w:rFonts w:asciiTheme="majorBidi" w:hAnsiTheme="majorBidi" w:cstheme="majorBidi"/>
              </w:rPr>
            </w:pPr>
            <w:r w:rsidRPr="009717CC">
              <w:rPr>
                <w:rFonts w:asciiTheme="majorBidi" w:hAnsiTheme="majorBidi" w:cstheme="majorBidi"/>
              </w:rPr>
              <w:t>United States of America</w:t>
            </w:r>
          </w:p>
        </w:tc>
        <w:tc>
          <w:tcPr>
            <w:tcW w:w="3905" w:type="pct"/>
          </w:tcPr>
          <w:p w14:paraId="05844ADB"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Alabama</w:t>
            </w:r>
          </w:p>
          <w:p w14:paraId="3F3859D9"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Texas A&amp;M University System (TEES Mary Kay O'Connor Process Safety Center)</w:t>
            </w:r>
          </w:p>
          <w:p w14:paraId="6FDBACB3" w14:textId="77777777" w:rsidR="009717CC" w:rsidRPr="009717CC" w:rsidRDefault="009717CC" w:rsidP="00D763A8">
            <w:pPr>
              <w:pStyle w:val="ListParagraph"/>
              <w:ind w:left="339"/>
              <w:rPr>
                <w:rFonts w:asciiTheme="majorBidi" w:hAnsiTheme="majorBidi" w:cstheme="majorBidi"/>
                <w:sz w:val="20"/>
                <w:szCs w:val="20"/>
              </w:rPr>
            </w:pPr>
          </w:p>
        </w:tc>
      </w:tr>
    </w:tbl>
    <w:p w14:paraId="1D4E4234" w14:textId="74E8BB7C" w:rsidR="009717CC" w:rsidRPr="003B5CD1" w:rsidRDefault="003B5CD1" w:rsidP="003B5CD1">
      <w:pPr>
        <w:spacing w:before="240"/>
        <w:jc w:val="center"/>
        <w:rPr>
          <w:u w:val="single"/>
        </w:rPr>
      </w:pPr>
      <w:r>
        <w:rPr>
          <w:u w:val="single"/>
        </w:rPr>
        <w:tab/>
      </w:r>
      <w:r>
        <w:rPr>
          <w:u w:val="single"/>
        </w:rPr>
        <w:tab/>
      </w:r>
      <w:r>
        <w:rPr>
          <w:u w:val="single"/>
        </w:rPr>
        <w:tab/>
      </w:r>
    </w:p>
    <w:sectPr w:rsidR="009717CC" w:rsidRPr="003B5CD1" w:rsidSect="00D544E0">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26FF" w14:textId="77777777" w:rsidR="00FD64FC" w:rsidRPr="00C47B2E" w:rsidRDefault="00FD64FC" w:rsidP="00C47B2E">
      <w:pPr>
        <w:pStyle w:val="Footer"/>
      </w:pPr>
    </w:p>
  </w:endnote>
  <w:endnote w:type="continuationSeparator" w:id="0">
    <w:p w14:paraId="751B48D7" w14:textId="77777777" w:rsidR="00FD64FC" w:rsidRPr="00C47B2E" w:rsidRDefault="00FD64FC" w:rsidP="00C47B2E">
      <w:pPr>
        <w:pStyle w:val="Footer"/>
      </w:pPr>
    </w:p>
  </w:endnote>
  <w:endnote w:type="continuationNotice" w:id="1">
    <w:p w14:paraId="7E07F846" w14:textId="77777777" w:rsidR="00FD64FC" w:rsidRPr="00C47B2E" w:rsidRDefault="00FD64F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90C1" w14:textId="482B456D" w:rsidR="00D94B05" w:rsidRPr="00795847" w:rsidRDefault="00795847" w:rsidP="00795847">
    <w:pPr>
      <w:pStyle w:val="Footer"/>
      <w:tabs>
        <w:tab w:val="right" w:pos="9598"/>
        <w:tab w:val="right" w:pos="9638"/>
      </w:tabs>
      <w:rPr>
        <w:sz w:val="18"/>
      </w:rPr>
    </w:pPr>
    <w:r w:rsidRPr="00795847">
      <w:rPr>
        <w:b/>
        <w:sz w:val="18"/>
      </w:rPr>
      <w:fldChar w:fldCharType="begin"/>
    </w:r>
    <w:r w:rsidRPr="00795847">
      <w:rPr>
        <w:b/>
        <w:sz w:val="18"/>
      </w:rPr>
      <w:instrText xml:space="preserve"> PAGE  \* MERGEFORMAT </w:instrText>
    </w:r>
    <w:r w:rsidRPr="00795847">
      <w:rPr>
        <w:b/>
        <w:sz w:val="18"/>
      </w:rPr>
      <w:fldChar w:fldCharType="separate"/>
    </w:r>
    <w:r w:rsidRPr="00795847">
      <w:rPr>
        <w:b/>
        <w:noProof/>
        <w:sz w:val="18"/>
      </w:rPr>
      <w:t>2</w:t>
    </w:r>
    <w:r w:rsidRPr="007958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5873" w14:textId="7663EE9A" w:rsidR="00D94B05" w:rsidRPr="0041656F" w:rsidRDefault="00F966E1" w:rsidP="00795847">
    <w:pPr>
      <w:pStyle w:val="Footer"/>
      <w:tabs>
        <w:tab w:val="left" w:pos="5775"/>
        <w:tab w:val="right" w:pos="9598"/>
        <w:tab w:val="right" w:pos="9638"/>
      </w:tabs>
      <w:rPr>
        <w:b/>
        <w:bCs/>
        <w:sz w:val="18"/>
      </w:rPr>
    </w:pPr>
    <w:r>
      <w:rPr>
        <w:b/>
        <w:sz w:val="18"/>
      </w:rPr>
      <w:tab/>
    </w:r>
    <w:r w:rsidR="00795847">
      <w:rPr>
        <w:b/>
        <w:sz w:val="18"/>
      </w:rPr>
      <w:tab/>
    </w:r>
    <w:r w:rsidR="00795847" w:rsidRPr="0041656F">
      <w:rPr>
        <w:b/>
        <w:bCs/>
        <w:sz w:val="18"/>
      </w:rPr>
      <w:fldChar w:fldCharType="begin"/>
    </w:r>
    <w:r w:rsidR="00795847" w:rsidRPr="0041108F">
      <w:rPr>
        <w:b/>
        <w:bCs/>
        <w:sz w:val="18"/>
      </w:rPr>
      <w:instrText xml:space="preserve"> PAGE  \* MERGEFORMAT </w:instrText>
    </w:r>
    <w:r w:rsidR="00795847" w:rsidRPr="0041656F">
      <w:rPr>
        <w:b/>
        <w:bCs/>
        <w:sz w:val="18"/>
      </w:rPr>
      <w:fldChar w:fldCharType="separate"/>
    </w:r>
    <w:r w:rsidR="00795847" w:rsidRPr="0041108F">
      <w:rPr>
        <w:b/>
        <w:bCs/>
        <w:noProof/>
        <w:sz w:val="18"/>
      </w:rPr>
      <w:t>3</w:t>
    </w:r>
    <w:r w:rsidR="00795847" w:rsidRPr="0041656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B694" w14:textId="77777777" w:rsidR="00D94B05" w:rsidRPr="0079584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7216" behindDoc="0" locked="1" layoutInCell="1" allowOverlap="1" wp14:anchorId="6DD4E342" wp14:editId="1B1F4933">
          <wp:simplePos x="0" y="0"/>
          <wp:positionH relativeFrom="margin">
            <wp:posOffset>5003800</wp:posOffset>
          </wp:positionH>
          <wp:positionV relativeFrom="margin">
            <wp:posOffset>9323705</wp:posOffset>
          </wp:positionV>
          <wp:extent cx="923925" cy="228600"/>
          <wp:effectExtent l="0" t="0" r="9525" b="0"/>
          <wp:wrapNone/>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052F" w14:textId="77777777" w:rsidR="00FD64FC" w:rsidRPr="00C47B2E" w:rsidRDefault="00FD64FC" w:rsidP="00C47B2E">
      <w:pPr>
        <w:tabs>
          <w:tab w:val="right" w:pos="2155"/>
        </w:tabs>
        <w:spacing w:after="80" w:line="240" w:lineRule="auto"/>
        <w:ind w:left="680"/>
      </w:pPr>
      <w:r>
        <w:rPr>
          <w:u w:val="single"/>
        </w:rPr>
        <w:tab/>
      </w:r>
    </w:p>
  </w:footnote>
  <w:footnote w:type="continuationSeparator" w:id="0">
    <w:p w14:paraId="1DF9CE45" w14:textId="77777777" w:rsidR="00FD64FC" w:rsidRPr="00C47B2E" w:rsidRDefault="00FD64FC" w:rsidP="005E716E">
      <w:pPr>
        <w:tabs>
          <w:tab w:val="right" w:pos="2155"/>
        </w:tabs>
        <w:spacing w:after="80" w:line="240" w:lineRule="auto"/>
        <w:ind w:left="680"/>
      </w:pPr>
      <w:r>
        <w:rPr>
          <w:u w:val="single"/>
        </w:rPr>
        <w:tab/>
      </w:r>
    </w:p>
  </w:footnote>
  <w:footnote w:type="continuationNotice" w:id="1">
    <w:p w14:paraId="09C9FCEB" w14:textId="77777777" w:rsidR="00FD64FC" w:rsidRPr="00C47B2E" w:rsidRDefault="00FD64FC" w:rsidP="00C47B2E">
      <w:pPr>
        <w:pStyle w:val="Footer"/>
      </w:pPr>
    </w:p>
  </w:footnote>
  <w:footnote w:id="2">
    <w:p w14:paraId="219FD584" w14:textId="3D2EC079" w:rsidR="00300B22" w:rsidRPr="00300B22" w:rsidRDefault="00300B22" w:rsidP="00300B22">
      <w:pPr>
        <w:pStyle w:val="FootnoteText"/>
        <w:ind w:firstLine="0"/>
        <w:rPr>
          <w:lang w:val="fr-CH"/>
        </w:rPr>
      </w:pPr>
      <w:r>
        <w:rPr>
          <w:rStyle w:val="FootnoteReference"/>
        </w:rPr>
        <w:t>*</w:t>
      </w:r>
      <w:r>
        <w:t xml:space="preserve"> </w:t>
      </w:r>
      <w:r>
        <w:rPr>
          <w:lang w:val="en-US"/>
        </w:rPr>
        <w:t>A/75/6 (Sect.20), para. 20.51</w:t>
      </w:r>
    </w:p>
  </w:footnote>
  <w:footnote w:id="3">
    <w:p w14:paraId="368931EA" w14:textId="48E80D42" w:rsidR="00300B22" w:rsidRPr="00300B22" w:rsidRDefault="00300B22" w:rsidP="00300B22">
      <w:pPr>
        <w:pStyle w:val="FootnoteText"/>
        <w:ind w:firstLine="0"/>
        <w:rPr>
          <w:lang w:val="fr-CH"/>
        </w:rPr>
      </w:pPr>
      <w:r>
        <w:rPr>
          <w:rStyle w:val="FootnoteReference"/>
        </w:rPr>
        <w:t>1</w:t>
      </w:r>
      <w:r>
        <w:t xml:space="preserve"> </w:t>
      </w:r>
      <w:r w:rsidRPr="000635A9">
        <w:rPr>
          <w:lang w:val="fr-CH"/>
        </w:rPr>
        <w:t>https://unece.org/info/Environmental-Policy/Industrial-Accidents/events/358445</w:t>
      </w:r>
    </w:p>
  </w:footnote>
  <w:footnote w:id="4">
    <w:p w14:paraId="3BAD2F94" w14:textId="4F9AF37F" w:rsidR="00F61B5E" w:rsidRPr="00F61B5E" w:rsidRDefault="00F61B5E" w:rsidP="00F61B5E">
      <w:pPr>
        <w:pStyle w:val="FootnoteText"/>
        <w:ind w:firstLine="0"/>
        <w:rPr>
          <w:lang w:val="fr-CH"/>
        </w:rPr>
      </w:pPr>
      <w:r>
        <w:rPr>
          <w:rStyle w:val="FootnoteReference"/>
        </w:rPr>
        <w:t>2</w:t>
      </w:r>
      <w:r>
        <w:t xml:space="preserve"> </w:t>
      </w:r>
      <w:r>
        <w:rPr>
          <w:lang w:val="en-US"/>
        </w:rPr>
        <w:t>Throughout this document,</w:t>
      </w:r>
      <w:r w:rsidRPr="00360F75">
        <w:rPr>
          <w:lang w:val="en-US"/>
        </w:rPr>
        <w:t xml:space="preserve"> </w:t>
      </w:r>
      <w:r>
        <w:rPr>
          <w:lang w:val="en-US"/>
        </w:rPr>
        <w:t>“</w:t>
      </w:r>
      <w:r w:rsidRPr="00360F75">
        <w:rPr>
          <w:lang w:val="en-US"/>
        </w:rPr>
        <w:t>security</w:t>
      </w:r>
      <w:r>
        <w:rPr>
          <w:lang w:val="en-US"/>
        </w:rPr>
        <w:t>” refers to measures to</w:t>
      </w:r>
      <w:r w:rsidRPr="00360F75">
        <w:rPr>
          <w:lang w:val="en-US"/>
        </w:rPr>
        <w:t xml:space="preserve"> protect a </w:t>
      </w:r>
      <w:r>
        <w:rPr>
          <w:lang w:val="en-US"/>
        </w:rPr>
        <w:t xml:space="preserve">person, </w:t>
      </w:r>
      <w:proofErr w:type="gramStart"/>
      <w:r>
        <w:rPr>
          <w:lang w:val="en-US"/>
        </w:rPr>
        <w:t>place</w:t>
      </w:r>
      <w:proofErr w:type="gramEnd"/>
      <w:r>
        <w:rPr>
          <w:lang w:val="en-US"/>
        </w:rPr>
        <w:t xml:space="preserve"> or object </w:t>
      </w:r>
      <w:r w:rsidRPr="00360F75">
        <w:rPr>
          <w:lang w:val="en-US"/>
        </w:rPr>
        <w:t>or to mitigate impact</w:t>
      </w:r>
      <w:r>
        <w:rPr>
          <w:lang w:val="en-US"/>
        </w:rPr>
        <w:t>s</w:t>
      </w:r>
      <w:r w:rsidRPr="00360F75">
        <w:rPr>
          <w:lang w:val="en-US"/>
        </w:rPr>
        <w:t xml:space="preserve"> in the case of an intended event</w:t>
      </w:r>
      <w:r>
        <w:rPr>
          <w:lang w:val="en-US"/>
        </w:rPr>
        <w:t>,</w:t>
      </w:r>
      <w:r w:rsidRPr="00360F75">
        <w:rPr>
          <w:lang w:val="en-US"/>
        </w:rPr>
        <w:t xml:space="preserve"> such as a terror</w:t>
      </w:r>
      <w:r>
        <w:rPr>
          <w:lang w:val="en-US"/>
        </w:rPr>
        <w:t>ist</w:t>
      </w:r>
      <w:r w:rsidRPr="00360F75">
        <w:rPr>
          <w:lang w:val="en-US"/>
        </w:rPr>
        <w:t xml:space="preserve"> attack</w:t>
      </w:r>
      <w:r>
        <w:rPr>
          <w:lang w:val="en-US"/>
        </w:rPr>
        <w:t>, whereas “safety” entails preventing</w:t>
      </w:r>
      <w:r w:rsidRPr="00360F75">
        <w:rPr>
          <w:lang w:val="en-US"/>
        </w:rPr>
        <w:t xml:space="preserve"> accidents or mitigat</w:t>
      </w:r>
      <w:r>
        <w:rPr>
          <w:lang w:val="en-US"/>
        </w:rPr>
        <w:t xml:space="preserve">ing </w:t>
      </w:r>
      <w:r w:rsidRPr="00360F75">
        <w:rPr>
          <w:lang w:val="en-US"/>
        </w:rPr>
        <w:t>impact</w:t>
      </w:r>
      <w:r>
        <w:rPr>
          <w:lang w:val="en-US"/>
        </w:rPr>
        <w:t>s</w:t>
      </w:r>
      <w:r w:rsidRPr="00360F75">
        <w:rPr>
          <w:lang w:val="en-US"/>
        </w:rPr>
        <w:t xml:space="preserve"> in the case of an unintended accident or event</w:t>
      </w:r>
    </w:p>
  </w:footnote>
  <w:footnote w:id="5">
    <w:p w14:paraId="15C4F96D" w14:textId="1BB9B71B" w:rsidR="00F969E2" w:rsidRPr="00F969E2" w:rsidRDefault="00F969E2" w:rsidP="00F969E2">
      <w:pPr>
        <w:pStyle w:val="FootnoteText"/>
        <w:ind w:firstLine="0"/>
        <w:rPr>
          <w:lang w:val="fr-CH"/>
        </w:rPr>
      </w:pPr>
      <w:r>
        <w:rPr>
          <w:rStyle w:val="FootnoteReference"/>
        </w:rPr>
        <w:t>3</w:t>
      </w:r>
      <w:r>
        <w:t xml:space="preserve"> </w:t>
      </w:r>
      <w:r>
        <w:t xml:space="preserve">The term “hazardous installations” used in this report covers “hazardous activities” holding hazardous substances within specific threshold quantities (annex I) of the UNECE Convention on the Transboundary Effects of Industrial Accidents and “establishments” holding dangerous substances within specific threshold quantities (annex I) of the EU Seveso </w:t>
      </w:r>
      <w:r w:rsidRPr="002D71C5">
        <w:t>Directive</w:t>
      </w:r>
      <w:r w:rsidRPr="00757031">
        <w:rPr>
          <w:b/>
          <w:bCs/>
        </w:rPr>
        <w:t xml:space="preserve"> </w:t>
      </w:r>
      <w:r w:rsidRPr="00757031">
        <w:t xml:space="preserve">(2012/18/EU) </w:t>
      </w:r>
      <w:r w:rsidRPr="00757031">
        <w:rPr>
          <w:lang w:val="en-US"/>
        </w:rPr>
        <w:t>on the control of major</w:t>
      </w:r>
      <w:r>
        <w:rPr>
          <w:lang w:val="en-US"/>
        </w:rPr>
        <w:t xml:space="preserve"> </w:t>
      </w:r>
      <w:r w:rsidRPr="00757031">
        <w:rPr>
          <w:lang w:val="en-US"/>
        </w:rPr>
        <w:t>accident hazards involving dangerous substances</w:t>
      </w:r>
      <w:r>
        <w:rPr>
          <w:lang w:val="en-US"/>
        </w:rPr>
        <w:t>.</w:t>
      </w:r>
    </w:p>
  </w:footnote>
  <w:footnote w:id="6">
    <w:p w14:paraId="6ADCC93F" w14:textId="010A248B" w:rsidR="00363CE0" w:rsidRPr="00363CE0" w:rsidRDefault="00363CE0" w:rsidP="00363CE0">
      <w:pPr>
        <w:pStyle w:val="FootnoteText"/>
        <w:ind w:firstLine="0"/>
        <w:rPr>
          <w:lang w:val="fr-CH"/>
        </w:rPr>
      </w:pPr>
      <w:r>
        <w:rPr>
          <w:rStyle w:val="FootnoteReference"/>
        </w:rPr>
        <w:t>4</w:t>
      </w:r>
      <w:r>
        <w:t xml:space="preserve"> </w:t>
      </w:r>
      <w:r>
        <w:t>Please note that o</w:t>
      </w:r>
      <w:r w:rsidRPr="00DC2523">
        <w:t>nly certain types of AN can be transported by air</w:t>
      </w:r>
      <w:r>
        <w:t xml:space="preserve">; </w:t>
      </w:r>
      <w:r w:rsidRPr="00DC2523">
        <w:t>others are forbidden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59D6" w14:textId="007317BB" w:rsidR="00795847" w:rsidRPr="00795847" w:rsidRDefault="00E608C0">
    <w:pPr>
      <w:pStyle w:val="Header"/>
    </w:pPr>
    <w:r>
      <w:t>ST/SG/AC.10/C.3/2022/4</w:t>
    </w:r>
    <w:r w:rsidR="00795847">
      <w:br/>
    </w:r>
    <w:r>
      <w:t>ST/SG/AC.10/C.4/2022/1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5D47" w14:textId="326C4575" w:rsidR="00D94B05" w:rsidRPr="00795847" w:rsidRDefault="00DD4021" w:rsidP="00795847">
    <w:pPr>
      <w:pStyle w:val="Header"/>
      <w:jc w:val="right"/>
    </w:pPr>
    <w:r>
      <w:t>ST/SG/AC.10/C.3/2022/4</w:t>
    </w:r>
    <w:r>
      <w:br/>
      <w:t>ST/SG/AC.10/C.4/2022/1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53DC"/>
    <w:multiLevelType w:val="hybridMultilevel"/>
    <w:tmpl w:val="36ACAF2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446A"/>
    <w:multiLevelType w:val="hybridMultilevel"/>
    <w:tmpl w:val="5D32CF5E"/>
    <w:lvl w:ilvl="0" w:tplc="B450EAA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414E0E"/>
    <w:multiLevelType w:val="hybridMultilevel"/>
    <w:tmpl w:val="D22467CA"/>
    <w:lvl w:ilvl="0" w:tplc="F33E3EE8">
      <w:start w:val="1617"/>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E17254"/>
    <w:multiLevelType w:val="hybridMultilevel"/>
    <w:tmpl w:val="A8C89686"/>
    <w:lvl w:ilvl="0" w:tplc="930EF8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C185B"/>
    <w:multiLevelType w:val="hybridMultilevel"/>
    <w:tmpl w:val="3ACE709E"/>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0315F"/>
    <w:multiLevelType w:val="hybridMultilevel"/>
    <w:tmpl w:val="91608404"/>
    <w:lvl w:ilvl="0" w:tplc="1A5216A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E3F49"/>
    <w:multiLevelType w:val="hybridMultilevel"/>
    <w:tmpl w:val="06DECCD8"/>
    <w:lvl w:ilvl="0" w:tplc="54B2B28A">
      <w:start w:val="10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073B9"/>
    <w:multiLevelType w:val="hybridMultilevel"/>
    <w:tmpl w:val="C7A6D97E"/>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04277"/>
    <w:multiLevelType w:val="hybridMultilevel"/>
    <w:tmpl w:val="F2B6EB66"/>
    <w:lvl w:ilvl="0" w:tplc="B450EAA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26A70"/>
    <w:multiLevelType w:val="hybridMultilevel"/>
    <w:tmpl w:val="5666D9FC"/>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56248"/>
    <w:multiLevelType w:val="hybridMultilevel"/>
    <w:tmpl w:val="496ADB96"/>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90248"/>
    <w:multiLevelType w:val="hybridMultilevel"/>
    <w:tmpl w:val="651C4086"/>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9679F"/>
    <w:multiLevelType w:val="hybridMultilevel"/>
    <w:tmpl w:val="5D9451A0"/>
    <w:lvl w:ilvl="0" w:tplc="08090015">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9" w15:restartNumberingAfterBreak="0">
    <w:nsid w:val="4F2C19BF"/>
    <w:multiLevelType w:val="hybridMultilevel"/>
    <w:tmpl w:val="E6FC1210"/>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33C54"/>
    <w:multiLevelType w:val="hybridMultilevel"/>
    <w:tmpl w:val="23E45D46"/>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B6CBE"/>
    <w:multiLevelType w:val="hybridMultilevel"/>
    <w:tmpl w:val="2758E904"/>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F6AE6"/>
    <w:multiLevelType w:val="hybridMultilevel"/>
    <w:tmpl w:val="552AAE62"/>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A0CC7"/>
    <w:multiLevelType w:val="hybridMultilevel"/>
    <w:tmpl w:val="D9F29500"/>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569C7"/>
    <w:multiLevelType w:val="hybridMultilevel"/>
    <w:tmpl w:val="881AB770"/>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155AE"/>
    <w:multiLevelType w:val="hybridMultilevel"/>
    <w:tmpl w:val="528AEDC4"/>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E1822"/>
    <w:multiLevelType w:val="hybridMultilevel"/>
    <w:tmpl w:val="6BCE4D0C"/>
    <w:lvl w:ilvl="0" w:tplc="DF3234BC">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0"/>
  </w:num>
  <w:num w:numId="4">
    <w:abstractNumId w:val="23"/>
  </w:num>
  <w:num w:numId="5">
    <w:abstractNumId w:val="24"/>
  </w:num>
  <w:num w:numId="6">
    <w:abstractNumId w:val="31"/>
  </w:num>
  <w:num w:numId="7">
    <w:abstractNumId w:val="6"/>
  </w:num>
  <w:num w:numId="8">
    <w:abstractNumId w:val="2"/>
  </w:num>
  <w:num w:numId="9">
    <w:abstractNumId w:val="26"/>
  </w:num>
  <w:num w:numId="10">
    <w:abstractNumId w:val="2"/>
  </w:num>
  <w:num w:numId="11">
    <w:abstractNumId w:val="26"/>
  </w:num>
  <w:num w:numId="12">
    <w:abstractNumId w:val="4"/>
  </w:num>
  <w:num w:numId="13">
    <w:abstractNumId w:val="4"/>
  </w:num>
  <w:num w:numId="14">
    <w:abstractNumId w:val="25"/>
  </w:num>
  <w:num w:numId="15">
    <w:abstractNumId w:val="12"/>
  </w:num>
  <w:num w:numId="16">
    <w:abstractNumId w:val="18"/>
  </w:num>
  <w:num w:numId="17">
    <w:abstractNumId w:val="17"/>
  </w:num>
  <w:num w:numId="18">
    <w:abstractNumId w:val="27"/>
  </w:num>
  <w:num w:numId="19">
    <w:abstractNumId w:val="5"/>
  </w:num>
  <w:num w:numId="20">
    <w:abstractNumId w:val="7"/>
  </w:num>
  <w:num w:numId="21">
    <w:abstractNumId w:val="13"/>
  </w:num>
  <w:num w:numId="22">
    <w:abstractNumId w:val="21"/>
  </w:num>
  <w:num w:numId="23">
    <w:abstractNumId w:val="15"/>
  </w:num>
  <w:num w:numId="24">
    <w:abstractNumId w:val="28"/>
  </w:num>
  <w:num w:numId="25">
    <w:abstractNumId w:val="8"/>
  </w:num>
  <w:num w:numId="26">
    <w:abstractNumId w:val="30"/>
  </w:num>
  <w:num w:numId="27">
    <w:abstractNumId w:val="10"/>
  </w:num>
  <w:num w:numId="28">
    <w:abstractNumId w:val="19"/>
  </w:num>
  <w:num w:numId="29">
    <w:abstractNumId w:val="20"/>
  </w:num>
  <w:num w:numId="30">
    <w:abstractNumId w:val="22"/>
  </w:num>
  <w:num w:numId="31">
    <w:abstractNumId w:val="14"/>
  </w:num>
  <w:num w:numId="32">
    <w:abstractNumId w:val="3"/>
  </w:num>
  <w:num w:numId="33">
    <w:abstractNumId w:val="29"/>
  </w:num>
  <w:num w:numId="34">
    <w:abstractNumId w:val="16"/>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7"/>
    <w:rsid w:val="000018BA"/>
    <w:rsid w:val="000050D2"/>
    <w:rsid w:val="000103B6"/>
    <w:rsid w:val="0001343B"/>
    <w:rsid w:val="00015493"/>
    <w:rsid w:val="00021D8F"/>
    <w:rsid w:val="00022D75"/>
    <w:rsid w:val="00023339"/>
    <w:rsid w:val="0003749B"/>
    <w:rsid w:val="00040AE0"/>
    <w:rsid w:val="00043543"/>
    <w:rsid w:val="00043BCD"/>
    <w:rsid w:val="00046E92"/>
    <w:rsid w:val="00050572"/>
    <w:rsid w:val="00052FD0"/>
    <w:rsid w:val="00053789"/>
    <w:rsid w:val="00057788"/>
    <w:rsid w:val="00062A48"/>
    <w:rsid w:val="000635A9"/>
    <w:rsid w:val="00063C90"/>
    <w:rsid w:val="00071F19"/>
    <w:rsid w:val="0007679D"/>
    <w:rsid w:val="00076D28"/>
    <w:rsid w:val="00076ED6"/>
    <w:rsid w:val="00084E6D"/>
    <w:rsid w:val="00086B9A"/>
    <w:rsid w:val="00091148"/>
    <w:rsid w:val="000A07CE"/>
    <w:rsid w:val="000A4777"/>
    <w:rsid w:val="000A5088"/>
    <w:rsid w:val="000A5FF4"/>
    <w:rsid w:val="000B22E7"/>
    <w:rsid w:val="000B2B52"/>
    <w:rsid w:val="000B5E0E"/>
    <w:rsid w:val="000B6767"/>
    <w:rsid w:val="000C2494"/>
    <w:rsid w:val="000C3158"/>
    <w:rsid w:val="000D7EA1"/>
    <w:rsid w:val="000E0B7E"/>
    <w:rsid w:val="000E6CD3"/>
    <w:rsid w:val="000F02AD"/>
    <w:rsid w:val="000F0C83"/>
    <w:rsid w:val="000F0D45"/>
    <w:rsid w:val="000F5D6C"/>
    <w:rsid w:val="000F7C67"/>
    <w:rsid w:val="00100714"/>
    <w:rsid w:val="00101B98"/>
    <w:rsid w:val="00103C51"/>
    <w:rsid w:val="00104852"/>
    <w:rsid w:val="00112A42"/>
    <w:rsid w:val="0011483C"/>
    <w:rsid w:val="001162CE"/>
    <w:rsid w:val="001164F9"/>
    <w:rsid w:val="0012199F"/>
    <w:rsid w:val="00122C1C"/>
    <w:rsid w:val="00124C95"/>
    <w:rsid w:val="00124EB2"/>
    <w:rsid w:val="00125544"/>
    <w:rsid w:val="00125C60"/>
    <w:rsid w:val="00127387"/>
    <w:rsid w:val="00133A42"/>
    <w:rsid w:val="00133ED4"/>
    <w:rsid w:val="001364C6"/>
    <w:rsid w:val="001422C3"/>
    <w:rsid w:val="001456D2"/>
    <w:rsid w:val="0014605C"/>
    <w:rsid w:val="00150368"/>
    <w:rsid w:val="0015144A"/>
    <w:rsid w:val="001514D1"/>
    <w:rsid w:val="00152CCF"/>
    <w:rsid w:val="001565BF"/>
    <w:rsid w:val="00160982"/>
    <w:rsid w:val="00167300"/>
    <w:rsid w:val="001730F3"/>
    <w:rsid w:val="00173B99"/>
    <w:rsid w:val="0017436B"/>
    <w:rsid w:val="00175147"/>
    <w:rsid w:val="001759BA"/>
    <w:rsid w:val="001759F6"/>
    <w:rsid w:val="00175EAF"/>
    <w:rsid w:val="00186141"/>
    <w:rsid w:val="00190931"/>
    <w:rsid w:val="001913F9"/>
    <w:rsid w:val="001941F9"/>
    <w:rsid w:val="0019536A"/>
    <w:rsid w:val="001A61C5"/>
    <w:rsid w:val="001A62DF"/>
    <w:rsid w:val="001A7894"/>
    <w:rsid w:val="001C013B"/>
    <w:rsid w:val="001C1779"/>
    <w:rsid w:val="001C5C29"/>
    <w:rsid w:val="001D150C"/>
    <w:rsid w:val="001D301D"/>
    <w:rsid w:val="001D4366"/>
    <w:rsid w:val="001D53E0"/>
    <w:rsid w:val="001E28FF"/>
    <w:rsid w:val="001E3897"/>
    <w:rsid w:val="001E4B14"/>
    <w:rsid w:val="001E55F8"/>
    <w:rsid w:val="001E5FEA"/>
    <w:rsid w:val="001E6D0F"/>
    <w:rsid w:val="001F0870"/>
    <w:rsid w:val="001F7996"/>
    <w:rsid w:val="001F7C0E"/>
    <w:rsid w:val="001F7F66"/>
    <w:rsid w:val="002003AC"/>
    <w:rsid w:val="00205E3C"/>
    <w:rsid w:val="00210445"/>
    <w:rsid w:val="00212D94"/>
    <w:rsid w:val="00213E1A"/>
    <w:rsid w:val="00215C35"/>
    <w:rsid w:val="00220C8A"/>
    <w:rsid w:val="002216E1"/>
    <w:rsid w:val="00227110"/>
    <w:rsid w:val="00237E6A"/>
    <w:rsid w:val="002455E3"/>
    <w:rsid w:val="00247E2C"/>
    <w:rsid w:val="0026097B"/>
    <w:rsid w:val="00265EAC"/>
    <w:rsid w:val="00267B6C"/>
    <w:rsid w:val="00270456"/>
    <w:rsid w:val="0027285A"/>
    <w:rsid w:val="0027319A"/>
    <w:rsid w:val="00276805"/>
    <w:rsid w:val="00281A47"/>
    <w:rsid w:val="00285944"/>
    <w:rsid w:val="002863F3"/>
    <w:rsid w:val="00286F72"/>
    <w:rsid w:val="002871A2"/>
    <w:rsid w:val="00295451"/>
    <w:rsid w:val="00295ABF"/>
    <w:rsid w:val="002966BC"/>
    <w:rsid w:val="00297144"/>
    <w:rsid w:val="002A32CB"/>
    <w:rsid w:val="002A4E98"/>
    <w:rsid w:val="002A7122"/>
    <w:rsid w:val="002A7E4A"/>
    <w:rsid w:val="002B077F"/>
    <w:rsid w:val="002B0839"/>
    <w:rsid w:val="002B4AA8"/>
    <w:rsid w:val="002B4AEB"/>
    <w:rsid w:val="002C202A"/>
    <w:rsid w:val="002D406D"/>
    <w:rsid w:val="002D43D4"/>
    <w:rsid w:val="002D5B2C"/>
    <w:rsid w:val="002D6C53"/>
    <w:rsid w:val="002D7F5C"/>
    <w:rsid w:val="002E02DF"/>
    <w:rsid w:val="002E0664"/>
    <w:rsid w:val="002E0ABC"/>
    <w:rsid w:val="002E2EC3"/>
    <w:rsid w:val="002E4E12"/>
    <w:rsid w:val="002E6750"/>
    <w:rsid w:val="002F5595"/>
    <w:rsid w:val="00300B22"/>
    <w:rsid w:val="00301DCC"/>
    <w:rsid w:val="0030638E"/>
    <w:rsid w:val="00307966"/>
    <w:rsid w:val="0032059B"/>
    <w:rsid w:val="00323111"/>
    <w:rsid w:val="00323FFA"/>
    <w:rsid w:val="003249DA"/>
    <w:rsid w:val="00326018"/>
    <w:rsid w:val="003277CA"/>
    <w:rsid w:val="00334A75"/>
    <w:rsid w:val="00334F6A"/>
    <w:rsid w:val="003358EE"/>
    <w:rsid w:val="00337CF4"/>
    <w:rsid w:val="003414C4"/>
    <w:rsid w:val="0034261E"/>
    <w:rsid w:val="00342AC8"/>
    <w:rsid w:val="00343302"/>
    <w:rsid w:val="00343D1A"/>
    <w:rsid w:val="00343E9A"/>
    <w:rsid w:val="00347DEA"/>
    <w:rsid w:val="00352EFA"/>
    <w:rsid w:val="0035795D"/>
    <w:rsid w:val="00357BC8"/>
    <w:rsid w:val="00363CE0"/>
    <w:rsid w:val="00366643"/>
    <w:rsid w:val="003720FF"/>
    <w:rsid w:val="00372F06"/>
    <w:rsid w:val="003817AF"/>
    <w:rsid w:val="0038182A"/>
    <w:rsid w:val="00384086"/>
    <w:rsid w:val="00387E01"/>
    <w:rsid w:val="00390B54"/>
    <w:rsid w:val="00390FBE"/>
    <w:rsid w:val="003979DE"/>
    <w:rsid w:val="003A0148"/>
    <w:rsid w:val="003A2623"/>
    <w:rsid w:val="003A349A"/>
    <w:rsid w:val="003A50E4"/>
    <w:rsid w:val="003A5609"/>
    <w:rsid w:val="003B2CBA"/>
    <w:rsid w:val="003B4550"/>
    <w:rsid w:val="003B5CD1"/>
    <w:rsid w:val="003B69A3"/>
    <w:rsid w:val="003C0E48"/>
    <w:rsid w:val="003C2BAF"/>
    <w:rsid w:val="003C54CE"/>
    <w:rsid w:val="003C5A2C"/>
    <w:rsid w:val="003C5EEA"/>
    <w:rsid w:val="003C6614"/>
    <w:rsid w:val="003D03E1"/>
    <w:rsid w:val="003D1BE3"/>
    <w:rsid w:val="003D2A18"/>
    <w:rsid w:val="003D3397"/>
    <w:rsid w:val="003E14DB"/>
    <w:rsid w:val="003F073B"/>
    <w:rsid w:val="003F5A0E"/>
    <w:rsid w:val="00400A38"/>
    <w:rsid w:val="00400C2E"/>
    <w:rsid w:val="00401AEC"/>
    <w:rsid w:val="004051DB"/>
    <w:rsid w:val="0041108F"/>
    <w:rsid w:val="00413386"/>
    <w:rsid w:val="00414073"/>
    <w:rsid w:val="0041656F"/>
    <w:rsid w:val="00420FDB"/>
    <w:rsid w:val="00432FBF"/>
    <w:rsid w:val="004338B6"/>
    <w:rsid w:val="0043600A"/>
    <w:rsid w:val="00436D56"/>
    <w:rsid w:val="00440F80"/>
    <w:rsid w:val="004465DF"/>
    <w:rsid w:val="00446991"/>
    <w:rsid w:val="00450CE8"/>
    <w:rsid w:val="00451AAB"/>
    <w:rsid w:val="004536FE"/>
    <w:rsid w:val="00453A91"/>
    <w:rsid w:val="00454B3C"/>
    <w:rsid w:val="004552BC"/>
    <w:rsid w:val="00461253"/>
    <w:rsid w:val="00461AA2"/>
    <w:rsid w:val="00462565"/>
    <w:rsid w:val="00463FCD"/>
    <w:rsid w:val="00467B34"/>
    <w:rsid w:val="00471384"/>
    <w:rsid w:val="0047227C"/>
    <w:rsid w:val="004735C7"/>
    <w:rsid w:val="004747E0"/>
    <w:rsid w:val="00475CD0"/>
    <w:rsid w:val="0047797D"/>
    <w:rsid w:val="00481336"/>
    <w:rsid w:val="00482167"/>
    <w:rsid w:val="00484E7C"/>
    <w:rsid w:val="004858F5"/>
    <w:rsid w:val="0049122D"/>
    <w:rsid w:val="00492D47"/>
    <w:rsid w:val="00493C3A"/>
    <w:rsid w:val="0049530C"/>
    <w:rsid w:val="004A2814"/>
    <w:rsid w:val="004A4623"/>
    <w:rsid w:val="004A487D"/>
    <w:rsid w:val="004B7170"/>
    <w:rsid w:val="004C0622"/>
    <w:rsid w:val="004C32D3"/>
    <w:rsid w:val="004C6050"/>
    <w:rsid w:val="004D1F1C"/>
    <w:rsid w:val="004D3A21"/>
    <w:rsid w:val="004D64FE"/>
    <w:rsid w:val="004E43CB"/>
    <w:rsid w:val="004F0096"/>
    <w:rsid w:val="004F0F9C"/>
    <w:rsid w:val="004F1D6E"/>
    <w:rsid w:val="004F551D"/>
    <w:rsid w:val="005042C2"/>
    <w:rsid w:val="005126A9"/>
    <w:rsid w:val="00516854"/>
    <w:rsid w:val="00522591"/>
    <w:rsid w:val="00523880"/>
    <w:rsid w:val="0052470B"/>
    <w:rsid w:val="00534885"/>
    <w:rsid w:val="00540648"/>
    <w:rsid w:val="00543BD4"/>
    <w:rsid w:val="00544A75"/>
    <w:rsid w:val="00544B58"/>
    <w:rsid w:val="00545613"/>
    <w:rsid w:val="00552D56"/>
    <w:rsid w:val="00555624"/>
    <w:rsid w:val="005600DE"/>
    <w:rsid w:val="0056682C"/>
    <w:rsid w:val="00566C5A"/>
    <w:rsid w:val="00573D1C"/>
    <w:rsid w:val="00576706"/>
    <w:rsid w:val="005866CE"/>
    <w:rsid w:val="005950F2"/>
    <w:rsid w:val="005962D0"/>
    <w:rsid w:val="005A0F4E"/>
    <w:rsid w:val="005A3B10"/>
    <w:rsid w:val="005A4811"/>
    <w:rsid w:val="005B3446"/>
    <w:rsid w:val="005B77FD"/>
    <w:rsid w:val="005B7A45"/>
    <w:rsid w:val="005C08AB"/>
    <w:rsid w:val="005C1BB0"/>
    <w:rsid w:val="005C6BD8"/>
    <w:rsid w:val="005C781C"/>
    <w:rsid w:val="005D20D6"/>
    <w:rsid w:val="005D2B96"/>
    <w:rsid w:val="005D41FA"/>
    <w:rsid w:val="005E2E48"/>
    <w:rsid w:val="005E3EF8"/>
    <w:rsid w:val="005E5FAF"/>
    <w:rsid w:val="005E716E"/>
    <w:rsid w:val="005F29E7"/>
    <w:rsid w:val="00603419"/>
    <w:rsid w:val="00610750"/>
    <w:rsid w:val="006216B2"/>
    <w:rsid w:val="006227B5"/>
    <w:rsid w:val="0062444B"/>
    <w:rsid w:val="0062657E"/>
    <w:rsid w:val="0062738A"/>
    <w:rsid w:val="0063033B"/>
    <w:rsid w:val="00632C45"/>
    <w:rsid w:val="006357A0"/>
    <w:rsid w:val="00637B2C"/>
    <w:rsid w:val="006476E1"/>
    <w:rsid w:val="0064778D"/>
    <w:rsid w:val="00651358"/>
    <w:rsid w:val="006523A9"/>
    <w:rsid w:val="00655201"/>
    <w:rsid w:val="00655C7E"/>
    <w:rsid w:val="006604DF"/>
    <w:rsid w:val="00660FB3"/>
    <w:rsid w:val="00671529"/>
    <w:rsid w:val="00674023"/>
    <w:rsid w:val="00683E70"/>
    <w:rsid w:val="006845D1"/>
    <w:rsid w:val="00687B5B"/>
    <w:rsid w:val="006901D5"/>
    <w:rsid w:val="00692741"/>
    <w:rsid w:val="00693049"/>
    <w:rsid w:val="00694A11"/>
    <w:rsid w:val="006A0056"/>
    <w:rsid w:val="006A249B"/>
    <w:rsid w:val="006A3F10"/>
    <w:rsid w:val="006A5ECE"/>
    <w:rsid w:val="006B033E"/>
    <w:rsid w:val="006B2206"/>
    <w:rsid w:val="006B2D0C"/>
    <w:rsid w:val="006C17F7"/>
    <w:rsid w:val="006C29D0"/>
    <w:rsid w:val="006C3ADD"/>
    <w:rsid w:val="006D264A"/>
    <w:rsid w:val="006E03E9"/>
    <w:rsid w:val="006E03FB"/>
    <w:rsid w:val="006E2682"/>
    <w:rsid w:val="006E32E7"/>
    <w:rsid w:val="006E6BAE"/>
    <w:rsid w:val="006E719B"/>
    <w:rsid w:val="006F7DD2"/>
    <w:rsid w:val="007002DA"/>
    <w:rsid w:val="007006BF"/>
    <w:rsid w:val="0070222D"/>
    <w:rsid w:val="0070489D"/>
    <w:rsid w:val="00706F9F"/>
    <w:rsid w:val="00722059"/>
    <w:rsid w:val="007241BD"/>
    <w:rsid w:val="007252A5"/>
    <w:rsid w:val="007268F9"/>
    <w:rsid w:val="00726C75"/>
    <w:rsid w:val="0073038B"/>
    <w:rsid w:val="007342BF"/>
    <w:rsid w:val="007372E8"/>
    <w:rsid w:val="00741E32"/>
    <w:rsid w:val="00750068"/>
    <w:rsid w:val="00750266"/>
    <w:rsid w:val="00750282"/>
    <w:rsid w:val="0075186B"/>
    <w:rsid w:val="00760179"/>
    <w:rsid w:val="00763783"/>
    <w:rsid w:val="00764440"/>
    <w:rsid w:val="00764688"/>
    <w:rsid w:val="00767BA0"/>
    <w:rsid w:val="0077101B"/>
    <w:rsid w:val="00772D12"/>
    <w:rsid w:val="00772D71"/>
    <w:rsid w:val="007733C4"/>
    <w:rsid w:val="007773FD"/>
    <w:rsid w:val="00777F15"/>
    <w:rsid w:val="0078030D"/>
    <w:rsid w:val="00782649"/>
    <w:rsid w:val="007832BC"/>
    <w:rsid w:val="007852DB"/>
    <w:rsid w:val="007857E6"/>
    <w:rsid w:val="00786234"/>
    <w:rsid w:val="00790542"/>
    <w:rsid w:val="007905BC"/>
    <w:rsid w:val="00791EBE"/>
    <w:rsid w:val="00792BC8"/>
    <w:rsid w:val="00795493"/>
    <w:rsid w:val="00795847"/>
    <w:rsid w:val="00796B21"/>
    <w:rsid w:val="00797829"/>
    <w:rsid w:val="007A3295"/>
    <w:rsid w:val="007A4429"/>
    <w:rsid w:val="007A630C"/>
    <w:rsid w:val="007A6C52"/>
    <w:rsid w:val="007B0EF6"/>
    <w:rsid w:val="007C2CFB"/>
    <w:rsid w:val="007C52B0"/>
    <w:rsid w:val="007C6033"/>
    <w:rsid w:val="007E061C"/>
    <w:rsid w:val="007E28F5"/>
    <w:rsid w:val="007E60A7"/>
    <w:rsid w:val="007F63F4"/>
    <w:rsid w:val="00801507"/>
    <w:rsid w:val="00805395"/>
    <w:rsid w:val="00810542"/>
    <w:rsid w:val="008147C8"/>
    <w:rsid w:val="0081753A"/>
    <w:rsid w:val="0082023E"/>
    <w:rsid w:val="00821217"/>
    <w:rsid w:val="008262A0"/>
    <w:rsid w:val="00827433"/>
    <w:rsid w:val="00830B65"/>
    <w:rsid w:val="00835A27"/>
    <w:rsid w:val="00837BCF"/>
    <w:rsid w:val="00837E75"/>
    <w:rsid w:val="008422DE"/>
    <w:rsid w:val="00845CCE"/>
    <w:rsid w:val="00850045"/>
    <w:rsid w:val="00851188"/>
    <w:rsid w:val="00851D58"/>
    <w:rsid w:val="0085550B"/>
    <w:rsid w:val="00857D23"/>
    <w:rsid w:val="00857F9B"/>
    <w:rsid w:val="008601DF"/>
    <w:rsid w:val="0086296D"/>
    <w:rsid w:val="0086602F"/>
    <w:rsid w:val="008729AF"/>
    <w:rsid w:val="008736F6"/>
    <w:rsid w:val="008765BF"/>
    <w:rsid w:val="00880DF9"/>
    <w:rsid w:val="0088165B"/>
    <w:rsid w:val="00886158"/>
    <w:rsid w:val="0088787C"/>
    <w:rsid w:val="008A3FA4"/>
    <w:rsid w:val="008A4128"/>
    <w:rsid w:val="008B3517"/>
    <w:rsid w:val="008B4951"/>
    <w:rsid w:val="008B60C8"/>
    <w:rsid w:val="008C1969"/>
    <w:rsid w:val="008C2406"/>
    <w:rsid w:val="008D0C3A"/>
    <w:rsid w:val="008D2BB0"/>
    <w:rsid w:val="008E1A70"/>
    <w:rsid w:val="008E5C36"/>
    <w:rsid w:val="008F05B0"/>
    <w:rsid w:val="008F6164"/>
    <w:rsid w:val="00900F35"/>
    <w:rsid w:val="00904A1C"/>
    <w:rsid w:val="00906EF3"/>
    <w:rsid w:val="00907524"/>
    <w:rsid w:val="009131AA"/>
    <w:rsid w:val="00915AE0"/>
    <w:rsid w:val="00916482"/>
    <w:rsid w:val="00917FDA"/>
    <w:rsid w:val="00923E01"/>
    <w:rsid w:val="00924E3C"/>
    <w:rsid w:val="0093119B"/>
    <w:rsid w:val="00931F38"/>
    <w:rsid w:val="00932710"/>
    <w:rsid w:val="0093320B"/>
    <w:rsid w:val="009411B4"/>
    <w:rsid w:val="009411B7"/>
    <w:rsid w:val="00946F1D"/>
    <w:rsid w:val="00951D3B"/>
    <w:rsid w:val="00967307"/>
    <w:rsid w:val="00967433"/>
    <w:rsid w:val="0097000A"/>
    <w:rsid w:val="00971691"/>
    <w:rsid w:val="009717CC"/>
    <w:rsid w:val="00974ABF"/>
    <w:rsid w:val="009815F1"/>
    <w:rsid w:val="00983AF4"/>
    <w:rsid w:val="009848C0"/>
    <w:rsid w:val="00985109"/>
    <w:rsid w:val="00986C3A"/>
    <w:rsid w:val="009961FC"/>
    <w:rsid w:val="009962CD"/>
    <w:rsid w:val="00996DF0"/>
    <w:rsid w:val="00996E97"/>
    <w:rsid w:val="00997EFA"/>
    <w:rsid w:val="009A44E5"/>
    <w:rsid w:val="009A60B6"/>
    <w:rsid w:val="009A7E2D"/>
    <w:rsid w:val="009B6B80"/>
    <w:rsid w:val="009B6B85"/>
    <w:rsid w:val="009C1A56"/>
    <w:rsid w:val="009C64AF"/>
    <w:rsid w:val="009C70A7"/>
    <w:rsid w:val="009D0139"/>
    <w:rsid w:val="009D30EE"/>
    <w:rsid w:val="009D483B"/>
    <w:rsid w:val="009D4D2F"/>
    <w:rsid w:val="009D5411"/>
    <w:rsid w:val="009D717D"/>
    <w:rsid w:val="009E34D4"/>
    <w:rsid w:val="009E4AD7"/>
    <w:rsid w:val="009E65FB"/>
    <w:rsid w:val="009E6921"/>
    <w:rsid w:val="009F2C95"/>
    <w:rsid w:val="009F5CDC"/>
    <w:rsid w:val="009F7F8D"/>
    <w:rsid w:val="00A0097B"/>
    <w:rsid w:val="00A01847"/>
    <w:rsid w:val="00A01CF3"/>
    <w:rsid w:val="00A0280E"/>
    <w:rsid w:val="00A05BF6"/>
    <w:rsid w:val="00A072D7"/>
    <w:rsid w:val="00A11FEE"/>
    <w:rsid w:val="00A13901"/>
    <w:rsid w:val="00A14BC3"/>
    <w:rsid w:val="00A17598"/>
    <w:rsid w:val="00A17EC5"/>
    <w:rsid w:val="00A21FE3"/>
    <w:rsid w:val="00A36DF5"/>
    <w:rsid w:val="00A377B2"/>
    <w:rsid w:val="00A40CBB"/>
    <w:rsid w:val="00A423FF"/>
    <w:rsid w:val="00A44290"/>
    <w:rsid w:val="00A45ED0"/>
    <w:rsid w:val="00A51C4F"/>
    <w:rsid w:val="00A52A77"/>
    <w:rsid w:val="00A55D23"/>
    <w:rsid w:val="00A571FB"/>
    <w:rsid w:val="00A658D2"/>
    <w:rsid w:val="00A7103D"/>
    <w:rsid w:val="00A74965"/>
    <w:rsid w:val="00A7573F"/>
    <w:rsid w:val="00A775CF"/>
    <w:rsid w:val="00A973F1"/>
    <w:rsid w:val="00AA10D4"/>
    <w:rsid w:val="00AA3719"/>
    <w:rsid w:val="00AA5654"/>
    <w:rsid w:val="00AA5770"/>
    <w:rsid w:val="00AA5A11"/>
    <w:rsid w:val="00AB0210"/>
    <w:rsid w:val="00AB03A1"/>
    <w:rsid w:val="00AB17EA"/>
    <w:rsid w:val="00AB2DBD"/>
    <w:rsid w:val="00AC5453"/>
    <w:rsid w:val="00AC571F"/>
    <w:rsid w:val="00AD1A9C"/>
    <w:rsid w:val="00AE29B9"/>
    <w:rsid w:val="00AE2C37"/>
    <w:rsid w:val="00AE62A1"/>
    <w:rsid w:val="00AF283B"/>
    <w:rsid w:val="00AF4CFB"/>
    <w:rsid w:val="00AF5DE1"/>
    <w:rsid w:val="00B058A6"/>
    <w:rsid w:val="00B06045"/>
    <w:rsid w:val="00B14080"/>
    <w:rsid w:val="00B206DD"/>
    <w:rsid w:val="00B210C9"/>
    <w:rsid w:val="00B2186D"/>
    <w:rsid w:val="00B21C84"/>
    <w:rsid w:val="00B22656"/>
    <w:rsid w:val="00B23076"/>
    <w:rsid w:val="00B23DF0"/>
    <w:rsid w:val="00B2767E"/>
    <w:rsid w:val="00B311C1"/>
    <w:rsid w:val="00B33FDC"/>
    <w:rsid w:val="00B344BE"/>
    <w:rsid w:val="00B36272"/>
    <w:rsid w:val="00B4140F"/>
    <w:rsid w:val="00B42DCC"/>
    <w:rsid w:val="00B46420"/>
    <w:rsid w:val="00B50E1B"/>
    <w:rsid w:val="00B52EF4"/>
    <w:rsid w:val="00B53150"/>
    <w:rsid w:val="00B54CD7"/>
    <w:rsid w:val="00B74484"/>
    <w:rsid w:val="00B777AD"/>
    <w:rsid w:val="00B8259C"/>
    <w:rsid w:val="00B841C6"/>
    <w:rsid w:val="00B851F4"/>
    <w:rsid w:val="00B90DBA"/>
    <w:rsid w:val="00B921F2"/>
    <w:rsid w:val="00B9718A"/>
    <w:rsid w:val="00B97CE7"/>
    <w:rsid w:val="00BA0F6B"/>
    <w:rsid w:val="00BA41F0"/>
    <w:rsid w:val="00BA5AF9"/>
    <w:rsid w:val="00BB06AD"/>
    <w:rsid w:val="00BB08ED"/>
    <w:rsid w:val="00BB100E"/>
    <w:rsid w:val="00BB1D5B"/>
    <w:rsid w:val="00BB29A4"/>
    <w:rsid w:val="00BB6690"/>
    <w:rsid w:val="00BB669C"/>
    <w:rsid w:val="00BC0612"/>
    <w:rsid w:val="00BC44FA"/>
    <w:rsid w:val="00BC4CF1"/>
    <w:rsid w:val="00BD44B5"/>
    <w:rsid w:val="00BD47F2"/>
    <w:rsid w:val="00BD598F"/>
    <w:rsid w:val="00BE021D"/>
    <w:rsid w:val="00BE0F1E"/>
    <w:rsid w:val="00BE4437"/>
    <w:rsid w:val="00BF2AC3"/>
    <w:rsid w:val="00BF53BA"/>
    <w:rsid w:val="00BF6F65"/>
    <w:rsid w:val="00BF7A98"/>
    <w:rsid w:val="00C00175"/>
    <w:rsid w:val="00C02BF7"/>
    <w:rsid w:val="00C03015"/>
    <w:rsid w:val="00C0358D"/>
    <w:rsid w:val="00C03597"/>
    <w:rsid w:val="00C11E1C"/>
    <w:rsid w:val="00C12A23"/>
    <w:rsid w:val="00C13F74"/>
    <w:rsid w:val="00C14737"/>
    <w:rsid w:val="00C1668D"/>
    <w:rsid w:val="00C22E49"/>
    <w:rsid w:val="00C2411B"/>
    <w:rsid w:val="00C24654"/>
    <w:rsid w:val="00C2500E"/>
    <w:rsid w:val="00C26B51"/>
    <w:rsid w:val="00C32FF0"/>
    <w:rsid w:val="00C35A27"/>
    <w:rsid w:val="00C40489"/>
    <w:rsid w:val="00C40BB5"/>
    <w:rsid w:val="00C43705"/>
    <w:rsid w:val="00C44361"/>
    <w:rsid w:val="00C462DC"/>
    <w:rsid w:val="00C47B2E"/>
    <w:rsid w:val="00C501EA"/>
    <w:rsid w:val="00C54CEA"/>
    <w:rsid w:val="00C57975"/>
    <w:rsid w:val="00C63A86"/>
    <w:rsid w:val="00C64C93"/>
    <w:rsid w:val="00C65B25"/>
    <w:rsid w:val="00C72A4D"/>
    <w:rsid w:val="00C7327D"/>
    <w:rsid w:val="00C7704D"/>
    <w:rsid w:val="00C771F7"/>
    <w:rsid w:val="00C82919"/>
    <w:rsid w:val="00C84B74"/>
    <w:rsid w:val="00C87CB5"/>
    <w:rsid w:val="00C92A66"/>
    <w:rsid w:val="00C92EC9"/>
    <w:rsid w:val="00C93822"/>
    <w:rsid w:val="00CA2AAD"/>
    <w:rsid w:val="00CA2FD9"/>
    <w:rsid w:val="00CA585F"/>
    <w:rsid w:val="00CA5EB4"/>
    <w:rsid w:val="00CA663D"/>
    <w:rsid w:val="00CC0957"/>
    <w:rsid w:val="00CC0CB1"/>
    <w:rsid w:val="00CC28D8"/>
    <w:rsid w:val="00CC329F"/>
    <w:rsid w:val="00CC4231"/>
    <w:rsid w:val="00CC492D"/>
    <w:rsid w:val="00CC6CB7"/>
    <w:rsid w:val="00CD6071"/>
    <w:rsid w:val="00CD706B"/>
    <w:rsid w:val="00CD7FB5"/>
    <w:rsid w:val="00CE2D12"/>
    <w:rsid w:val="00CF0A40"/>
    <w:rsid w:val="00D010B3"/>
    <w:rsid w:val="00D0113F"/>
    <w:rsid w:val="00D035F2"/>
    <w:rsid w:val="00D03C7F"/>
    <w:rsid w:val="00D06973"/>
    <w:rsid w:val="00D128A7"/>
    <w:rsid w:val="00D13662"/>
    <w:rsid w:val="00D25543"/>
    <w:rsid w:val="00D25645"/>
    <w:rsid w:val="00D26856"/>
    <w:rsid w:val="00D303EE"/>
    <w:rsid w:val="00D31987"/>
    <w:rsid w:val="00D343A2"/>
    <w:rsid w:val="00D34AE3"/>
    <w:rsid w:val="00D356CB"/>
    <w:rsid w:val="00D36762"/>
    <w:rsid w:val="00D42D93"/>
    <w:rsid w:val="00D4362B"/>
    <w:rsid w:val="00D44233"/>
    <w:rsid w:val="00D45E4E"/>
    <w:rsid w:val="00D45FCA"/>
    <w:rsid w:val="00D522E4"/>
    <w:rsid w:val="00D53363"/>
    <w:rsid w:val="00D5391D"/>
    <w:rsid w:val="00D53CE1"/>
    <w:rsid w:val="00D544E0"/>
    <w:rsid w:val="00D57067"/>
    <w:rsid w:val="00D57E83"/>
    <w:rsid w:val="00D63CD2"/>
    <w:rsid w:val="00D672A4"/>
    <w:rsid w:val="00D73BAA"/>
    <w:rsid w:val="00D80AF3"/>
    <w:rsid w:val="00D82215"/>
    <w:rsid w:val="00D85EC0"/>
    <w:rsid w:val="00D85F1E"/>
    <w:rsid w:val="00D87353"/>
    <w:rsid w:val="00D87DC2"/>
    <w:rsid w:val="00D933F1"/>
    <w:rsid w:val="00D94B05"/>
    <w:rsid w:val="00DA06C9"/>
    <w:rsid w:val="00DA19E5"/>
    <w:rsid w:val="00DA1DBB"/>
    <w:rsid w:val="00DA4911"/>
    <w:rsid w:val="00DA58C2"/>
    <w:rsid w:val="00DA7694"/>
    <w:rsid w:val="00DB2B8E"/>
    <w:rsid w:val="00DC35C7"/>
    <w:rsid w:val="00DC5030"/>
    <w:rsid w:val="00DC5FFA"/>
    <w:rsid w:val="00DD2C83"/>
    <w:rsid w:val="00DD4021"/>
    <w:rsid w:val="00DD46C1"/>
    <w:rsid w:val="00DD47D2"/>
    <w:rsid w:val="00DD5585"/>
    <w:rsid w:val="00DE12F9"/>
    <w:rsid w:val="00DE1F0C"/>
    <w:rsid w:val="00DE5DC2"/>
    <w:rsid w:val="00DF4B2C"/>
    <w:rsid w:val="00E01B20"/>
    <w:rsid w:val="00E02969"/>
    <w:rsid w:val="00E02C2B"/>
    <w:rsid w:val="00E03004"/>
    <w:rsid w:val="00E11C1F"/>
    <w:rsid w:val="00E1224F"/>
    <w:rsid w:val="00E13D6C"/>
    <w:rsid w:val="00E148C2"/>
    <w:rsid w:val="00E21C27"/>
    <w:rsid w:val="00E24140"/>
    <w:rsid w:val="00E26BCF"/>
    <w:rsid w:val="00E409D9"/>
    <w:rsid w:val="00E46B7F"/>
    <w:rsid w:val="00E52109"/>
    <w:rsid w:val="00E53A8E"/>
    <w:rsid w:val="00E563AE"/>
    <w:rsid w:val="00E608C0"/>
    <w:rsid w:val="00E630B1"/>
    <w:rsid w:val="00E6343C"/>
    <w:rsid w:val="00E72568"/>
    <w:rsid w:val="00E75317"/>
    <w:rsid w:val="00E82810"/>
    <w:rsid w:val="00E82E40"/>
    <w:rsid w:val="00E90807"/>
    <w:rsid w:val="00E97388"/>
    <w:rsid w:val="00EA415C"/>
    <w:rsid w:val="00EA574C"/>
    <w:rsid w:val="00EB5DE8"/>
    <w:rsid w:val="00EB605C"/>
    <w:rsid w:val="00EB6D7A"/>
    <w:rsid w:val="00EB6FEE"/>
    <w:rsid w:val="00EC0CE6"/>
    <w:rsid w:val="00EC438F"/>
    <w:rsid w:val="00EC43FD"/>
    <w:rsid w:val="00EC7C1D"/>
    <w:rsid w:val="00ED1C56"/>
    <w:rsid w:val="00ED213B"/>
    <w:rsid w:val="00ED3AAB"/>
    <w:rsid w:val="00ED3B2C"/>
    <w:rsid w:val="00ED495D"/>
    <w:rsid w:val="00ED52B3"/>
    <w:rsid w:val="00ED6C48"/>
    <w:rsid w:val="00EE3045"/>
    <w:rsid w:val="00EE7C75"/>
    <w:rsid w:val="00EF2A19"/>
    <w:rsid w:val="00EF2BC3"/>
    <w:rsid w:val="00EF2F83"/>
    <w:rsid w:val="00EF377C"/>
    <w:rsid w:val="00F01349"/>
    <w:rsid w:val="00F06ADC"/>
    <w:rsid w:val="00F11810"/>
    <w:rsid w:val="00F16E4B"/>
    <w:rsid w:val="00F22551"/>
    <w:rsid w:val="00F258BF"/>
    <w:rsid w:val="00F25CAF"/>
    <w:rsid w:val="00F26B0F"/>
    <w:rsid w:val="00F356F4"/>
    <w:rsid w:val="00F3700F"/>
    <w:rsid w:val="00F402D7"/>
    <w:rsid w:val="00F406CE"/>
    <w:rsid w:val="00F409A6"/>
    <w:rsid w:val="00F41449"/>
    <w:rsid w:val="00F423F1"/>
    <w:rsid w:val="00F527CD"/>
    <w:rsid w:val="00F536F4"/>
    <w:rsid w:val="00F54FB3"/>
    <w:rsid w:val="00F61B5E"/>
    <w:rsid w:val="00F62864"/>
    <w:rsid w:val="00F65F5A"/>
    <w:rsid w:val="00F65F5D"/>
    <w:rsid w:val="00F67EAF"/>
    <w:rsid w:val="00F71055"/>
    <w:rsid w:val="00F72754"/>
    <w:rsid w:val="00F735F0"/>
    <w:rsid w:val="00F7452F"/>
    <w:rsid w:val="00F837D7"/>
    <w:rsid w:val="00F863E0"/>
    <w:rsid w:val="00F86A3A"/>
    <w:rsid w:val="00F909AA"/>
    <w:rsid w:val="00F9235A"/>
    <w:rsid w:val="00F947FA"/>
    <w:rsid w:val="00F9488E"/>
    <w:rsid w:val="00F966E1"/>
    <w:rsid w:val="00F969E2"/>
    <w:rsid w:val="00FA0F8C"/>
    <w:rsid w:val="00FA56E8"/>
    <w:rsid w:val="00FB10E9"/>
    <w:rsid w:val="00FB1ED6"/>
    <w:rsid w:val="00FB228A"/>
    <w:rsid w:val="00FB31F4"/>
    <w:rsid w:val="00FB3751"/>
    <w:rsid w:val="00FB7FE2"/>
    <w:rsid w:val="00FC0490"/>
    <w:rsid w:val="00FC17A4"/>
    <w:rsid w:val="00FC3A97"/>
    <w:rsid w:val="00FC4A24"/>
    <w:rsid w:val="00FC4D06"/>
    <w:rsid w:val="00FC50D6"/>
    <w:rsid w:val="00FC5907"/>
    <w:rsid w:val="00FD6355"/>
    <w:rsid w:val="00FD64FC"/>
    <w:rsid w:val="00FD6D85"/>
    <w:rsid w:val="00FE0555"/>
    <w:rsid w:val="00FE2546"/>
    <w:rsid w:val="00FE35F6"/>
    <w:rsid w:val="00FE3F59"/>
    <w:rsid w:val="00FE4EAA"/>
    <w:rsid w:val="00FE5174"/>
    <w:rsid w:val="00FE581D"/>
    <w:rsid w:val="00FE6C3C"/>
    <w:rsid w:val="00FF7340"/>
    <w:rsid w:val="00FF7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5B41A"/>
  <w15:docId w15:val="{956A4AC7-468C-4068-A2F8-88075F1B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D53363"/>
  </w:style>
  <w:style w:type="character" w:customStyle="1" w:styleId="eop">
    <w:name w:val="eop"/>
    <w:basedOn w:val="DefaultParagraphFont"/>
    <w:rsid w:val="00D53363"/>
  </w:style>
  <w:style w:type="character" w:customStyle="1" w:styleId="HChGChar">
    <w:name w:val="_ H _Ch_G Char"/>
    <w:link w:val="HChG"/>
    <w:locked/>
    <w:rsid w:val="00DD5585"/>
    <w:rPr>
      <w:b/>
      <w:sz w:val="28"/>
    </w:rPr>
  </w:style>
  <w:style w:type="character" w:customStyle="1" w:styleId="H1GChar">
    <w:name w:val="_ H_1_G Char"/>
    <w:link w:val="H1G"/>
    <w:locked/>
    <w:rsid w:val="00DD5585"/>
    <w:rPr>
      <w:b/>
      <w:sz w:val="24"/>
    </w:rPr>
  </w:style>
  <w:style w:type="character" w:customStyle="1" w:styleId="SingleTxtGChar">
    <w:name w:val="_ Single Txt_G Char"/>
    <w:link w:val="SingleTxtG"/>
    <w:qFormat/>
    <w:rsid w:val="00DD5585"/>
  </w:style>
  <w:style w:type="character" w:customStyle="1" w:styleId="SingleTxtGCar">
    <w:name w:val="_ Single Txt_G Car"/>
    <w:rsid w:val="00DD5585"/>
    <w:rPr>
      <w:lang w:eastAsia="en-US"/>
    </w:rPr>
  </w:style>
  <w:style w:type="paragraph" w:styleId="ListParagraph">
    <w:name w:val="List Paragraph"/>
    <w:basedOn w:val="Normal"/>
    <w:uiPriority w:val="34"/>
    <w:qFormat/>
    <w:rsid w:val="00A36DF5"/>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481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info/Environmental-Policy/Industrial-Accidents/events/35844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6AFB3-552A-4D99-8C66-10AC8727508B}">
  <ds:schemaRefs>
    <ds:schemaRef ds:uri="http://schemas.microsoft.com/sharepoint/v3/contenttype/forms"/>
  </ds:schemaRefs>
</ds:datastoreItem>
</file>

<file path=customXml/itemProps2.xml><?xml version="1.0" encoding="utf-8"?>
<ds:datastoreItem xmlns:ds="http://schemas.openxmlformats.org/officeDocument/2006/customXml" ds:itemID="{344BF109-1461-4AA9-829F-2710F346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7FD2B584-FC6E-4D0B-B282-C7F1B3075069}">
  <ds:schemaRefs>
    <ds:schemaRef ds:uri="4b4a1c0d-4a69-4996-a84a-fc699b9f49d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3</TotalTime>
  <Pages>22</Pages>
  <Words>9732</Words>
  <Characters>55479</Characters>
  <Application>Microsoft Office Word</Application>
  <DocSecurity>0</DocSecurity>
  <Lines>462</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65081</CharactersWithSpaces>
  <SharedDoc>false</SharedDoc>
  <HLinks>
    <vt:vector size="6" baseType="variant">
      <vt:variant>
        <vt:i4>3276901</vt:i4>
      </vt:variant>
      <vt:variant>
        <vt:i4>0</vt:i4>
      </vt:variant>
      <vt:variant>
        <vt:i4>0</vt:i4>
      </vt:variant>
      <vt:variant>
        <vt:i4>5</vt:i4>
      </vt:variant>
      <vt:variant>
        <vt:lpwstr>https://unece.org/info/Environmental-Policy/Industrial-Accidents/events/358445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ST/SG/AC.10/C.3/2021/37</dc:title>
  <dc:subject/>
  <dc:creator>Rosa Garcia-Couto</dc:creator>
  <cp:keywords>ST/SG/AC.10/C.4/2021/7</cp:keywords>
  <cp:lastModifiedBy>Laurence Berthet</cp:lastModifiedBy>
  <cp:revision>2</cp:revision>
  <cp:lastPrinted>2022-04-14T06:20:00Z</cp:lastPrinted>
  <dcterms:created xsi:type="dcterms:W3CDTF">2022-04-14T06:22:00Z</dcterms:created>
  <dcterms:modified xsi:type="dcterms:W3CDTF">2022-04-14T06:22:00Z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