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050C48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34D3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4F75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09FD7" w14:textId="1E3C9B3D" w:rsidR="00E52109" w:rsidRDefault="009212FC" w:rsidP="009212FC">
            <w:pPr>
              <w:suppressAutoHyphens w:val="0"/>
              <w:jc w:val="right"/>
            </w:pPr>
            <w:r w:rsidRPr="009212FC">
              <w:rPr>
                <w:sz w:val="40"/>
              </w:rPr>
              <w:t>ST</w:t>
            </w:r>
            <w:r>
              <w:t>/SG/AC.10/C.3/2022/</w:t>
            </w:r>
            <w:r w:rsidR="00106837">
              <w:t>8</w:t>
            </w:r>
          </w:p>
        </w:tc>
      </w:tr>
      <w:tr w:rsidR="00E52109" w14:paraId="05CF2FA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095E9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F238FD" wp14:editId="4F80EC1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D3D2D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F46678" w14:textId="77777777" w:rsidR="00D94B05" w:rsidRDefault="009212FC" w:rsidP="009212FC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A713002" w14:textId="624F6B40" w:rsidR="009212FC" w:rsidRDefault="00DE3B7D" w:rsidP="009212FC">
            <w:pPr>
              <w:suppressAutoHyphens w:val="0"/>
              <w:spacing w:line="240" w:lineRule="exact"/>
            </w:pPr>
            <w:r>
              <w:t xml:space="preserve">28 March </w:t>
            </w:r>
            <w:r w:rsidR="009212FC">
              <w:t>2022</w:t>
            </w:r>
          </w:p>
          <w:p w14:paraId="711F00EC" w14:textId="77777777" w:rsidR="009212FC" w:rsidRDefault="009212FC" w:rsidP="009212FC">
            <w:pPr>
              <w:suppressAutoHyphens w:val="0"/>
              <w:spacing w:line="240" w:lineRule="exact"/>
            </w:pPr>
          </w:p>
          <w:p w14:paraId="074BE650" w14:textId="4D7343DC" w:rsidR="009212FC" w:rsidRDefault="009212FC" w:rsidP="009212FC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7C83F0A" w14:textId="77777777" w:rsidR="006A1F72" w:rsidRPr="006500BA" w:rsidRDefault="006A1F7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827294B" w14:textId="77777777" w:rsidR="006A1F72" w:rsidRPr="006500BA" w:rsidRDefault="006A1F7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6A01E43" w14:textId="77777777" w:rsidR="00E03493" w:rsidRPr="006500BA" w:rsidRDefault="00E03493" w:rsidP="00E03493">
      <w:pPr>
        <w:spacing w:before="120"/>
        <w:rPr>
          <w:b/>
        </w:rPr>
      </w:pPr>
      <w:r>
        <w:rPr>
          <w:b/>
        </w:rPr>
        <w:t xml:space="preserve">Sixtieth </w:t>
      </w:r>
      <w:r w:rsidRPr="006500BA">
        <w:rPr>
          <w:b/>
        </w:rPr>
        <w:t>session</w:t>
      </w:r>
    </w:p>
    <w:p w14:paraId="57B5D27F" w14:textId="77777777" w:rsidR="00E03493" w:rsidRPr="006500BA" w:rsidRDefault="00E03493" w:rsidP="00E03493">
      <w:r w:rsidRPr="006500BA">
        <w:t xml:space="preserve">Geneva, </w:t>
      </w:r>
      <w:r>
        <w:t xml:space="preserve">27 June-6 July 2022 </w:t>
      </w:r>
    </w:p>
    <w:p w14:paraId="75592A06" w14:textId="570F94BB" w:rsidR="00E03493" w:rsidRPr="006500BA" w:rsidRDefault="00E03493" w:rsidP="00E03493">
      <w:r w:rsidRPr="007324D6">
        <w:t xml:space="preserve">Item </w:t>
      </w:r>
      <w:r w:rsidR="00C36F01">
        <w:t>6 (</w:t>
      </w:r>
      <w:r w:rsidR="002A2E8C">
        <w:t>b</w:t>
      </w:r>
      <w:r w:rsidR="00C36F01">
        <w:t>)</w:t>
      </w:r>
      <w:r w:rsidRPr="007324D6">
        <w:t xml:space="preserve"> of the provisional agenda</w:t>
      </w:r>
    </w:p>
    <w:p w14:paraId="7D9ABE0E" w14:textId="462A1F62" w:rsidR="006A1F72" w:rsidRPr="00C523B2" w:rsidRDefault="005A229C" w:rsidP="00E03493">
      <w:pPr>
        <w:rPr>
          <w:b/>
          <w:bCs/>
        </w:rPr>
      </w:pPr>
      <w:r w:rsidRPr="00C523B2">
        <w:rPr>
          <w:b/>
          <w:bCs/>
        </w:rPr>
        <w:t xml:space="preserve">Miscellaneous proposals for amendments to the Model Regulations </w:t>
      </w:r>
      <w:r w:rsidR="002A2E8C">
        <w:rPr>
          <w:b/>
          <w:bCs/>
        </w:rPr>
        <w:t xml:space="preserve">on the </w:t>
      </w:r>
      <w:r w:rsidRPr="00C523B2">
        <w:rPr>
          <w:b/>
          <w:bCs/>
        </w:rPr>
        <w:br/>
        <w:t>Transport of Dangerous Goods:</w:t>
      </w:r>
      <w:r w:rsidR="002551A1">
        <w:rPr>
          <w:b/>
          <w:bCs/>
        </w:rPr>
        <w:t xml:space="preserve"> </w:t>
      </w:r>
      <w:r w:rsidR="00DE3B7D">
        <w:rPr>
          <w:b/>
          <w:bCs/>
        </w:rPr>
        <w:br/>
        <w:t>p</w:t>
      </w:r>
      <w:r w:rsidR="002551A1" w:rsidRPr="002551A1">
        <w:rPr>
          <w:b/>
          <w:bCs/>
        </w:rPr>
        <w:t>ackagings, including the use of recycled plastics material</w:t>
      </w:r>
    </w:p>
    <w:p w14:paraId="4B2C4DA3" w14:textId="77546CBC" w:rsidR="00F86908" w:rsidRPr="0082490E" w:rsidRDefault="00F86908" w:rsidP="00F86908">
      <w:pPr>
        <w:pStyle w:val="HChG"/>
        <w:rPr>
          <w:rFonts w:eastAsia="MS Mincho"/>
          <w:b w:val="0"/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82490E">
        <w:rPr>
          <w:lang w:val="en-US" w:eastAsia="ja-JP"/>
        </w:rPr>
        <w:t xml:space="preserve">Correction to </w:t>
      </w:r>
      <w:r w:rsidRPr="00F86908">
        <w:t>P200</w:t>
      </w:r>
      <w:r>
        <w:t xml:space="preserve">, </w:t>
      </w:r>
      <w:r w:rsidRPr="0082490E">
        <w:rPr>
          <w:rFonts w:eastAsia="MS Mincho"/>
          <w:lang w:val="en-US" w:eastAsia="ja-JP"/>
        </w:rPr>
        <w:t>UN 1001 and UN 3374</w:t>
      </w:r>
    </w:p>
    <w:p w14:paraId="7DAB3FE7" w14:textId="4D1B79D1" w:rsidR="00F86908" w:rsidRDefault="00F86908" w:rsidP="00F86908">
      <w:pPr>
        <w:pStyle w:val="H1G"/>
      </w:pPr>
      <w:r w:rsidRPr="0082490E">
        <w:rPr>
          <w:lang w:val="en-US"/>
        </w:rPr>
        <w:tab/>
      </w:r>
      <w:r w:rsidRPr="0082490E">
        <w:rPr>
          <w:lang w:val="en-US"/>
        </w:rPr>
        <w:tab/>
      </w:r>
      <w:r w:rsidR="00DE4BAB">
        <w:rPr>
          <w:lang w:val="en-US"/>
        </w:rPr>
        <w:t>Submitted</w:t>
      </w:r>
      <w:r w:rsidRPr="00872395">
        <w:t xml:space="preserve"> by </w:t>
      </w:r>
      <w:r>
        <w:t>European Industrial Gases Association (EIGA)</w:t>
      </w:r>
      <w:r>
        <w:rPr>
          <w:rStyle w:val="FootnoteReference"/>
        </w:rPr>
        <w:footnoteReference w:id="2"/>
      </w:r>
    </w:p>
    <w:p w14:paraId="23795A16" w14:textId="77777777" w:rsidR="00F86908" w:rsidRDefault="00F86908" w:rsidP="00C93000">
      <w:pPr>
        <w:pStyle w:val="HChG"/>
      </w:pPr>
      <w:r>
        <w:tab/>
      </w:r>
      <w:r>
        <w:tab/>
      </w:r>
      <w:r w:rsidRPr="00DC3249">
        <w:t>Introduction</w:t>
      </w:r>
    </w:p>
    <w:p w14:paraId="6B678D63" w14:textId="4BF1B3E4" w:rsidR="00F86908" w:rsidRPr="006036FE" w:rsidRDefault="00C93000" w:rsidP="00C93000">
      <w:pPr>
        <w:pStyle w:val="SingleTxtG"/>
      </w:pPr>
      <w:r>
        <w:tab/>
        <w:t>1.</w:t>
      </w:r>
      <w:r>
        <w:tab/>
      </w:r>
      <w:r w:rsidR="00F86908" w:rsidRPr="006036FE">
        <w:t xml:space="preserve">In P200, two filling ratios are given for </w:t>
      </w:r>
      <w:r w:rsidR="00F86908">
        <w:t>ACETYLENE</w:t>
      </w:r>
      <w:r w:rsidR="00F86908">
        <w:rPr>
          <w:lang w:val="en-US"/>
        </w:rPr>
        <w:t>,</w:t>
      </w:r>
      <w:r w:rsidR="00F86908" w:rsidRPr="000E52A3">
        <w:t xml:space="preserve"> </w:t>
      </w:r>
      <w:r w:rsidR="00F86908" w:rsidRPr="006036FE">
        <w:t>DISSOLVED</w:t>
      </w:r>
      <w:r w:rsidR="00F86908">
        <w:t xml:space="preserve"> </w:t>
      </w:r>
      <w:r w:rsidR="00F86908" w:rsidRPr="006036FE">
        <w:t xml:space="preserve">(UN 1001) and </w:t>
      </w:r>
      <w:r w:rsidR="00F86908">
        <w:t>ACETYLENE, SOLVENT FREE</w:t>
      </w:r>
      <w:r w:rsidR="00F86908" w:rsidRPr="006036FE">
        <w:t xml:space="preserve"> (UN 3374). For the first test pressure</w:t>
      </w:r>
      <w:r w:rsidR="00F86908" w:rsidRPr="00AE3BF4">
        <w:t>, special packing provision “c, p” are mentioned, but not for the second test pressure. This provision should apply for both test pressures</w:t>
      </w:r>
      <w:r w:rsidR="00F86908" w:rsidRPr="006036FE">
        <w:t>.</w:t>
      </w:r>
    </w:p>
    <w:p w14:paraId="7EA80426" w14:textId="1998BAE6" w:rsidR="00F86908" w:rsidRPr="00ED49A4" w:rsidRDefault="00C93000" w:rsidP="00C93000">
      <w:pPr>
        <w:pStyle w:val="SingleTxtG"/>
      </w:pPr>
      <w:r>
        <w:tab/>
        <w:t>2.</w:t>
      </w:r>
      <w:r>
        <w:tab/>
      </w:r>
      <w:r w:rsidR="00F86908">
        <w:t>EIGA consider</w:t>
      </w:r>
      <w:r w:rsidR="00107EFE">
        <w:t>s</w:t>
      </w:r>
      <w:r w:rsidR="00F86908">
        <w:t xml:space="preserve"> these </w:t>
      </w:r>
      <w:r w:rsidR="00373294">
        <w:t>omissions</w:t>
      </w:r>
      <w:r w:rsidR="00F86908">
        <w:t xml:space="preserve"> should be corrected.</w:t>
      </w:r>
    </w:p>
    <w:p w14:paraId="325C12DE" w14:textId="31ABF148" w:rsidR="00F86908" w:rsidRDefault="00C93000" w:rsidP="00C93000">
      <w:pPr>
        <w:pStyle w:val="H1G"/>
      </w:pPr>
      <w:r>
        <w:tab/>
      </w:r>
      <w:r>
        <w:tab/>
      </w:r>
      <w:r w:rsidR="00F86908">
        <w:t>Proposal (new text underlined)</w:t>
      </w:r>
    </w:p>
    <w:p w14:paraId="4455FBAD" w14:textId="273ED20F" w:rsidR="00F86908" w:rsidRPr="009102F2" w:rsidRDefault="00C93000" w:rsidP="00C93000">
      <w:pPr>
        <w:pStyle w:val="SingleTxtG"/>
      </w:pPr>
      <w:r>
        <w:tab/>
        <w:t>3.</w:t>
      </w:r>
      <w:r>
        <w:tab/>
      </w:r>
      <w:r w:rsidR="00E85E53">
        <w:t xml:space="preserve">In 4.1.4.1, </w:t>
      </w:r>
      <w:r w:rsidR="00F86908" w:rsidRPr="009102F2">
        <w:t>EIGA propose</w:t>
      </w:r>
      <w:r w:rsidR="00F86908">
        <w:t xml:space="preserve">s to add </w:t>
      </w:r>
      <w:r w:rsidR="00DD65B7">
        <w:t xml:space="preserve">in table 2 the </w:t>
      </w:r>
      <w:r w:rsidR="00F86908">
        <w:t xml:space="preserve">special packing provision “c, p” also for the </w:t>
      </w:r>
      <w:r w:rsidR="00D6650A">
        <w:t xml:space="preserve">second test </w:t>
      </w:r>
      <w:r w:rsidR="00F86908">
        <w:t xml:space="preserve">pressure </w:t>
      </w:r>
      <w:r w:rsidR="00765B18">
        <w:t>(52 bar)</w:t>
      </w:r>
      <w:r w:rsidR="00F86908">
        <w:t xml:space="preserve"> for </w:t>
      </w:r>
      <w:r w:rsidR="00D6650A">
        <w:t xml:space="preserve">both </w:t>
      </w:r>
      <w:r w:rsidR="00F86908">
        <w:t xml:space="preserve">UN </w:t>
      </w:r>
      <w:r w:rsidR="00F86908" w:rsidRPr="00C93000">
        <w:t>1001</w:t>
      </w:r>
      <w:r w:rsidR="00F86908">
        <w:t xml:space="preserve"> </w:t>
      </w:r>
      <w:r w:rsidR="00D6650A">
        <w:t>and</w:t>
      </w:r>
      <w:r w:rsidR="00F86908">
        <w:t xml:space="preserve"> UN 3374</w:t>
      </w:r>
      <w:r w:rsidR="00107EFE">
        <w:t>, as follows:</w:t>
      </w:r>
    </w:p>
    <w:tbl>
      <w:tblPr>
        <w:tblStyle w:val="TableGrid1"/>
        <w:tblW w:w="5255" w:type="pct"/>
        <w:tblLook w:val="0600" w:firstRow="0" w:lastRow="0" w:firstColumn="0" w:lastColumn="0" w:noHBand="1" w:noVBand="1"/>
      </w:tblPr>
      <w:tblGrid>
        <w:gridCol w:w="521"/>
        <w:gridCol w:w="2448"/>
        <w:gridCol w:w="587"/>
        <w:gridCol w:w="708"/>
        <w:gridCol w:w="706"/>
        <w:gridCol w:w="565"/>
        <w:gridCol w:w="563"/>
        <w:gridCol w:w="565"/>
        <w:gridCol w:w="567"/>
        <w:gridCol w:w="567"/>
        <w:gridCol w:w="425"/>
        <w:gridCol w:w="708"/>
        <w:gridCol w:w="704"/>
        <w:gridCol w:w="486"/>
      </w:tblGrid>
      <w:tr w:rsidR="008A0794" w:rsidRPr="008A0794" w14:paraId="3EB23D03" w14:textId="77777777" w:rsidTr="0004368D">
        <w:trPr>
          <w:trHeight w:val="291"/>
        </w:trPr>
        <w:tc>
          <w:tcPr>
            <w:tcW w:w="257" w:type="pct"/>
          </w:tcPr>
          <w:p w14:paraId="188EC590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1001</w:t>
            </w:r>
          </w:p>
        </w:tc>
        <w:tc>
          <w:tcPr>
            <w:tcW w:w="1209" w:type="pct"/>
          </w:tcPr>
          <w:p w14:paraId="383DE3BB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ACETYLENE, DISSOLVED</w:t>
            </w:r>
          </w:p>
        </w:tc>
        <w:tc>
          <w:tcPr>
            <w:tcW w:w="290" w:type="pct"/>
          </w:tcPr>
          <w:p w14:paraId="39563C2C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50" w:type="pct"/>
          </w:tcPr>
          <w:p w14:paraId="3C4F4983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349" w:type="pct"/>
          </w:tcPr>
          <w:p w14:paraId="48C40526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79" w:type="pct"/>
          </w:tcPr>
          <w:p w14:paraId="2306657D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X</w:t>
            </w:r>
          </w:p>
        </w:tc>
        <w:tc>
          <w:tcPr>
            <w:tcW w:w="278" w:type="pct"/>
          </w:tcPr>
          <w:p w14:paraId="4770285A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79" w:type="pct"/>
          </w:tcPr>
          <w:p w14:paraId="34C8EA86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80" w:type="pct"/>
          </w:tcPr>
          <w:p w14:paraId="1AD9EAC0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X</w:t>
            </w:r>
          </w:p>
        </w:tc>
        <w:tc>
          <w:tcPr>
            <w:tcW w:w="280" w:type="pct"/>
          </w:tcPr>
          <w:p w14:paraId="350F99F3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10" w:type="pct"/>
          </w:tcPr>
          <w:p w14:paraId="3291BCB8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10</w:t>
            </w:r>
          </w:p>
        </w:tc>
        <w:tc>
          <w:tcPr>
            <w:tcW w:w="350" w:type="pct"/>
          </w:tcPr>
          <w:p w14:paraId="1C01B696" w14:textId="77777777" w:rsidR="008A0794" w:rsidRPr="008A0794" w:rsidRDefault="008A0794" w:rsidP="008A0794">
            <w:pPr>
              <w:kinsoku/>
              <w:overflowPunct/>
              <w:snapToGrid/>
              <w:jc w:val="center"/>
              <w:rPr>
                <w:color w:val="000000"/>
                <w:sz w:val="18"/>
                <w:szCs w:val="18"/>
                <w:lang w:val="sv-SE" w:eastAsia="sv-SE"/>
              </w:rPr>
            </w:pPr>
            <w:r w:rsidRPr="008A0794">
              <w:rPr>
                <w:color w:val="000000"/>
                <w:sz w:val="18"/>
                <w:szCs w:val="18"/>
                <w:lang w:val="sv-SE" w:eastAsia="sv-SE"/>
              </w:rPr>
              <w:t>60</w:t>
            </w:r>
          </w:p>
          <w:p w14:paraId="08C666DF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52</w:t>
            </w:r>
          </w:p>
        </w:tc>
        <w:tc>
          <w:tcPr>
            <w:tcW w:w="348" w:type="pct"/>
          </w:tcPr>
          <w:p w14:paraId="3E652C57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40" w:type="pct"/>
          </w:tcPr>
          <w:p w14:paraId="4A62C957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t>c, p</w:t>
            </w:r>
          </w:p>
          <w:p w14:paraId="4AD2F03D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8A0794">
              <w:rPr>
                <w:u w:val="single"/>
              </w:rPr>
              <w:t>c</w:t>
            </w:r>
            <w:r w:rsidRPr="008A0794">
              <w:t xml:space="preserve">, </w:t>
            </w:r>
            <w:r w:rsidRPr="008A0794">
              <w:rPr>
                <w:u w:val="single"/>
              </w:rPr>
              <w:t>p</w:t>
            </w:r>
          </w:p>
          <w:p w14:paraId="195721A4" w14:textId="77777777" w:rsidR="008A0794" w:rsidRPr="008A0794" w:rsidRDefault="008A0794" w:rsidP="008A0794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</w:tr>
    </w:tbl>
    <w:p w14:paraId="20736310" w14:textId="77777777" w:rsidR="00C523B2" w:rsidRDefault="00C523B2" w:rsidP="004858F5"/>
    <w:tbl>
      <w:tblPr>
        <w:tblStyle w:val="TableGrid2"/>
        <w:tblW w:w="5255" w:type="pct"/>
        <w:tblLook w:val="0600" w:firstRow="0" w:lastRow="0" w:firstColumn="0" w:lastColumn="0" w:noHBand="1" w:noVBand="1"/>
      </w:tblPr>
      <w:tblGrid>
        <w:gridCol w:w="522"/>
        <w:gridCol w:w="2447"/>
        <w:gridCol w:w="587"/>
        <w:gridCol w:w="708"/>
        <w:gridCol w:w="706"/>
        <w:gridCol w:w="565"/>
        <w:gridCol w:w="563"/>
        <w:gridCol w:w="565"/>
        <w:gridCol w:w="567"/>
        <w:gridCol w:w="567"/>
        <w:gridCol w:w="425"/>
        <w:gridCol w:w="708"/>
        <w:gridCol w:w="704"/>
        <w:gridCol w:w="486"/>
      </w:tblGrid>
      <w:tr w:rsidR="00CB52A9" w:rsidRPr="00CB52A9" w14:paraId="0B7D6BA6" w14:textId="77777777" w:rsidTr="00475A63">
        <w:trPr>
          <w:trHeight w:val="291"/>
        </w:trPr>
        <w:tc>
          <w:tcPr>
            <w:tcW w:w="258" w:type="pct"/>
          </w:tcPr>
          <w:p w14:paraId="0FB5F1F4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3374</w:t>
            </w:r>
          </w:p>
        </w:tc>
        <w:tc>
          <w:tcPr>
            <w:tcW w:w="1209" w:type="pct"/>
          </w:tcPr>
          <w:p w14:paraId="520FCAAC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 xml:space="preserve">ACETYLENE, SOLVENT FREE </w:t>
            </w:r>
          </w:p>
        </w:tc>
        <w:tc>
          <w:tcPr>
            <w:tcW w:w="290" w:type="pct"/>
          </w:tcPr>
          <w:p w14:paraId="42DF08B1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50" w:type="pct"/>
          </w:tcPr>
          <w:p w14:paraId="015D50D6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349" w:type="pct"/>
          </w:tcPr>
          <w:p w14:paraId="73F2CFBF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79" w:type="pct"/>
          </w:tcPr>
          <w:p w14:paraId="4518C075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X</w:t>
            </w:r>
          </w:p>
        </w:tc>
        <w:tc>
          <w:tcPr>
            <w:tcW w:w="278" w:type="pct"/>
          </w:tcPr>
          <w:p w14:paraId="619C2770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79" w:type="pct"/>
          </w:tcPr>
          <w:p w14:paraId="3EA1D2D9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80" w:type="pct"/>
          </w:tcPr>
          <w:p w14:paraId="61229C88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X</w:t>
            </w:r>
          </w:p>
        </w:tc>
        <w:tc>
          <w:tcPr>
            <w:tcW w:w="280" w:type="pct"/>
          </w:tcPr>
          <w:p w14:paraId="07DBF51C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10" w:type="pct"/>
          </w:tcPr>
          <w:p w14:paraId="1C56F5A3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5</w:t>
            </w:r>
          </w:p>
        </w:tc>
        <w:tc>
          <w:tcPr>
            <w:tcW w:w="350" w:type="pct"/>
          </w:tcPr>
          <w:p w14:paraId="4F1A261C" w14:textId="77777777" w:rsidR="00CB52A9" w:rsidRPr="00CB52A9" w:rsidRDefault="00CB52A9" w:rsidP="00CB52A9">
            <w:pPr>
              <w:kinsoku/>
              <w:overflowPunct/>
              <w:snapToGrid/>
              <w:jc w:val="center"/>
              <w:rPr>
                <w:color w:val="000000"/>
                <w:sz w:val="18"/>
                <w:szCs w:val="18"/>
                <w:lang w:val="sv-SE" w:eastAsia="sv-SE"/>
              </w:rPr>
            </w:pPr>
            <w:r w:rsidRPr="00CB52A9">
              <w:rPr>
                <w:color w:val="000000"/>
                <w:sz w:val="18"/>
                <w:szCs w:val="18"/>
                <w:lang w:val="sv-SE" w:eastAsia="sv-SE"/>
              </w:rPr>
              <w:t>60</w:t>
            </w:r>
          </w:p>
          <w:p w14:paraId="3934ED58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52</w:t>
            </w:r>
          </w:p>
        </w:tc>
        <w:tc>
          <w:tcPr>
            <w:tcW w:w="348" w:type="pct"/>
          </w:tcPr>
          <w:p w14:paraId="3E821565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  <w:tc>
          <w:tcPr>
            <w:tcW w:w="240" w:type="pct"/>
          </w:tcPr>
          <w:p w14:paraId="1F7BA806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t>c, p</w:t>
            </w:r>
          </w:p>
          <w:p w14:paraId="65E9A9F8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  <w:r w:rsidRPr="00CB52A9">
              <w:rPr>
                <w:u w:val="single"/>
              </w:rPr>
              <w:t>c</w:t>
            </w:r>
            <w:r w:rsidRPr="00CB52A9">
              <w:t xml:space="preserve">, </w:t>
            </w:r>
            <w:r w:rsidRPr="00CB52A9">
              <w:rPr>
                <w:u w:val="single"/>
              </w:rPr>
              <w:t>p</w:t>
            </w:r>
          </w:p>
          <w:p w14:paraId="502A8D59" w14:textId="77777777" w:rsidR="00CB52A9" w:rsidRPr="00CB52A9" w:rsidRDefault="00CB52A9" w:rsidP="00CB52A9">
            <w:pPr>
              <w:suppressAutoHyphens w:val="0"/>
              <w:kinsoku/>
              <w:overflowPunct/>
              <w:snapToGrid/>
              <w:spacing w:line="240" w:lineRule="auto"/>
              <w:jc w:val="center"/>
            </w:pPr>
          </w:p>
        </w:tc>
      </w:tr>
    </w:tbl>
    <w:p w14:paraId="5870E6AC" w14:textId="71087A6B" w:rsidR="00475A63" w:rsidRPr="00DD4332" w:rsidRDefault="00475A63" w:rsidP="00475A63">
      <w:pPr>
        <w:pStyle w:val="HChG"/>
      </w:pPr>
      <w:r>
        <w:tab/>
      </w:r>
      <w:r>
        <w:tab/>
      </w:r>
      <w:r w:rsidRPr="00DD4332">
        <w:t>Justification</w:t>
      </w:r>
    </w:p>
    <w:p w14:paraId="1B7313E0" w14:textId="73B8B880" w:rsidR="00475A63" w:rsidRPr="00D97656" w:rsidRDefault="00475A63" w:rsidP="00475A63">
      <w:pPr>
        <w:pStyle w:val="SingleTxtG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  <w:t xml:space="preserve">This </w:t>
      </w:r>
      <w:r w:rsidRPr="00475A63">
        <w:t>proposal</w:t>
      </w:r>
      <w:r>
        <w:rPr>
          <w:lang w:val="en-US"/>
        </w:rPr>
        <w:t xml:space="preserve"> will correct the mistakes and increase safety.</w:t>
      </w:r>
    </w:p>
    <w:p w14:paraId="3AA17025" w14:textId="3B91ABB8" w:rsidR="008A0794" w:rsidRPr="00475A63" w:rsidRDefault="00475A63" w:rsidP="00475A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0794" w:rsidRPr="00475A63" w:rsidSect="009212F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FCA" w14:textId="77777777" w:rsidR="00113110" w:rsidRPr="00C47B2E" w:rsidRDefault="00113110" w:rsidP="00C47B2E">
      <w:pPr>
        <w:pStyle w:val="Footer"/>
      </w:pPr>
    </w:p>
  </w:endnote>
  <w:endnote w:type="continuationSeparator" w:id="0">
    <w:p w14:paraId="3C8219C2" w14:textId="77777777" w:rsidR="00113110" w:rsidRPr="00C47B2E" w:rsidRDefault="00113110" w:rsidP="00C47B2E">
      <w:pPr>
        <w:pStyle w:val="Footer"/>
      </w:pPr>
    </w:p>
  </w:endnote>
  <w:endnote w:type="continuationNotice" w:id="1">
    <w:p w14:paraId="67B714F1" w14:textId="77777777" w:rsidR="00113110" w:rsidRPr="00C47B2E" w:rsidRDefault="0011311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8E08" w14:textId="2936BE9D" w:rsidR="00D94B05" w:rsidRPr="009212FC" w:rsidRDefault="009212FC" w:rsidP="009212FC">
    <w:pPr>
      <w:pStyle w:val="Footer"/>
      <w:tabs>
        <w:tab w:val="right" w:pos="9598"/>
        <w:tab w:val="right" w:pos="9638"/>
      </w:tabs>
      <w:rPr>
        <w:sz w:val="18"/>
      </w:rPr>
    </w:pPr>
    <w:r w:rsidRPr="009212FC">
      <w:rPr>
        <w:b/>
        <w:sz w:val="18"/>
      </w:rPr>
      <w:fldChar w:fldCharType="begin"/>
    </w:r>
    <w:r w:rsidRPr="009212FC">
      <w:rPr>
        <w:b/>
        <w:sz w:val="18"/>
      </w:rPr>
      <w:instrText xml:space="preserve"> PAGE  \* MERGEFORMAT </w:instrText>
    </w:r>
    <w:r w:rsidRPr="009212FC">
      <w:rPr>
        <w:b/>
        <w:sz w:val="18"/>
      </w:rPr>
      <w:fldChar w:fldCharType="separate"/>
    </w:r>
    <w:r w:rsidRPr="009212FC">
      <w:rPr>
        <w:b/>
        <w:noProof/>
        <w:sz w:val="18"/>
      </w:rPr>
      <w:t>2</w:t>
    </w:r>
    <w:r w:rsidRPr="009212F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EEDD" w14:textId="10DCBF62" w:rsidR="00D94B05" w:rsidRPr="009212FC" w:rsidRDefault="009212FC" w:rsidP="009212FC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212FC">
      <w:rPr>
        <w:sz w:val="18"/>
      </w:rPr>
      <w:fldChar w:fldCharType="begin"/>
    </w:r>
    <w:r w:rsidRPr="009212FC">
      <w:rPr>
        <w:sz w:val="18"/>
      </w:rPr>
      <w:instrText xml:space="preserve"> PAGE  \* MERGEFORMAT </w:instrText>
    </w:r>
    <w:r w:rsidRPr="009212FC">
      <w:rPr>
        <w:sz w:val="18"/>
      </w:rPr>
      <w:fldChar w:fldCharType="separate"/>
    </w:r>
    <w:r w:rsidRPr="009212FC">
      <w:rPr>
        <w:noProof/>
        <w:sz w:val="18"/>
      </w:rPr>
      <w:t>3</w:t>
    </w:r>
    <w:r w:rsidRPr="009212F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D89" w14:textId="77777777" w:rsidR="00D94B05" w:rsidRPr="009212FC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78C925A" wp14:editId="16D770B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3923" w14:textId="77777777" w:rsidR="00113110" w:rsidRPr="00C47B2E" w:rsidRDefault="0011311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ABADF1F" w14:textId="77777777" w:rsidR="00113110" w:rsidRPr="00C47B2E" w:rsidRDefault="0011311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B82A98E" w14:textId="77777777" w:rsidR="00113110" w:rsidRPr="00C47B2E" w:rsidRDefault="00113110" w:rsidP="00C47B2E">
      <w:pPr>
        <w:pStyle w:val="Footer"/>
      </w:pPr>
    </w:p>
  </w:footnote>
  <w:footnote w:id="2">
    <w:p w14:paraId="6379ED8B" w14:textId="37996DBF" w:rsidR="00F86908" w:rsidRPr="00F86908" w:rsidRDefault="00F86908" w:rsidP="00C93000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C93000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F7D1" w14:textId="5CF375E8" w:rsidR="009212FC" w:rsidRPr="009212FC" w:rsidRDefault="00DE4BA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254B">
      <w:t>ST/SG/AC.10/C.3/2022/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892D" w14:textId="15058423" w:rsidR="00D94B05" w:rsidRPr="009212FC" w:rsidRDefault="00DE4BAB" w:rsidP="009212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254B">
      <w:t>ST/SG/AC.10/C.3/2022/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FC"/>
    <w:rsid w:val="0003254B"/>
    <w:rsid w:val="00046E92"/>
    <w:rsid w:val="00063C90"/>
    <w:rsid w:val="000C5A43"/>
    <w:rsid w:val="000D5CC5"/>
    <w:rsid w:val="00101B98"/>
    <w:rsid w:val="00106837"/>
    <w:rsid w:val="00107EFE"/>
    <w:rsid w:val="00113110"/>
    <w:rsid w:val="001514D1"/>
    <w:rsid w:val="0023642A"/>
    <w:rsid w:val="00247E2C"/>
    <w:rsid w:val="002551A1"/>
    <w:rsid w:val="002A2E8C"/>
    <w:rsid w:val="002A32CB"/>
    <w:rsid w:val="002D5B2C"/>
    <w:rsid w:val="002D6C53"/>
    <w:rsid w:val="002F5595"/>
    <w:rsid w:val="00334F6A"/>
    <w:rsid w:val="00342AC8"/>
    <w:rsid w:val="00343302"/>
    <w:rsid w:val="00373294"/>
    <w:rsid w:val="003979DE"/>
    <w:rsid w:val="003B4550"/>
    <w:rsid w:val="003D2A18"/>
    <w:rsid w:val="00413386"/>
    <w:rsid w:val="00461253"/>
    <w:rsid w:val="00475A63"/>
    <w:rsid w:val="004858F5"/>
    <w:rsid w:val="004A2814"/>
    <w:rsid w:val="004C0622"/>
    <w:rsid w:val="004E066D"/>
    <w:rsid w:val="005042C2"/>
    <w:rsid w:val="005A229C"/>
    <w:rsid w:val="005E64B3"/>
    <w:rsid w:val="005E716E"/>
    <w:rsid w:val="006476E1"/>
    <w:rsid w:val="006604DF"/>
    <w:rsid w:val="00671529"/>
    <w:rsid w:val="006A1F72"/>
    <w:rsid w:val="0070489D"/>
    <w:rsid w:val="007268F9"/>
    <w:rsid w:val="00750282"/>
    <w:rsid w:val="00764440"/>
    <w:rsid w:val="00765B18"/>
    <w:rsid w:val="0077101B"/>
    <w:rsid w:val="007C52B0"/>
    <w:rsid w:val="007C6033"/>
    <w:rsid w:val="008147C8"/>
    <w:rsid w:val="0081753A"/>
    <w:rsid w:val="00857D23"/>
    <w:rsid w:val="008A0794"/>
    <w:rsid w:val="009212FC"/>
    <w:rsid w:val="009411B4"/>
    <w:rsid w:val="00946F1D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36F01"/>
    <w:rsid w:val="00C47B2E"/>
    <w:rsid w:val="00C523B2"/>
    <w:rsid w:val="00C93000"/>
    <w:rsid w:val="00CB52A9"/>
    <w:rsid w:val="00D63CD2"/>
    <w:rsid w:val="00D6650A"/>
    <w:rsid w:val="00D87DC2"/>
    <w:rsid w:val="00D94B05"/>
    <w:rsid w:val="00DD65B7"/>
    <w:rsid w:val="00DE3B7D"/>
    <w:rsid w:val="00DE4BAB"/>
    <w:rsid w:val="00E02C2B"/>
    <w:rsid w:val="00E03493"/>
    <w:rsid w:val="00E21C27"/>
    <w:rsid w:val="00E26BCF"/>
    <w:rsid w:val="00E52109"/>
    <w:rsid w:val="00E75317"/>
    <w:rsid w:val="00E85E53"/>
    <w:rsid w:val="00EC0CE6"/>
    <w:rsid w:val="00EC7C1D"/>
    <w:rsid w:val="00ED6C48"/>
    <w:rsid w:val="00EE3045"/>
    <w:rsid w:val="00F65F5D"/>
    <w:rsid w:val="00F86908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D4D5D4"/>
  <w15:docId w15:val="{E57868E2-7F10-42C4-BB1A-702BE3B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F86908"/>
    <w:rPr>
      <w:b/>
      <w:sz w:val="28"/>
    </w:rPr>
  </w:style>
  <w:style w:type="character" w:customStyle="1" w:styleId="SingleTxtGChar">
    <w:name w:val="_ Single Txt_G Char"/>
    <w:link w:val="SingleTxtG"/>
    <w:locked/>
    <w:rsid w:val="00F86908"/>
  </w:style>
  <w:style w:type="character" w:customStyle="1" w:styleId="H1GChar">
    <w:name w:val="_ H_1_G Char"/>
    <w:link w:val="H1G"/>
    <w:rsid w:val="00F86908"/>
    <w:rPr>
      <w:b/>
      <w:sz w:val="24"/>
    </w:rPr>
  </w:style>
  <w:style w:type="table" w:customStyle="1" w:styleId="TableGrid1">
    <w:name w:val="Table Grid1"/>
    <w:basedOn w:val="TableNormal"/>
    <w:next w:val="TableGrid"/>
    <w:rsid w:val="008A0794"/>
    <w:pPr>
      <w:suppressAutoHyphens/>
      <w:spacing w:after="0"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CB52A9"/>
    <w:pPr>
      <w:suppressAutoHyphens/>
      <w:spacing w:after="0"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09338-3158-408F-874C-6E113443B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094F3-A910-4656-B4B8-A539019BD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B7043-9C55-4319-BFD2-717A6642CA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28</cp:revision>
  <cp:lastPrinted>2022-03-28T08:01:00Z</cp:lastPrinted>
  <dcterms:created xsi:type="dcterms:W3CDTF">2022-03-17T14:35:00Z</dcterms:created>
  <dcterms:modified xsi:type="dcterms:W3CDTF">2022-04-01T17:59:00Z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