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01962DB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2DC4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A513D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B4DEE" w14:textId="558363D3" w:rsidR="00E52109" w:rsidRPr="00955304" w:rsidRDefault="00AD3744" w:rsidP="00955304">
            <w:pPr>
              <w:suppressAutoHyphens w:val="0"/>
              <w:jc w:val="right"/>
              <w:rPr>
                <w:sz w:val="40"/>
              </w:rPr>
            </w:pPr>
            <w:r w:rsidRPr="006B59E7">
              <w:rPr>
                <w:sz w:val="40"/>
              </w:rPr>
              <w:t>ST</w:t>
            </w:r>
            <w:r>
              <w:t>/SG/AC.10/C.3/2022/6</w:t>
            </w:r>
          </w:p>
        </w:tc>
      </w:tr>
      <w:tr w:rsidR="00E52109" w14:paraId="5CEFC4C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F2124B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C3E324" wp14:editId="6AEDE32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B4C3EE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81C7164" w14:textId="2F345DFB" w:rsidR="00D94B05" w:rsidRDefault="00955304" w:rsidP="00955304">
            <w:pPr>
              <w:suppressAutoHyphens w:val="0"/>
              <w:spacing w:before="240" w:line="240" w:lineRule="exact"/>
            </w:pPr>
            <w:r>
              <w:t xml:space="preserve">Distr.: </w:t>
            </w:r>
            <w:r w:rsidR="00AD3744">
              <w:t>General</w:t>
            </w:r>
          </w:p>
          <w:p w14:paraId="41351D10" w14:textId="2BA92C80" w:rsidR="00955304" w:rsidRDefault="00852075" w:rsidP="00955304">
            <w:pPr>
              <w:suppressAutoHyphens w:val="0"/>
              <w:spacing w:line="240" w:lineRule="exact"/>
            </w:pPr>
            <w:r>
              <w:t>2</w:t>
            </w:r>
            <w:r w:rsidR="00A92866">
              <w:t>8</w:t>
            </w:r>
            <w:r w:rsidR="00AD3744">
              <w:t xml:space="preserve"> March 2022</w:t>
            </w:r>
          </w:p>
          <w:p w14:paraId="401235BC" w14:textId="77777777" w:rsidR="00955304" w:rsidRDefault="00955304" w:rsidP="00955304">
            <w:pPr>
              <w:suppressAutoHyphens w:val="0"/>
              <w:spacing w:line="240" w:lineRule="exact"/>
            </w:pPr>
          </w:p>
          <w:p w14:paraId="16CD4C2B" w14:textId="15A44E08" w:rsidR="00955304" w:rsidRDefault="00955304" w:rsidP="00955304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3606C4E5" w14:textId="77777777" w:rsidR="00B77718" w:rsidRPr="006500BA" w:rsidRDefault="00B77718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CBC67B9" w14:textId="77777777" w:rsidR="00B77718" w:rsidRPr="006500BA" w:rsidRDefault="00B77718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5AB7614F" w14:textId="77777777" w:rsidR="00AB10D1" w:rsidRPr="006500BA" w:rsidRDefault="00AB10D1" w:rsidP="00AB10D1">
      <w:pPr>
        <w:spacing w:before="120"/>
        <w:rPr>
          <w:b/>
        </w:rPr>
      </w:pPr>
      <w:r>
        <w:rPr>
          <w:b/>
        </w:rPr>
        <w:t xml:space="preserve">Sixtieth </w:t>
      </w:r>
      <w:r w:rsidRPr="006500BA">
        <w:rPr>
          <w:b/>
        </w:rPr>
        <w:t>session</w:t>
      </w:r>
    </w:p>
    <w:p w14:paraId="481D006C" w14:textId="77777777" w:rsidR="00AB10D1" w:rsidRPr="006500BA" w:rsidRDefault="00AB10D1" w:rsidP="00AB10D1">
      <w:r w:rsidRPr="006500BA">
        <w:t xml:space="preserve">Geneva, </w:t>
      </w:r>
      <w:r>
        <w:t xml:space="preserve">27 June-6 July 2022 </w:t>
      </w:r>
    </w:p>
    <w:p w14:paraId="1BA5F838" w14:textId="7D4EF056" w:rsidR="00AB10D1" w:rsidRDefault="00AB10D1" w:rsidP="00AB10D1">
      <w:pPr>
        <w:rPr>
          <w:b/>
          <w:bCs/>
        </w:rPr>
      </w:pPr>
      <w:r w:rsidRPr="007324D6">
        <w:t xml:space="preserve">Item </w:t>
      </w:r>
      <w:r w:rsidR="008350F7">
        <w:t>6 (d)</w:t>
      </w:r>
      <w:r w:rsidRPr="007324D6">
        <w:t xml:space="preserve"> of the provisional agenda</w:t>
      </w:r>
      <w:r w:rsidR="00947440">
        <w:br/>
      </w:r>
      <w:r w:rsidR="00947440" w:rsidRPr="00E47AEA">
        <w:rPr>
          <w:b/>
          <w:bCs/>
        </w:rPr>
        <w:t xml:space="preserve">Miscellaneous proposals for amendments to the Model Regulations </w:t>
      </w:r>
      <w:r w:rsidR="00947440" w:rsidRPr="00E47AEA">
        <w:rPr>
          <w:b/>
          <w:bCs/>
        </w:rPr>
        <w:br/>
        <w:t xml:space="preserve">on the Transport of Dangerous Goods: </w:t>
      </w:r>
      <w:r w:rsidR="00E47AEA" w:rsidRPr="00E47AEA">
        <w:rPr>
          <w:b/>
          <w:bCs/>
        </w:rPr>
        <w:t>other miscellaneous proposals</w:t>
      </w:r>
    </w:p>
    <w:p w14:paraId="54E6EAE1" w14:textId="77777777" w:rsidR="00AB7881" w:rsidRPr="00E2344C" w:rsidRDefault="00AB7881" w:rsidP="00AB7881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New transitional measures for pressure </w:t>
      </w:r>
      <w:r w:rsidRPr="00AB7881">
        <w:t>receptacles</w:t>
      </w:r>
    </w:p>
    <w:p w14:paraId="39CDA3D6" w14:textId="47BE2D6B" w:rsidR="00AB7881" w:rsidRPr="00372A88" w:rsidRDefault="00AB7881" w:rsidP="00AB7881">
      <w:pPr>
        <w:pStyle w:val="H1G"/>
        <w:rPr>
          <w:rFonts w:eastAsia="Arial Unicode MS"/>
          <w:lang w:val="en-US"/>
        </w:rPr>
      </w:pPr>
      <w:r w:rsidRPr="00372A88">
        <w:rPr>
          <w:rFonts w:eastAsia="Arial Unicode MS" w:cs="Arial Unicode MS"/>
          <w:lang w:val="en-US"/>
        </w:rPr>
        <w:tab/>
      </w:r>
      <w:r w:rsidRPr="00372A88">
        <w:rPr>
          <w:rFonts w:eastAsia="Arial Unicode MS" w:cs="Arial Unicode MS"/>
          <w:lang w:val="en-US"/>
        </w:rPr>
        <w:tab/>
      </w:r>
      <w:r w:rsidR="00A5132E">
        <w:rPr>
          <w:rFonts w:eastAsia="Arial Unicode MS" w:cs="Arial Unicode MS"/>
          <w:lang w:val="en-US"/>
        </w:rPr>
        <w:t>Submitted</w:t>
      </w:r>
      <w:r w:rsidRPr="00372A88">
        <w:rPr>
          <w:rFonts w:eastAsia="Arial Unicode MS"/>
          <w:lang w:val="en-US"/>
        </w:rPr>
        <w:t xml:space="preserve"> by </w:t>
      </w:r>
      <w:r w:rsidR="004264CB" w:rsidRPr="004264CB">
        <w:rPr>
          <w:rFonts w:eastAsia="Arial Unicode MS"/>
          <w:lang w:val="en-US"/>
        </w:rPr>
        <w:t>European Industrial Gases Association (EIGA)</w:t>
      </w:r>
      <w:r w:rsidR="00C9517F">
        <w:rPr>
          <w:rStyle w:val="FootnoteReference"/>
          <w:rFonts w:eastAsia="Arial Unicode MS"/>
          <w:lang w:val="en-US"/>
        </w:rPr>
        <w:footnoteReference w:id="2"/>
      </w:r>
    </w:p>
    <w:p w14:paraId="21132A60" w14:textId="77777777" w:rsidR="00AB7881" w:rsidRPr="00372A88" w:rsidRDefault="00AB7881" w:rsidP="00AB7881">
      <w:pPr>
        <w:pStyle w:val="HChG"/>
        <w:rPr>
          <w:lang w:val="en-US"/>
        </w:rPr>
      </w:pPr>
      <w:r w:rsidRPr="00372A88">
        <w:rPr>
          <w:sz w:val="24"/>
          <w:szCs w:val="24"/>
          <w:lang w:val="en-US"/>
        </w:rPr>
        <w:tab/>
      </w:r>
      <w:r w:rsidRPr="00372A88">
        <w:rPr>
          <w:sz w:val="24"/>
          <w:szCs w:val="24"/>
          <w:lang w:val="en-US"/>
        </w:rPr>
        <w:tab/>
      </w:r>
      <w:r w:rsidRPr="004E2CEA">
        <w:t>Introduction</w:t>
      </w:r>
    </w:p>
    <w:p w14:paraId="774D7259" w14:textId="19F66F2F" w:rsidR="00AB7881" w:rsidRPr="00BF6B06" w:rsidRDefault="00AB7881" w:rsidP="00AB7881">
      <w:pPr>
        <w:pStyle w:val="SingleTxtG"/>
        <w:numPr>
          <w:ilvl w:val="0"/>
          <w:numId w:val="14"/>
        </w:numPr>
        <w:kinsoku/>
        <w:overflowPunct/>
        <w:autoSpaceDE/>
        <w:autoSpaceDN/>
        <w:adjustRightInd/>
        <w:snapToGrid/>
        <w:ind w:left="1134" w:firstLine="0"/>
        <w:rPr>
          <w:lang w:val="en-US"/>
        </w:rPr>
      </w:pPr>
      <w:r w:rsidRPr="00BF6B06">
        <w:rPr>
          <w:lang w:val="en-US"/>
        </w:rPr>
        <w:t xml:space="preserve">In the </w:t>
      </w:r>
      <w:r w:rsidR="000E2206">
        <w:rPr>
          <w:lang w:val="en-US"/>
        </w:rPr>
        <w:t>autumn</w:t>
      </w:r>
      <w:r w:rsidR="000E2206" w:rsidRPr="00BF6B06">
        <w:rPr>
          <w:lang w:val="en-US"/>
        </w:rPr>
        <w:t xml:space="preserve"> 2021</w:t>
      </w:r>
      <w:r w:rsidR="000E2206">
        <w:rPr>
          <w:lang w:val="en-US"/>
        </w:rPr>
        <w:t xml:space="preserve"> session</w:t>
      </w:r>
      <w:r w:rsidR="000E2206" w:rsidRPr="00BF6B06">
        <w:rPr>
          <w:lang w:val="en-US"/>
        </w:rPr>
        <w:t xml:space="preserve"> </w:t>
      </w:r>
      <w:r w:rsidR="000E2206">
        <w:rPr>
          <w:lang w:val="en-US"/>
        </w:rPr>
        <w:t xml:space="preserve">of the </w:t>
      </w:r>
      <w:r w:rsidRPr="00BF6B06">
        <w:rPr>
          <w:lang w:val="en-US"/>
        </w:rPr>
        <w:t xml:space="preserve">Joint Meeting of the RID Committee of Experts and the Working Party on the Transport of Dangerous Goods </w:t>
      </w:r>
      <w:r w:rsidR="0078210A" w:rsidRPr="00BF6B06">
        <w:rPr>
          <w:lang w:val="en-US"/>
        </w:rPr>
        <w:t>(WP.15/AC.1)</w:t>
      </w:r>
      <w:r w:rsidRPr="00BF6B06">
        <w:rPr>
          <w:lang w:val="en-US"/>
        </w:rPr>
        <w:t>, transitional provisions for the amendments to 6.2.1.5.2, 6.2.2.7.3 (k) and (l) and 6.2.2.11 were adopted</w:t>
      </w:r>
      <w:r w:rsidR="00FB2439">
        <w:rPr>
          <w:lang w:val="en-US"/>
        </w:rPr>
        <w:t>. T</w:t>
      </w:r>
      <w:r w:rsidRPr="00BF6B06">
        <w:rPr>
          <w:lang w:val="en-US"/>
        </w:rPr>
        <w:t xml:space="preserve">hese </w:t>
      </w:r>
      <w:r w:rsidR="00FB2439" w:rsidRPr="00BF6B06">
        <w:rPr>
          <w:lang w:val="en-US"/>
        </w:rPr>
        <w:t xml:space="preserve">transitional measures </w:t>
      </w:r>
      <w:r w:rsidRPr="00BF6B06">
        <w:rPr>
          <w:lang w:val="en-US"/>
        </w:rPr>
        <w:t xml:space="preserve">would also be necessary for the Model Regulations, hence the representative of EIGA was requested to also submit a document with similar transitional measures to the Sub-Committee </w:t>
      </w:r>
      <w:r w:rsidR="002E0BD7">
        <w:rPr>
          <w:lang w:val="en-US"/>
        </w:rPr>
        <w:t xml:space="preserve">of Experts </w:t>
      </w:r>
      <w:r w:rsidRPr="00BF6B06">
        <w:rPr>
          <w:lang w:val="en-US"/>
        </w:rPr>
        <w:t>on the Transport of Dangerous Goods</w:t>
      </w:r>
      <w:r w:rsidR="002E0BD7">
        <w:rPr>
          <w:lang w:val="en-US"/>
        </w:rPr>
        <w:t xml:space="preserve"> (TDG)</w:t>
      </w:r>
      <w:r w:rsidRPr="00BF6B06">
        <w:rPr>
          <w:lang w:val="en-US"/>
        </w:rPr>
        <w:t>.</w:t>
      </w:r>
    </w:p>
    <w:p w14:paraId="7128B97D" w14:textId="30FCDA8C" w:rsidR="00AB7881" w:rsidRDefault="00C9517F" w:rsidP="00C9517F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AB7881" w:rsidRPr="009B0381">
        <w:rPr>
          <w:lang w:val="en-US"/>
        </w:rPr>
        <w:t xml:space="preserve">During the </w:t>
      </w:r>
      <w:r w:rsidR="00C87D30">
        <w:rPr>
          <w:lang w:val="en-US"/>
        </w:rPr>
        <w:t xml:space="preserve">previous </w:t>
      </w:r>
      <w:r w:rsidR="00FB044B">
        <w:rPr>
          <w:lang w:val="en-US"/>
        </w:rPr>
        <w:t xml:space="preserve">session of the </w:t>
      </w:r>
      <w:r>
        <w:rPr>
          <w:lang w:val="en-US"/>
        </w:rPr>
        <w:t xml:space="preserve">TDG </w:t>
      </w:r>
      <w:r w:rsidR="00AB7881" w:rsidRPr="009B0381">
        <w:rPr>
          <w:lang w:val="en-US"/>
        </w:rPr>
        <w:t xml:space="preserve">Sub-Committee, EIGA presented </w:t>
      </w:r>
      <w:r>
        <w:rPr>
          <w:lang w:val="en-US"/>
        </w:rPr>
        <w:t xml:space="preserve">informal document </w:t>
      </w:r>
      <w:r w:rsidR="00AB7881" w:rsidRPr="009B0381">
        <w:rPr>
          <w:lang w:val="en-US"/>
        </w:rPr>
        <w:t>INF.14</w:t>
      </w:r>
      <w:r>
        <w:rPr>
          <w:lang w:val="en-US"/>
        </w:rPr>
        <w:t xml:space="preserve"> (59</w:t>
      </w:r>
      <w:r w:rsidRPr="00C9517F">
        <w:rPr>
          <w:vertAlign w:val="superscript"/>
          <w:lang w:val="en-US"/>
        </w:rPr>
        <w:t>th</w:t>
      </w:r>
      <w:r>
        <w:rPr>
          <w:lang w:val="en-US"/>
        </w:rPr>
        <w:t xml:space="preserve"> session)</w:t>
      </w:r>
      <w:r w:rsidR="00AB7881" w:rsidRPr="009B0381">
        <w:rPr>
          <w:lang w:val="en-US"/>
        </w:rPr>
        <w:t xml:space="preserve">. The Sub-Committee noted principal support to insert in 6.2.1.5.2, 6.2.2.7.3 and 6.2.2.11 a note on transitional measures as proposed in informal document INF.14 but was not ready to take a decision </w:t>
      </w:r>
      <w:r w:rsidR="00300A47" w:rsidRPr="009B0381">
        <w:rPr>
          <w:lang w:val="en-US"/>
        </w:rPr>
        <w:t>based on</w:t>
      </w:r>
      <w:r w:rsidR="00AB7881" w:rsidRPr="009B0381">
        <w:rPr>
          <w:lang w:val="en-US"/>
        </w:rPr>
        <w:t xml:space="preserve"> an informal document. Furthermore, some experts preferred to add a specific date to the notes in 6.2.2.7.3 and 6.2.2.11. The Vice-Chair reminded the Sub-Committee that the proposed amendments had already been adopted by the </w:t>
      </w:r>
      <w:r w:rsidR="00F81AC6" w:rsidRPr="00BF6B06">
        <w:rPr>
          <w:lang w:val="en-US"/>
        </w:rPr>
        <w:t>WP.15/AC.1</w:t>
      </w:r>
      <w:r w:rsidR="00F81AC6">
        <w:rPr>
          <w:lang w:val="en-US"/>
        </w:rPr>
        <w:t xml:space="preserve"> </w:t>
      </w:r>
      <w:r w:rsidR="00AB7881" w:rsidRPr="009B0381">
        <w:rPr>
          <w:lang w:val="en-US"/>
        </w:rPr>
        <w:t xml:space="preserve">Joint Meeting </w:t>
      </w:r>
      <w:r w:rsidR="00F32AD0">
        <w:rPr>
          <w:lang w:val="en-US"/>
        </w:rPr>
        <w:t xml:space="preserve">(see </w:t>
      </w:r>
      <w:r w:rsidR="009414E1">
        <w:rPr>
          <w:lang w:val="en-US"/>
        </w:rPr>
        <w:t xml:space="preserve">annex II of </w:t>
      </w:r>
      <w:r w:rsidR="00F32AD0">
        <w:rPr>
          <w:lang w:val="en-US"/>
        </w:rPr>
        <w:t>report ECE/</w:t>
      </w:r>
      <w:r w:rsidR="003A5334">
        <w:rPr>
          <w:lang w:val="en-US"/>
        </w:rPr>
        <w:t>TRANS/WP.15/AC.1/162</w:t>
      </w:r>
      <w:r w:rsidR="00F32AD0">
        <w:rPr>
          <w:lang w:val="en-US"/>
        </w:rPr>
        <w:t xml:space="preserve">) </w:t>
      </w:r>
      <w:r w:rsidR="00AB7881" w:rsidRPr="009B0381">
        <w:rPr>
          <w:lang w:val="en-US"/>
        </w:rPr>
        <w:t>and urged the Sub-Committee to conclude the discussion on this subject at its next session.</w:t>
      </w:r>
    </w:p>
    <w:p w14:paraId="4260E5AC" w14:textId="53701798" w:rsidR="00AB7881" w:rsidRDefault="00C9517F" w:rsidP="00A424D4">
      <w:pPr>
        <w:pStyle w:val="SingleTxtG"/>
        <w:rPr>
          <w:lang w:val="en-US"/>
        </w:rPr>
      </w:pPr>
      <w:r>
        <w:rPr>
          <w:lang w:val="en-US"/>
        </w:rPr>
        <w:tab/>
        <w:t>3.</w:t>
      </w:r>
      <w:r>
        <w:rPr>
          <w:lang w:val="en-US"/>
        </w:rPr>
        <w:tab/>
      </w:r>
      <w:r w:rsidR="00AB7881" w:rsidRPr="009B0381">
        <w:rPr>
          <w:lang w:val="en-US"/>
        </w:rPr>
        <w:t xml:space="preserve">EIGA </w:t>
      </w:r>
      <w:r w:rsidR="00AB7881">
        <w:rPr>
          <w:lang w:val="en-US"/>
        </w:rPr>
        <w:t xml:space="preserve">have </w:t>
      </w:r>
      <w:r w:rsidR="00AB7881" w:rsidRPr="009B0381">
        <w:rPr>
          <w:lang w:val="en-US"/>
        </w:rPr>
        <w:t>tak</w:t>
      </w:r>
      <w:r w:rsidR="00AB7881">
        <w:rPr>
          <w:lang w:val="en-US"/>
        </w:rPr>
        <w:t>ing</w:t>
      </w:r>
      <w:r w:rsidR="00AB7881" w:rsidRPr="009B0381">
        <w:rPr>
          <w:lang w:val="en-US"/>
        </w:rPr>
        <w:t xml:space="preserve"> account of the comments received</w:t>
      </w:r>
      <w:r w:rsidR="00AB7881">
        <w:rPr>
          <w:lang w:val="en-US"/>
        </w:rPr>
        <w:t xml:space="preserve"> and proposes below an </w:t>
      </w:r>
      <w:r w:rsidR="00AB7881" w:rsidRPr="009B0381">
        <w:rPr>
          <w:lang w:val="en-US"/>
        </w:rPr>
        <w:t xml:space="preserve">updated </w:t>
      </w:r>
      <w:r w:rsidR="00A909EF">
        <w:rPr>
          <w:lang w:val="en-US"/>
        </w:rPr>
        <w:t>amendment</w:t>
      </w:r>
      <w:r w:rsidR="00AB7881" w:rsidRPr="009B0381">
        <w:rPr>
          <w:lang w:val="en-US"/>
        </w:rPr>
        <w:t>.</w:t>
      </w:r>
      <w:r w:rsidR="002A3C9C" w:rsidRPr="002A3C9C">
        <w:rPr>
          <w:lang w:val="en-US"/>
        </w:rPr>
        <w:t xml:space="preserve"> </w:t>
      </w:r>
      <w:r w:rsidR="002A3C9C">
        <w:rPr>
          <w:lang w:val="en-US"/>
        </w:rPr>
        <w:t>The new text</w:t>
      </w:r>
      <w:r w:rsidR="001A2657">
        <w:rPr>
          <w:lang w:val="en-US"/>
        </w:rPr>
        <w:t xml:space="preserve"> </w:t>
      </w:r>
      <w:r w:rsidR="00742152">
        <w:rPr>
          <w:lang w:val="en-US"/>
        </w:rPr>
        <w:t xml:space="preserve">proposed </w:t>
      </w:r>
      <w:r w:rsidR="001A2657">
        <w:rPr>
          <w:lang w:val="en-US"/>
        </w:rPr>
        <w:t xml:space="preserve">to that in informal document </w:t>
      </w:r>
      <w:r w:rsidR="001A2657" w:rsidRPr="009B0381">
        <w:rPr>
          <w:lang w:val="en-US"/>
        </w:rPr>
        <w:t>INF.14</w:t>
      </w:r>
      <w:r w:rsidR="001A2657">
        <w:rPr>
          <w:lang w:val="en-US"/>
        </w:rPr>
        <w:t xml:space="preserve"> (59</w:t>
      </w:r>
      <w:r w:rsidR="001A2657" w:rsidRPr="00C9517F">
        <w:rPr>
          <w:vertAlign w:val="superscript"/>
          <w:lang w:val="en-US"/>
        </w:rPr>
        <w:t>th</w:t>
      </w:r>
      <w:r w:rsidR="001A2657">
        <w:rPr>
          <w:lang w:val="en-US"/>
        </w:rPr>
        <w:t xml:space="preserve"> session)</w:t>
      </w:r>
      <w:r w:rsidR="00A424D4">
        <w:rPr>
          <w:lang w:val="en-US"/>
        </w:rPr>
        <w:t xml:space="preserve"> </w:t>
      </w:r>
      <w:r w:rsidR="001A2657">
        <w:rPr>
          <w:lang w:val="en-US"/>
        </w:rPr>
        <w:t>is marked as</w:t>
      </w:r>
      <w:r w:rsidR="002A3C9C">
        <w:rPr>
          <w:lang w:val="en-US"/>
        </w:rPr>
        <w:t xml:space="preserve"> </w:t>
      </w:r>
      <w:r w:rsidR="001A2657">
        <w:rPr>
          <w:u w:val="single"/>
          <w:lang w:val="en-US"/>
        </w:rPr>
        <w:t>u</w:t>
      </w:r>
      <w:r w:rsidR="002A3C9C" w:rsidRPr="009B0381">
        <w:rPr>
          <w:u w:val="single"/>
          <w:lang w:val="en-US"/>
        </w:rPr>
        <w:t>nderlined</w:t>
      </w:r>
      <w:r w:rsidR="00A424D4">
        <w:rPr>
          <w:lang w:val="en-US"/>
        </w:rPr>
        <w:t>.</w:t>
      </w:r>
    </w:p>
    <w:p w14:paraId="3C119772" w14:textId="77777777" w:rsidR="004B7696" w:rsidRDefault="004B769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3792DCFA" w14:textId="4AB02EB3" w:rsidR="00AB7881" w:rsidRPr="00FB5674" w:rsidRDefault="00AB7881" w:rsidP="00AB7881">
      <w:pPr>
        <w:pStyle w:val="HChG"/>
        <w:ind w:firstLine="0"/>
        <w:jc w:val="both"/>
        <w:rPr>
          <w:sz w:val="24"/>
          <w:szCs w:val="24"/>
        </w:rPr>
      </w:pPr>
      <w:r w:rsidRPr="00FB5674">
        <w:rPr>
          <w:szCs w:val="28"/>
        </w:rPr>
        <w:lastRenderedPageBreak/>
        <w:t>Proposal</w:t>
      </w:r>
      <w:r>
        <w:rPr>
          <w:szCs w:val="28"/>
        </w:rPr>
        <w:t>s</w:t>
      </w:r>
    </w:p>
    <w:p w14:paraId="183442F5" w14:textId="5DA9BCAF" w:rsidR="00AB7881" w:rsidRDefault="00C9517F" w:rsidP="00C9517F">
      <w:pPr>
        <w:pStyle w:val="SingleTxtG"/>
        <w:rPr>
          <w:lang w:val="en-US"/>
        </w:rPr>
      </w:pPr>
      <w:r>
        <w:rPr>
          <w:lang w:val="en-US"/>
        </w:rPr>
        <w:tab/>
        <w:t>4.</w:t>
      </w:r>
      <w:r>
        <w:rPr>
          <w:lang w:val="en-US"/>
        </w:rPr>
        <w:tab/>
      </w:r>
      <w:r w:rsidR="00AB7881">
        <w:rPr>
          <w:lang w:val="en-US"/>
        </w:rPr>
        <w:t>6.2.1.5.2</w:t>
      </w:r>
      <w:r w:rsidR="00AB7881">
        <w:rPr>
          <w:lang w:val="en-US"/>
        </w:rPr>
        <w:tab/>
        <w:t>Insert the following note at the end</w:t>
      </w:r>
      <w:r w:rsidR="00A424D4">
        <w:rPr>
          <w:lang w:val="en-US"/>
        </w:rPr>
        <w:t>:</w:t>
      </w:r>
    </w:p>
    <w:p w14:paraId="27F96634" w14:textId="3F296EB7" w:rsidR="00AB7881" w:rsidRPr="00574766" w:rsidRDefault="00A424D4" w:rsidP="00AB7881">
      <w:pPr>
        <w:pStyle w:val="SingleTxtG"/>
        <w:rPr>
          <w:i/>
          <w:lang w:val="en-US"/>
        </w:rPr>
      </w:pPr>
      <w:r w:rsidRPr="004A1EBD">
        <w:rPr>
          <w:bCs/>
          <w:i/>
          <w:lang w:val="en-US"/>
        </w:rPr>
        <w:t>“</w:t>
      </w:r>
      <w:r w:rsidR="00AB7881" w:rsidRPr="00574766">
        <w:rPr>
          <w:b/>
          <w:i/>
          <w:lang w:val="en-US"/>
        </w:rPr>
        <w:t>NOTE:</w:t>
      </w:r>
      <w:r w:rsidR="00AB7881" w:rsidRPr="00574766">
        <w:rPr>
          <w:i/>
          <w:lang w:val="en-US"/>
        </w:rPr>
        <w:tab/>
        <w:t>Closed cryogenic receptacles which were constructed in accordance with the initial inspection and test requirements of 6.2.1.5.2 applicable in</w:t>
      </w:r>
      <w:r w:rsidR="00AB7881">
        <w:rPr>
          <w:i/>
          <w:lang w:val="en-US"/>
        </w:rPr>
        <w:t xml:space="preserve"> the</w:t>
      </w:r>
      <w:r w:rsidR="00AB7881" w:rsidRPr="00574766">
        <w:rPr>
          <w:i/>
          <w:lang w:val="en-US"/>
        </w:rPr>
        <w:t xml:space="preserve"> twenty</w:t>
      </w:r>
      <w:r w:rsidR="00A463AB">
        <w:rPr>
          <w:i/>
          <w:lang w:val="en-US"/>
        </w:rPr>
        <w:t>-</w:t>
      </w:r>
      <w:r w:rsidR="00AB7881" w:rsidRPr="00574766">
        <w:rPr>
          <w:i/>
          <w:lang w:val="en-US"/>
        </w:rPr>
        <w:t>first revised edition of the Model Regulations but which do not however conform to the requirements of 6.2.1.5.2 relating to the initial inspection and test applicable in the twenty</w:t>
      </w:r>
      <w:r w:rsidR="00A463AB">
        <w:rPr>
          <w:i/>
          <w:lang w:val="en-US"/>
        </w:rPr>
        <w:t>-</w:t>
      </w:r>
      <w:r w:rsidR="00AB7881" w:rsidRPr="00574766">
        <w:rPr>
          <w:i/>
          <w:lang w:val="en-US"/>
        </w:rPr>
        <w:t>second revised edition of the Model Regulations, may continue to be used.</w:t>
      </w:r>
      <w:r>
        <w:rPr>
          <w:i/>
          <w:lang w:val="en-US"/>
        </w:rPr>
        <w:t>”</w:t>
      </w:r>
    </w:p>
    <w:p w14:paraId="25D2B162" w14:textId="65F1777E" w:rsidR="00AB7881" w:rsidRDefault="00C9517F" w:rsidP="00C9517F">
      <w:pPr>
        <w:pStyle w:val="SingleTxtG"/>
        <w:kinsoku/>
        <w:overflowPunct/>
        <w:autoSpaceDE/>
        <w:autoSpaceDN/>
        <w:adjustRightInd/>
        <w:snapToGrid/>
        <w:rPr>
          <w:lang w:val="en-US"/>
        </w:rPr>
      </w:pPr>
      <w:r>
        <w:rPr>
          <w:lang w:val="en-US"/>
        </w:rPr>
        <w:tab/>
        <w:t>5.</w:t>
      </w:r>
      <w:r>
        <w:rPr>
          <w:b/>
          <w:i/>
          <w:lang w:val="en-US"/>
        </w:rPr>
        <w:tab/>
      </w:r>
      <w:r w:rsidR="00AB7881">
        <w:rPr>
          <w:lang w:val="en-US"/>
        </w:rPr>
        <w:t>6.2.2.7.3</w:t>
      </w:r>
      <w:r w:rsidR="00AB7881">
        <w:rPr>
          <w:lang w:val="en-US"/>
        </w:rPr>
        <w:tab/>
        <w:t>Insert the following note at the end</w:t>
      </w:r>
      <w:r w:rsidR="00A424D4">
        <w:rPr>
          <w:lang w:val="en-US"/>
        </w:rPr>
        <w:t>:</w:t>
      </w:r>
    </w:p>
    <w:p w14:paraId="1EEBC3F0" w14:textId="587CF867" w:rsidR="00AB7881" w:rsidRPr="00574766" w:rsidRDefault="004A1EBD" w:rsidP="00AB7881">
      <w:pPr>
        <w:pStyle w:val="SingleTxtG"/>
        <w:rPr>
          <w:i/>
          <w:lang w:val="en-US"/>
        </w:rPr>
      </w:pPr>
      <w:r w:rsidRPr="004A1EBD">
        <w:rPr>
          <w:bCs/>
          <w:i/>
          <w:lang w:val="en-US"/>
        </w:rPr>
        <w:t>“</w:t>
      </w:r>
      <w:r w:rsidR="00AB7881" w:rsidRPr="00574766">
        <w:rPr>
          <w:b/>
          <w:i/>
          <w:lang w:val="en-US"/>
        </w:rPr>
        <w:t>NOTE:</w:t>
      </w:r>
      <w:r w:rsidR="00AB7881" w:rsidRPr="00574766">
        <w:rPr>
          <w:i/>
          <w:lang w:val="en-US"/>
        </w:rPr>
        <w:tab/>
        <w:t>Acetylene cylinders constructed in accordance with the twenty</w:t>
      </w:r>
      <w:r w:rsidR="00864F50">
        <w:rPr>
          <w:i/>
          <w:lang w:val="en-US"/>
        </w:rPr>
        <w:t>-</w:t>
      </w:r>
      <w:r w:rsidR="00AB7881" w:rsidRPr="00574766">
        <w:rPr>
          <w:i/>
          <w:lang w:val="en-US"/>
        </w:rPr>
        <w:t>first revised edition of the Model Regulations which are not marked in accordance with 6.2.2.7.3 (k) or (l) applicable in the twenty</w:t>
      </w:r>
      <w:r w:rsidR="00C073F9">
        <w:rPr>
          <w:i/>
          <w:lang w:val="en-US"/>
        </w:rPr>
        <w:t>-</w:t>
      </w:r>
      <w:r w:rsidR="00AB7881" w:rsidRPr="00574766">
        <w:rPr>
          <w:i/>
          <w:lang w:val="en-US"/>
        </w:rPr>
        <w:t xml:space="preserve">second revised edition of the Model Regulations, may continue to be used until the next periodic inspection and test </w:t>
      </w:r>
      <w:r w:rsidR="00AB7881">
        <w:rPr>
          <w:i/>
          <w:lang w:val="en-US"/>
        </w:rPr>
        <w:t>two years after the coming into force of the twenty</w:t>
      </w:r>
      <w:r w:rsidR="00864F50">
        <w:rPr>
          <w:i/>
          <w:lang w:val="en-US"/>
        </w:rPr>
        <w:t>-</w:t>
      </w:r>
      <w:r w:rsidR="00AB7881">
        <w:rPr>
          <w:i/>
          <w:lang w:val="en-US"/>
        </w:rPr>
        <w:t>third revis</w:t>
      </w:r>
      <w:r w:rsidR="00864F50">
        <w:rPr>
          <w:i/>
          <w:lang w:val="en-US"/>
        </w:rPr>
        <w:t>ed edition</w:t>
      </w:r>
      <w:r w:rsidR="00AB7881">
        <w:rPr>
          <w:i/>
          <w:lang w:val="en-US"/>
        </w:rPr>
        <w:t xml:space="preserve"> of the Model Regulation </w:t>
      </w:r>
      <w:r w:rsidR="00AB7881" w:rsidRPr="003045FD">
        <w:rPr>
          <w:i/>
          <w:u w:val="single"/>
          <w:lang w:val="en-US"/>
        </w:rPr>
        <w:t>where they have to be marked according to the twenty</w:t>
      </w:r>
      <w:r w:rsidR="002F7F29">
        <w:rPr>
          <w:i/>
          <w:u w:val="single"/>
          <w:lang w:val="en-US"/>
        </w:rPr>
        <w:t>-</w:t>
      </w:r>
      <w:r w:rsidR="00AB7881" w:rsidRPr="003045FD">
        <w:rPr>
          <w:i/>
          <w:u w:val="single"/>
          <w:lang w:val="en-US"/>
        </w:rPr>
        <w:t>third revis</w:t>
      </w:r>
      <w:r w:rsidR="000158F6">
        <w:rPr>
          <w:i/>
          <w:u w:val="single"/>
          <w:lang w:val="en-US"/>
        </w:rPr>
        <w:t>ed edition</w:t>
      </w:r>
      <w:r w:rsidR="00AB7881" w:rsidRPr="003045FD">
        <w:rPr>
          <w:i/>
          <w:u w:val="single"/>
          <w:lang w:val="en-US"/>
        </w:rPr>
        <w:t xml:space="preserve"> of the Model Regulations or be taken out of operation.</w:t>
      </w:r>
      <w:r w:rsidRPr="004A1EBD">
        <w:rPr>
          <w:i/>
          <w:lang w:val="en-US"/>
        </w:rPr>
        <w:t>”</w:t>
      </w:r>
    </w:p>
    <w:p w14:paraId="55C87EAA" w14:textId="47B8AA59" w:rsidR="00AB7881" w:rsidRDefault="00C9517F" w:rsidP="00C9517F">
      <w:pPr>
        <w:pStyle w:val="SingleTxtG"/>
        <w:kinsoku/>
        <w:overflowPunct/>
        <w:autoSpaceDE/>
        <w:autoSpaceDN/>
        <w:adjustRightInd/>
        <w:snapToGrid/>
        <w:rPr>
          <w:lang w:val="en-US"/>
        </w:rPr>
      </w:pPr>
      <w:r>
        <w:rPr>
          <w:lang w:val="en-US"/>
        </w:rPr>
        <w:tab/>
        <w:t>6.</w:t>
      </w:r>
      <w:r>
        <w:rPr>
          <w:b/>
          <w:i/>
          <w:lang w:val="en-US"/>
        </w:rPr>
        <w:tab/>
      </w:r>
      <w:r w:rsidR="00AB7881">
        <w:rPr>
          <w:lang w:val="en-US"/>
        </w:rPr>
        <w:t>6.2.2.11</w:t>
      </w:r>
      <w:r w:rsidR="00AB7881">
        <w:rPr>
          <w:lang w:val="en-US"/>
        </w:rPr>
        <w:tab/>
        <w:t>Insert the following note at the end</w:t>
      </w:r>
      <w:r w:rsidR="00A424D4">
        <w:rPr>
          <w:lang w:val="en-US"/>
        </w:rPr>
        <w:t>:</w:t>
      </w:r>
    </w:p>
    <w:p w14:paraId="03931137" w14:textId="20830799" w:rsidR="00E47AEA" w:rsidRDefault="004A1EBD" w:rsidP="00C9517F">
      <w:pPr>
        <w:pStyle w:val="SingleTxtG"/>
        <w:rPr>
          <w:i/>
          <w:iCs/>
          <w:lang w:val="en-US"/>
        </w:rPr>
      </w:pPr>
      <w:r w:rsidRPr="004A1EBD">
        <w:rPr>
          <w:bCs/>
          <w:i/>
          <w:iCs/>
          <w:lang w:val="en-US"/>
        </w:rPr>
        <w:t>“</w:t>
      </w:r>
      <w:r w:rsidR="00AB7881" w:rsidRPr="00C9517F">
        <w:rPr>
          <w:b/>
          <w:i/>
          <w:iCs/>
          <w:lang w:val="en-US"/>
        </w:rPr>
        <w:t>NOTE:</w:t>
      </w:r>
      <w:r w:rsidR="00AB7881" w:rsidRPr="00C9517F">
        <w:rPr>
          <w:i/>
          <w:iCs/>
          <w:lang w:val="en-US"/>
        </w:rPr>
        <w:tab/>
        <w:t xml:space="preserve">Closures of refillable pressure receptacles </w:t>
      </w:r>
      <w:r w:rsidR="00AB7881" w:rsidRPr="00C9517F">
        <w:rPr>
          <w:i/>
          <w:iCs/>
          <w:strike/>
          <w:lang w:val="en-US"/>
        </w:rPr>
        <w:t>constructed</w:t>
      </w:r>
      <w:r w:rsidR="00AB7881" w:rsidRPr="00C9517F">
        <w:rPr>
          <w:i/>
          <w:iCs/>
          <w:lang w:val="en-US"/>
        </w:rPr>
        <w:t xml:space="preserve"> </w:t>
      </w:r>
      <w:r w:rsidR="00AB7881" w:rsidRPr="00C9517F">
        <w:rPr>
          <w:i/>
          <w:iCs/>
          <w:u w:val="single"/>
          <w:lang w:val="en-US"/>
        </w:rPr>
        <w:t>manufactured before 1</w:t>
      </w:r>
      <w:r w:rsidR="00A463AB">
        <w:rPr>
          <w:i/>
          <w:iCs/>
          <w:u w:val="single"/>
          <w:lang w:val="en-US"/>
        </w:rPr>
        <w:t> </w:t>
      </w:r>
      <w:r w:rsidR="00AB7881" w:rsidRPr="00C9517F">
        <w:rPr>
          <w:i/>
          <w:iCs/>
          <w:u w:val="single"/>
          <w:lang w:val="en-US"/>
        </w:rPr>
        <w:t>July 2025</w:t>
      </w:r>
      <w:r w:rsidR="00AB7881" w:rsidRPr="00C9517F">
        <w:rPr>
          <w:i/>
          <w:iCs/>
          <w:lang w:val="en-US"/>
        </w:rPr>
        <w:t xml:space="preserve"> in accordance with the requirements applicable in the twenty</w:t>
      </w:r>
      <w:r w:rsidR="00340C32">
        <w:rPr>
          <w:i/>
          <w:iCs/>
          <w:lang w:val="en-US"/>
        </w:rPr>
        <w:t>-</w:t>
      </w:r>
      <w:r w:rsidR="00AB7881" w:rsidRPr="00C9517F">
        <w:rPr>
          <w:i/>
          <w:iCs/>
          <w:lang w:val="en-US"/>
        </w:rPr>
        <w:t>first revised edition of the Model Regulations which are not marked in accordance with the requirements of 6.2.2.11 applicable in the twenty second revised edition may continue to be used.</w:t>
      </w:r>
      <w:r>
        <w:rPr>
          <w:i/>
          <w:iCs/>
          <w:lang w:val="en-US"/>
        </w:rPr>
        <w:t>”</w:t>
      </w:r>
    </w:p>
    <w:p w14:paraId="2657816C" w14:textId="54B5B87F" w:rsidR="00C9517F" w:rsidRPr="00C9517F" w:rsidRDefault="00C9517F" w:rsidP="00C9517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ED246" w14:textId="77777777" w:rsidR="00C9517F" w:rsidRPr="00C9517F" w:rsidRDefault="00C9517F" w:rsidP="00C9517F">
      <w:pPr>
        <w:pStyle w:val="SingleTxtG"/>
        <w:rPr>
          <w:i/>
          <w:iCs/>
        </w:rPr>
      </w:pPr>
    </w:p>
    <w:sectPr w:rsidR="00C9517F" w:rsidRPr="00C9517F" w:rsidSect="0095530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7C4E" w14:textId="77777777" w:rsidR="00415B2C" w:rsidRPr="00C47B2E" w:rsidRDefault="00415B2C" w:rsidP="00C47B2E">
      <w:pPr>
        <w:pStyle w:val="Footer"/>
      </w:pPr>
    </w:p>
  </w:endnote>
  <w:endnote w:type="continuationSeparator" w:id="0">
    <w:p w14:paraId="36D6DC3F" w14:textId="77777777" w:rsidR="00415B2C" w:rsidRPr="00C47B2E" w:rsidRDefault="00415B2C" w:rsidP="00C47B2E">
      <w:pPr>
        <w:pStyle w:val="Footer"/>
      </w:pPr>
    </w:p>
  </w:endnote>
  <w:endnote w:type="continuationNotice" w:id="1">
    <w:p w14:paraId="133CDC2E" w14:textId="77777777" w:rsidR="00415B2C" w:rsidRPr="00C47B2E" w:rsidRDefault="00415B2C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4DD9" w14:textId="043FD4C6" w:rsidR="00D94B05" w:rsidRPr="00955304" w:rsidRDefault="00955304" w:rsidP="00955304">
    <w:pPr>
      <w:pStyle w:val="Footer"/>
      <w:tabs>
        <w:tab w:val="right" w:pos="9598"/>
        <w:tab w:val="right" w:pos="9638"/>
      </w:tabs>
      <w:rPr>
        <w:sz w:val="18"/>
      </w:rPr>
    </w:pPr>
    <w:r w:rsidRPr="00955304">
      <w:rPr>
        <w:b/>
        <w:sz w:val="18"/>
      </w:rPr>
      <w:fldChar w:fldCharType="begin"/>
    </w:r>
    <w:r w:rsidRPr="00955304">
      <w:rPr>
        <w:b/>
        <w:sz w:val="18"/>
      </w:rPr>
      <w:instrText xml:space="preserve"> PAGE  \* MERGEFORMAT </w:instrText>
    </w:r>
    <w:r w:rsidRPr="00955304">
      <w:rPr>
        <w:b/>
        <w:sz w:val="18"/>
      </w:rPr>
      <w:fldChar w:fldCharType="separate"/>
    </w:r>
    <w:r w:rsidRPr="00955304">
      <w:rPr>
        <w:b/>
        <w:noProof/>
        <w:sz w:val="18"/>
      </w:rPr>
      <w:t>2</w:t>
    </w:r>
    <w:r w:rsidRPr="0095530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7676" w14:textId="72029994" w:rsidR="00D94B05" w:rsidRPr="00955304" w:rsidRDefault="00955304" w:rsidP="00955304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55304">
      <w:rPr>
        <w:sz w:val="18"/>
      </w:rPr>
      <w:fldChar w:fldCharType="begin"/>
    </w:r>
    <w:r w:rsidRPr="00955304">
      <w:rPr>
        <w:sz w:val="18"/>
      </w:rPr>
      <w:instrText xml:space="preserve"> PAGE  \* MERGEFORMAT </w:instrText>
    </w:r>
    <w:r w:rsidRPr="00955304">
      <w:rPr>
        <w:sz w:val="18"/>
      </w:rPr>
      <w:fldChar w:fldCharType="separate"/>
    </w:r>
    <w:r w:rsidRPr="00955304">
      <w:rPr>
        <w:noProof/>
        <w:sz w:val="18"/>
      </w:rPr>
      <w:t>3</w:t>
    </w:r>
    <w:r w:rsidRPr="00955304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CA9B" w14:textId="77777777" w:rsidR="00D94B05" w:rsidRPr="00955304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9236DE1" wp14:editId="4F3B0A82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A1B9" w14:textId="77777777" w:rsidR="00415B2C" w:rsidRPr="00C47B2E" w:rsidRDefault="00415B2C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365C210" w14:textId="77777777" w:rsidR="00415B2C" w:rsidRPr="00C47B2E" w:rsidRDefault="00415B2C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91570C6" w14:textId="77777777" w:rsidR="00415B2C" w:rsidRPr="00C47B2E" w:rsidRDefault="00415B2C" w:rsidP="00C47B2E">
      <w:pPr>
        <w:pStyle w:val="Footer"/>
      </w:pPr>
    </w:p>
  </w:footnote>
  <w:footnote w:id="2">
    <w:p w14:paraId="33CC9442" w14:textId="6DA008A6" w:rsidR="00C9517F" w:rsidRPr="00C9517F" w:rsidRDefault="00C9517F" w:rsidP="00C9517F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C39F" w14:textId="39B4DFEF" w:rsidR="00955304" w:rsidRPr="00C9517F" w:rsidRDefault="00C9517F">
    <w:pPr>
      <w:pStyle w:val="Header"/>
      <w:rPr>
        <w:lang w:val="fr-CH"/>
      </w:rPr>
    </w:pPr>
    <w:r>
      <w:rPr>
        <w:lang w:val="fr-CH"/>
      </w:rPr>
      <w:t>ST/SG/AC.10/C.3/2022/6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8D31" w14:textId="0F7534AD" w:rsidR="00D94B05" w:rsidRPr="00955304" w:rsidRDefault="00BD27A5" w:rsidP="00955304">
    <w:pPr>
      <w:pStyle w:val="Header"/>
      <w:jc w:val="right"/>
    </w:pPr>
    <w:fldSimple w:instr=" TITLE  \* MERGEFORMAT ">
      <w:r w:rsidR="009278D6">
        <w:t>ssss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C2284"/>
    <w:multiLevelType w:val="hybridMultilevel"/>
    <w:tmpl w:val="A596F2F6"/>
    <w:lvl w:ilvl="0" w:tplc="2000000F">
      <w:start w:val="1"/>
      <w:numFmt w:val="decimal"/>
      <w:lvlText w:val="%1."/>
      <w:lvlJc w:val="left"/>
      <w:pPr>
        <w:ind w:left="1494" w:hanging="360"/>
      </w:p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"/>
  </w:num>
  <w:num w:numId="11">
    <w:abstractNumId w:val="10"/>
  </w:num>
  <w:num w:numId="12">
    <w:abstractNumId w:val="2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F2"/>
    <w:rsid w:val="000158F6"/>
    <w:rsid w:val="000367F9"/>
    <w:rsid w:val="00046E92"/>
    <w:rsid w:val="00063C90"/>
    <w:rsid w:val="000E2206"/>
    <w:rsid w:val="00101B98"/>
    <w:rsid w:val="001514D1"/>
    <w:rsid w:val="001A2657"/>
    <w:rsid w:val="001B7015"/>
    <w:rsid w:val="00247E2C"/>
    <w:rsid w:val="00257665"/>
    <w:rsid w:val="00264F5F"/>
    <w:rsid w:val="002A32CB"/>
    <w:rsid w:val="002A3C9C"/>
    <w:rsid w:val="002D5B2C"/>
    <w:rsid w:val="002D6C53"/>
    <w:rsid w:val="002E0BD7"/>
    <w:rsid w:val="002F5595"/>
    <w:rsid w:val="002F7F29"/>
    <w:rsid w:val="00300A47"/>
    <w:rsid w:val="00334F6A"/>
    <w:rsid w:val="00340C32"/>
    <w:rsid w:val="00342AC8"/>
    <w:rsid w:val="00343302"/>
    <w:rsid w:val="003979DE"/>
    <w:rsid w:val="003A5334"/>
    <w:rsid w:val="003B4550"/>
    <w:rsid w:val="003D2A18"/>
    <w:rsid w:val="00413386"/>
    <w:rsid w:val="00415B2C"/>
    <w:rsid w:val="004264CB"/>
    <w:rsid w:val="00461253"/>
    <w:rsid w:val="004858F5"/>
    <w:rsid w:val="004A1EBD"/>
    <w:rsid w:val="004A2814"/>
    <w:rsid w:val="004A3A87"/>
    <w:rsid w:val="004B7696"/>
    <w:rsid w:val="004C0622"/>
    <w:rsid w:val="005042C2"/>
    <w:rsid w:val="005E716E"/>
    <w:rsid w:val="0064693D"/>
    <w:rsid w:val="006476E1"/>
    <w:rsid w:val="006604DF"/>
    <w:rsid w:val="00671529"/>
    <w:rsid w:val="006D6CED"/>
    <w:rsid w:val="0070489D"/>
    <w:rsid w:val="007268F9"/>
    <w:rsid w:val="00742152"/>
    <w:rsid w:val="00750282"/>
    <w:rsid w:val="00764440"/>
    <w:rsid w:val="0077101B"/>
    <w:rsid w:val="0078210A"/>
    <w:rsid w:val="007C52B0"/>
    <w:rsid w:val="007C6033"/>
    <w:rsid w:val="008147C8"/>
    <w:rsid w:val="0081753A"/>
    <w:rsid w:val="008350F7"/>
    <w:rsid w:val="008423F4"/>
    <w:rsid w:val="00852075"/>
    <w:rsid w:val="00857D23"/>
    <w:rsid w:val="00864F50"/>
    <w:rsid w:val="009278D6"/>
    <w:rsid w:val="009411B4"/>
    <w:rsid w:val="009414E1"/>
    <w:rsid w:val="00946F1D"/>
    <w:rsid w:val="00947440"/>
    <w:rsid w:val="00955304"/>
    <w:rsid w:val="00985A22"/>
    <w:rsid w:val="009D0139"/>
    <w:rsid w:val="009D717D"/>
    <w:rsid w:val="009F5CDC"/>
    <w:rsid w:val="00A072D7"/>
    <w:rsid w:val="00A424D4"/>
    <w:rsid w:val="00A463AB"/>
    <w:rsid w:val="00A5132E"/>
    <w:rsid w:val="00A775CF"/>
    <w:rsid w:val="00A909EF"/>
    <w:rsid w:val="00A92866"/>
    <w:rsid w:val="00AB10D1"/>
    <w:rsid w:val="00AB7881"/>
    <w:rsid w:val="00AD1A9C"/>
    <w:rsid w:val="00AD3744"/>
    <w:rsid w:val="00AF5DE1"/>
    <w:rsid w:val="00B04756"/>
    <w:rsid w:val="00B06045"/>
    <w:rsid w:val="00B206DD"/>
    <w:rsid w:val="00B52EF4"/>
    <w:rsid w:val="00B77718"/>
    <w:rsid w:val="00B777AD"/>
    <w:rsid w:val="00BD27A5"/>
    <w:rsid w:val="00C03015"/>
    <w:rsid w:val="00C0358D"/>
    <w:rsid w:val="00C073F9"/>
    <w:rsid w:val="00C35A27"/>
    <w:rsid w:val="00C47B2E"/>
    <w:rsid w:val="00C87D30"/>
    <w:rsid w:val="00C9517F"/>
    <w:rsid w:val="00CD6CB3"/>
    <w:rsid w:val="00CF11F2"/>
    <w:rsid w:val="00D63CD2"/>
    <w:rsid w:val="00D87DC2"/>
    <w:rsid w:val="00D91D73"/>
    <w:rsid w:val="00D94B05"/>
    <w:rsid w:val="00E02C2B"/>
    <w:rsid w:val="00E21C27"/>
    <w:rsid w:val="00E26BCF"/>
    <w:rsid w:val="00E47AEA"/>
    <w:rsid w:val="00E52109"/>
    <w:rsid w:val="00E75317"/>
    <w:rsid w:val="00E87514"/>
    <w:rsid w:val="00EC0CE6"/>
    <w:rsid w:val="00EC7C1D"/>
    <w:rsid w:val="00ED6C48"/>
    <w:rsid w:val="00EE3045"/>
    <w:rsid w:val="00F32AD0"/>
    <w:rsid w:val="00F65F5D"/>
    <w:rsid w:val="00F81AC6"/>
    <w:rsid w:val="00F86A3A"/>
    <w:rsid w:val="00FB044B"/>
    <w:rsid w:val="00FB2439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DAE2D"/>
  <w15:docId w15:val="{A1C615B8-6170-4850-A75E-9C3E3116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AB7881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AB7881"/>
  </w:style>
  <w:style w:type="character" w:customStyle="1" w:styleId="H1GChar">
    <w:name w:val="_ H_1_G Char"/>
    <w:link w:val="H1G"/>
    <w:rsid w:val="00AB78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0948-9A3E-497F-BF8A-3FC31E6E3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DF122-D407-4A4D-AA8E-3D110FBE2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C3775-16F2-4B66-8710-38E2554A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53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</dc:title>
  <dc:subject/>
  <dc:creator>Laurence BERTHET</dc:creator>
  <cp:lastModifiedBy>Laurence Berthet</cp:lastModifiedBy>
  <cp:revision>51</cp:revision>
  <cp:lastPrinted>2022-04-01T18:04:00Z</cp:lastPrinted>
  <dcterms:created xsi:type="dcterms:W3CDTF">2022-03-10T10:43:00Z</dcterms:created>
  <dcterms:modified xsi:type="dcterms:W3CDTF">2022-04-01T18:04:00Z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