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CF26B8" w14:textId="77777777" w:rsidTr="006476E1">
        <w:trPr>
          <w:trHeight w:val="851"/>
        </w:trPr>
        <w:tc>
          <w:tcPr>
            <w:tcW w:w="1259" w:type="dxa"/>
            <w:tcBorders>
              <w:top w:val="nil"/>
              <w:left w:val="nil"/>
              <w:bottom w:val="single" w:sz="4" w:space="0" w:color="auto"/>
              <w:right w:val="nil"/>
            </w:tcBorders>
          </w:tcPr>
          <w:p w14:paraId="44B66DA9" w14:textId="77777777" w:rsidR="00E52109" w:rsidRPr="002A32CB" w:rsidRDefault="00E52109" w:rsidP="004858F5"/>
        </w:tc>
        <w:tc>
          <w:tcPr>
            <w:tcW w:w="2236" w:type="dxa"/>
            <w:tcBorders>
              <w:top w:val="nil"/>
              <w:left w:val="nil"/>
              <w:bottom w:val="single" w:sz="4" w:space="0" w:color="auto"/>
              <w:right w:val="nil"/>
            </w:tcBorders>
            <w:vAlign w:val="bottom"/>
          </w:tcPr>
          <w:p w14:paraId="2599C45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70EE0B4" w14:textId="783750E7" w:rsidR="00E52109" w:rsidRDefault="00606652" w:rsidP="00606652">
            <w:pPr>
              <w:suppressAutoHyphens w:val="0"/>
              <w:jc w:val="right"/>
            </w:pPr>
            <w:r w:rsidRPr="00606652">
              <w:rPr>
                <w:sz w:val="40"/>
              </w:rPr>
              <w:t>ST</w:t>
            </w:r>
            <w:r>
              <w:t>/SG/AC.10/C.3/2022/5</w:t>
            </w:r>
          </w:p>
        </w:tc>
      </w:tr>
      <w:tr w:rsidR="00E52109" w14:paraId="110D603F" w14:textId="77777777" w:rsidTr="006476E1">
        <w:trPr>
          <w:trHeight w:val="2835"/>
        </w:trPr>
        <w:tc>
          <w:tcPr>
            <w:tcW w:w="1259" w:type="dxa"/>
            <w:tcBorders>
              <w:top w:val="single" w:sz="4" w:space="0" w:color="auto"/>
              <w:left w:val="nil"/>
              <w:bottom w:val="single" w:sz="12" w:space="0" w:color="auto"/>
              <w:right w:val="nil"/>
            </w:tcBorders>
          </w:tcPr>
          <w:p w14:paraId="160D25B5" w14:textId="77777777" w:rsidR="00E52109" w:rsidRDefault="00E52109" w:rsidP="006476E1">
            <w:pPr>
              <w:spacing w:before="120"/>
              <w:jc w:val="center"/>
            </w:pPr>
            <w:r>
              <w:rPr>
                <w:noProof/>
                <w:lang w:val="fr-CH" w:eastAsia="fr-CH"/>
              </w:rPr>
              <w:drawing>
                <wp:inline distT="0" distB="0" distL="0" distR="0" wp14:anchorId="20CCAAB7" wp14:editId="66BE043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16C417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7E25B63" w14:textId="77777777" w:rsidR="00D94B05" w:rsidRDefault="00606652" w:rsidP="00606652">
            <w:pPr>
              <w:suppressAutoHyphens w:val="0"/>
              <w:spacing w:before="240" w:line="240" w:lineRule="exact"/>
            </w:pPr>
            <w:r>
              <w:t>Distr.: General</w:t>
            </w:r>
          </w:p>
          <w:p w14:paraId="34182DF9" w14:textId="7B5BA2EE" w:rsidR="00606652" w:rsidRDefault="001F1433" w:rsidP="00606652">
            <w:pPr>
              <w:suppressAutoHyphens w:val="0"/>
              <w:spacing w:line="240" w:lineRule="exact"/>
            </w:pPr>
            <w:r>
              <w:t>5</w:t>
            </w:r>
            <w:r w:rsidR="00606652" w:rsidRPr="001F1433">
              <w:t xml:space="preserve"> April 2022</w:t>
            </w:r>
          </w:p>
          <w:p w14:paraId="4303BDCC" w14:textId="77777777" w:rsidR="00606652" w:rsidRDefault="00606652" w:rsidP="00606652">
            <w:pPr>
              <w:suppressAutoHyphens w:val="0"/>
              <w:spacing w:line="240" w:lineRule="exact"/>
            </w:pPr>
          </w:p>
          <w:p w14:paraId="011801E5" w14:textId="0195134E" w:rsidR="00606652" w:rsidRDefault="00606652" w:rsidP="00606652">
            <w:pPr>
              <w:suppressAutoHyphens w:val="0"/>
              <w:spacing w:line="240" w:lineRule="exact"/>
            </w:pPr>
            <w:r>
              <w:t>Original: English</w:t>
            </w:r>
          </w:p>
        </w:tc>
      </w:tr>
    </w:tbl>
    <w:p w14:paraId="1A96B952" w14:textId="77777777" w:rsidR="00606652" w:rsidRPr="006500BA" w:rsidRDefault="0060665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35045C0" w14:textId="77777777" w:rsidR="00606652" w:rsidRPr="006500BA" w:rsidRDefault="00606652" w:rsidP="004858F5">
      <w:pPr>
        <w:spacing w:before="120"/>
        <w:rPr>
          <w:rFonts w:ascii="Helv" w:hAnsi="Helv" w:cs="Helv"/>
          <w:b/>
          <w:color w:val="000000"/>
        </w:rPr>
      </w:pPr>
      <w:r w:rsidRPr="006500BA">
        <w:rPr>
          <w:b/>
        </w:rPr>
        <w:t xml:space="preserve">Sub-Committee of Experts on the </w:t>
      </w:r>
      <w:r>
        <w:rPr>
          <w:b/>
        </w:rPr>
        <w:t>Transport of Dangerous Goods</w:t>
      </w:r>
    </w:p>
    <w:p w14:paraId="2ACBAC30" w14:textId="77777777" w:rsidR="0084351B" w:rsidRPr="006500BA" w:rsidRDefault="0084351B" w:rsidP="0084351B">
      <w:pPr>
        <w:spacing w:before="120"/>
        <w:rPr>
          <w:b/>
        </w:rPr>
      </w:pPr>
      <w:r>
        <w:rPr>
          <w:b/>
        </w:rPr>
        <w:t xml:space="preserve">Sixtieth </w:t>
      </w:r>
      <w:r w:rsidRPr="006500BA">
        <w:rPr>
          <w:b/>
        </w:rPr>
        <w:t>session</w:t>
      </w:r>
    </w:p>
    <w:p w14:paraId="6299815B" w14:textId="77777777" w:rsidR="0084351B" w:rsidRPr="006500BA" w:rsidRDefault="0084351B" w:rsidP="0084351B">
      <w:r w:rsidRPr="006500BA">
        <w:t xml:space="preserve">Geneva, </w:t>
      </w:r>
      <w:r>
        <w:t xml:space="preserve">27 June-6 July 2022 </w:t>
      </w:r>
    </w:p>
    <w:p w14:paraId="2590CBA6" w14:textId="555B0194" w:rsidR="00606652" w:rsidRPr="006500BA" w:rsidRDefault="00606652" w:rsidP="004858F5">
      <w:r w:rsidRPr="006500BA">
        <w:t xml:space="preserve">Item </w:t>
      </w:r>
      <w:r w:rsidR="003A0F23">
        <w:t>14</w:t>
      </w:r>
      <w:r w:rsidRPr="006500BA">
        <w:t xml:space="preserve"> of the provisional agenda</w:t>
      </w:r>
    </w:p>
    <w:p w14:paraId="410BB425" w14:textId="54A51CE0" w:rsidR="00AF5DE1" w:rsidRDefault="003A0F23" w:rsidP="004858F5">
      <w:pPr>
        <w:rPr>
          <w:b/>
          <w:bCs/>
        </w:rPr>
      </w:pPr>
      <w:r>
        <w:rPr>
          <w:b/>
          <w:bCs/>
        </w:rPr>
        <w:t>Other business</w:t>
      </w:r>
    </w:p>
    <w:p w14:paraId="1D23162A" w14:textId="0EAF5366" w:rsidR="003A0F23" w:rsidRDefault="004F125A" w:rsidP="004F125A">
      <w:pPr>
        <w:pStyle w:val="HChG"/>
      </w:pPr>
      <w:r>
        <w:tab/>
      </w:r>
      <w:r>
        <w:tab/>
        <w:t>Declass</w:t>
      </w:r>
      <w:r w:rsidR="00196824">
        <w:t>ification of</w:t>
      </w:r>
      <w:r w:rsidR="00FF547A">
        <w:t xml:space="preserve"> past documents</w:t>
      </w:r>
    </w:p>
    <w:p w14:paraId="4E6CAB57" w14:textId="6F990BA8" w:rsidR="00525D49" w:rsidRDefault="00525D49" w:rsidP="00525D49">
      <w:pPr>
        <w:pStyle w:val="H1G"/>
      </w:pPr>
      <w:r>
        <w:tab/>
      </w:r>
      <w:r>
        <w:tab/>
        <w:t>Note by the secretariat</w:t>
      </w:r>
      <w:r w:rsidR="0063798D" w:rsidRPr="0063798D">
        <w:rPr>
          <w:rStyle w:val="FootnoteReference"/>
          <w:sz w:val="20"/>
          <w:vertAlign w:val="baseline"/>
        </w:rPr>
        <w:footnoteReference w:customMarkFollows="1" w:id="2"/>
        <w:t>*</w:t>
      </w:r>
    </w:p>
    <w:p w14:paraId="5A2E8A2D" w14:textId="1E4AC4DD" w:rsidR="006132D7" w:rsidRPr="006A742E" w:rsidRDefault="006132D7" w:rsidP="00721B04">
      <w:pPr>
        <w:pStyle w:val="HChG"/>
        <w:rPr>
          <w:lang w:val="en-US"/>
        </w:rPr>
      </w:pPr>
      <w:r>
        <w:tab/>
      </w:r>
      <w:r w:rsidR="00864B40">
        <w:t>I</w:t>
      </w:r>
      <w:r>
        <w:t>.</w:t>
      </w:r>
      <w:r>
        <w:tab/>
      </w:r>
      <w:r w:rsidRPr="006132D7">
        <w:t>Motivation</w:t>
      </w:r>
    </w:p>
    <w:p w14:paraId="79AD3AED" w14:textId="09C2BCCB" w:rsidR="006132D7" w:rsidRDefault="0025349B" w:rsidP="006132D7">
      <w:pPr>
        <w:pStyle w:val="SingleTxtG"/>
        <w:rPr>
          <w:lang w:val="en-US"/>
        </w:rPr>
      </w:pPr>
      <w:r>
        <w:rPr>
          <w:lang w:val="en-US"/>
        </w:rPr>
        <w:t>1.</w:t>
      </w:r>
      <w:r>
        <w:rPr>
          <w:lang w:val="en-US"/>
        </w:rPr>
        <w:tab/>
      </w:r>
      <w:r w:rsidR="006132D7">
        <w:rPr>
          <w:lang w:val="en-US"/>
        </w:rPr>
        <w:t>Currently, the UN holds in its archives</w:t>
      </w:r>
      <w:r w:rsidR="00D87116">
        <w:rPr>
          <w:lang w:val="en-US"/>
        </w:rPr>
        <w:t xml:space="preserve"> copies of documents</w:t>
      </w:r>
      <w:r w:rsidR="00B77FC6">
        <w:rPr>
          <w:lang w:val="en-US"/>
        </w:rPr>
        <w:t xml:space="preserve"> discussed by</w:t>
      </w:r>
      <w:r w:rsidR="006132D7">
        <w:rPr>
          <w:lang w:val="en-US"/>
        </w:rPr>
        <w:t xml:space="preserve"> the Sub-Committee of Experts on the Transport of Dangerous Goods</w:t>
      </w:r>
      <w:r w:rsidR="00B77FC6">
        <w:rPr>
          <w:lang w:val="en-US"/>
        </w:rPr>
        <w:t xml:space="preserve"> and its predecessor bodies</w:t>
      </w:r>
      <w:r w:rsidR="006132D7">
        <w:rPr>
          <w:lang w:val="en-US"/>
        </w:rPr>
        <w:t>.</w:t>
      </w:r>
      <w:r w:rsidR="000948C7">
        <w:rPr>
          <w:lang w:val="en-US"/>
        </w:rPr>
        <w:t xml:space="preserve"> </w:t>
      </w:r>
      <w:r w:rsidR="007924C6">
        <w:rPr>
          <w:lang w:val="en-US"/>
        </w:rPr>
        <w:t>B</w:t>
      </w:r>
      <w:r w:rsidR="000948C7">
        <w:rPr>
          <w:lang w:val="en-US"/>
        </w:rPr>
        <w:t xml:space="preserve">esides the paper versions, </w:t>
      </w:r>
      <w:r w:rsidR="006132D7">
        <w:rPr>
          <w:lang w:val="en-US"/>
        </w:rPr>
        <w:t>many of these documents</w:t>
      </w:r>
      <w:r w:rsidR="00485E5C">
        <w:rPr>
          <w:lang w:val="en-US"/>
        </w:rPr>
        <w:t xml:space="preserve"> </w:t>
      </w:r>
      <w:r w:rsidR="000948C7">
        <w:rPr>
          <w:lang w:val="en-US"/>
        </w:rPr>
        <w:t>also have</w:t>
      </w:r>
      <w:r w:rsidR="007924C6">
        <w:rPr>
          <w:lang w:val="en-US"/>
        </w:rPr>
        <w:t xml:space="preserve"> digital versions </w:t>
      </w:r>
      <w:r w:rsidR="00A9223F">
        <w:rPr>
          <w:lang w:val="en-US"/>
        </w:rPr>
        <w:t>(</w:t>
      </w:r>
      <w:r w:rsidR="007924C6">
        <w:rPr>
          <w:lang w:val="en-US"/>
        </w:rPr>
        <w:t>or</w:t>
      </w:r>
      <w:r w:rsidR="006132D7">
        <w:rPr>
          <w:lang w:val="en-US"/>
        </w:rPr>
        <w:t xml:space="preserve"> have been digitized</w:t>
      </w:r>
      <w:r w:rsidR="00A9223F">
        <w:rPr>
          <w:lang w:val="en-US"/>
        </w:rPr>
        <w:t>)</w:t>
      </w:r>
      <w:r w:rsidR="006132D7">
        <w:rPr>
          <w:lang w:val="en-US"/>
        </w:rPr>
        <w:t xml:space="preserve"> and are currently uploaded to </w:t>
      </w:r>
      <w:r w:rsidR="00A9223F">
        <w:rPr>
          <w:lang w:val="en-US"/>
        </w:rPr>
        <w:t xml:space="preserve">the </w:t>
      </w:r>
      <w:r w:rsidR="00E44DB8" w:rsidRPr="00E44DB8">
        <w:rPr>
          <w:lang w:val="en-US"/>
        </w:rPr>
        <w:t>Official Document System</w:t>
      </w:r>
      <w:r w:rsidR="00E44DB8">
        <w:rPr>
          <w:lang w:val="en-US"/>
        </w:rPr>
        <w:t xml:space="preserve"> (</w:t>
      </w:r>
      <w:r w:rsidR="006132D7">
        <w:rPr>
          <w:lang w:val="en-US"/>
        </w:rPr>
        <w:t>ODS</w:t>
      </w:r>
      <w:r>
        <w:rPr>
          <w:rStyle w:val="FootnoteReference"/>
          <w:lang w:val="en-US"/>
        </w:rPr>
        <w:footnoteReference w:id="3"/>
      </w:r>
      <w:r w:rsidR="00E44DB8">
        <w:rPr>
          <w:lang w:val="en-US"/>
        </w:rPr>
        <w:t>).</w:t>
      </w:r>
      <w:r w:rsidR="006132D7">
        <w:rPr>
          <w:lang w:val="en-US"/>
        </w:rPr>
        <w:t xml:space="preserve"> However, for reasons explained below, many of these documents were originally classified as “Restricted” and are therefore not accessible to delegates and the </w:t>
      </w:r>
      <w:proofErr w:type="gramStart"/>
      <w:r w:rsidR="006132D7">
        <w:rPr>
          <w:lang w:val="en-US"/>
        </w:rPr>
        <w:t>general public</w:t>
      </w:r>
      <w:proofErr w:type="gramEnd"/>
      <w:r w:rsidR="006132D7">
        <w:rPr>
          <w:lang w:val="en-US"/>
        </w:rPr>
        <w:t xml:space="preserve"> unless they ask for special permission. Furthermore, these restricted documents do not even appear in searches in ODS, so people researching old decisions from these bodies may not even be aware of the existence of these documents.</w:t>
      </w:r>
    </w:p>
    <w:p w14:paraId="611F4569" w14:textId="52D03953" w:rsidR="006132D7" w:rsidRDefault="0025349B" w:rsidP="006132D7">
      <w:pPr>
        <w:pStyle w:val="SingleTxtG"/>
        <w:rPr>
          <w:lang w:val="en-US"/>
        </w:rPr>
      </w:pPr>
      <w:r>
        <w:rPr>
          <w:lang w:val="en-US"/>
        </w:rPr>
        <w:t>2.</w:t>
      </w:r>
      <w:r>
        <w:rPr>
          <w:lang w:val="en-US"/>
        </w:rPr>
        <w:tab/>
      </w:r>
      <w:r w:rsidR="006132D7">
        <w:rPr>
          <w:lang w:val="en-US"/>
        </w:rPr>
        <w:t xml:space="preserve">Several delegations have already </w:t>
      </w:r>
      <w:r w:rsidR="00F65AB4">
        <w:rPr>
          <w:lang w:val="en-US"/>
        </w:rPr>
        <w:t>asked</w:t>
      </w:r>
      <w:r w:rsidR="006132D7">
        <w:rPr>
          <w:lang w:val="en-US"/>
        </w:rPr>
        <w:t xml:space="preserve"> the secretariat whether these documents could be made widely available without restriction and the secretariat has initiated discussions with the United Nations Library and the Division of Conference Management to request that these documents be declassified. In order for this request to proceed, the current Sub-Committee of Experts on the Transport of Dangerous Goods must consider the matter and decide whether it wants to declassify these documents.</w:t>
      </w:r>
    </w:p>
    <w:p w14:paraId="0994D0A8" w14:textId="4A9D3665" w:rsidR="006132D7" w:rsidRDefault="0025349B" w:rsidP="006132D7">
      <w:pPr>
        <w:pStyle w:val="SingleTxtG"/>
        <w:rPr>
          <w:lang w:val="en-US"/>
        </w:rPr>
      </w:pPr>
      <w:r>
        <w:rPr>
          <w:lang w:val="en-US"/>
        </w:rPr>
        <w:t>3.</w:t>
      </w:r>
      <w:r>
        <w:rPr>
          <w:lang w:val="en-US"/>
        </w:rPr>
        <w:tab/>
      </w:r>
      <w:r w:rsidR="006132D7">
        <w:rPr>
          <w:lang w:val="en-US"/>
        </w:rPr>
        <w:t>Th</w:t>
      </w:r>
      <w:r w:rsidR="00CD5324">
        <w:rPr>
          <w:lang w:val="en-US"/>
        </w:rPr>
        <w:t xml:space="preserve">is document </w:t>
      </w:r>
      <w:r w:rsidR="006132D7">
        <w:rPr>
          <w:lang w:val="en-US"/>
        </w:rPr>
        <w:t>aims to inform the Sub-Committee about the nature of these documents and the reasons for their original classification and to ask the Sub-Committee if it wants to request that these documents be declassified.</w:t>
      </w:r>
    </w:p>
    <w:p w14:paraId="2A75DDCE" w14:textId="0FF1694E" w:rsidR="006132D7" w:rsidRPr="006132D7" w:rsidRDefault="006132D7" w:rsidP="00721B04">
      <w:pPr>
        <w:pStyle w:val="HChG"/>
      </w:pPr>
      <w:r>
        <w:tab/>
        <w:t>II.</w:t>
      </w:r>
      <w:r>
        <w:tab/>
      </w:r>
      <w:r w:rsidRPr="006132D7">
        <w:t>Scope</w:t>
      </w:r>
    </w:p>
    <w:p w14:paraId="338DCCB9" w14:textId="4E56823F" w:rsidR="006132D7" w:rsidRPr="00635F50" w:rsidRDefault="0025349B" w:rsidP="006132D7">
      <w:pPr>
        <w:pStyle w:val="SingleTxtG"/>
        <w:rPr>
          <w:lang w:val="en-US"/>
        </w:rPr>
      </w:pPr>
      <w:r>
        <w:rPr>
          <w:lang w:val="en-US"/>
        </w:rPr>
        <w:t>4.</w:t>
      </w:r>
      <w:r>
        <w:rPr>
          <w:lang w:val="en-US"/>
        </w:rPr>
        <w:tab/>
      </w:r>
      <w:r w:rsidR="006132D7">
        <w:rPr>
          <w:lang w:val="en-US"/>
        </w:rPr>
        <w:t xml:space="preserve">The secretariat has identified the </w:t>
      </w:r>
      <w:r w:rsidR="006132D7" w:rsidRPr="00635F50">
        <w:rPr>
          <w:lang w:val="en-US"/>
        </w:rPr>
        <w:t>following five sets of documents as candidates for declassification</w:t>
      </w:r>
      <w:r w:rsidR="00CC34A8" w:rsidRPr="00635F50">
        <w:rPr>
          <w:lang w:val="en-US"/>
        </w:rPr>
        <w:t xml:space="preserve"> (the</w:t>
      </w:r>
      <w:r w:rsidR="008D16C0" w:rsidRPr="00635F50">
        <w:rPr>
          <w:lang w:val="en-US"/>
        </w:rPr>
        <w:t xml:space="preserve"> </w:t>
      </w:r>
      <w:r w:rsidR="00815D9B">
        <w:rPr>
          <w:lang w:val="en-US"/>
        </w:rPr>
        <w:t xml:space="preserve">names of the </w:t>
      </w:r>
      <w:r w:rsidR="008D16C0" w:rsidRPr="00635F50">
        <w:rPr>
          <w:lang w:val="en-US"/>
        </w:rPr>
        <w:t>originating</w:t>
      </w:r>
      <w:r w:rsidR="00CC34A8" w:rsidRPr="00635F50">
        <w:rPr>
          <w:lang w:val="en-US"/>
        </w:rPr>
        <w:t xml:space="preserve"> bodies are given in parentheses)</w:t>
      </w:r>
      <w:r w:rsidR="006132D7" w:rsidRPr="00635F50">
        <w:rPr>
          <w:lang w:val="en-US"/>
        </w:rPr>
        <w:t>:</w:t>
      </w:r>
    </w:p>
    <w:p w14:paraId="21E580BA" w14:textId="77777777" w:rsidR="008A0A88" w:rsidRPr="00635F50" w:rsidRDefault="008A0A88" w:rsidP="008A0A88">
      <w:pPr>
        <w:pStyle w:val="Bullet1G"/>
      </w:pPr>
      <w:r w:rsidRPr="00D006AD">
        <w:lastRenderedPageBreak/>
        <w:t>E/CN.2/</w:t>
      </w:r>
      <w:r w:rsidRPr="00635F50">
        <w:t>CONF.5/</w:t>
      </w:r>
      <w:proofErr w:type="spellStart"/>
      <w:r w:rsidRPr="00635F50">
        <w:t>R.xxx</w:t>
      </w:r>
      <w:proofErr w:type="spellEnd"/>
      <w:r w:rsidRPr="00635F50">
        <w:t xml:space="preserve"> </w:t>
      </w:r>
      <w:r w:rsidRPr="00635F50">
        <w:rPr>
          <w:lang w:val="en-US"/>
        </w:rPr>
        <w:t>(Committee of Experts on the Transport of Dangerous Goods)</w:t>
      </w:r>
    </w:p>
    <w:p w14:paraId="61F3933F" w14:textId="77777777" w:rsidR="006132D7" w:rsidRPr="00635F50" w:rsidRDefault="006132D7" w:rsidP="00740E30">
      <w:pPr>
        <w:pStyle w:val="Bullet1G"/>
        <w:rPr>
          <w:lang w:val="en-US"/>
        </w:rPr>
      </w:pPr>
      <w:r w:rsidRPr="00635F50">
        <w:rPr>
          <w:lang w:val="en-US"/>
        </w:rPr>
        <w:t>ST/SG/AC.10/</w:t>
      </w:r>
      <w:proofErr w:type="spellStart"/>
      <w:r w:rsidRPr="00635F50">
        <w:rPr>
          <w:lang w:val="en-US"/>
        </w:rPr>
        <w:t>R.xxx</w:t>
      </w:r>
      <w:proofErr w:type="spellEnd"/>
      <w:r w:rsidRPr="00635F50">
        <w:rPr>
          <w:lang w:val="en-US"/>
        </w:rPr>
        <w:t xml:space="preserve"> (Committee of Experts on the Transport of Dangerous Goods)</w:t>
      </w:r>
    </w:p>
    <w:p w14:paraId="5864C103" w14:textId="77777777" w:rsidR="006132D7" w:rsidRPr="00635F50" w:rsidRDefault="006132D7" w:rsidP="00740E30">
      <w:pPr>
        <w:pStyle w:val="Bullet1G"/>
        <w:rPr>
          <w:lang w:val="en-US"/>
        </w:rPr>
      </w:pPr>
      <w:r w:rsidRPr="00635F50">
        <w:rPr>
          <w:lang w:val="en-US"/>
        </w:rPr>
        <w:t>ST/SG/AC.10/C.1/</w:t>
      </w:r>
      <w:proofErr w:type="spellStart"/>
      <w:r w:rsidRPr="00635F50">
        <w:rPr>
          <w:lang w:val="en-US"/>
        </w:rPr>
        <w:t>R.xxx</w:t>
      </w:r>
      <w:proofErr w:type="spellEnd"/>
      <w:r w:rsidRPr="00635F50">
        <w:rPr>
          <w:lang w:val="en-US"/>
        </w:rPr>
        <w:t xml:space="preserve"> (Group of Experts on Explosives of the Committee of Experts on the Transport of Dangerous Goods)</w:t>
      </w:r>
    </w:p>
    <w:p w14:paraId="2C4D63DC" w14:textId="77777777" w:rsidR="006132D7" w:rsidRDefault="006132D7" w:rsidP="00740E30">
      <w:pPr>
        <w:pStyle w:val="Bullet1G"/>
        <w:rPr>
          <w:lang w:val="en-US"/>
        </w:rPr>
      </w:pPr>
      <w:r>
        <w:rPr>
          <w:lang w:val="en-US"/>
        </w:rPr>
        <w:t>ST/SG/AC.10/C.2/</w:t>
      </w:r>
      <w:proofErr w:type="spellStart"/>
      <w:r>
        <w:rPr>
          <w:lang w:val="en-US"/>
        </w:rPr>
        <w:t>R.xxx</w:t>
      </w:r>
      <w:proofErr w:type="spellEnd"/>
      <w:r>
        <w:rPr>
          <w:lang w:val="en-US"/>
        </w:rPr>
        <w:t xml:space="preserve"> (Group of Rapporteurs of the Committee of Experts on the Transport of Dangerous Goods)</w:t>
      </w:r>
    </w:p>
    <w:p w14:paraId="2FFCCB9C" w14:textId="77777777" w:rsidR="006132D7" w:rsidRDefault="006132D7" w:rsidP="00740E30">
      <w:pPr>
        <w:pStyle w:val="Bullet1G"/>
        <w:rPr>
          <w:lang w:val="en-US"/>
        </w:rPr>
      </w:pPr>
      <w:r>
        <w:rPr>
          <w:lang w:val="en-US"/>
        </w:rPr>
        <w:t>ST/SG/AC.10/C.3/</w:t>
      </w:r>
      <w:proofErr w:type="spellStart"/>
      <w:r>
        <w:rPr>
          <w:lang w:val="en-US"/>
        </w:rPr>
        <w:t>R.xxx</w:t>
      </w:r>
      <w:proofErr w:type="spellEnd"/>
      <w:r>
        <w:rPr>
          <w:lang w:val="en-US"/>
        </w:rPr>
        <w:t xml:space="preserve"> (Sub-Committee of Experts on the Transport of Dangerous Goods)</w:t>
      </w:r>
    </w:p>
    <w:p w14:paraId="32ADD00A" w14:textId="08744D4E" w:rsidR="00500971" w:rsidRDefault="0025349B" w:rsidP="002278D6">
      <w:pPr>
        <w:pStyle w:val="SingleTxtG"/>
        <w:rPr>
          <w:lang w:val="en-US"/>
        </w:rPr>
      </w:pPr>
      <w:r w:rsidRPr="00635F50">
        <w:t>5.</w:t>
      </w:r>
      <w:r w:rsidRPr="00635F50">
        <w:tab/>
      </w:r>
      <w:r w:rsidR="006132D7" w:rsidRPr="00635F50">
        <w:t>Appendix 1 in INF.</w:t>
      </w:r>
      <w:r w:rsidR="00635F50" w:rsidRPr="00635F50">
        <w:t>3</w:t>
      </w:r>
      <w:r w:rsidR="006132D7" w:rsidRPr="00635F50">
        <w:t xml:space="preserve"> contains a list provided by the UN Library with the symbols and dates of all </w:t>
      </w:r>
      <w:r w:rsidR="006132D7" w:rsidRPr="00635F50">
        <w:rPr>
          <w:lang w:val="en-US"/>
        </w:rPr>
        <w:t>documents from these</w:t>
      </w:r>
      <w:r w:rsidR="006132D7">
        <w:rPr>
          <w:lang w:val="en-US"/>
        </w:rPr>
        <w:t xml:space="preserve"> sets currently uploaded to</w:t>
      </w:r>
      <w:r w:rsidR="00670013">
        <w:rPr>
          <w:lang w:val="en-US"/>
        </w:rPr>
        <w:t xml:space="preserve"> ODS</w:t>
      </w:r>
      <w:r w:rsidR="006132D7">
        <w:rPr>
          <w:lang w:val="en-US"/>
        </w:rPr>
        <w:t>. This list currently exceeds 1000 items and ranges in date</w:t>
      </w:r>
      <w:r w:rsidR="00A8628B">
        <w:rPr>
          <w:lang w:val="en-US"/>
        </w:rPr>
        <w:t>s</w:t>
      </w:r>
      <w:r w:rsidR="006132D7">
        <w:rPr>
          <w:lang w:val="en-US"/>
        </w:rPr>
        <w:t xml:space="preserve"> from the 1950s to the 1990s.</w:t>
      </w:r>
      <w:r w:rsidR="00A80192">
        <w:rPr>
          <w:lang w:val="en-US"/>
        </w:rPr>
        <w:t xml:space="preserve"> The </w:t>
      </w:r>
      <w:r w:rsidR="005607EC">
        <w:rPr>
          <w:lang w:val="en-US"/>
        </w:rPr>
        <w:t xml:space="preserve">table below provides a summary of the number of documents in ODS by symbol and </w:t>
      </w:r>
      <w:r w:rsidR="002278D6">
        <w:rPr>
          <w:lang w:val="en-US"/>
        </w:rPr>
        <w:t>accessibility</w:t>
      </w:r>
      <w:r w:rsidR="00A8628B">
        <w:rPr>
          <w:lang w:val="en-US"/>
        </w:rPr>
        <w:t xml:space="preserve"> status</w:t>
      </w:r>
      <w:r w:rsidR="002278D6">
        <w:rPr>
          <w:lang w:val="en-US"/>
        </w:rPr>
        <w:t xml:space="preserve">. Note that the table does not include documents for which there is a paper copy in the </w:t>
      </w:r>
      <w:r w:rsidR="00A2648C">
        <w:rPr>
          <w:lang w:val="en-US"/>
        </w:rPr>
        <w:t>archives</w:t>
      </w:r>
      <w:r w:rsidR="002278D6">
        <w:rPr>
          <w:lang w:val="en-US"/>
        </w:rPr>
        <w:t xml:space="preserve"> </w:t>
      </w:r>
      <w:r w:rsidR="00C43140">
        <w:rPr>
          <w:lang w:val="en-US"/>
        </w:rPr>
        <w:t>which</w:t>
      </w:r>
      <w:r w:rsidR="002278D6">
        <w:rPr>
          <w:lang w:val="en-US"/>
        </w:rPr>
        <w:t xml:space="preserve"> has not been digitized and uploaded to ODS.</w:t>
      </w:r>
      <w:r w:rsidR="00A8628B">
        <w:rPr>
          <w:lang w:val="en-US"/>
        </w:rPr>
        <w:t xml:space="preserve"> For example, the library’s online catalogue</w:t>
      </w:r>
      <w:r w:rsidR="00A8628B">
        <w:rPr>
          <w:rStyle w:val="FootnoteReference"/>
          <w:lang w:val="en-US"/>
        </w:rPr>
        <w:footnoteReference w:id="4"/>
      </w:r>
      <w:r w:rsidR="00A8628B">
        <w:rPr>
          <w:lang w:val="en-US"/>
        </w:rPr>
        <w:t xml:space="preserve"> lists 54 documents for </w:t>
      </w:r>
      <w:r w:rsidR="00A8628B" w:rsidRPr="00A8628B">
        <w:rPr>
          <w:lang w:val="en-US"/>
        </w:rPr>
        <w:t>ST/SG/AC.10/C.</w:t>
      </w:r>
      <w:r w:rsidR="00A8628B">
        <w:rPr>
          <w:lang w:val="en-US"/>
        </w:rPr>
        <w:t>1</w:t>
      </w:r>
      <w:r w:rsidR="00A8628B" w:rsidRPr="00A8628B">
        <w:rPr>
          <w:lang w:val="en-US"/>
        </w:rPr>
        <w:t>/</w:t>
      </w:r>
      <w:proofErr w:type="spellStart"/>
      <w:r w:rsidR="00A8628B" w:rsidRPr="00A8628B">
        <w:rPr>
          <w:lang w:val="en-US"/>
        </w:rPr>
        <w:t>R</w:t>
      </w:r>
      <w:r w:rsidR="00A8628B">
        <w:rPr>
          <w:lang w:val="en-US"/>
        </w:rPr>
        <w:t>.xxx</w:t>
      </w:r>
      <w:proofErr w:type="spellEnd"/>
      <w:r w:rsidR="00A8628B">
        <w:rPr>
          <w:lang w:val="en-US"/>
        </w:rPr>
        <w:t xml:space="preserve"> and 147 documents for </w:t>
      </w:r>
      <w:r w:rsidR="00A8628B" w:rsidRPr="00A8628B">
        <w:rPr>
          <w:lang w:val="en-US"/>
        </w:rPr>
        <w:t>ST/SG/AC.10/C.2/</w:t>
      </w:r>
      <w:proofErr w:type="spellStart"/>
      <w:r w:rsidR="00A8628B" w:rsidRPr="00A8628B">
        <w:rPr>
          <w:lang w:val="en-US"/>
        </w:rPr>
        <w:t>R</w:t>
      </w:r>
      <w:r w:rsidR="00A8628B">
        <w:rPr>
          <w:lang w:val="en-US"/>
        </w:rPr>
        <w:t>.xxx</w:t>
      </w:r>
      <w:proofErr w:type="spellEnd"/>
      <w:r w:rsidR="00A8628B">
        <w:rPr>
          <w:lang w:val="en-US"/>
        </w:rPr>
        <w:t xml:space="preserve"> but none of them are in ODS, as they have not been digitized.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2457"/>
      </w:tblGrid>
      <w:tr w:rsidR="002D00D5" w:rsidRPr="002D00D5" w14:paraId="174B60F3" w14:textId="77777777" w:rsidTr="008A0A88">
        <w:tc>
          <w:tcPr>
            <w:tcW w:w="2456" w:type="dxa"/>
            <w:tcBorders>
              <w:top w:val="single" w:sz="4" w:space="0" w:color="auto"/>
              <w:bottom w:val="single" w:sz="12" w:space="0" w:color="auto"/>
            </w:tcBorders>
            <w:shd w:val="clear" w:color="auto" w:fill="auto"/>
            <w:vAlign w:val="bottom"/>
          </w:tcPr>
          <w:p w14:paraId="0A017D13" w14:textId="236FD0AB" w:rsidR="002D00D5" w:rsidRPr="002D00D5" w:rsidRDefault="000706C1" w:rsidP="002D00D5">
            <w:pPr>
              <w:spacing w:before="80" w:after="80" w:line="200" w:lineRule="exact"/>
              <w:rPr>
                <w:i/>
                <w:sz w:val="16"/>
              </w:rPr>
            </w:pPr>
            <w:r>
              <w:rPr>
                <w:i/>
                <w:sz w:val="16"/>
              </w:rPr>
              <w:t>Symbol</w:t>
            </w:r>
          </w:p>
        </w:tc>
        <w:tc>
          <w:tcPr>
            <w:tcW w:w="2457" w:type="dxa"/>
            <w:tcBorders>
              <w:top w:val="single" w:sz="4" w:space="0" w:color="auto"/>
              <w:bottom w:val="single" w:sz="12" w:space="0" w:color="auto"/>
            </w:tcBorders>
            <w:shd w:val="clear" w:color="auto" w:fill="auto"/>
            <w:vAlign w:val="bottom"/>
          </w:tcPr>
          <w:p w14:paraId="76280483" w14:textId="79B5E90F" w:rsidR="002D00D5" w:rsidRPr="002D00D5" w:rsidRDefault="000706C1" w:rsidP="002D00D5">
            <w:pPr>
              <w:spacing w:before="80" w:after="80" w:line="200" w:lineRule="exact"/>
              <w:jc w:val="right"/>
              <w:rPr>
                <w:i/>
                <w:sz w:val="16"/>
              </w:rPr>
            </w:pPr>
            <w:r>
              <w:rPr>
                <w:i/>
                <w:sz w:val="16"/>
              </w:rPr>
              <w:t>In public ODS</w:t>
            </w:r>
          </w:p>
        </w:tc>
        <w:tc>
          <w:tcPr>
            <w:tcW w:w="2457" w:type="dxa"/>
            <w:tcBorders>
              <w:top w:val="single" w:sz="4" w:space="0" w:color="auto"/>
              <w:bottom w:val="single" w:sz="12" w:space="0" w:color="auto"/>
            </w:tcBorders>
            <w:shd w:val="clear" w:color="auto" w:fill="auto"/>
            <w:vAlign w:val="bottom"/>
          </w:tcPr>
          <w:p w14:paraId="784201C8" w14:textId="6F80225B" w:rsidR="002D00D5" w:rsidRPr="002D00D5" w:rsidRDefault="000706C1" w:rsidP="002D00D5">
            <w:pPr>
              <w:spacing w:before="80" w:after="80" w:line="200" w:lineRule="exact"/>
              <w:jc w:val="right"/>
              <w:rPr>
                <w:i/>
                <w:sz w:val="16"/>
              </w:rPr>
            </w:pPr>
            <w:r>
              <w:rPr>
                <w:i/>
                <w:sz w:val="16"/>
              </w:rPr>
              <w:t>Restricted</w:t>
            </w:r>
            <w:r w:rsidR="0026431C">
              <w:rPr>
                <w:i/>
                <w:sz w:val="16"/>
              </w:rPr>
              <w:t xml:space="preserve"> in ODS</w:t>
            </w:r>
          </w:p>
        </w:tc>
      </w:tr>
      <w:tr w:rsidR="008A0A88" w:rsidRPr="002D00D5" w14:paraId="52D00C05" w14:textId="77777777" w:rsidTr="008A0A88">
        <w:tc>
          <w:tcPr>
            <w:tcW w:w="2456" w:type="dxa"/>
            <w:tcBorders>
              <w:top w:val="single" w:sz="12" w:space="0" w:color="auto"/>
            </w:tcBorders>
            <w:shd w:val="clear" w:color="auto" w:fill="auto"/>
            <w:vAlign w:val="bottom"/>
          </w:tcPr>
          <w:p w14:paraId="70C7E0A0" w14:textId="77777777" w:rsidR="008A0A88" w:rsidRPr="002D00D5" w:rsidRDefault="008A0A88" w:rsidP="00B760C3">
            <w:pPr>
              <w:spacing w:before="40" w:after="40" w:line="220" w:lineRule="exact"/>
              <w:rPr>
                <w:sz w:val="18"/>
              </w:rPr>
            </w:pPr>
            <w:r w:rsidRPr="0026431C">
              <w:rPr>
                <w:sz w:val="18"/>
              </w:rPr>
              <w:t>E/CN.2/CONF.5/</w:t>
            </w:r>
            <w:proofErr w:type="spellStart"/>
            <w:r w:rsidRPr="0026431C">
              <w:rPr>
                <w:sz w:val="18"/>
              </w:rPr>
              <w:t>R.</w:t>
            </w:r>
            <w:r>
              <w:rPr>
                <w:sz w:val="18"/>
              </w:rPr>
              <w:t>xxx</w:t>
            </w:r>
            <w:proofErr w:type="spellEnd"/>
          </w:p>
        </w:tc>
        <w:tc>
          <w:tcPr>
            <w:tcW w:w="2457" w:type="dxa"/>
            <w:tcBorders>
              <w:top w:val="single" w:sz="12" w:space="0" w:color="auto"/>
            </w:tcBorders>
            <w:shd w:val="clear" w:color="auto" w:fill="auto"/>
            <w:vAlign w:val="bottom"/>
          </w:tcPr>
          <w:p w14:paraId="3F014652" w14:textId="77777777" w:rsidR="008A0A88" w:rsidRPr="002D00D5" w:rsidRDefault="008A0A88" w:rsidP="00B760C3">
            <w:pPr>
              <w:spacing w:before="40" w:after="40" w:line="220" w:lineRule="exact"/>
              <w:jc w:val="right"/>
              <w:rPr>
                <w:sz w:val="18"/>
              </w:rPr>
            </w:pPr>
            <w:r>
              <w:rPr>
                <w:sz w:val="18"/>
              </w:rPr>
              <w:t>7</w:t>
            </w:r>
          </w:p>
        </w:tc>
        <w:tc>
          <w:tcPr>
            <w:tcW w:w="2457" w:type="dxa"/>
            <w:tcBorders>
              <w:top w:val="single" w:sz="12" w:space="0" w:color="auto"/>
            </w:tcBorders>
            <w:shd w:val="clear" w:color="auto" w:fill="auto"/>
            <w:vAlign w:val="bottom"/>
          </w:tcPr>
          <w:p w14:paraId="2EF39CB8" w14:textId="77777777" w:rsidR="008A0A88" w:rsidRPr="002D00D5" w:rsidRDefault="008A0A88" w:rsidP="00B760C3">
            <w:pPr>
              <w:spacing w:before="40" w:after="40" w:line="220" w:lineRule="exact"/>
              <w:jc w:val="right"/>
              <w:rPr>
                <w:sz w:val="18"/>
              </w:rPr>
            </w:pPr>
            <w:r>
              <w:rPr>
                <w:sz w:val="18"/>
              </w:rPr>
              <w:t>331</w:t>
            </w:r>
          </w:p>
        </w:tc>
      </w:tr>
      <w:tr w:rsidR="00C62246" w:rsidRPr="002D00D5" w14:paraId="1629BE20" w14:textId="77777777" w:rsidTr="008A0A88">
        <w:tc>
          <w:tcPr>
            <w:tcW w:w="2456" w:type="dxa"/>
            <w:shd w:val="clear" w:color="auto" w:fill="auto"/>
            <w:vAlign w:val="bottom"/>
          </w:tcPr>
          <w:p w14:paraId="41D31787" w14:textId="76FD06E5" w:rsidR="00C62246" w:rsidRPr="002D00D5" w:rsidRDefault="00C62246" w:rsidP="00C62246">
            <w:pPr>
              <w:spacing w:before="40" w:after="40" w:line="220" w:lineRule="exact"/>
              <w:rPr>
                <w:sz w:val="18"/>
              </w:rPr>
            </w:pPr>
            <w:r w:rsidRPr="0026431C">
              <w:rPr>
                <w:sz w:val="18"/>
              </w:rPr>
              <w:t>ST/SG/AC.10/</w:t>
            </w:r>
            <w:proofErr w:type="spellStart"/>
            <w:r w:rsidRPr="0026431C">
              <w:rPr>
                <w:sz w:val="18"/>
              </w:rPr>
              <w:t>R.</w:t>
            </w:r>
            <w:r>
              <w:rPr>
                <w:sz w:val="18"/>
              </w:rPr>
              <w:t>xxx</w:t>
            </w:r>
            <w:proofErr w:type="spellEnd"/>
          </w:p>
        </w:tc>
        <w:tc>
          <w:tcPr>
            <w:tcW w:w="2457" w:type="dxa"/>
            <w:shd w:val="clear" w:color="auto" w:fill="auto"/>
            <w:vAlign w:val="bottom"/>
          </w:tcPr>
          <w:p w14:paraId="5A3A7A4C" w14:textId="01816C86" w:rsidR="00C62246" w:rsidRPr="002D00D5" w:rsidRDefault="00407B43" w:rsidP="00C62246">
            <w:pPr>
              <w:spacing w:before="40" w:after="40" w:line="220" w:lineRule="exact"/>
              <w:jc w:val="right"/>
              <w:rPr>
                <w:sz w:val="18"/>
              </w:rPr>
            </w:pPr>
            <w:r>
              <w:rPr>
                <w:sz w:val="18"/>
              </w:rPr>
              <w:t>5</w:t>
            </w:r>
          </w:p>
        </w:tc>
        <w:tc>
          <w:tcPr>
            <w:tcW w:w="2457" w:type="dxa"/>
            <w:shd w:val="clear" w:color="auto" w:fill="auto"/>
            <w:vAlign w:val="bottom"/>
          </w:tcPr>
          <w:p w14:paraId="107290CD" w14:textId="089506AE" w:rsidR="00C62246" w:rsidRPr="002D00D5" w:rsidRDefault="00407B43" w:rsidP="00C62246">
            <w:pPr>
              <w:spacing w:before="40" w:after="40" w:line="220" w:lineRule="exact"/>
              <w:jc w:val="right"/>
              <w:rPr>
                <w:sz w:val="18"/>
              </w:rPr>
            </w:pPr>
            <w:r>
              <w:rPr>
                <w:sz w:val="18"/>
              </w:rPr>
              <w:t>223</w:t>
            </w:r>
          </w:p>
        </w:tc>
      </w:tr>
      <w:tr w:rsidR="00C62246" w:rsidRPr="002D00D5" w14:paraId="031DEACA" w14:textId="77777777" w:rsidTr="00C62246">
        <w:tc>
          <w:tcPr>
            <w:tcW w:w="2456" w:type="dxa"/>
            <w:shd w:val="clear" w:color="auto" w:fill="auto"/>
            <w:vAlign w:val="bottom"/>
          </w:tcPr>
          <w:p w14:paraId="5A6F8733" w14:textId="32B8E68F" w:rsidR="00C62246" w:rsidRPr="002D00D5" w:rsidRDefault="00C62246" w:rsidP="00C62246">
            <w:pPr>
              <w:spacing w:before="40" w:after="40" w:line="220" w:lineRule="exact"/>
              <w:rPr>
                <w:sz w:val="18"/>
              </w:rPr>
            </w:pPr>
            <w:r w:rsidRPr="0026431C">
              <w:rPr>
                <w:sz w:val="18"/>
              </w:rPr>
              <w:t>ST/SG/AC.10/C.</w:t>
            </w:r>
            <w:r>
              <w:rPr>
                <w:sz w:val="18"/>
              </w:rPr>
              <w:t>1</w:t>
            </w:r>
            <w:r w:rsidRPr="0026431C">
              <w:rPr>
                <w:sz w:val="18"/>
              </w:rPr>
              <w:t>/</w:t>
            </w:r>
            <w:proofErr w:type="spellStart"/>
            <w:r w:rsidRPr="0026431C">
              <w:rPr>
                <w:sz w:val="18"/>
              </w:rPr>
              <w:t>R.</w:t>
            </w:r>
            <w:r>
              <w:rPr>
                <w:sz w:val="18"/>
              </w:rPr>
              <w:t>xxx</w:t>
            </w:r>
            <w:proofErr w:type="spellEnd"/>
          </w:p>
        </w:tc>
        <w:tc>
          <w:tcPr>
            <w:tcW w:w="2457" w:type="dxa"/>
            <w:shd w:val="clear" w:color="auto" w:fill="auto"/>
            <w:vAlign w:val="bottom"/>
          </w:tcPr>
          <w:p w14:paraId="03A28480" w14:textId="582E0851" w:rsidR="00C62246" w:rsidRPr="002D00D5" w:rsidRDefault="00407B43" w:rsidP="00C62246">
            <w:pPr>
              <w:spacing w:before="40" w:after="40" w:line="220" w:lineRule="exact"/>
              <w:jc w:val="right"/>
              <w:rPr>
                <w:sz w:val="18"/>
              </w:rPr>
            </w:pPr>
            <w:r>
              <w:rPr>
                <w:sz w:val="18"/>
              </w:rPr>
              <w:t>0</w:t>
            </w:r>
          </w:p>
        </w:tc>
        <w:tc>
          <w:tcPr>
            <w:tcW w:w="2457" w:type="dxa"/>
            <w:shd w:val="clear" w:color="auto" w:fill="auto"/>
            <w:vAlign w:val="bottom"/>
          </w:tcPr>
          <w:p w14:paraId="0CC1D53B" w14:textId="7901F3B9" w:rsidR="00C62246" w:rsidRPr="002D00D5" w:rsidRDefault="00407B43" w:rsidP="00C62246">
            <w:pPr>
              <w:spacing w:before="40" w:after="40" w:line="220" w:lineRule="exact"/>
              <w:jc w:val="right"/>
              <w:rPr>
                <w:sz w:val="18"/>
              </w:rPr>
            </w:pPr>
            <w:r>
              <w:rPr>
                <w:sz w:val="18"/>
              </w:rPr>
              <w:t>0</w:t>
            </w:r>
          </w:p>
        </w:tc>
      </w:tr>
      <w:tr w:rsidR="00C62246" w:rsidRPr="002D00D5" w14:paraId="1F5280AF" w14:textId="77777777" w:rsidTr="00C62246">
        <w:tc>
          <w:tcPr>
            <w:tcW w:w="2456" w:type="dxa"/>
            <w:shd w:val="clear" w:color="auto" w:fill="auto"/>
            <w:vAlign w:val="bottom"/>
          </w:tcPr>
          <w:p w14:paraId="2DC4FD42" w14:textId="0017C960" w:rsidR="00C62246" w:rsidRPr="002D00D5" w:rsidRDefault="00C62246" w:rsidP="00C62246">
            <w:pPr>
              <w:spacing w:before="40" w:after="40" w:line="220" w:lineRule="exact"/>
              <w:rPr>
                <w:sz w:val="18"/>
              </w:rPr>
            </w:pPr>
            <w:r w:rsidRPr="0026431C">
              <w:rPr>
                <w:sz w:val="18"/>
              </w:rPr>
              <w:t>ST/SG/AC.10/C.2/</w:t>
            </w:r>
            <w:proofErr w:type="spellStart"/>
            <w:r w:rsidRPr="0026431C">
              <w:rPr>
                <w:sz w:val="18"/>
              </w:rPr>
              <w:t>R.</w:t>
            </w:r>
            <w:r>
              <w:rPr>
                <w:sz w:val="18"/>
              </w:rPr>
              <w:t>xxx</w:t>
            </w:r>
            <w:proofErr w:type="spellEnd"/>
          </w:p>
        </w:tc>
        <w:tc>
          <w:tcPr>
            <w:tcW w:w="2457" w:type="dxa"/>
            <w:shd w:val="clear" w:color="auto" w:fill="auto"/>
            <w:vAlign w:val="bottom"/>
          </w:tcPr>
          <w:p w14:paraId="79349774" w14:textId="1326BE3F" w:rsidR="00C62246" w:rsidRPr="002D00D5" w:rsidRDefault="009F7F04" w:rsidP="00C62246">
            <w:pPr>
              <w:spacing w:before="40" w:after="40" w:line="220" w:lineRule="exact"/>
              <w:jc w:val="right"/>
              <w:rPr>
                <w:sz w:val="18"/>
              </w:rPr>
            </w:pPr>
            <w:r>
              <w:rPr>
                <w:sz w:val="18"/>
              </w:rPr>
              <w:t>0</w:t>
            </w:r>
          </w:p>
        </w:tc>
        <w:tc>
          <w:tcPr>
            <w:tcW w:w="2457" w:type="dxa"/>
            <w:shd w:val="clear" w:color="auto" w:fill="auto"/>
            <w:vAlign w:val="bottom"/>
          </w:tcPr>
          <w:p w14:paraId="71A3431C" w14:textId="505D3BBF" w:rsidR="00C62246" w:rsidRPr="002D00D5" w:rsidRDefault="009F7F04" w:rsidP="00C62246">
            <w:pPr>
              <w:spacing w:before="40" w:after="40" w:line="220" w:lineRule="exact"/>
              <w:jc w:val="right"/>
              <w:rPr>
                <w:sz w:val="18"/>
              </w:rPr>
            </w:pPr>
            <w:r>
              <w:rPr>
                <w:sz w:val="18"/>
              </w:rPr>
              <w:t>0</w:t>
            </w:r>
          </w:p>
        </w:tc>
      </w:tr>
      <w:tr w:rsidR="00C62246" w:rsidRPr="002D00D5" w14:paraId="4666CF79" w14:textId="77777777" w:rsidTr="007502F0">
        <w:tc>
          <w:tcPr>
            <w:tcW w:w="2456" w:type="dxa"/>
            <w:shd w:val="clear" w:color="auto" w:fill="auto"/>
            <w:vAlign w:val="bottom"/>
          </w:tcPr>
          <w:p w14:paraId="3B1F88A0" w14:textId="470D658E" w:rsidR="00C62246" w:rsidRPr="002D00D5" w:rsidRDefault="00C62246" w:rsidP="00C62246">
            <w:pPr>
              <w:spacing w:before="40" w:after="40" w:line="220" w:lineRule="exact"/>
              <w:rPr>
                <w:sz w:val="18"/>
              </w:rPr>
            </w:pPr>
            <w:r w:rsidRPr="0026431C">
              <w:rPr>
                <w:sz w:val="18"/>
              </w:rPr>
              <w:t>ST/SG/AC.10/C.3/</w:t>
            </w:r>
            <w:proofErr w:type="spellStart"/>
            <w:r w:rsidRPr="0026431C">
              <w:rPr>
                <w:sz w:val="18"/>
              </w:rPr>
              <w:t>R.</w:t>
            </w:r>
            <w:r>
              <w:rPr>
                <w:sz w:val="18"/>
              </w:rPr>
              <w:t>xxx</w:t>
            </w:r>
            <w:proofErr w:type="spellEnd"/>
          </w:p>
        </w:tc>
        <w:tc>
          <w:tcPr>
            <w:tcW w:w="2457" w:type="dxa"/>
            <w:shd w:val="clear" w:color="auto" w:fill="auto"/>
            <w:vAlign w:val="bottom"/>
          </w:tcPr>
          <w:p w14:paraId="43C92DCD" w14:textId="23C9E575" w:rsidR="00C62246" w:rsidRPr="002D00D5" w:rsidRDefault="009F7F04" w:rsidP="00C62246">
            <w:pPr>
              <w:spacing w:before="40" w:after="40" w:line="220" w:lineRule="exact"/>
              <w:jc w:val="right"/>
              <w:rPr>
                <w:sz w:val="18"/>
              </w:rPr>
            </w:pPr>
            <w:r>
              <w:rPr>
                <w:sz w:val="18"/>
              </w:rPr>
              <w:t>5</w:t>
            </w:r>
          </w:p>
        </w:tc>
        <w:tc>
          <w:tcPr>
            <w:tcW w:w="2457" w:type="dxa"/>
            <w:shd w:val="clear" w:color="auto" w:fill="auto"/>
            <w:vAlign w:val="bottom"/>
          </w:tcPr>
          <w:p w14:paraId="17EEFCD9" w14:textId="6C527D3A" w:rsidR="00C62246" w:rsidRPr="002D00D5" w:rsidRDefault="009F7F04" w:rsidP="00C62246">
            <w:pPr>
              <w:spacing w:before="40" w:after="40" w:line="220" w:lineRule="exact"/>
              <w:jc w:val="right"/>
              <w:rPr>
                <w:sz w:val="18"/>
              </w:rPr>
            </w:pPr>
            <w:r>
              <w:rPr>
                <w:sz w:val="18"/>
              </w:rPr>
              <w:t>451</w:t>
            </w:r>
          </w:p>
        </w:tc>
      </w:tr>
      <w:tr w:rsidR="00C62246" w:rsidRPr="002D00D5" w14:paraId="683975EA" w14:textId="77777777" w:rsidTr="007502F0">
        <w:tc>
          <w:tcPr>
            <w:tcW w:w="2456" w:type="dxa"/>
            <w:tcBorders>
              <w:top w:val="single" w:sz="12" w:space="0" w:color="auto"/>
              <w:bottom w:val="single" w:sz="12" w:space="0" w:color="auto"/>
            </w:tcBorders>
            <w:shd w:val="clear" w:color="auto" w:fill="auto"/>
            <w:vAlign w:val="bottom"/>
          </w:tcPr>
          <w:p w14:paraId="71322919" w14:textId="3C20B3E4" w:rsidR="00C62246" w:rsidRPr="002D00D5" w:rsidRDefault="009F7F04" w:rsidP="00C62246">
            <w:pPr>
              <w:spacing w:before="40" w:after="40" w:line="220" w:lineRule="exact"/>
              <w:rPr>
                <w:sz w:val="18"/>
              </w:rPr>
            </w:pPr>
            <w:r>
              <w:rPr>
                <w:sz w:val="18"/>
              </w:rPr>
              <w:t>Total</w:t>
            </w:r>
          </w:p>
        </w:tc>
        <w:tc>
          <w:tcPr>
            <w:tcW w:w="2457" w:type="dxa"/>
            <w:tcBorders>
              <w:top w:val="single" w:sz="12" w:space="0" w:color="auto"/>
              <w:bottom w:val="single" w:sz="12" w:space="0" w:color="auto"/>
            </w:tcBorders>
            <w:shd w:val="clear" w:color="auto" w:fill="auto"/>
            <w:vAlign w:val="bottom"/>
          </w:tcPr>
          <w:p w14:paraId="2C5FA39D" w14:textId="185B32E3" w:rsidR="00C62246" w:rsidRPr="002D00D5" w:rsidRDefault="007502F0" w:rsidP="00C62246">
            <w:pPr>
              <w:spacing w:before="40" w:after="40" w:line="220" w:lineRule="exact"/>
              <w:jc w:val="right"/>
              <w:rPr>
                <w:sz w:val="18"/>
              </w:rPr>
            </w:pPr>
            <w:r>
              <w:rPr>
                <w:sz w:val="18"/>
              </w:rPr>
              <w:t>17</w:t>
            </w:r>
          </w:p>
        </w:tc>
        <w:tc>
          <w:tcPr>
            <w:tcW w:w="2457" w:type="dxa"/>
            <w:tcBorders>
              <w:top w:val="single" w:sz="12" w:space="0" w:color="auto"/>
              <w:bottom w:val="single" w:sz="12" w:space="0" w:color="auto"/>
            </w:tcBorders>
            <w:shd w:val="clear" w:color="auto" w:fill="auto"/>
            <w:vAlign w:val="bottom"/>
          </w:tcPr>
          <w:p w14:paraId="6C147781" w14:textId="7DD4DAFB" w:rsidR="00C62246" w:rsidRPr="002D00D5" w:rsidRDefault="007502F0" w:rsidP="00C62246">
            <w:pPr>
              <w:spacing w:before="40" w:after="40" w:line="220" w:lineRule="exact"/>
              <w:jc w:val="right"/>
              <w:rPr>
                <w:sz w:val="18"/>
              </w:rPr>
            </w:pPr>
            <w:r>
              <w:rPr>
                <w:sz w:val="18"/>
              </w:rPr>
              <w:t>1022</w:t>
            </w:r>
          </w:p>
        </w:tc>
      </w:tr>
    </w:tbl>
    <w:p w14:paraId="2488F3FB" w14:textId="0FBDC868" w:rsidR="006132D7" w:rsidRPr="006132D7" w:rsidRDefault="00740E30" w:rsidP="00721B04">
      <w:pPr>
        <w:pStyle w:val="HChG"/>
      </w:pPr>
      <w:r w:rsidRPr="00D6350C">
        <w:tab/>
        <w:t>III.</w:t>
      </w:r>
      <w:r w:rsidRPr="00D6350C">
        <w:tab/>
      </w:r>
      <w:r w:rsidR="006132D7" w:rsidRPr="00D6350C">
        <w:t>Samples</w:t>
      </w:r>
    </w:p>
    <w:p w14:paraId="0C747D7C" w14:textId="43F2CDEC" w:rsidR="006132D7" w:rsidRDefault="0025349B" w:rsidP="00740E30">
      <w:pPr>
        <w:pStyle w:val="SingleTxtG"/>
        <w:rPr>
          <w:lang w:val="en-US"/>
        </w:rPr>
      </w:pPr>
      <w:r>
        <w:rPr>
          <w:lang w:val="en-US"/>
        </w:rPr>
        <w:t>6.</w:t>
      </w:r>
      <w:r>
        <w:rPr>
          <w:lang w:val="en-US"/>
        </w:rPr>
        <w:tab/>
      </w:r>
      <w:r w:rsidR="006132D7">
        <w:rPr>
          <w:lang w:val="en-US"/>
        </w:rPr>
        <w:t xml:space="preserve">To </w:t>
      </w:r>
      <w:r w:rsidR="00CD17C6">
        <w:rPr>
          <w:lang w:val="en-US"/>
        </w:rPr>
        <w:t>aid</w:t>
      </w:r>
      <w:r w:rsidR="006132D7">
        <w:rPr>
          <w:lang w:val="en-US"/>
        </w:rPr>
        <w:t xml:space="preserve"> the Sub-Committee </w:t>
      </w:r>
      <w:r w:rsidR="00CD17C6">
        <w:rPr>
          <w:lang w:val="en-US"/>
        </w:rPr>
        <w:t>in</w:t>
      </w:r>
      <w:r w:rsidR="006132D7">
        <w:rPr>
          <w:lang w:val="en-US"/>
        </w:rPr>
        <w:t xml:space="preserve"> mak</w:t>
      </w:r>
      <w:r w:rsidR="00CD17C6">
        <w:rPr>
          <w:lang w:val="en-US"/>
        </w:rPr>
        <w:t>ing</w:t>
      </w:r>
      <w:r w:rsidR="006132D7">
        <w:rPr>
          <w:lang w:val="en-US"/>
        </w:rPr>
        <w:t xml:space="preserve"> an informed decision, </w:t>
      </w:r>
      <w:r w:rsidR="0041089C">
        <w:rPr>
          <w:lang w:val="en-US"/>
        </w:rPr>
        <w:t xml:space="preserve">appendix </w:t>
      </w:r>
      <w:r w:rsidR="00B12E4A">
        <w:rPr>
          <w:lang w:val="en-US"/>
        </w:rPr>
        <w:t>2</w:t>
      </w:r>
      <w:r w:rsidR="0041089C">
        <w:rPr>
          <w:lang w:val="en-US"/>
        </w:rPr>
        <w:t xml:space="preserve"> of INF.3 contains a list with the titles of t</w:t>
      </w:r>
      <w:r w:rsidR="005E6692">
        <w:rPr>
          <w:lang w:val="en-US"/>
        </w:rPr>
        <w:t>hose documents present in the</w:t>
      </w:r>
      <w:r w:rsidR="00AF0E04">
        <w:rPr>
          <w:lang w:val="en-US"/>
        </w:rPr>
        <w:t xml:space="preserve"> </w:t>
      </w:r>
      <w:r w:rsidR="00FC74BA">
        <w:rPr>
          <w:lang w:val="en-US"/>
        </w:rPr>
        <w:t>library’s</w:t>
      </w:r>
      <w:r w:rsidR="00AF0E04">
        <w:rPr>
          <w:lang w:val="en-US"/>
        </w:rPr>
        <w:t xml:space="preserve"> online catalog</w:t>
      </w:r>
      <w:r w:rsidR="007E5E8A">
        <w:rPr>
          <w:lang w:val="en-US"/>
        </w:rPr>
        <w:t>ue</w:t>
      </w:r>
      <w:r w:rsidR="00292D98">
        <w:rPr>
          <w:rStyle w:val="FootnoteReference"/>
          <w:lang w:val="en-US"/>
        </w:rPr>
        <w:footnoteReference w:id="5"/>
      </w:r>
      <w:r w:rsidR="00312FA5">
        <w:rPr>
          <w:lang w:val="en-US"/>
        </w:rPr>
        <w:t>.</w:t>
      </w:r>
      <w:r w:rsidR="008A7D60">
        <w:rPr>
          <w:lang w:val="en-US"/>
        </w:rPr>
        <w:t xml:space="preserve"> </w:t>
      </w:r>
      <w:r w:rsidR="00B12E4A">
        <w:rPr>
          <w:lang w:val="en-US"/>
        </w:rPr>
        <w:t xml:space="preserve">Furthermore, </w:t>
      </w:r>
      <w:r w:rsidR="008A7D60">
        <w:rPr>
          <w:lang w:val="en-US"/>
        </w:rPr>
        <w:t xml:space="preserve">appendix </w:t>
      </w:r>
      <w:r w:rsidR="00B12E4A">
        <w:rPr>
          <w:lang w:val="en-US"/>
        </w:rPr>
        <w:t>3</w:t>
      </w:r>
      <w:r w:rsidR="008A7D60" w:rsidRPr="00635F50">
        <w:rPr>
          <w:lang w:val="en-US"/>
        </w:rPr>
        <w:t xml:space="preserve"> of INF.3 contains one sample document of each of the five discussed sets.</w:t>
      </w:r>
    </w:p>
    <w:p w14:paraId="24017DF5" w14:textId="65C5291C" w:rsidR="006132D7" w:rsidRPr="006132D7" w:rsidRDefault="00740E30" w:rsidP="00721B04">
      <w:pPr>
        <w:pStyle w:val="HChG"/>
      </w:pPr>
      <w:r>
        <w:tab/>
        <w:t>IV.</w:t>
      </w:r>
      <w:r>
        <w:tab/>
      </w:r>
      <w:r w:rsidR="006132D7" w:rsidRPr="006132D7">
        <w:t xml:space="preserve">Reasons for </w:t>
      </w:r>
      <w:r w:rsidR="006025D8">
        <w:t>the</w:t>
      </w:r>
      <w:r w:rsidR="006132D7" w:rsidRPr="006132D7">
        <w:t xml:space="preserve"> original classification</w:t>
      </w:r>
      <w:r w:rsidR="006025D8">
        <w:t xml:space="preserve"> of the documents</w:t>
      </w:r>
    </w:p>
    <w:p w14:paraId="77D7B296" w14:textId="759AD6F9" w:rsidR="006132D7" w:rsidRDefault="0025349B" w:rsidP="00740E30">
      <w:pPr>
        <w:pStyle w:val="SingleTxtG"/>
      </w:pPr>
      <w:r>
        <w:rPr>
          <w:lang w:val="en-US"/>
        </w:rPr>
        <w:t>7.</w:t>
      </w:r>
      <w:r>
        <w:rPr>
          <w:lang w:val="en-US"/>
        </w:rPr>
        <w:tab/>
      </w:r>
      <w:r w:rsidR="006132D7">
        <w:rPr>
          <w:lang w:val="en-US"/>
        </w:rPr>
        <w:t>As far as the secretariat has been able to ascertain, in the past</w:t>
      </w:r>
      <w:r w:rsidR="006132D7">
        <w:t>, all working documents of these bodies were classified as restricted</w:t>
      </w:r>
      <w:r w:rsidR="00984C1D">
        <w:t>. However, this was not done</w:t>
      </w:r>
      <w:r w:rsidR="006132D7">
        <w:t xml:space="preserve"> for confidentiality reasons, it was mainly for distribution purposes. It did not make sense to send paper copies of this kind of working documents by mail to permanent missions and libraries </w:t>
      </w:r>
      <w:r w:rsidR="00D967E1">
        <w:t>around</w:t>
      </w:r>
      <w:r w:rsidR="006132D7">
        <w:t xml:space="preserve"> the world, and the solution to avoid this was to mark them as restricted. This practice ended once documents were uploaded to ODS instead of being printed and sent.</w:t>
      </w:r>
    </w:p>
    <w:p w14:paraId="60D747CE" w14:textId="3E763C1C" w:rsidR="006132D7" w:rsidRDefault="0025349B" w:rsidP="00740E30">
      <w:pPr>
        <w:pStyle w:val="SingleTxtG"/>
      </w:pPr>
      <w:r>
        <w:t>8.</w:t>
      </w:r>
      <w:r>
        <w:tab/>
      </w:r>
      <w:r w:rsidR="006132D7">
        <w:t>As can be seen in the samples provided in</w:t>
      </w:r>
      <w:r w:rsidR="00283B41">
        <w:t xml:space="preserve"> </w:t>
      </w:r>
      <w:r w:rsidR="00AF0E04">
        <w:t>a</w:t>
      </w:r>
      <w:r w:rsidR="00283B41" w:rsidRPr="00635F50">
        <w:t xml:space="preserve">ppendix </w:t>
      </w:r>
      <w:r w:rsidR="00084F13">
        <w:t>3</w:t>
      </w:r>
      <w:r w:rsidR="00283B41" w:rsidRPr="00635F50">
        <w:t xml:space="preserve"> of </w:t>
      </w:r>
      <w:r w:rsidR="006132D7" w:rsidRPr="00635F50">
        <w:t>INF.</w:t>
      </w:r>
      <w:r w:rsidR="00635F50" w:rsidRPr="00635F50">
        <w:t>3</w:t>
      </w:r>
      <w:r w:rsidR="006132D7" w:rsidRPr="00635F50">
        <w:t>, the nature of these documents is the same as current working documents</w:t>
      </w:r>
      <w:r w:rsidR="002E0435" w:rsidRPr="00635F50">
        <w:t>,</w:t>
      </w:r>
      <w:r w:rsidR="006132D7" w:rsidRPr="00635F50">
        <w:t xml:space="preserve"> which are marked for </w:t>
      </w:r>
      <w:r w:rsidR="00BD5CF4" w:rsidRPr="00635F50">
        <w:t>g</w:t>
      </w:r>
      <w:r w:rsidR="006132D7" w:rsidRPr="00635F50">
        <w:t>eneral distribution</w:t>
      </w:r>
      <w:r w:rsidR="00F44664" w:rsidRPr="00635F50">
        <w:t xml:space="preserve"> and </w:t>
      </w:r>
      <w:r w:rsidR="004558A3" w:rsidRPr="00635F50">
        <w:t xml:space="preserve">publicly </w:t>
      </w:r>
      <w:r w:rsidR="00F44664" w:rsidRPr="00635F50">
        <w:t>available for download</w:t>
      </w:r>
      <w:r w:rsidR="002E0435" w:rsidRPr="00635F50">
        <w:t xml:space="preserve"> </w:t>
      </w:r>
      <w:r w:rsidR="001C05F3" w:rsidRPr="00635F50">
        <w:t>at</w:t>
      </w:r>
      <w:r w:rsidR="002E0435" w:rsidRPr="00635F50">
        <w:t xml:space="preserve"> the secretariat’s website as well as in ODS</w:t>
      </w:r>
      <w:r w:rsidR="006132D7" w:rsidRPr="00635F50">
        <w:t>. There is no apparent reason to keep access to these documents restricted</w:t>
      </w:r>
      <w:r w:rsidR="006132D7">
        <w:t xml:space="preserve"> nowadays.</w:t>
      </w:r>
    </w:p>
    <w:p w14:paraId="6ADE1D98" w14:textId="32704F7C" w:rsidR="006132D7" w:rsidRDefault="0025349B" w:rsidP="00740E30">
      <w:pPr>
        <w:pStyle w:val="SingleTxtG"/>
      </w:pPr>
      <w:r>
        <w:t>9.</w:t>
      </w:r>
      <w:r>
        <w:tab/>
      </w:r>
      <w:r w:rsidR="006132D7">
        <w:t>It might be worth noting that article H 5 of the current United Nations Editorial Manual</w:t>
      </w:r>
      <w:r>
        <w:rPr>
          <w:rStyle w:val="FootnoteReference"/>
        </w:rPr>
        <w:footnoteReference w:id="6"/>
      </w:r>
      <w:r w:rsidR="006132D7">
        <w:t xml:space="preserve"> specifies the following on the matter of classification (</w:t>
      </w:r>
      <w:r w:rsidR="006132D7" w:rsidRPr="00C93436">
        <w:rPr>
          <w:u w:val="single"/>
        </w:rPr>
        <w:t>emphasis</w:t>
      </w:r>
      <w:r w:rsidR="006132D7">
        <w:t xml:space="preserve"> added by the author on relevant parts)</w:t>
      </w:r>
      <w:r w:rsidR="00A63E5F">
        <w:t>:</w:t>
      </w:r>
    </w:p>
    <w:p w14:paraId="5625CCF1" w14:textId="3E6E1A51" w:rsidR="006132D7" w:rsidRPr="004C2112" w:rsidRDefault="006132D7" w:rsidP="00665565">
      <w:pPr>
        <w:pStyle w:val="SingleTxtG"/>
        <w:ind w:left="1800"/>
        <w:rPr>
          <w:i/>
          <w:iCs/>
        </w:rPr>
      </w:pPr>
      <w:r w:rsidRPr="004C2112">
        <w:rPr>
          <w:i/>
          <w:iCs/>
        </w:rPr>
        <w:t xml:space="preserve">“The decision to place material in the RESTRICTED category shall be taken by the head of the department or office originating the document, or by a senior official designated by him for this purpose. When such a decision is considered, attention should be paid to the fact that </w:t>
      </w:r>
      <w:r w:rsidRPr="00C93436">
        <w:rPr>
          <w:i/>
          <w:iCs/>
          <w:u w:val="single"/>
        </w:rPr>
        <w:t>the work of the United Nations should be "open" unless circumstances require confidentiality</w:t>
      </w:r>
      <w:r w:rsidRPr="00C93436">
        <w:rPr>
          <w:i/>
          <w:iCs/>
        </w:rPr>
        <w:t>.</w:t>
      </w:r>
      <w:r w:rsidRPr="004C2112">
        <w:rPr>
          <w:i/>
          <w:iCs/>
        </w:rPr>
        <w:t xml:space="preserve"> Thus, the basic approach should be to use the RESTRICTED classification only as an exception. As a rule, should the</w:t>
      </w:r>
      <w:r w:rsidR="00665565">
        <w:rPr>
          <w:i/>
          <w:iCs/>
        </w:rPr>
        <w:t xml:space="preserve"> </w:t>
      </w:r>
      <w:r w:rsidRPr="004C2112">
        <w:rPr>
          <w:i/>
          <w:iCs/>
        </w:rPr>
        <w:t xml:space="preserve">document contain material provided by a </w:t>
      </w:r>
      <w:proofErr w:type="gramStart"/>
      <w:r w:rsidRPr="004C2112">
        <w:rPr>
          <w:i/>
          <w:iCs/>
        </w:rPr>
        <w:t>Government</w:t>
      </w:r>
      <w:proofErr w:type="gramEnd"/>
      <w:r w:rsidRPr="004C2112">
        <w:rPr>
          <w:i/>
          <w:iCs/>
        </w:rPr>
        <w:t xml:space="preserve"> or some other source outside the Secretariat on the express condition that it be treated confidentially, such a document and/or its annexes would have to be classified as REST</w:t>
      </w:r>
      <w:r w:rsidR="00665565">
        <w:rPr>
          <w:i/>
          <w:iCs/>
        </w:rPr>
        <w:t>R</w:t>
      </w:r>
      <w:r w:rsidRPr="004C2112">
        <w:rPr>
          <w:i/>
          <w:iCs/>
        </w:rPr>
        <w:t xml:space="preserve">ICTED. </w:t>
      </w:r>
      <w:r w:rsidRPr="00C93436">
        <w:rPr>
          <w:i/>
          <w:iCs/>
          <w:u w:val="single"/>
        </w:rPr>
        <w:t>RESTRICTED should not be used to achieve a controlled distribution</w:t>
      </w:r>
      <w:r w:rsidRPr="004C2112">
        <w:rPr>
          <w:i/>
          <w:iCs/>
        </w:rPr>
        <w:t>, that should be done by issuing the material in the LIMITED series and including special distribution instructions on the documents request form.”</w:t>
      </w:r>
    </w:p>
    <w:p w14:paraId="002EF120" w14:textId="2F44EAE8" w:rsidR="006132D7" w:rsidRDefault="00911557" w:rsidP="00740E30">
      <w:pPr>
        <w:pStyle w:val="SingleTxtG"/>
      </w:pPr>
      <w:r>
        <w:t>10.</w:t>
      </w:r>
      <w:r>
        <w:tab/>
      </w:r>
      <w:r w:rsidR="006132D7">
        <w:t xml:space="preserve">Furthermore, on the topic of declassification, the editorial manual indicates that </w:t>
      </w:r>
      <w:r w:rsidR="006132D7" w:rsidRPr="00C77D71">
        <w:rPr>
          <w:i/>
          <w:iCs/>
        </w:rPr>
        <w:t>“Material initially RESTRICTED should be declassified when the passage of time or other events permit”.</w:t>
      </w:r>
    </w:p>
    <w:p w14:paraId="23B539A3" w14:textId="73657806" w:rsidR="006132D7" w:rsidRPr="006132D7" w:rsidRDefault="004C2112" w:rsidP="00721B04">
      <w:pPr>
        <w:pStyle w:val="HChG"/>
      </w:pPr>
      <w:r>
        <w:tab/>
        <w:t>V.</w:t>
      </w:r>
      <w:r>
        <w:tab/>
      </w:r>
      <w:r w:rsidR="006132D7" w:rsidRPr="006132D7">
        <w:t>Action to be taken by the Sub-Committee</w:t>
      </w:r>
    </w:p>
    <w:p w14:paraId="5704AA7D" w14:textId="7E8DECD6" w:rsidR="006132D7" w:rsidRDefault="00911557" w:rsidP="004C2112">
      <w:pPr>
        <w:pStyle w:val="SingleTxtG"/>
        <w:rPr>
          <w:lang w:val="en-US"/>
        </w:rPr>
      </w:pPr>
      <w:r>
        <w:rPr>
          <w:lang w:val="en-US"/>
        </w:rPr>
        <w:t>11.</w:t>
      </w:r>
      <w:r>
        <w:rPr>
          <w:lang w:val="en-US"/>
        </w:rPr>
        <w:tab/>
      </w:r>
      <w:r w:rsidR="006132D7">
        <w:rPr>
          <w:lang w:val="en-US"/>
        </w:rPr>
        <w:t xml:space="preserve">If the Sub-Committee wishes to request that these documents are declassified, the secretariat proposes that the following paragraphs be inserted in the report of this </w:t>
      </w:r>
      <w:r w:rsidR="008103E4">
        <w:rPr>
          <w:lang w:val="en-US"/>
        </w:rPr>
        <w:t>session</w:t>
      </w:r>
      <w:r w:rsidR="006132D7">
        <w:rPr>
          <w:lang w:val="en-US"/>
        </w:rPr>
        <w:t>:</w:t>
      </w:r>
    </w:p>
    <w:p w14:paraId="3F9F8682" w14:textId="6A2AD88C" w:rsidR="006132D7" w:rsidRPr="00635F50" w:rsidRDefault="00EF753A" w:rsidP="004C2112">
      <w:pPr>
        <w:pStyle w:val="SingleTxtG"/>
        <w:rPr>
          <w:i/>
          <w:iCs/>
          <w:lang w:val="en-US"/>
        </w:rPr>
      </w:pPr>
      <w:r>
        <w:rPr>
          <w:i/>
          <w:iCs/>
          <w:lang w:val="en-US"/>
        </w:rPr>
        <w:t>“</w:t>
      </w:r>
      <w:r w:rsidR="006132D7" w:rsidRPr="00EF753A">
        <w:rPr>
          <w:i/>
          <w:iCs/>
          <w:lang w:val="en-US"/>
        </w:rPr>
        <w:t xml:space="preserve">The Sub-Committee requested the secretariat that it takes the </w:t>
      </w:r>
      <w:r w:rsidR="00D136CF">
        <w:rPr>
          <w:i/>
          <w:iCs/>
          <w:lang w:val="en-US"/>
        </w:rPr>
        <w:t>necessary</w:t>
      </w:r>
      <w:r w:rsidR="006132D7" w:rsidRPr="00EF753A">
        <w:rPr>
          <w:i/>
          <w:iCs/>
          <w:lang w:val="en-US"/>
        </w:rPr>
        <w:t xml:space="preserve"> steps to declassify </w:t>
      </w:r>
      <w:r w:rsidR="006132D7" w:rsidRPr="00635F50">
        <w:rPr>
          <w:i/>
          <w:iCs/>
          <w:lang w:val="en-US"/>
        </w:rPr>
        <w:t>the following sets of documents:</w:t>
      </w:r>
    </w:p>
    <w:p w14:paraId="3130F112" w14:textId="77777777" w:rsidR="008A0A88" w:rsidRPr="00EF753A" w:rsidRDefault="008A0A88" w:rsidP="008A0A88">
      <w:pPr>
        <w:pStyle w:val="Bullet1G"/>
        <w:rPr>
          <w:i/>
          <w:iCs/>
        </w:rPr>
      </w:pPr>
      <w:r w:rsidRPr="00EF753A">
        <w:rPr>
          <w:i/>
          <w:iCs/>
        </w:rPr>
        <w:t>E/CN.2/CONF.5/</w:t>
      </w:r>
      <w:proofErr w:type="spellStart"/>
      <w:r w:rsidRPr="00EF753A">
        <w:rPr>
          <w:i/>
          <w:iCs/>
        </w:rPr>
        <w:t>R.xxx</w:t>
      </w:r>
      <w:proofErr w:type="spellEnd"/>
      <w:r w:rsidRPr="00EF753A">
        <w:rPr>
          <w:i/>
          <w:iCs/>
        </w:rPr>
        <w:t xml:space="preserve"> </w:t>
      </w:r>
      <w:r w:rsidRPr="00EF753A">
        <w:rPr>
          <w:i/>
          <w:iCs/>
          <w:lang w:val="en-US"/>
        </w:rPr>
        <w:t>(Committee of Experts on the Transport of Dangerous Goods)</w:t>
      </w:r>
    </w:p>
    <w:p w14:paraId="65F8084F" w14:textId="77777777" w:rsidR="006132D7" w:rsidRPr="00635F50" w:rsidRDefault="006132D7" w:rsidP="004C2112">
      <w:pPr>
        <w:pStyle w:val="Bullet1G"/>
        <w:rPr>
          <w:i/>
          <w:iCs/>
          <w:lang w:val="en-US"/>
        </w:rPr>
      </w:pPr>
      <w:r w:rsidRPr="00635F50">
        <w:rPr>
          <w:i/>
          <w:iCs/>
          <w:lang w:val="en-US"/>
        </w:rPr>
        <w:t>ST/SG/AC.10/</w:t>
      </w:r>
      <w:proofErr w:type="spellStart"/>
      <w:r w:rsidRPr="00635F50">
        <w:rPr>
          <w:i/>
          <w:iCs/>
          <w:lang w:val="en-US"/>
        </w:rPr>
        <w:t>R.xxx</w:t>
      </w:r>
      <w:proofErr w:type="spellEnd"/>
      <w:r w:rsidRPr="00635F50">
        <w:rPr>
          <w:i/>
          <w:iCs/>
          <w:lang w:val="en-US"/>
        </w:rPr>
        <w:t xml:space="preserve"> (Committee of Experts on the Transport of Dangerous Goods)</w:t>
      </w:r>
    </w:p>
    <w:p w14:paraId="7763ABCB" w14:textId="77777777" w:rsidR="006132D7" w:rsidRPr="00635F50" w:rsidRDefault="006132D7" w:rsidP="004C2112">
      <w:pPr>
        <w:pStyle w:val="Bullet1G"/>
        <w:rPr>
          <w:i/>
          <w:iCs/>
          <w:lang w:val="en-US"/>
        </w:rPr>
      </w:pPr>
      <w:r w:rsidRPr="00635F50">
        <w:rPr>
          <w:i/>
          <w:iCs/>
          <w:lang w:val="en-US"/>
        </w:rPr>
        <w:t>ST/SG/AC.10/C.1/</w:t>
      </w:r>
      <w:proofErr w:type="spellStart"/>
      <w:r w:rsidRPr="00635F50">
        <w:rPr>
          <w:i/>
          <w:iCs/>
          <w:lang w:val="en-US"/>
        </w:rPr>
        <w:t>R.xxx</w:t>
      </w:r>
      <w:proofErr w:type="spellEnd"/>
      <w:r w:rsidRPr="00635F50">
        <w:rPr>
          <w:i/>
          <w:iCs/>
          <w:lang w:val="en-US"/>
        </w:rPr>
        <w:t xml:space="preserve"> (Group of Experts on Explosives of the Committee of Experts on the Transport of Dangerous Goods)</w:t>
      </w:r>
    </w:p>
    <w:p w14:paraId="45C27691" w14:textId="77777777" w:rsidR="006132D7" w:rsidRPr="00EF753A" w:rsidRDefault="006132D7" w:rsidP="004C2112">
      <w:pPr>
        <w:pStyle w:val="Bullet1G"/>
        <w:rPr>
          <w:i/>
          <w:iCs/>
          <w:lang w:val="en-US"/>
        </w:rPr>
      </w:pPr>
      <w:r w:rsidRPr="00635F50">
        <w:rPr>
          <w:i/>
          <w:iCs/>
          <w:lang w:val="en-US"/>
        </w:rPr>
        <w:t>ST/SG/AC.10/C.2/</w:t>
      </w:r>
      <w:proofErr w:type="spellStart"/>
      <w:r w:rsidRPr="00635F50">
        <w:rPr>
          <w:i/>
          <w:iCs/>
          <w:lang w:val="en-US"/>
        </w:rPr>
        <w:t>R.xxx</w:t>
      </w:r>
      <w:proofErr w:type="spellEnd"/>
      <w:r w:rsidRPr="00635F50">
        <w:rPr>
          <w:i/>
          <w:iCs/>
          <w:lang w:val="en-US"/>
        </w:rPr>
        <w:t xml:space="preserve"> (Group of Rapporteurs</w:t>
      </w:r>
      <w:r w:rsidRPr="00EF753A">
        <w:rPr>
          <w:i/>
          <w:iCs/>
          <w:lang w:val="en-US"/>
        </w:rPr>
        <w:t xml:space="preserve"> of the Committee of Experts on the Transport of Dangerous Goods)</w:t>
      </w:r>
    </w:p>
    <w:p w14:paraId="504B8133" w14:textId="77777777" w:rsidR="006132D7" w:rsidRPr="00EF753A" w:rsidRDefault="006132D7" w:rsidP="004C2112">
      <w:pPr>
        <w:pStyle w:val="Bullet1G"/>
        <w:rPr>
          <w:i/>
          <w:iCs/>
          <w:lang w:val="en-US"/>
        </w:rPr>
      </w:pPr>
      <w:r w:rsidRPr="00EF753A">
        <w:rPr>
          <w:i/>
          <w:iCs/>
          <w:lang w:val="en-US"/>
        </w:rPr>
        <w:t>ST/SG/AC.10/C.3/</w:t>
      </w:r>
      <w:proofErr w:type="spellStart"/>
      <w:r w:rsidRPr="00EF753A">
        <w:rPr>
          <w:i/>
          <w:iCs/>
          <w:lang w:val="en-US"/>
        </w:rPr>
        <w:t>R.xxx</w:t>
      </w:r>
      <w:proofErr w:type="spellEnd"/>
      <w:r w:rsidRPr="00EF753A">
        <w:rPr>
          <w:i/>
          <w:iCs/>
          <w:lang w:val="en-US"/>
        </w:rPr>
        <w:t xml:space="preserve"> (Sub-Committee of Experts on the Transport of Dangerous Goods)</w:t>
      </w:r>
    </w:p>
    <w:p w14:paraId="7256FFFE" w14:textId="08268410" w:rsidR="006132D7" w:rsidRPr="00EF753A" w:rsidRDefault="006132D7" w:rsidP="004C2112">
      <w:pPr>
        <w:pStyle w:val="SingleTxtG"/>
        <w:rPr>
          <w:i/>
          <w:iCs/>
        </w:rPr>
      </w:pPr>
      <w:r w:rsidRPr="00EF753A">
        <w:rPr>
          <w:i/>
          <w:iCs/>
        </w:rPr>
        <w:t xml:space="preserve">The Sub-Committee requested that any documents pertaining to these sets currently in ODS be made available to the public without restriction. Furthermore, if </w:t>
      </w:r>
      <w:r w:rsidR="00A9519C">
        <w:rPr>
          <w:i/>
          <w:iCs/>
        </w:rPr>
        <w:t>further documents pertain</w:t>
      </w:r>
      <w:r w:rsidR="00EB4F1D">
        <w:rPr>
          <w:i/>
          <w:iCs/>
        </w:rPr>
        <w:t xml:space="preserve">ing to these sets which are currently only in paper form </w:t>
      </w:r>
      <w:r w:rsidR="004C5E88">
        <w:rPr>
          <w:i/>
          <w:iCs/>
        </w:rPr>
        <w:t>are</w:t>
      </w:r>
      <w:r w:rsidR="00EB4F1D">
        <w:rPr>
          <w:i/>
          <w:iCs/>
        </w:rPr>
        <w:t xml:space="preserve"> digitized and</w:t>
      </w:r>
      <w:r w:rsidRPr="00EF753A">
        <w:rPr>
          <w:i/>
          <w:iCs/>
        </w:rPr>
        <w:t xml:space="preserve"> uploaded to ODS in the future, the Sub-Committee requested that those documents also be made available to the public without restriction.</w:t>
      </w:r>
      <w:r w:rsidR="00EF753A">
        <w:rPr>
          <w:i/>
          <w:iCs/>
        </w:rPr>
        <w:t>”</w:t>
      </w:r>
    </w:p>
    <w:p w14:paraId="5D9783E2" w14:textId="623FD49E" w:rsidR="00525D49" w:rsidRPr="00EF753A" w:rsidRDefault="00EF753A" w:rsidP="00EF753A">
      <w:pPr>
        <w:spacing w:before="240"/>
        <w:jc w:val="center"/>
        <w:rPr>
          <w:u w:val="single"/>
        </w:rPr>
      </w:pPr>
      <w:r>
        <w:rPr>
          <w:u w:val="single"/>
        </w:rPr>
        <w:tab/>
      </w:r>
      <w:r>
        <w:rPr>
          <w:u w:val="single"/>
        </w:rPr>
        <w:tab/>
      </w:r>
      <w:r>
        <w:rPr>
          <w:u w:val="single"/>
        </w:rPr>
        <w:tab/>
      </w:r>
    </w:p>
    <w:sectPr w:rsidR="00525D49" w:rsidRPr="00EF753A" w:rsidSect="00606652">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EA5C" w14:textId="77777777" w:rsidR="00BE09F4" w:rsidRPr="00C47B2E" w:rsidRDefault="00BE09F4" w:rsidP="00C47B2E">
      <w:pPr>
        <w:pStyle w:val="Footer"/>
      </w:pPr>
    </w:p>
  </w:endnote>
  <w:endnote w:type="continuationSeparator" w:id="0">
    <w:p w14:paraId="75C1BEBB" w14:textId="77777777" w:rsidR="00BE09F4" w:rsidRPr="00C47B2E" w:rsidRDefault="00BE09F4" w:rsidP="00C47B2E">
      <w:pPr>
        <w:pStyle w:val="Footer"/>
      </w:pPr>
    </w:p>
  </w:endnote>
  <w:endnote w:type="continuationNotice" w:id="1">
    <w:p w14:paraId="4F081AA2" w14:textId="77777777" w:rsidR="00BE09F4" w:rsidRPr="00C47B2E" w:rsidRDefault="00BE09F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E179" w14:textId="0EB843D8" w:rsidR="00D94B05" w:rsidRPr="00606652" w:rsidRDefault="00606652" w:rsidP="00606652">
    <w:pPr>
      <w:pStyle w:val="Footer"/>
      <w:tabs>
        <w:tab w:val="right" w:pos="9598"/>
        <w:tab w:val="right" w:pos="9638"/>
      </w:tabs>
      <w:rPr>
        <w:sz w:val="18"/>
      </w:rPr>
    </w:pPr>
    <w:r w:rsidRPr="00606652">
      <w:rPr>
        <w:b/>
        <w:sz w:val="18"/>
      </w:rPr>
      <w:fldChar w:fldCharType="begin"/>
    </w:r>
    <w:r w:rsidRPr="00606652">
      <w:rPr>
        <w:b/>
        <w:sz w:val="18"/>
      </w:rPr>
      <w:instrText xml:space="preserve"> PAGE  \* MERGEFORMAT </w:instrText>
    </w:r>
    <w:r w:rsidRPr="00606652">
      <w:rPr>
        <w:b/>
        <w:sz w:val="18"/>
      </w:rPr>
      <w:fldChar w:fldCharType="separate"/>
    </w:r>
    <w:r w:rsidRPr="00606652">
      <w:rPr>
        <w:b/>
        <w:noProof/>
        <w:sz w:val="18"/>
      </w:rPr>
      <w:t>2</w:t>
    </w:r>
    <w:r w:rsidRPr="006066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694D" w14:textId="44F21016" w:rsidR="00D94B05" w:rsidRPr="00606652" w:rsidRDefault="00606652" w:rsidP="00EF753A">
    <w:pPr>
      <w:pStyle w:val="Footer"/>
      <w:tabs>
        <w:tab w:val="right" w:pos="9598"/>
        <w:tab w:val="right" w:pos="9638"/>
      </w:tabs>
      <w:rPr>
        <w:sz w:val="18"/>
      </w:rPr>
    </w:pPr>
    <w:r>
      <w:rPr>
        <w:b/>
        <w:sz w:val="18"/>
      </w:rPr>
      <w:tab/>
    </w:r>
    <w:r w:rsidRPr="00606652">
      <w:rPr>
        <w:sz w:val="18"/>
      </w:rPr>
      <w:fldChar w:fldCharType="begin"/>
    </w:r>
    <w:r w:rsidRPr="00606652">
      <w:rPr>
        <w:sz w:val="18"/>
      </w:rPr>
      <w:instrText xml:space="preserve"> PAGE  \* MERGEFORMAT </w:instrText>
    </w:r>
    <w:r w:rsidRPr="00606652">
      <w:rPr>
        <w:sz w:val="18"/>
      </w:rPr>
      <w:fldChar w:fldCharType="separate"/>
    </w:r>
    <w:r w:rsidRPr="00606652">
      <w:rPr>
        <w:noProof/>
        <w:sz w:val="18"/>
      </w:rPr>
      <w:t>3</w:t>
    </w:r>
    <w:r w:rsidRPr="0060665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F049" w14:textId="77777777" w:rsidR="00D94B05" w:rsidRPr="0060665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703157E4" wp14:editId="3005ACDB">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845C" w14:textId="77777777" w:rsidR="00BE09F4" w:rsidRPr="00C47B2E" w:rsidRDefault="00BE09F4" w:rsidP="00C47B2E">
      <w:pPr>
        <w:tabs>
          <w:tab w:val="right" w:pos="2155"/>
        </w:tabs>
        <w:spacing w:after="80" w:line="240" w:lineRule="auto"/>
        <w:ind w:left="680"/>
      </w:pPr>
      <w:r>
        <w:rPr>
          <w:u w:val="single"/>
        </w:rPr>
        <w:tab/>
      </w:r>
    </w:p>
  </w:footnote>
  <w:footnote w:type="continuationSeparator" w:id="0">
    <w:p w14:paraId="3432CA9D" w14:textId="77777777" w:rsidR="00BE09F4" w:rsidRPr="00C47B2E" w:rsidRDefault="00BE09F4" w:rsidP="005E716E">
      <w:pPr>
        <w:tabs>
          <w:tab w:val="right" w:pos="2155"/>
        </w:tabs>
        <w:spacing w:after="80" w:line="240" w:lineRule="auto"/>
        <w:ind w:left="680"/>
      </w:pPr>
      <w:r>
        <w:rPr>
          <w:u w:val="single"/>
        </w:rPr>
        <w:tab/>
      </w:r>
    </w:p>
  </w:footnote>
  <w:footnote w:type="continuationNotice" w:id="1">
    <w:p w14:paraId="0DCA8702" w14:textId="77777777" w:rsidR="00BE09F4" w:rsidRPr="00C47B2E" w:rsidRDefault="00BE09F4" w:rsidP="00C47B2E">
      <w:pPr>
        <w:pStyle w:val="Footer"/>
      </w:pPr>
    </w:p>
  </w:footnote>
  <w:footnote w:id="2">
    <w:p w14:paraId="5D61184D" w14:textId="5C8A1DD1" w:rsidR="0063798D" w:rsidRPr="0063798D" w:rsidRDefault="0063798D">
      <w:pPr>
        <w:pStyle w:val="FootnoteText"/>
        <w:rPr>
          <w:lang w:val="en-US"/>
        </w:rPr>
      </w:pPr>
      <w:r>
        <w:rPr>
          <w:rStyle w:val="FootnoteReference"/>
        </w:rPr>
        <w:tab/>
      </w:r>
      <w:r w:rsidRPr="0063798D">
        <w:rPr>
          <w:rStyle w:val="FootnoteReference"/>
          <w:sz w:val="20"/>
          <w:vertAlign w:val="baseline"/>
        </w:rPr>
        <w:t>*</w:t>
      </w:r>
      <w:r>
        <w:rPr>
          <w:rStyle w:val="FootnoteReference"/>
          <w:sz w:val="20"/>
          <w:vertAlign w:val="baseline"/>
        </w:rPr>
        <w:tab/>
      </w:r>
      <w:r>
        <w:rPr>
          <w:lang w:val="en-US"/>
        </w:rPr>
        <w:t>A/75/6 (Sect.20), para. 20.51</w:t>
      </w:r>
    </w:p>
  </w:footnote>
  <w:footnote w:id="3">
    <w:p w14:paraId="19E5C1FB" w14:textId="77A871B5" w:rsidR="0025349B" w:rsidRPr="0025349B" w:rsidRDefault="0025349B" w:rsidP="0025349B">
      <w:pPr>
        <w:pStyle w:val="FootnoteText"/>
        <w:widowControl w:val="0"/>
        <w:tabs>
          <w:tab w:val="clear" w:pos="1021"/>
          <w:tab w:val="right" w:pos="1020"/>
        </w:tabs>
        <w:rPr>
          <w:lang w:val="en-US"/>
        </w:rPr>
      </w:pPr>
      <w:r>
        <w:tab/>
      </w:r>
      <w:r>
        <w:rPr>
          <w:rStyle w:val="FootnoteReference"/>
        </w:rPr>
        <w:footnoteRef/>
      </w:r>
      <w:r>
        <w:tab/>
      </w:r>
      <w:hyperlink r:id="rId1" w:history="1">
        <w:r w:rsidRPr="00E32DDD">
          <w:rPr>
            <w:rStyle w:val="Hyperlink"/>
            <w:lang w:val="en-US"/>
          </w:rPr>
          <w:t>https://documents.un.org</w:t>
        </w:r>
      </w:hyperlink>
    </w:p>
  </w:footnote>
  <w:footnote w:id="4">
    <w:p w14:paraId="28E1059F" w14:textId="273E2CC1" w:rsidR="00A8628B" w:rsidRPr="00A8628B" w:rsidRDefault="00A8628B" w:rsidP="00A8628B">
      <w:pPr>
        <w:pStyle w:val="FootnoteText"/>
        <w:widowControl w:val="0"/>
        <w:tabs>
          <w:tab w:val="clear" w:pos="1021"/>
          <w:tab w:val="right" w:pos="1020"/>
        </w:tabs>
        <w:rPr>
          <w:lang w:val="en-US"/>
        </w:rPr>
      </w:pPr>
      <w:r>
        <w:tab/>
      </w:r>
      <w:r>
        <w:rPr>
          <w:rStyle w:val="FootnoteReference"/>
        </w:rPr>
        <w:footnoteRef/>
      </w:r>
      <w:r>
        <w:tab/>
      </w:r>
      <w:hyperlink r:id="rId2" w:history="1">
        <w:r w:rsidRPr="00120C4A">
          <w:rPr>
            <w:rStyle w:val="Hyperlink"/>
          </w:rPr>
          <w:t>https://digitallibrary.un.org</w:t>
        </w:r>
      </w:hyperlink>
      <w:r>
        <w:t xml:space="preserve"> </w:t>
      </w:r>
    </w:p>
  </w:footnote>
  <w:footnote w:id="5">
    <w:p w14:paraId="2DF097D5" w14:textId="303A5B2E" w:rsidR="00292D98" w:rsidRPr="00292D98" w:rsidRDefault="00292D98" w:rsidP="00292D98">
      <w:pPr>
        <w:pStyle w:val="FootnoteText"/>
        <w:widowControl w:val="0"/>
        <w:tabs>
          <w:tab w:val="clear" w:pos="1021"/>
          <w:tab w:val="right" w:pos="1020"/>
        </w:tabs>
        <w:rPr>
          <w:lang w:val="en-US"/>
        </w:rPr>
      </w:pPr>
      <w:r>
        <w:tab/>
      </w:r>
      <w:r>
        <w:rPr>
          <w:rStyle w:val="FootnoteReference"/>
        </w:rPr>
        <w:footnoteRef/>
      </w:r>
      <w:r>
        <w:tab/>
      </w:r>
      <w:r w:rsidR="007E5E8A">
        <w:t>The library’s online catalogue contains documents</w:t>
      </w:r>
      <w:r>
        <w:t xml:space="preserve"> </w:t>
      </w:r>
      <w:r w:rsidR="007E5E8A">
        <w:t>which</w:t>
      </w:r>
      <w:r w:rsidR="00DD52F2">
        <w:t xml:space="preserve"> have not been digitized and are therefore</w:t>
      </w:r>
      <w:r w:rsidR="00D567B5">
        <w:t xml:space="preserve"> not in ODS. Conversely, ODS contains some documents which</w:t>
      </w:r>
      <w:r w:rsidR="00287018">
        <w:t xml:space="preserve"> are not present in the library’s </w:t>
      </w:r>
      <w:r w:rsidR="00327F31">
        <w:t>online</w:t>
      </w:r>
      <w:r w:rsidR="00287018">
        <w:t xml:space="preserve"> catalogue, as it currently contains some gaps. For these reasons, the lists in appendices 1 and </w:t>
      </w:r>
      <w:r w:rsidR="00B12E4A">
        <w:t>2</w:t>
      </w:r>
      <w:r w:rsidR="00287018">
        <w:t xml:space="preserve"> of INF.3 do not match.</w:t>
      </w:r>
    </w:p>
  </w:footnote>
  <w:footnote w:id="6">
    <w:p w14:paraId="1757DF2E" w14:textId="1747B1B2" w:rsidR="0025349B" w:rsidRPr="0025349B" w:rsidRDefault="0025349B" w:rsidP="0025349B">
      <w:pPr>
        <w:pStyle w:val="FootnoteText"/>
        <w:widowControl w:val="0"/>
        <w:tabs>
          <w:tab w:val="clear" w:pos="1021"/>
          <w:tab w:val="right" w:pos="1020"/>
        </w:tabs>
        <w:rPr>
          <w:lang w:val="en-US"/>
        </w:rPr>
      </w:pPr>
      <w:r>
        <w:tab/>
      </w:r>
      <w:r>
        <w:rPr>
          <w:rStyle w:val="FootnoteReference"/>
        </w:rPr>
        <w:footnoteRef/>
      </w:r>
      <w:r>
        <w:tab/>
      </w:r>
      <w:hyperlink r:id="rId3" w:history="1">
        <w:r w:rsidRPr="00E32DDD">
          <w:rPr>
            <w:rStyle w:val="Hyperlink"/>
          </w:rPr>
          <w:t>https://digitallibrary.un.org/record/134841/files/United_Nations_Editorial_Manual.pdf</w:t>
        </w:r>
      </w:hyperlink>
      <w:r w:rsidR="00824A0C">
        <w:t>, page</w:t>
      </w:r>
      <w:r w:rsidR="00276658">
        <w:t xml:space="preserve"> 493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0C04" w14:textId="46DF10A4" w:rsidR="00606652" w:rsidRPr="00606652" w:rsidRDefault="003030E7">
    <w:pPr>
      <w:pStyle w:val="Header"/>
    </w:pPr>
    <w:r>
      <w:fldChar w:fldCharType="begin"/>
    </w:r>
    <w:r>
      <w:instrText xml:space="preserve"> TITLE  \* MERGEFORMAT </w:instrText>
    </w:r>
    <w:r>
      <w:fldChar w:fldCharType="separate"/>
    </w:r>
    <w:r w:rsidR="00DA6A9E">
      <w:t>ST/SG/AC.10/C.3/2022/5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2C54" w14:textId="49A345DF" w:rsidR="00D94B05" w:rsidRPr="00606652" w:rsidRDefault="003030E7" w:rsidP="00606652">
    <w:pPr>
      <w:pStyle w:val="Header"/>
      <w:jc w:val="right"/>
    </w:pPr>
    <w:r>
      <w:fldChar w:fldCharType="begin"/>
    </w:r>
    <w:r>
      <w:instrText xml:space="preserve"> TITLE  \* MERGEFORMAT </w:instrText>
    </w:r>
    <w:r>
      <w:fldChar w:fldCharType="separate"/>
    </w:r>
    <w:r w:rsidR="00DA6A9E">
      <w:t>ST/SG/AC.10/C.3/2022/5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E28DC"/>
    <w:multiLevelType w:val="multilevel"/>
    <w:tmpl w:val="5A62E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52"/>
    <w:rsid w:val="00014313"/>
    <w:rsid w:val="00046E92"/>
    <w:rsid w:val="00063C90"/>
    <w:rsid w:val="000706C1"/>
    <w:rsid w:val="00084F13"/>
    <w:rsid w:val="000948C7"/>
    <w:rsid w:val="00101B98"/>
    <w:rsid w:val="00104389"/>
    <w:rsid w:val="00146A90"/>
    <w:rsid w:val="001514D1"/>
    <w:rsid w:val="00166FD4"/>
    <w:rsid w:val="00196824"/>
    <w:rsid w:val="001C05F3"/>
    <w:rsid w:val="001F1433"/>
    <w:rsid w:val="001F3507"/>
    <w:rsid w:val="00213723"/>
    <w:rsid w:val="002157CF"/>
    <w:rsid w:val="002278D6"/>
    <w:rsid w:val="002320E7"/>
    <w:rsid w:val="00247E2C"/>
    <w:rsid w:val="0025349B"/>
    <w:rsid w:val="0026431C"/>
    <w:rsid w:val="00276658"/>
    <w:rsid w:val="00283B41"/>
    <w:rsid w:val="00287018"/>
    <w:rsid w:val="00292D98"/>
    <w:rsid w:val="00293084"/>
    <w:rsid w:val="002A32CB"/>
    <w:rsid w:val="002D00D5"/>
    <w:rsid w:val="002D5B2C"/>
    <w:rsid w:val="002D6C53"/>
    <w:rsid w:val="002E0435"/>
    <w:rsid w:val="002F5595"/>
    <w:rsid w:val="002F56F4"/>
    <w:rsid w:val="003030E7"/>
    <w:rsid w:val="00312FA5"/>
    <w:rsid w:val="00327F31"/>
    <w:rsid w:val="00334ADF"/>
    <w:rsid w:val="00334F6A"/>
    <w:rsid w:val="00342AC8"/>
    <w:rsid w:val="00343302"/>
    <w:rsid w:val="003979DE"/>
    <w:rsid w:val="003A0F23"/>
    <w:rsid w:val="003B4550"/>
    <w:rsid w:val="003D2A18"/>
    <w:rsid w:val="00401EA5"/>
    <w:rsid w:val="00407B43"/>
    <w:rsid w:val="0041089C"/>
    <w:rsid w:val="00413386"/>
    <w:rsid w:val="00423D7E"/>
    <w:rsid w:val="0043319D"/>
    <w:rsid w:val="004331FD"/>
    <w:rsid w:val="004436F9"/>
    <w:rsid w:val="004558A3"/>
    <w:rsid w:val="00461253"/>
    <w:rsid w:val="004858F5"/>
    <w:rsid w:val="00485E5C"/>
    <w:rsid w:val="004A2814"/>
    <w:rsid w:val="004C0622"/>
    <w:rsid w:val="004C2112"/>
    <w:rsid w:val="004C5E88"/>
    <w:rsid w:val="004F125A"/>
    <w:rsid w:val="00500971"/>
    <w:rsid w:val="005042C2"/>
    <w:rsid w:val="00525D49"/>
    <w:rsid w:val="0054447D"/>
    <w:rsid w:val="005607EC"/>
    <w:rsid w:val="005E6692"/>
    <w:rsid w:val="005E716E"/>
    <w:rsid w:val="005F12CE"/>
    <w:rsid w:val="006025D8"/>
    <w:rsid w:val="00606652"/>
    <w:rsid w:val="006132D7"/>
    <w:rsid w:val="00630B78"/>
    <w:rsid w:val="00635F50"/>
    <w:rsid w:val="0063798D"/>
    <w:rsid w:val="006476E1"/>
    <w:rsid w:val="006604DF"/>
    <w:rsid w:val="00665565"/>
    <w:rsid w:val="00670013"/>
    <w:rsid w:val="00670C84"/>
    <w:rsid w:val="00671529"/>
    <w:rsid w:val="0070489D"/>
    <w:rsid w:val="00721B04"/>
    <w:rsid w:val="007268F9"/>
    <w:rsid w:val="00740E30"/>
    <w:rsid w:val="00744E59"/>
    <w:rsid w:val="00750282"/>
    <w:rsid w:val="007502F0"/>
    <w:rsid w:val="00764440"/>
    <w:rsid w:val="0077101B"/>
    <w:rsid w:val="007848C7"/>
    <w:rsid w:val="007919C6"/>
    <w:rsid w:val="007924C6"/>
    <w:rsid w:val="007C52B0"/>
    <w:rsid w:val="007C6033"/>
    <w:rsid w:val="007E0A8F"/>
    <w:rsid w:val="007E5E8A"/>
    <w:rsid w:val="008103E4"/>
    <w:rsid w:val="008147C8"/>
    <w:rsid w:val="00815D9B"/>
    <w:rsid w:val="0081753A"/>
    <w:rsid w:val="00824A0C"/>
    <w:rsid w:val="0084351B"/>
    <w:rsid w:val="00857D23"/>
    <w:rsid w:val="00864B40"/>
    <w:rsid w:val="008A0A88"/>
    <w:rsid w:val="008A7D60"/>
    <w:rsid w:val="008D16C0"/>
    <w:rsid w:val="00911557"/>
    <w:rsid w:val="009411B4"/>
    <w:rsid w:val="00946F1D"/>
    <w:rsid w:val="00984C1D"/>
    <w:rsid w:val="009C788C"/>
    <w:rsid w:val="009D0139"/>
    <w:rsid w:val="009D65C3"/>
    <w:rsid w:val="009D717D"/>
    <w:rsid w:val="009F5CDC"/>
    <w:rsid w:val="009F7F04"/>
    <w:rsid w:val="00A072D7"/>
    <w:rsid w:val="00A2648C"/>
    <w:rsid w:val="00A63E5F"/>
    <w:rsid w:val="00A775CF"/>
    <w:rsid w:val="00A80192"/>
    <w:rsid w:val="00A8628B"/>
    <w:rsid w:val="00A9223F"/>
    <w:rsid w:val="00A9519C"/>
    <w:rsid w:val="00A97766"/>
    <w:rsid w:val="00AA463E"/>
    <w:rsid w:val="00AD1A9C"/>
    <w:rsid w:val="00AE3ED3"/>
    <w:rsid w:val="00AF0E04"/>
    <w:rsid w:val="00AF5DE1"/>
    <w:rsid w:val="00B06045"/>
    <w:rsid w:val="00B12E4A"/>
    <w:rsid w:val="00B206DD"/>
    <w:rsid w:val="00B52EF4"/>
    <w:rsid w:val="00B777AD"/>
    <w:rsid w:val="00B77FC6"/>
    <w:rsid w:val="00BA4A04"/>
    <w:rsid w:val="00BD5CF4"/>
    <w:rsid w:val="00BD7BC1"/>
    <w:rsid w:val="00BE09F4"/>
    <w:rsid w:val="00C03015"/>
    <w:rsid w:val="00C0358D"/>
    <w:rsid w:val="00C17CD4"/>
    <w:rsid w:val="00C35A27"/>
    <w:rsid w:val="00C43140"/>
    <w:rsid w:val="00C47B2E"/>
    <w:rsid w:val="00C62246"/>
    <w:rsid w:val="00C77D71"/>
    <w:rsid w:val="00C93436"/>
    <w:rsid w:val="00CC34A8"/>
    <w:rsid w:val="00CD17C6"/>
    <w:rsid w:val="00CD5324"/>
    <w:rsid w:val="00D136CF"/>
    <w:rsid w:val="00D567B5"/>
    <w:rsid w:val="00D6350C"/>
    <w:rsid w:val="00D63CD2"/>
    <w:rsid w:val="00D87116"/>
    <w:rsid w:val="00D87DC2"/>
    <w:rsid w:val="00D94B05"/>
    <w:rsid w:val="00D967E1"/>
    <w:rsid w:val="00DA6A9E"/>
    <w:rsid w:val="00DD52F2"/>
    <w:rsid w:val="00E02C2B"/>
    <w:rsid w:val="00E136A3"/>
    <w:rsid w:val="00E21C27"/>
    <w:rsid w:val="00E22BAC"/>
    <w:rsid w:val="00E26BCF"/>
    <w:rsid w:val="00E31BA3"/>
    <w:rsid w:val="00E44DB8"/>
    <w:rsid w:val="00E52109"/>
    <w:rsid w:val="00E75317"/>
    <w:rsid w:val="00EB01DE"/>
    <w:rsid w:val="00EB4F1D"/>
    <w:rsid w:val="00EC0CE6"/>
    <w:rsid w:val="00EC7C1D"/>
    <w:rsid w:val="00ED6C48"/>
    <w:rsid w:val="00EE3045"/>
    <w:rsid w:val="00EF753A"/>
    <w:rsid w:val="00F02560"/>
    <w:rsid w:val="00F4260A"/>
    <w:rsid w:val="00F44664"/>
    <w:rsid w:val="00F62D7F"/>
    <w:rsid w:val="00F65AB4"/>
    <w:rsid w:val="00F65F5D"/>
    <w:rsid w:val="00F86A3A"/>
    <w:rsid w:val="00FC74BA"/>
    <w:rsid w:val="00FF547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0D5C3"/>
  <w15:docId w15:val="{274D7EDD-82BF-4EB0-8622-7D2ECD6F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A88"/>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msonormal">
    <w:name w:val="x_msonormal"/>
    <w:basedOn w:val="Normal"/>
    <w:rsid w:val="006132D7"/>
    <w:pPr>
      <w:suppressAutoHyphens w:val="0"/>
      <w:kinsoku/>
      <w:overflowPunct/>
      <w:autoSpaceDE/>
      <w:autoSpaceDN/>
      <w:adjustRightInd/>
      <w:snapToGrid/>
      <w:spacing w:line="240" w:lineRule="auto"/>
    </w:pPr>
    <w:rPr>
      <w:rFonts w:ascii="Calibri" w:eastAsiaTheme="minorEastAsia" w:hAnsi="Calibri" w:cs="Calibri"/>
      <w:sz w:val="22"/>
      <w:szCs w:val="22"/>
    </w:rPr>
  </w:style>
  <w:style w:type="paragraph" w:customStyle="1" w:styleId="xmsolistparagraph">
    <w:name w:val="x_msolistparagraph"/>
    <w:basedOn w:val="Normal"/>
    <w:rsid w:val="006132D7"/>
    <w:pPr>
      <w:suppressAutoHyphens w:val="0"/>
      <w:kinsoku/>
      <w:overflowPunct/>
      <w:autoSpaceDE/>
      <w:autoSpaceDN/>
      <w:adjustRightInd/>
      <w:snapToGrid/>
      <w:spacing w:before="100" w:beforeAutospacing="1" w:after="100" w:afterAutospacing="1" w:line="240" w:lineRule="auto"/>
    </w:pPr>
    <w:rPr>
      <w:rFonts w:ascii="Calibri" w:eastAsiaTheme="minorEastAsia" w:hAnsi="Calibri" w:cs="Calibri"/>
      <w:sz w:val="22"/>
      <w:szCs w:val="22"/>
    </w:rPr>
  </w:style>
  <w:style w:type="character" w:styleId="CommentReference">
    <w:name w:val="annotation reference"/>
    <w:basedOn w:val="DefaultParagraphFont"/>
    <w:uiPriority w:val="99"/>
    <w:semiHidden/>
    <w:unhideWhenUsed/>
    <w:rsid w:val="00EB01DE"/>
    <w:rPr>
      <w:sz w:val="16"/>
      <w:szCs w:val="16"/>
    </w:rPr>
  </w:style>
  <w:style w:type="paragraph" w:styleId="CommentText">
    <w:name w:val="annotation text"/>
    <w:basedOn w:val="Normal"/>
    <w:link w:val="CommentTextChar"/>
    <w:uiPriority w:val="99"/>
    <w:semiHidden/>
    <w:unhideWhenUsed/>
    <w:rsid w:val="00EB01DE"/>
    <w:pPr>
      <w:spacing w:line="240" w:lineRule="auto"/>
    </w:pPr>
  </w:style>
  <w:style w:type="character" w:customStyle="1" w:styleId="CommentTextChar">
    <w:name w:val="Comment Text Char"/>
    <w:basedOn w:val="DefaultParagraphFont"/>
    <w:link w:val="CommentText"/>
    <w:uiPriority w:val="99"/>
    <w:semiHidden/>
    <w:rsid w:val="00EB01DE"/>
  </w:style>
  <w:style w:type="paragraph" w:styleId="CommentSubject">
    <w:name w:val="annotation subject"/>
    <w:basedOn w:val="CommentText"/>
    <w:next w:val="CommentText"/>
    <w:link w:val="CommentSubjectChar"/>
    <w:uiPriority w:val="99"/>
    <w:semiHidden/>
    <w:unhideWhenUsed/>
    <w:rsid w:val="00EB01DE"/>
    <w:rPr>
      <w:b/>
      <w:bCs/>
    </w:rPr>
  </w:style>
  <w:style w:type="character" w:customStyle="1" w:styleId="CommentSubjectChar">
    <w:name w:val="Comment Subject Char"/>
    <w:basedOn w:val="CommentTextChar"/>
    <w:link w:val="CommentSubject"/>
    <w:uiPriority w:val="99"/>
    <w:semiHidden/>
    <w:rsid w:val="00EB01DE"/>
    <w:rPr>
      <w:b/>
      <w:bCs/>
    </w:rPr>
  </w:style>
  <w:style w:type="paragraph" w:styleId="Revision">
    <w:name w:val="Revision"/>
    <w:hidden/>
    <w:uiPriority w:val="99"/>
    <w:semiHidden/>
    <w:rsid w:val="00EB01DE"/>
    <w:pPr>
      <w:spacing w:after="0" w:line="240" w:lineRule="auto"/>
    </w:pPr>
  </w:style>
  <w:style w:type="character" w:styleId="UnresolvedMention">
    <w:name w:val="Unresolved Mention"/>
    <w:basedOn w:val="DefaultParagraphFont"/>
    <w:uiPriority w:val="99"/>
    <w:semiHidden/>
    <w:unhideWhenUsed/>
    <w:rsid w:val="00A86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784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igitallibrary.un.org/record/134841/files/United_Nations_Editorial_Manual.pdf" TargetMode="External"/><Relationship Id="rId2" Type="http://schemas.openxmlformats.org/officeDocument/2006/relationships/hyperlink" Target="https://digitallibrary.un.org" TargetMode="External"/><Relationship Id="rId1" Type="http://schemas.openxmlformats.org/officeDocument/2006/relationships/hyperlink" Target="https://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Romain Hubert</DisplayName>
        <AccountId>40</AccountId>
        <AccountType/>
      </UserInfo>
      <UserInfo>
        <DisplayName>Sabrina Mansion</DisplayName>
        <AccountId>71</AccountId>
        <AccountType/>
      </UserInfo>
      <UserInfo>
        <DisplayName>Alibech Mireles Diaz</DisplayName>
        <AccountId>46</AccountId>
        <AccountType/>
      </UserInfo>
      <UserInfo>
        <DisplayName>Armando Serrano Lombillo</DisplayName>
        <AccountId>69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CA7AB-63BE-4AFA-A338-7A27A8CFC377}">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A9BA1953-B9C8-4B0E-8D95-E108BC564C91}">
  <ds:schemaRefs>
    <ds:schemaRef ds:uri="http://schemas.microsoft.com/sharepoint/v3/contenttype/forms"/>
  </ds:schemaRefs>
</ds:datastoreItem>
</file>

<file path=customXml/itemProps4.xml><?xml version="1.0" encoding="utf-8"?>
<ds:datastoreItem xmlns:ds="http://schemas.openxmlformats.org/officeDocument/2006/customXml" ds:itemID="{011613F0-47B5-40B0-B21D-B9F204CF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300</TotalTime>
  <Pages>3</Pages>
  <Words>1113</Words>
  <Characters>6117</Characters>
  <Application>Microsoft Office Word</Application>
  <DocSecurity>0</DocSecurity>
  <Lines>131</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7187</CharactersWithSpaces>
  <SharedDoc>false</SharedDoc>
  <HLinks>
    <vt:vector size="12" baseType="variant">
      <vt:variant>
        <vt:i4>327742</vt:i4>
      </vt:variant>
      <vt:variant>
        <vt:i4>3</vt:i4>
      </vt:variant>
      <vt:variant>
        <vt:i4>0</vt:i4>
      </vt:variant>
      <vt:variant>
        <vt:i4>5</vt:i4>
      </vt:variant>
      <vt:variant>
        <vt:lpwstr>https://digitallibrary.un.org/record/134841/files/United_Nations_Editorial_Manual.pdf</vt:lpwstr>
      </vt:variant>
      <vt:variant>
        <vt:lpwstr/>
      </vt:variant>
      <vt:variant>
        <vt:i4>5373982</vt:i4>
      </vt:variant>
      <vt:variant>
        <vt:i4>0</vt:i4>
      </vt:variant>
      <vt:variant>
        <vt:i4>0</vt:i4>
      </vt:variant>
      <vt:variant>
        <vt:i4>5</vt:i4>
      </vt:variant>
      <vt:variant>
        <vt:lpwstr>https://documents.un.org/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ST/SG/AC.10/C.3/2022/5</dc:title>
  <dc:subject/>
  <dc:creator>ECE/TRANS/300/Corr.1</dc:creator>
  <cp:keywords/>
  <cp:lastModifiedBy>Laurence Berthet</cp:lastModifiedBy>
  <cp:revision>111</cp:revision>
  <cp:lastPrinted>2022-04-05T09:54:00Z</cp:lastPrinted>
  <dcterms:created xsi:type="dcterms:W3CDTF">2022-04-01T16:21:00Z</dcterms:created>
  <dcterms:modified xsi:type="dcterms:W3CDTF">2022-04-05T09:58:00Z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