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922749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3A67B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6871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93EFE" w14:textId="22E07B49" w:rsidR="00E52109" w:rsidRDefault="00336715" w:rsidP="00336715">
            <w:pPr>
              <w:suppressAutoHyphens w:val="0"/>
              <w:jc w:val="right"/>
            </w:pPr>
            <w:r w:rsidRPr="00336715">
              <w:rPr>
                <w:sz w:val="40"/>
              </w:rPr>
              <w:t>ST</w:t>
            </w:r>
            <w:r>
              <w:t>/SG/AC.10/C.3/2022/42</w:t>
            </w:r>
          </w:p>
        </w:tc>
      </w:tr>
      <w:tr w:rsidR="00E52109" w14:paraId="185FFB8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E0527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359459" wp14:editId="1588DA2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C7CE1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AC349C" w14:textId="77777777" w:rsidR="00D94B05" w:rsidRDefault="00336715" w:rsidP="00336715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F0AD4B1" w14:textId="2DC4A0EA" w:rsidR="00336715" w:rsidRDefault="00D406A9" w:rsidP="00336715">
            <w:pPr>
              <w:suppressAutoHyphens w:val="0"/>
              <w:spacing w:line="240" w:lineRule="exact"/>
            </w:pPr>
            <w:r>
              <w:t>12</w:t>
            </w:r>
            <w:r w:rsidR="00336715">
              <w:t xml:space="preserve"> April 2022</w:t>
            </w:r>
          </w:p>
          <w:p w14:paraId="1C3418C7" w14:textId="77777777" w:rsidR="00336715" w:rsidRDefault="00336715" w:rsidP="00336715">
            <w:pPr>
              <w:suppressAutoHyphens w:val="0"/>
              <w:spacing w:line="240" w:lineRule="exact"/>
            </w:pPr>
          </w:p>
          <w:p w14:paraId="0539E056" w14:textId="15A73FF2" w:rsidR="00336715" w:rsidRDefault="00336715" w:rsidP="00336715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1A375C4" w14:textId="77777777" w:rsidR="004D61DE" w:rsidRPr="006500BA" w:rsidRDefault="004D61D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6E9C031" w14:textId="77777777" w:rsidR="004D61DE" w:rsidRPr="006500BA" w:rsidRDefault="004D61D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AECB7AF" w14:textId="77777777" w:rsidR="00934330" w:rsidRDefault="00934330" w:rsidP="00934330">
      <w:pPr>
        <w:spacing w:before="120"/>
        <w:rPr>
          <w:b/>
        </w:rPr>
      </w:pPr>
      <w:r>
        <w:rPr>
          <w:b/>
        </w:rPr>
        <w:t>Sixtieth session</w:t>
      </w:r>
    </w:p>
    <w:p w14:paraId="564F7948" w14:textId="77777777" w:rsidR="00934330" w:rsidRDefault="00934330" w:rsidP="00934330">
      <w:pPr>
        <w:rPr>
          <w:lang w:val="en-US"/>
        </w:rPr>
      </w:pPr>
      <w:r>
        <w:t>Geneva, 27 June - 06 July 2022</w:t>
      </w:r>
      <w:r>
        <w:br/>
      </w:r>
      <w:r>
        <w:rPr>
          <w:lang w:val="en-US"/>
        </w:rPr>
        <w:t>Item 4 (c) of the provisional agenda</w:t>
      </w:r>
    </w:p>
    <w:p w14:paraId="7B992670" w14:textId="41ECAEA6" w:rsidR="004D61DE" w:rsidRPr="006500BA" w:rsidRDefault="00934330" w:rsidP="00934330">
      <w:r>
        <w:rPr>
          <w:b/>
          <w:bCs/>
        </w:rPr>
        <w:t>Electric storage systems: transport provisions</w:t>
      </w:r>
    </w:p>
    <w:p w14:paraId="6D63854C" w14:textId="476B9C3D" w:rsidR="00C149FB" w:rsidRDefault="00C149FB" w:rsidP="00C149FB">
      <w:pPr>
        <w:pStyle w:val="HChG"/>
      </w:pPr>
      <w:r>
        <w:tab/>
      </w:r>
      <w:r>
        <w:tab/>
      </w:r>
      <w:r>
        <w:rPr>
          <w:rFonts w:hint="eastAsia"/>
          <w:lang w:val="en-US"/>
        </w:rPr>
        <w:t xml:space="preserve">Amendment to </w:t>
      </w:r>
      <w:r w:rsidR="00875A89">
        <w:rPr>
          <w:lang w:val="en-US"/>
        </w:rPr>
        <w:t>p</w:t>
      </w:r>
      <w:r>
        <w:rPr>
          <w:lang w:val="en-US"/>
        </w:rPr>
        <w:t xml:space="preserve">acking </w:t>
      </w:r>
      <w:r w:rsidR="00875A89">
        <w:rPr>
          <w:lang w:val="en-US"/>
        </w:rPr>
        <w:t>i</w:t>
      </w:r>
      <w:r>
        <w:rPr>
          <w:lang w:val="en-US"/>
        </w:rPr>
        <w:t>nstruction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P903</w:t>
      </w:r>
      <w:r w:rsidR="00875A89">
        <w:rPr>
          <w:lang w:val="en-US"/>
        </w:rPr>
        <w:t xml:space="preserve"> </w:t>
      </w:r>
      <w:r w:rsidR="003C0667">
        <w:rPr>
          <w:lang w:val="en-US"/>
        </w:rPr>
        <w:t>–</w:t>
      </w:r>
      <w:r w:rsidR="00875A89" w:rsidRPr="00875A89">
        <w:rPr>
          <w:rFonts w:hint="eastAsia"/>
          <w:lang w:val="en-US"/>
        </w:rPr>
        <w:t xml:space="preserve"> </w:t>
      </w:r>
      <w:r w:rsidR="00875A89">
        <w:rPr>
          <w:lang w:val="en-US"/>
        </w:rPr>
        <w:t>sub</w:t>
      </w:r>
      <w:r w:rsidR="00875A89">
        <w:rPr>
          <w:rFonts w:hint="eastAsia"/>
          <w:lang w:val="en-US"/>
        </w:rPr>
        <w:t>paragraph (2)</w:t>
      </w:r>
    </w:p>
    <w:p w14:paraId="1DFD94F8" w14:textId="6A572C99" w:rsidR="00C149FB" w:rsidRDefault="00C149FB" w:rsidP="00C149FB">
      <w:pPr>
        <w:pStyle w:val="H1G"/>
        <w:rPr>
          <w:lang w:val="en-US"/>
        </w:rPr>
      </w:pPr>
      <w:r>
        <w:tab/>
      </w:r>
      <w:r>
        <w:tab/>
      </w:r>
      <w:r>
        <w:rPr>
          <w:lang w:val="en-US"/>
        </w:rPr>
        <w:t>Transmitted by the expert from</w:t>
      </w:r>
      <w:r>
        <w:rPr>
          <w:rFonts w:hint="eastAsia"/>
          <w:lang w:val="en-US"/>
        </w:rPr>
        <w:t xml:space="preserve"> China</w:t>
      </w:r>
      <w:r>
        <w:rPr>
          <w:rStyle w:val="FootnoteReference"/>
          <w:lang w:val="en-US"/>
        </w:rPr>
        <w:footnoteReference w:id="2"/>
      </w:r>
    </w:p>
    <w:p w14:paraId="2448B85A" w14:textId="77777777" w:rsidR="00C149FB" w:rsidRDefault="00C149FB" w:rsidP="00C149FB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Introduction</w:t>
      </w:r>
    </w:p>
    <w:p w14:paraId="14D50866" w14:textId="6897898D" w:rsidR="00C149FB" w:rsidRDefault="00C149FB" w:rsidP="00C149FB">
      <w:pPr>
        <w:pStyle w:val="SingleTxtG"/>
      </w:pPr>
      <w:r>
        <w:t>1.</w:t>
      </w:r>
      <w:r>
        <w:tab/>
      </w:r>
      <w:r>
        <w:rPr>
          <w:lang w:val="en-US"/>
        </w:rPr>
        <w:t>In 2019, Portable Rechargeable Battery Association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(PRBA) submitted </w:t>
      </w:r>
      <w:r w:rsidR="00D77B0F">
        <w:rPr>
          <w:lang w:val="en-US"/>
        </w:rPr>
        <w:t xml:space="preserve">document </w:t>
      </w:r>
      <w:r>
        <w:rPr>
          <w:lang w:val="en-US"/>
        </w:rPr>
        <w:t xml:space="preserve">ST/SG/AC.10/C.3/2019/60 to the </w:t>
      </w:r>
      <w:r w:rsidR="008A0C7A">
        <w:rPr>
          <w:lang w:val="en-US"/>
        </w:rPr>
        <w:t>fifty-sixth</w:t>
      </w:r>
      <w:r w:rsidR="000F0F64">
        <w:rPr>
          <w:lang w:val="en-US"/>
        </w:rPr>
        <w:t xml:space="preserve"> </w:t>
      </w:r>
      <w:r>
        <w:rPr>
          <w:lang w:val="en-US"/>
        </w:rPr>
        <w:t xml:space="preserve">session of the Sub-Committee to </w:t>
      </w:r>
      <w:r>
        <w:rPr>
          <w:rFonts w:hint="eastAsia"/>
          <w:lang w:val="en-US"/>
        </w:rPr>
        <w:t xml:space="preserve">clarify </w:t>
      </w:r>
      <w:r w:rsidR="003C0667">
        <w:rPr>
          <w:lang w:val="en-US"/>
        </w:rPr>
        <w:t xml:space="preserve">in packing instruction </w:t>
      </w:r>
      <w:r w:rsidR="003C0667">
        <w:rPr>
          <w:rFonts w:hint="eastAsia"/>
          <w:lang w:val="en-US"/>
        </w:rPr>
        <w:t>P903</w:t>
      </w:r>
      <w:r w:rsidR="003C0667">
        <w:rPr>
          <w:lang w:val="en-US"/>
        </w:rPr>
        <w:t xml:space="preserve"> (2) </w:t>
      </w:r>
      <w:r>
        <w:rPr>
          <w:lang w:val="en-US"/>
        </w:rPr>
        <w:t xml:space="preserve">that </w:t>
      </w:r>
      <w:r>
        <w:rPr>
          <w:rFonts w:hint="eastAsia"/>
          <w:lang w:val="en-US"/>
        </w:rPr>
        <w:t>the 12 kg</w:t>
      </w:r>
      <w:r>
        <w:rPr>
          <w:lang w:val="en-US"/>
        </w:rPr>
        <w:t xml:space="preserve"> means the gross mass of a cell or a battery. The proposal was adopted and included in </w:t>
      </w:r>
      <w:r w:rsidR="000F0F64">
        <w:rPr>
          <w:lang w:val="en-US"/>
        </w:rPr>
        <w:t>twenty-second</w:t>
      </w:r>
      <w:r>
        <w:rPr>
          <w:lang w:val="en-US"/>
        </w:rPr>
        <w:t xml:space="preserve"> revised edition of Model Regulations.</w:t>
      </w:r>
    </w:p>
    <w:p w14:paraId="4BAFF145" w14:textId="4B2A0D60" w:rsidR="00C149FB" w:rsidRDefault="00C149FB" w:rsidP="00C149FB">
      <w:pPr>
        <w:pStyle w:val="SingleTxtG"/>
        <w:rPr>
          <w:lang w:val="en-US"/>
        </w:rPr>
      </w:pPr>
      <w:r>
        <w:t>2.</w:t>
      </w:r>
      <w:r>
        <w:tab/>
        <w:t xml:space="preserve">At </w:t>
      </w:r>
      <w:r w:rsidR="001D42D7">
        <w:t xml:space="preserve">the </w:t>
      </w:r>
      <w:r>
        <w:t>present, most batteries</w:t>
      </w:r>
      <w:r w:rsidRPr="00727F3E">
        <w:t xml:space="preserve"> employing a strong, impact resistance outer casing</w:t>
      </w:r>
      <w:r w:rsidRPr="00727F3E">
        <w:rPr>
          <w:rFonts w:hint="eastAsia"/>
        </w:rPr>
        <w:t xml:space="preserve"> </w:t>
      </w:r>
      <w:r>
        <w:t>are heavier than 12</w:t>
      </w:r>
      <w:r w:rsidR="001D42D7">
        <w:t xml:space="preserve"> </w:t>
      </w:r>
      <w:r>
        <w:t>kg, and can be packed in accordance with P903</w:t>
      </w:r>
      <w:r w:rsidR="001D42D7">
        <w:t xml:space="preserve"> </w:t>
      </w:r>
      <w:r>
        <w:t xml:space="preserve">(2). </w:t>
      </w:r>
      <w:r>
        <w:rPr>
          <w:rFonts w:hint="eastAsia"/>
          <w:lang w:val="en-US"/>
        </w:rPr>
        <w:t>However, the gross mass of cell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employing a strong, impact resistance outer casing </w:t>
      </w:r>
      <w:r>
        <w:rPr>
          <w:lang w:val="en-US"/>
        </w:rPr>
        <w:t xml:space="preserve">on market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mostly</w:t>
      </w:r>
      <w:r>
        <w:rPr>
          <w:rFonts w:hint="eastAsia"/>
          <w:lang w:val="en-US"/>
        </w:rPr>
        <w:t xml:space="preserve"> between 500</w:t>
      </w:r>
      <w:r w:rsidR="008A0C7A">
        <w:rPr>
          <w:lang w:val="en-US"/>
        </w:rPr>
        <w:t> </w:t>
      </w:r>
      <w:r>
        <w:rPr>
          <w:rFonts w:hint="eastAsia"/>
          <w:lang w:val="en-US"/>
        </w:rPr>
        <w:t xml:space="preserve">g and 3000 g, with very few </w:t>
      </w:r>
      <w:r>
        <w:rPr>
          <w:lang w:val="en-US"/>
        </w:rPr>
        <w:t>cases</w:t>
      </w:r>
      <w:r>
        <w:rPr>
          <w:rFonts w:hint="eastAsia"/>
          <w:lang w:val="en-US"/>
        </w:rPr>
        <w:t xml:space="preserve"> exceed</w:t>
      </w:r>
      <w:r>
        <w:rPr>
          <w:lang w:val="en-US"/>
        </w:rPr>
        <w:t>ing</w:t>
      </w:r>
      <w:r>
        <w:rPr>
          <w:rFonts w:hint="eastAsia"/>
          <w:lang w:val="en-US"/>
        </w:rPr>
        <w:t xml:space="preserve"> 12 kg according to the relevant research. So</w:t>
      </w:r>
      <w:r>
        <w:rPr>
          <w:lang w:val="en-US"/>
        </w:rPr>
        <w:t>,</w:t>
      </w:r>
      <w:r>
        <w:rPr>
          <w:rFonts w:hint="eastAsia"/>
          <w:lang w:val="en-US"/>
        </w:rPr>
        <w:t xml:space="preserve"> the gross mass of 12 kg in P903</w:t>
      </w:r>
      <w:r w:rsidR="00EC13C6">
        <w:rPr>
          <w:lang w:val="en-US"/>
        </w:rPr>
        <w:t xml:space="preserve"> </w:t>
      </w:r>
      <w:r>
        <w:rPr>
          <w:rFonts w:hint="eastAsia"/>
          <w:lang w:val="en-US"/>
        </w:rPr>
        <w:t>(2) is meaningless for a cell.</w:t>
      </w:r>
    </w:p>
    <w:p w14:paraId="37C7B118" w14:textId="715E93F6" w:rsidR="00C149FB" w:rsidRDefault="00C149FB" w:rsidP="00C149FB">
      <w:pPr>
        <w:pStyle w:val="SingleTxtG"/>
      </w:pPr>
      <w:r>
        <w:rPr>
          <w:lang w:val="en-US"/>
        </w:rPr>
        <w:t>3.</w:t>
      </w:r>
      <w:r w:rsidR="008A0C7A">
        <w:rPr>
          <w:lang w:val="en-US"/>
        </w:rPr>
        <w:tab/>
      </w:r>
      <w:r>
        <w:rPr>
          <w:rFonts w:hint="eastAsia"/>
          <w:lang w:val="en-US"/>
        </w:rPr>
        <w:t>In recent years,</w:t>
      </w:r>
      <w:r w:rsidRPr="00D343B7">
        <w:rPr>
          <w:rFonts w:hint="eastAsia"/>
          <w:lang w:val="en-US"/>
        </w:rPr>
        <w:t xml:space="preserve"> </w:t>
      </w:r>
      <w:r>
        <w:rPr>
          <w:lang w:val="en-US"/>
        </w:rPr>
        <w:t xml:space="preserve">with </w:t>
      </w:r>
      <w:r>
        <w:rPr>
          <w:rFonts w:hint="eastAsia"/>
          <w:lang w:val="en-US"/>
        </w:rPr>
        <w:t>the rapid development of electric vehicles and lithium battery energy storage industry</w:t>
      </w:r>
      <w:r w:rsidR="00585182">
        <w:rPr>
          <w:lang w:val="en-US"/>
        </w:rPr>
        <w:t>,</w:t>
      </w:r>
      <w:r>
        <w:rPr>
          <w:rFonts w:hint="eastAsia"/>
          <w:lang w:val="en-US"/>
        </w:rPr>
        <w:t xml:space="preserve"> the lithium</w:t>
      </w:r>
      <w:r>
        <w:rPr>
          <w:lang w:val="en-US"/>
        </w:rPr>
        <w:t>-</w:t>
      </w:r>
      <w:r>
        <w:rPr>
          <w:rFonts w:hint="eastAsia"/>
          <w:lang w:val="en-US"/>
        </w:rPr>
        <w:t xml:space="preserve">ion cells </w:t>
      </w:r>
      <w:r>
        <w:rPr>
          <w:lang w:val="en-US"/>
        </w:rPr>
        <w:t xml:space="preserve">employing a strong, impact resistance outer casing </w:t>
      </w:r>
      <w:r>
        <w:rPr>
          <w:rFonts w:hint="eastAsia"/>
          <w:lang w:val="en-US"/>
        </w:rPr>
        <w:t>becom</w:t>
      </w:r>
      <w:r>
        <w:rPr>
          <w:lang w:val="en-US"/>
        </w:rPr>
        <w:t>e</w:t>
      </w:r>
      <w:r>
        <w:rPr>
          <w:rFonts w:hint="eastAsia"/>
          <w:lang w:val="en-US"/>
        </w:rPr>
        <w:t xml:space="preserve"> more and more popular</w:t>
      </w:r>
      <w:r w:rsidR="008F5773">
        <w:rPr>
          <w:lang w:val="en-US"/>
        </w:rPr>
        <w:t xml:space="preserve"> as they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provide a strong support for the modular and mass production of lithium-ion batteries.</w:t>
      </w:r>
      <w:r>
        <w:rPr>
          <w:rFonts w:hint="eastAsia"/>
          <w:lang w:val="en-US"/>
        </w:rPr>
        <w:t xml:space="preserve"> Statistics show that </w:t>
      </w:r>
      <w:bookmarkStart w:id="0" w:name="_Hlk99460533"/>
      <w:r>
        <w:rPr>
          <w:rFonts w:hint="eastAsia"/>
          <w:lang w:val="en-US"/>
        </w:rPr>
        <w:t>cell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employing a strong, impact resistance outer casing</w:t>
      </w:r>
      <w:bookmarkEnd w:id="0"/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now </w:t>
      </w:r>
      <w:r>
        <w:rPr>
          <w:rFonts w:hint="eastAsia"/>
          <w:lang w:val="en-US"/>
        </w:rPr>
        <w:t xml:space="preserve">account for more than </w:t>
      </w:r>
      <w:r w:rsidR="00C332B0">
        <w:rPr>
          <w:lang w:val="en-US"/>
        </w:rPr>
        <w:t xml:space="preserve">eighty percent </w:t>
      </w:r>
      <w:r>
        <w:rPr>
          <w:rFonts w:hint="eastAsia"/>
          <w:lang w:val="en-US"/>
        </w:rPr>
        <w:t>share of the total market.</w:t>
      </w:r>
      <w:r>
        <w:rPr>
          <w:lang w:val="en-US"/>
        </w:rPr>
        <w:t xml:space="preserve"> It is crucial to make </w:t>
      </w:r>
      <w:r w:rsidR="00C332B0">
        <w:rPr>
          <w:lang w:val="en-US"/>
        </w:rPr>
        <w:t xml:space="preserve">packing instruction </w:t>
      </w:r>
      <w:r>
        <w:rPr>
          <w:lang w:val="en-US"/>
        </w:rPr>
        <w:t>P903</w:t>
      </w:r>
      <w:r w:rsidR="00C332B0">
        <w:rPr>
          <w:lang w:val="en-US"/>
        </w:rPr>
        <w:t xml:space="preserve"> </w:t>
      </w:r>
      <w:r>
        <w:rPr>
          <w:rFonts w:hint="eastAsia"/>
          <w:lang w:val="en-US"/>
        </w:rPr>
        <w:t>(</w:t>
      </w:r>
      <w:r>
        <w:rPr>
          <w:lang w:val="en-US"/>
        </w:rPr>
        <w:t>2) also appl</w:t>
      </w:r>
      <w:r w:rsidR="00C332B0">
        <w:rPr>
          <w:lang w:val="en-US"/>
        </w:rPr>
        <w:t>icable</w:t>
      </w:r>
      <w:r>
        <w:rPr>
          <w:lang w:val="en-US"/>
        </w:rPr>
        <w:t xml:space="preserve"> to these cells.</w:t>
      </w:r>
    </w:p>
    <w:p w14:paraId="02E1B512" w14:textId="105D51E0" w:rsidR="00C149FB" w:rsidRDefault="00C149FB" w:rsidP="00C149FB">
      <w:pPr>
        <w:pStyle w:val="SingleTxtG"/>
        <w:rPr>
          <w:lang w:val="en-US"/>
        </w:rPr>
      </w:pPr>
      <w:r>
        <w:t>4.</w:t>
      </w:r>
      <w:r>
        <w:tab/>
      </w:r>
      <w:r>
        <w:rPr>
          <w:rFonts w:hint="eastAsia"/>
          <w:lang w:val="en-US"/>
        </w:rPr>
        <w:t xml:space="preserve">In addition, </w:t>
      </w:r>
      <w:r>
        <w:rPr>
          <w:lang w:val="en-US"/>
        </w:rPr>
        <w:t>a</w:t>
      </w:r>
      <w:r>
        <w:rPr>
          <w:rFonts w:hint="eastAsia"/>
          <w:lang w:val="en-US"/>
        </w:rPr>
        <w:t xml:space="preserve"> cell employing a strong, impact resistance outer casing </w:t>
      </w:r>
      <w:r>
        <w:rPr>
          <w:lang w:val="en-US"/>
        </w:rPr>
        <w:t xml:space="preserve">need not be packed with </w:t>
      </w:r>
      <w:proofErr w:type="spellStart"/>
      <w:r>
        <w:rPr>
          <w:lang w:val="en-US"/>
        </w:rPr>
        <w:t>packag</w:t>
      </w:r>
      <w:r w:rsidR="00857D97">
        <w:rPr>
          <w:lang w:val="en-US"/>
        </w:rPr>
        <w:t>ing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r>
        <w:t xml:space="preserve">conforming to the packing group II performance level </w:t>
      </w:r>
      <w:r>
        <w:rPr>
          <w:lang w:val="en-US"/>
        </w:rPr>
        <w:t xml:space="preserve">because </w:t>
      </w:r>
      <w:r>
        <w:rPr>
          <w:rFonts w:hint="eastAsia"/>
          <w:lang w:val="en-US"/>
        </w:rPr>
        <w:t>its outer casing can effectively protect</w:t>
      </w:r>
      <w:r>
        <w:rPr>
          <w:lang w:val="en-US"/>
        </w:rPr>
        <w:t xml:space="preserve"> it</w:t>
      </w:r>
      <w:r>
        <w:rPr>
          <w:rFonts w:hint="eastAsia"/>
          <w:lang w:val="en-US"/>
        </w:rPr>
        <w:t xml:space="preserve"> from impact or extrusion of the external environment during </w:t>
      </w:r>
      <w:r w:rsidR="00D110BB">
        <w:rPr>
          <w:lang w:val="en-US"/>
        </w:rPr>
        <w:t xml:space="preserve">the </w:t>
      </w:r>
      <w:r>
        <w:rPr>
          <w:rFonts w:hint="eastAsia"/>
          <w:lang w:val="en-US"/>
        </w:rPr>
        <w:t xml:space="preserve">transport. </w:t>
      </w:r>
      <w:r>
        <w:rPr>
          <w:lang w:val="en-US"/>
        </w:rPr>
        <w:t xml:space="preserve">Gross mass of the cell is not </w:t>
      </w:r>
      <w:r w:rsidRPr="001005F3">
        <w:rPr>
          <w:lang w:val="en-US"/>
        </w:rPr>
        <w:t>the decisive factor whether it needs</w:t>
      </w:r>
      <w:r w:rsidRPr="001005F3">
        <w:t xml:space="preserve"> </w:t>
      </w:r>
      <w:r>
        <w:t xml:space="preserve">packing group II </w:t>
      </w:r>
      <w:proofErr w:type="spellStart"/>
      <w:r>
        <w:t>packag</w:t>
      </w:r>
      <w:r w:rsidR="000F0920">
        <w:t>ing</w:t>
      </w:r>
      <w:r>
        <w:t>s</w:t>
      </w:r>
      <w:proofErr w:type="spellEnd"/>
      <w:r w:rsidRPr="001005F3">
        <w:rPr>
          <w:lang w:val="en-US"/>
        </w:rPr>
        <w:t>.</w:t>
      </w:r>
      <w:r>
        <w:rPr>
          <w:lang w:val="en-US"/>
        </w:rPr>
        <w:t xml:space="preserve"> Thus, a more reasonable mass limit for cells in P903</w:t>
      </w:r>
      <w:r>
        <w:rPr>
          <w:rFonts w:hint="eastAsia"/>
          <w:lang w:val="en-US"/>
        </w:rPr>
        <w:t>(</w:t>
      </w:r>
      <w:r>
        <w:rPr>
          <w:lang w:val="en-US"/>
        </w:rPr>
        <w:t>2) can be chosen.</w:t>
      </w:r>
    </w:p>
    <w:p w14:paraId="27EC34BA" w14:textId="5330AC08" w:rsidR="00C149FB" w:rsidRDefault="00C149FB" w:rsidP="00C149FB">
      <w:pPr>
        <w:pStyle w:val="SingleTxtG"/>
      </w:pPr>
      <w:r>
        <w:t>5.</w:t>
      </w:r>
      <w:r>
        <w:tab/>
      </w:r>
      <w:r>
        <w:rPr>
          <w:lang w:val="en-US"/>
        </w:rPr>
        <w:t>I</w:t>
      </w:r>
      <w:r>
        <w:rPr>
          <w:rFonts w:hint="eastAsia"/>
          <w:lang w:val="en-US"/>
        </w:rPr>
        <w:t xml:space="preserve">n </w:t>
      </w:r>
      <w:r w:rsidR="00760C1C">
        <w:rPr>
          <w:lang w:val="en-US"/>
        </w:rPr>
        <w:t>the past</w:t>
      </w:r>
      <w:r>
        <w:rPr>
          <w:lang w:val="en-US"/>
        </w:rPr>
        <w:t>,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t</w:t>
      </w:r>
      <w:r>
        <w:rPr>
          <w:rFonts w:hint="eastAsia"/>
          <w:lang w:val="en-US"/>
        </w:rPr>
        <w:t xml:space="preserve">he definitions of "large cell" and "large battery" in the </w:t>
      </w:r>
      <w:r w:rsidRPr="0031440A">
        <w:rPr>
          <w:rFonts w:hint="eastAsia"/>
          <w:i/>
          <w:iCs/>
          <w:lang w:val="en-US"/>
        </w:rPr>
        <w:t>Manual of Tests and Criteria</w:t>
      </w:r>
      <w:r>
        <w:rPr>
          <w:rFonts w:hint="eastAsia"/>
          <w:lang w:val="en-US"/>
        </w:rPr>
        <w:t xml:space="preserve"> were both based on the aggregate lithium content of all anodes when fully charged. Since</w:t>
      </w:r>
      <w:r>
        <w:rPr>
          <w:lang w:val="en-US"/>
        </w:rPr>
        <w:t xml:space="preserve"> the </w:t>
      </w:r>
      <w:r w:rsidR="00635DDE">
        <w:rPr>
          <w:lang w:val="en-US"/>
        </w:rPr>
        <w:t>fifth</w:t>
      </w:r>
      <w:r>
        <w:rPr>
          <w:lang w:val="en-US"/>
        </w:rPr>
        <w:t xml:space="preserve"> revised edition of the</w:t>
      </w:r>
      <w:r w:rsidRPr="0031440A">
        <w:rPr>
          <w:i/>
          <w:iCs/>
          <w:lang w:val="en-US"/>
        </w:rPr>
        <w:t xml:space="preserve"> Manual of Tests and Criteria</w:t>
      </w:r>
      <w:r>
        <w:rPr>
          <w:lang w:val="en-US"/>
        </w:rPr>
        <w:t xml:space="preserve">, </w:t>
      </w:r>
      <w:r>
        <w:rPr>
          <w:rFonts w:hint="eastAsia"/>
          <w:lang w:val="en-US"/>
        </w:rPr>
        <w:t>the gross mass of a cell or a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battery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is </w:t>
      </w:r>
      <w:r>
        <w:rPr>
          <w:lang w:val="en-US"/>
        </w:rPr>
        <w:t xml:space="preserve">gradually </w:t>
      </w:r>
      <w:r>
        <w:rPr>
          <w:rFonts w:hint="eastAsia"/>
          <w:lang w:val="en-US"/>
        </w:rPr>
        <w:t xml:space="preserve">included </w:t>
      </w:r>
      <w:r>
        <w:rPr>
          <w:lang w:val="en-US"/>
        </w:rPr>
        <w:t xml:space="preserve">as a standard to determine </w:t>
      </w:r>
      <w:r>
        <w:rPr>
          <w:rFonts w:hint="eastAsia"/>
          <w:lang w:val="en-US"/>
        </w:rPr>
        <w:t xml:space="preserve">whether it is </w:t>
      </w:r>
      <w:r>
        <w:rPr>
          <w:lang w:val="en-US"/>
        </w:rPr>
        <w:t>large cell/ battery</w:t>
      </w:r>
      <w:r>
        <w:rPr>
          <w:rFonts w:hint="eastAsia"/>
          <w:lang w:val="en-US"/>
        </w:rPr>
        <w:t xml:space="preserve"> or not</w:t>
      </w:r>
      <w:r>
        <w:rPr>
          <w:lang w:val="en-US"/>
        </w:rPr>
        <w:t>.</w:t>
      </w:r>
      <w:r>
        <w:rPr>
          <w:rFonts w:hint="eastAsia"/>
          <w:lang w:val="en-US"/>
        </w:rPr>
        <w:t xml:space="preserve"> According to 38.3.2.3 of the </w:t>
      </w:r>
      <w:r w:rsidR="008A0C7A">
        <w:rPr>
          <w:lang w:val="en-US"/>
        </w:rPr>
        <w:t>seventh</w:t>
      </w:r>
      <w:r>
        <w:rPr>
          <w:rFonts w:hint="eastAsia"/>
          <w:lang w:val="en-US"/>
        </w:rPr>
        <w:t xml:space="preserve"> revised edition of the </w:t>
      </w:r>
      <w:r w:rsidRPr="0031440A">
        <w:rPr>
          <w:rFonts w:hint="eastAsia"/>
          <w:i/>
          <w:iCs/>
          <w:lang w:val="en-US"/>
        </w:rPr>
        <w:t xml:space="preserve">Manual of Tests </w:t>
      </w:r>
      <w:r w:rsidRPr="0031440A">
        <w:rPr>
          <w:rFonts w:hint="eastAsia"/>
          <w:i/>
          <w:iCs/>
          <w:lang w:val="en-US"/>
        </w:rPr>
        <w:lastRenderedPageBreak/>
        <w:t>and Criteria</w:t>
      </w:r>
      <w:r>
        <w:rPr>
          <w:rFonts w:hint="eastAsia"/>
          <w:lang w:val="en-US"/>
        </w:rPr>
        <w:t xml:space="preserve">, large cell means a cell with a gross mass of more than 500 g, and large battery means a lithium metal battery or </w:t>
      </w:r>
      <w:proofErr w:type="gramStart"/>
      <w:r>
        <w:rPr>
          <w:rFonts w:hint="eastAsia"/>
          <w:lang w:val="en-US"/>
        </w:rPr>
        <w:t>lithium ion</w:t>
      </w:r>
      <w:proofErr w:type="gramEnd"/>
      <w:r>
        <w:rPr>
          <w:rFonts w:hint="eastAsia"/>
          <w:lang w:val="en-US"/>
        </w:rPr>
        <w:t xml:space="preserve"> battery with a mass gross of more than 12 kg.</w:t>
      </w:r>
      <w:r w:rsidRPr="00EF5EDF">
        <w:rPr>
          <w:rFonts w:hint="eastAsia"/>
          <w:lang w:val="en-US"/>
        </w:rPr>
        <w:t xml:space="preserve"> </w:t>
      </w:r>
      <w:r>
        <w:rPr>
          <w:lang w:val="en-US"/>
        </w:rPr>
        <w:t>T</w:t>
      </w:r>
      <w:r>
        <w:rPr>
          <w:rFonts w:hint="eastAsia"/>
          <w:lang w:val="en-US"/>
        </w:rPr>
        <w:t xml:space="preserve">he gross mass which is referenced in the definition of "large battery" is </w:t>
      </w:r>
      <w:r>
        <w:rPr>
          <w:lang w:val="en-US"/>
        </w:rPr>
        <w:t>consistent with that specified in P903</w:t>
      </w:r>
      <w:r w:rsidR="00872415">
        <w:rPr>
          <w:lang w:val="en-US"/>
        </w:rPr>
        <w:t xml:space="preserve"> </w:t>
      </w:r>
      <w:r>
        <w:rPr>
          <w:lang w:val="en-US"/>
        </w:rPr>
        <w:t xml:space="preserve">(2). Thus, experts from China suggest </w:t>
      </w:r>
      <w:r w:rsidR="00872415">
        <w:rPr>
          <w:lang w:val="en-US"/>
        </w:rPr>
        <w:t>amending</w:t>
      </w:r>
      <w:r>
        <w:rPr>
          <w:lang w:val="en-US"/>
        </w:rPr>
        <w:t xml:space="preserve"> t</w:t>
      </w:r>
      <w:r>
        <w:rPr>
          <w:rFonts w:hint="eastAsia"/>
          <w:lang w:val="en-US"/>
        </w:rPr>
        <w:t>he gross mass</w:t>
      </w:r>
      <w:r>
        <w:rPr>
          <w:lang w:val="en-US"/>
        </w:rPr>
        <w:t xml:space="preserve"> specified in P903</w:t>
      </w:r>
      <w:r w:rsidR="00872415">
        <w:rPr>
          <w:lang w:val="en-US"/>
        </w:rPr>
        <w:t xml:space="preserve"> </w:t>
      </w:r>
      <w:r>
        <w:rPr>
          <w:lang w:val="en-US"/>
        </w:rPr>
        <w:t>(2) for cells to 500</w:t>
      </w:r>
      <w:r w:rsidR="00872415">
        <w:rPr>
          <w:lang w:val="en-US"/>
        </w:rPr>
        <w:t xml:space="preserve"> </w:t>
      </w:r>
      <w:r>
        <w:rPr>
          <w:lang w:val="en-US"/>
        </w:rPr>
        <w:t>g, which is, on the one hand</w:t>
      </w:r>
      <w:r w:rsidR="00402CC3">
        <w:rPr>
          <w:lang w:val="en-US"/>
        </w:rPr>
        <w:t xml:space="preserve"> side</w:t>
      </w:r>
      <w:r>
        <w:rPr>
          <w:lang w:val="en-US"/>
        </w:rPr>
        <w:t xml:space="preserve">, consistent with the definition of “large </w:t>
      </w:r>
      <w:r>
        <w:rPr>
          <w:rFonts w:hint="eastAsia"/>
          <w:lang w:val="en-US"/>
        </w:rPr>
        <w:t>cell</w:t>
      </w:r>
      <w:r>
        <w:rPr>
          <w:lang w:val="en-US"/>
        </w:rPr>
        <w:t>” and, on the other hand</w:t>
      </w:r>
      <w:r w:rsidR="00402CC3">
        <w:rPr>
          <w:lang w:val="en-US"/>
        </w:rPr>
        <w:t xml:space="preserve"> side</w:t>
      </w:r>
      <w:r>
        <w:rPr>
          <w:lang w:val="en-US"/>
        </w:rPr>
        <w:t>, can meet the needs of the industry.</w:t>
      </w:r>
    </w:p>
    <w:p w14:paraId="0B5EEC03" w14:textId="77777777" w:rsidR="00C149FB" w:rsidRDefault="00C149FB" w:rsidP="00C149FB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>
        <w:t>Proposal</w:t>
      </w:r>
    </w:p>
    <w:p w14:paraId="5390EC15" w14:textId="15EE774B" w:rsidR="00C149FB" w:rsidRDefault="00C149FB" w:rsidP="008A0C7A">
      <w:pPr>
        <w:pStyle w:val="SingleTxtG"/>
        <w:rPr>
          <w:lang w:val="en-US"/>
        </w:rPr>
      </w:pPr>
      <w:r>
        <w:rPr>
          <w:lang w:val="en-US"/>
        </w:rPr>
        <w:t>6.</w:t>
      </w:r>
      <w:r w:rsidR="008A0C7A">
        <w:rPr>
          <w:lang w:val="en-US"/>
        </w:rPr>
        <w:tab/>
      </w:r>
      <w:r>
        <w:rPr>
          <w:rFonts w:hint="eastAsia"/>
          <w:lang w:val="en-US"/>
        </w:rPr>
        <w:t>Considering the transport situation for a</w:t>
      </w:r>
      <w:r>
        <w:rPr>
          <w:lang w:val="en-US"/>
        </w:rPr>
        <w:t xml:space="preserve"> large</w:t>
      </w:r>
      <w:r>
        <w:rPr>
          <w:rFonts w:hint="eastAsia"/>
          <w:lang w:val="en-US"/>
        </w:rPr>
        <w:t xml:space="preserve"> cell employing a strong, impact resistance outer casing </w:t>
      </w:r>
      <w:r w:rsidR="00F75D18">
        <w:rPr>
          <w:lang w:val="en-US"/>
        </w:rPr>
        <w:t>and</w:t>
      </w:r>
      <w:r>
        <w:rPr>
          <w:rFonts w:hint="eastAsia"/>
          <w:lang w:val="en-US"/>
        </w:rPr>
        <w:t xml:space="preserve"> the harmonization of the definition of large cell in 38.3.2.3 of </w:t>
      </w:r>
      <w:r>
        <w:rPr>
          <w:rFonts w:hint="eastAsia"/>
        </w:rPr>
        <w:t xml:space="preserve">the </w:t>
      </w:r>
      <w:r w:rsidRPr="00356BEF">
        <w:rPr>
          <w:i/>
          <w:iCs/>
        </w:rPr>
        <w:t>Manual of Tests</w:t>
      </w:r>
      <w:r w:rsidRPr="00356BEF">
        <w:rPr>
          <w:rFonts w:hint="eastAsia"/>
          <w:i/>
          <w:iCs/>
          <w:lang w:val="en-US"/>
        </w:rPr>
        <w:t xml:space="preserve"> </w:t>
      </w:r>
      <w:r w:rsidRPr="00356BEF">
        <w:rPr>
          <w:rFonts w:hint="eastAsia"/>
          <w:i/>
          <w:iCs/>
        </w:rPr>
        <w:t xml:space="preserve">and </w:t>
      </w:r>
      <w:r w:rsidRPr="00356BEF">
        <w:rPr>
          <w:rFonts w:hint="eastAsia"/>
          <w:i/>
          <w:iCs/>
          <w:lang w:val="en-US"/>
        </w:rPr>
        <w:t>Criteria</w:t>
      </w:r>
      <w:r>
        <w:rPr>
          <w:rFonts w:hint="eastAsia"/>
          <w:lang w:val="en-US"/>
        </w:rPr>
        <w:t xml:space="preserve">, China proposes </w:t>
      </w:r>
      <w:r w:rsidR="00F10034">
        <w:rPr>
          <w:lang w:val="en-US"/>
        </w:rPr>
        <w:t xml:space="preserve">two options </w:t>
      </w:r>
      <w:r>
        <w:rPr>
          <w:rFonts w:hint="eastAsia"/>
          <w:lang w:val="en-US"/>
        </w:rPr>
        <w:t xml:space="preserve">to amend </w:t>
      </w:r>
      <w:r w:rsidR="00A421EC">
        <w:rPr>
          <w:lang w:val="en-US"/>
        </w:rPr>
        <w:t xml:space="preserve">in packing instruction P903 subparagraph </w:t>
      </w:r>
      <w:r>
        <w:rPr>
          <w:rFonts w:hint="eastAsia"/>
          <w:lang w:val="en-US"/>
        </w:rPr>
        <w:t xml:space="preserve">(2) </w:t>
      </w:r>
      <w:r w:rsidR="00E9398A">
        <w:rPr>
          <w:lang w:val="en-US"/>
        </w:rPr>
        <w:t xml:space="preserve">to read </w:t>
      </w:r>
      <w:r>
        <w:rPr>
          <w:rFonts w:hint="eastAsia"/>
          <w:lang w:val="en-US"/>
        </w:rPr>
        <w:t>as follow</w:t>
      </w:r>
      <w:r w:rsidR="00AB3F2B">
        <w:rPr>
          <w:lang w:val="en-US"/>
        </w:rPr>
        <w:t xml:space="preserve"> </w:t>
      </w:r>
      <w:r>
        <w:rPr>
          <w:rFonts w:eastAsia="FangSong"/>
          <w:lang w:eastAsia="zh-Hans"/>
        </w:rPr>
        <w:t>(</w:t>
      </w:r>
      <w:r w:rsidR="00AB3F2B">
        <w:rPr>
          <w:rFonts w:eastAsia="FangSong"/>
          <w:lang w:eastAsia="zh-Hans"/>
        </w:rPr>
        <w:t>new text</w:t>
      </w:r>
      <w:r>
        <w:rPr>
          <w:rFonts w:eastAsia="FangSong"/>
          <w:lang w:eastAsia="zh-Hans"/>
        </w:rPr>
        <w:t xml:space="preserve"> </w:t>
      </w:r>
      <w:r w:rsidR="00AB3F2B">
        <w:rPr>
          <w:rFonts w:eastAsia="FangSong"/>
          <w:lang w:eastAsia="zh-Hans"/>
        </w:rPr>
        <w:t>is</w:t>
      </w:r>
      <w:r>
        <w:rPr>
          <w:rFonts w:eastAsia="FangSong"/>
          <w:lang w:eastAsia="zh-Hans"/>
        </w:rPr>
        <w:t xml:space="preserve"> </w:t>
      </w:r>
      <w:r w:rsidRPr="008A0C7A">
        <w:rPr>
          <w:rFonts w:eastAsia="FangSong"/>
          <w:u w:val="single"/>
          <w:lang w:eastAsia="zh-Hans"/>
        </w:rPr>
        <w:t>underline</w:t>
      </w:r>
      <w:r w:rsidR="00AB3F2B">
        <w:rPr>
          <w:rFonts w:eastAsia="FangSong"/>
          <w:u w:val="single"/>
          <w:lang w:eastAsia="zh-Hans"/>
        </w:rPr>
        <w:t>d</w:t>
      </w:r>
      <w:r>
        <w:rPr>
          <w:rFonts w:eastAsia="FangSong"/>
          <w:lang w:eastAsia="zh-Hans"/>
        </w:rPr>
        <w:t>, delet</w:t>
      </w:r>
      <w:r>
        <w:rPr>
          <w:rFonts w:eastAsia="FangSong" w:hint="eastAsia"/>
          <w:lang w:eastAsia="zh-Hans"/>
        </w:rPr>
        <w:t>ions</w:t>
      </w:r>
      <w:r>
        <w:rPr>
          <w:rFonts w:eastAsia="FangSong"/>
          <w:lang w:eastAsia="zh-Hans"/>
        </w:rPr>
        <w:t xml:space="preserve"> </w:t>
      </w:r>
      <w:r>
        <w:rPr>
          <w:rFonts w:eastAsia="FangSong" w:hint="eastAsia"/>
          <w:lang w:eastAsia="zh-Hans"/>
        </w:rPr>
        <w:t>in</w:t>
      </w:r>
      <w:r>
        <w:rPr>
          <w:rFonts w:eastAsia="FangSong"/>
          <w:lang w:eastAsia="zh-Hans"/>
        </w:rPr>
        <w:t xml:space="preserve"> </w:t>
      </w:r>
      <w:r w:rsidRPr="0031440A">
        <w:rPr>
          <w:rFonts w:eastAsia="FangSong"/>
          <w:strike/>
          <w:lang w:eastAsia="zh-Hans"/>
        </w:rPr>
        <w:t>strikethrough</w:t>
      </w:r>
      <w:r>
        <w:rPr>
          <w:rFonts w:eastAsia="FangSong"/>
          <w:lang w:eastAsia="zh-Hans"/>
        </w:rPr>
        <w:t>)</w:t>
      </w:r>
      <w:r w:rsidR="007E1535">
        <w:rPr>
          <w:rFonts w:eastAsia="FangSong"/>
          <w:lang w:eastAsia="zh-Hans"/>
        </w:rPr>
        <w:t>:</w:t>
      </w:r>
    </w:p>
    <w:p w14:paraId="79BDB5EC" w14:textId="0EEEF5CF" w:rsidR="00C149FB" w:rsidRDefault="008A0C7A" w:rsidP="008A0C7A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149FB">
        <w:rPr>
          <w:rFonts w:hint="eastAsia"/>
          <w:lang w:val="en-US"/>
        </w:rPr>
        <w:t>Option 1:</w:t>
      </w:r>
    </w:p>
    <w:p w14:paraId="7DF905D5" w14:textId="42A0C988" w:rsidR="00C149FB" w:rsidRDefault="001D4542" w:rsidP="001D4542">
      <w:pPr>
        <w:pStyle w:val="SingleTxtG"/>
        <w:keepNext/>
        <w:keepLines/>
        <w:spacing w:after="240"/>
        <w:ind w:left="1701"/>
        <w:rPr>
          <w:lang w:val="en-US"/>
        </w:rPr>
      </w:pPr>
      <w:r>
        <w:rPr>
          <w:rFonts w:eastAsia="Times New Roman"/>
          <w:lang w:val="en-US"/>
        </w:rPr>
        <w:t>“</w:t>
      </w:r>
      <w:r w:rsidR="00C149FB" w:rsidRPr="008C68C3">
        <w:rPr>
          <w:rFonts w:eastAsia="Times New Roman" w:hint="eastAsia"/>
          <w:lang w:val="en-US"/>
        </w:rPr>
        <w:t>In</w:t>
      </w:r>
      <w:r w:rsidR="00C149FB" w:rsidRPr="008C68C3">
        <w:rPr>
          <w:rFonts w:eastAsia="Times New Roman"/>
          <w:lang w:val="en-US"/>
        </w:rPr>
        <w:t xml:space="preserve"> addition, for a cell </w:t>
      </w:r>
      <w:r w:rsidR="00C149FB" w:rsidRPr="008A0C7A">
        <w:rPr>
          <w:u w:val="single"/>
          <w:lang w:val="en-US"/>
        </w:rPr>
        <w:t>with a gross mass of 500 g or more,</w:t>
      </w:r>
      <w:r w:rsidR="00C149FB" w:rsidRPr="00D53BB3">
        <w:rPr>
          <w:b/>
          <w:bCs/>
          <w:u w:val="single"/>
          <w:lang w:val="en-US"/>
        </w:rPr>
        <w:t xml:space="preserve"> </w:t>
      </w:r>
      <w:r w:rsidR="00C149FB" w:rsidRPr="008C68C3">
        <w:rPr>
          <w:rFonts w:eastAsia="Times New Roman"/>
          <w:lang w:val="en-US"/>
        </w:rPr>
        <w:t>or a battery with a gross mass of 12</w:t>
      </w:r>
      <w:r w:rsidR="00C149FB">
        <w:rPr>
          <w:rFonts w:hint="eastAsia"/>
          <w:lang w:val="en-US"/>
        </w:rPr>
        <w:t xml:space="preserve"> </w:t>
      </w:r>
      <w:r w:rsidR="00C149FB" w:rsidRPr="008C68C3">
        <w:rPr>
          <w:rFonts w:eastAsia="Times New Roman"/>
          <w:lang w:val="en-US"/>
        </w:rPr>
        <w:t xml:space="preserve">kg </w:t>
      </w:r>
      <w:r w:rsidR="00C149FB" w:rsidRPr="008C68C3">
        <w:rPr>
          <w:rFonts w:eastAsia="Times New Roman" w:hint="eastAsia"/>
          <w:lang w:val="en-US"/>
        </w:rPr>
        <w:t>o</w:t>
      </w:r>
      <w:r w:rsidR="00C149FB" w:rsidRPr="008C68C3">
        <w:rPr>
          <w:rFonts w:eastAsia="Times New Roman"/>
          <w:lang w:val="en-US"/>
        </w:rPr>
        <w:t>r more employing</w:t>
      </w:r>
      <w:r w:rsidR="00C149FB">
        <w:rPr>
          <w:rFonts w:hint="eastAsia"/>
          <w:lang w:val="en-US"/>
        </w:rPr>
        <w:t xml:space="preserve"> a strong,</w:t>
      </w:r>
      <w:r w:rsidR="00C149FB" w:rsidRPr="008C68C3">
        <w:rPr>
          <w:rFonts w:eastAsia="Times New Roman"/>
          <w:lang w:val="en-US"/>
        </w:rPr>
        <w:t xml:space="preserve"> impact resistant outer casing</w:t>
      </w:r>
      <w:r w:rsidR="00C149FB">
        <w:rPr>
          <w:rFonts w:hint="eastAsia"/>
          <w:lang w:val="en-US"/>
        </w:rPr>
        <w:t>:</w:t>
      </w:r>
      <w:r>
        <w:rPr>
          <w:lang w:val="en-US"/>
        </w:rPr>
        <w:t xml:space="preserve"> …”</w:t>
      </w:r>
    </w:p>
    <w:p w14:paraId="5561BA2F" w14:textId="7F6DB94B" w:rsidR="00C149FB" w:rsidRDefault="008A0C7A" w:rsidP="008A0C7A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149FB">
        <w:rPr>
          <w:rFonts w:hint="eastAsia"/>
          <w:lang w:val="en-US"/>
        </w:rPr>
        <w:t>Option 2:</w:t>
      </w:r>
    </w:p>
    <w:p w14:paraId="21307604" w14:textId="0E4E2C39" w:rsidR="00C149FB" w:rsidRDefault="001D4542" w:rsidP="001D4542">
      <w:pPr>
        <w:pStyle w:val="SingleTxtG"/>
        <w:keepNext/>
        <w:keepLines/>
        <w:spacing w:after="240"/>
        <w:ind w:left="1701"/>
        <w:rPr>
          <w:lang w:val="en-US"/>
        </w:rPr>
      </w:pPr>
      <w:r>
        <w:rPr>
          <w:rFonts w:eastAsia="Times New Roman"/>
          <w:lang w:val="en-US"/>
        </w:rPr>
        <w:t>“</w:t>
      </w:r>
      <w:r w:rsidR="00C149FB" w:rsidRPr="008C68C3">
        <w:rPr>
          <w:rFonts w:eastAsia="Times New Roman" w:hint="eastAsia"/>
          <w:lang w:val="en-US"/>
        </w:rPr>
        <w:t>In</w:t>
      </w:r>
      <w:r w:rsidR="00C149FB" w:rsidRPr="008C68C3">
        <w:rPr>
          <w:rFonts w:eastAsia="Times New Roman"/>
          <w:lang w:val="en-US"/>
        </w:rPr>
        <w:t xml:space="preserve"> addition, for a </w:t>
      </w:r>
      <w:r w:rsidR="00C149FB" w:rsidRPr="008A0C7A">
        <w:rPr>
          <w:rFonts w:eastAsia="Times New Roman"/>
          <w:u w:val="single"/>
          <w:lang w:val="en-US"/>
        </w:rPr>
        <w:t>large</w:t>
      </w:r>
      <w:r w:rsidR="00C149FB" w:rsidRPr="00D53BB3">
        <w:rPr>
          <w:rFonts w:eastAsia="Times New Roman"/>
          <w:b/>
          <w:bCs/>
          <w:lang w:val="en-US"/>
        </w:rPr>
        <w:t xml:space="preserve"> </w:t>
      </w:r>
      <w:r w:rsidR="00C149FB" w:rsidRPr="008C68C3">
        <w:rPr>
          <w:rFonts w:eastAsia="Times New Roman"/>
          <w:lang w:val="en-US"/>
        </w:rPr>
        <w:t xml:space="preserve">cell or a </w:t>
      </w:r>
      <w:r w:rsidR="00C149FB" w:rsidRPr="008A0C7A">
        <w:rPr>
          <w:rFonts w:eastAsia="Times New Roman"/>
          <w:u w:val="single"/>
          <w:lang w:val="en-US"/>
        </w:rPr>
        <w:t>large</w:t>
      </w:r>
      <w:r w:rsidR="00C149FB" w:rsidRPr="00D53BB3">
        <w:rPr>
          <w:rFonts w:eastAsia="Times New Roman"/>
          <w:b/>
          <w:bCs/>
          <w:lang w:val="en-US"/>
        </w:rPr>
        <w:t xml:space="preserve"> </w:t>
      </w:r>
      <w:r w:rsidR="00C149FB" w:rsidRPr="008C68C3">
        <w:rPr>
          <w:rFonts w:eastAsia="Times New Roman"/>
          <w:lang w:val="en-US"/>
        </w:rPr>
        <w:t>batte</w:t>
      </w:r>
      <w:r w:rsidR="00C149FB">
        <w:rPr>
          <w:rFonts w:hint="eastAsia"/>
          <w:lang w:val="en-US"/>
        </w:rPr>
        <w:t>ry</w:t>
      </w:r>
      <w:r w:rsidR="00C149FB" w:rsidRPr="008C68C3">
        <w:rPr>
          <w:rFonts w:eastAsia="Times New Roman"/>
          <w:lang w:val="en-US"/>
        </w:rPr>
        <w:t xml:space="preserve"> </w:t>
      </w:r>
      <w:r w:rsidR="00C149FB" w:rsidRPr="008C68C3">
        <w:rPr>
          <w:rFonts w:eastAsia="Times New Roman"/>
          <w:strike/>
          <w:lang w:val="en-US"/>
        </w:rPr>
        <w:t>with a gross mass of 12</w:t>
      </w:r>
      <w:r w:rsidR="00F10034">
        <w:rPr>
          <w:rFonts w:eastAsia="Times New Roman"/>
          <w:strike/>
          <w:lang w:val="en-US"/>
        </w:rPr>
        <w:t xml:space="preserve"> </w:t>
      </w:r>
      <w:r w:rsidR="00C149FB" w:rsidRPr="008C68C3">
        <w:rPr>
          <w:rFonts w:eastAsia="Times New Roman"/>
          <w:strike/>
          <w:lang w:val="en-US"/>
        </w:rPr>
        <w:t xml:space="preserve">kg </w:t>
      </w:r>
      <w:r w:rsidR="00C149FB" w:rsidRPr="008C68C3">
        <w:rPr>
          <w:rFonts w:eastAsia="Times New Roman" w:hint="eastAsia"/>
          <w:strike/>
          <w:lang w:val="en-US"/>
        </w:rPr>
        <w:t>o</w:t>
      </w:r>
      <w:r w:rsidR="00C149FB" w:rsidRPr="008C68C3">
        <w:rPr>
          <w:rFonts w:eastAsia="Times New Roman"/>
          <w:strike/>
          <w:lang w:val="en-US"/>
        </w:rPr>
        <w:t>r more</w:t>
      </w:r>
      <w:r w:rsidR="00C149FB" w:rsidRPr="008C68C3">
        <w:rPr>
          <w:rFonts w:eastAsia="Times New Roman"/>
          <w:lang w:val="en-US"/>
        </w:rPr>
        <w:t xml:space="preserve"> employing</w:t>
      </w:r>
      <w:r w:rsidR="00C149FB">
        <w:rPr>
          <w:rFonts w:hint="eastAsia"/>
          <w:lang w:val="en-US"/>
        </w:rPr>
        <w:t xml:space="preserve"> a strong</w:t>
      </w:r>
      <w:r w:rsidR="00C149FB" w:rsidRPr="008C68C3">
        <w:rPr>
          <w:rFonts w:eastAsia="Times New Roman"/>
          <w:lang w:val="en-US"/>
        </w:rPr>
        <w:t>, impact resistant outer casing</w:t>
      </w:r>
      <w:r w:rsidR="00C149FB">
        <w:rPr>
          <w:rFonts w:hint="eastAsia"/>
          <w:lang w:val="en-US"/>
        </w:rPr>
        <w:t>:</w:t>
      </w:r>
      <w:r>
        <w:rPr>
          <w:lang w:val="en-US"/>
        </w:rPr>
        <w:t xml:space="preserve"> …”</w:t>
      </w:r>
      <w:r w:rsidR="00F10034">
        <w:rPr>
          <w:lang w:val="en-US"/>
        </w:rPr>
        <w:t xml:space="preserve"> </w:t>
      </w:r>
    </w:p>
    <w:p w14:paraId="705693FB" w14:textId="2F6A77FF" w:rsidR="00AF5DE1" w:rsidRPr="008A0C7A" w:rsidRDefault="008A0C7A" w:rsidP="008A0C7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8A0C7A" w:rsidSect="0033671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4515" w14:textId="77777777" w:rsidR="007C3842" w:rsidRPr="00C47B2E" w:rsidRDefault="007C3842" w:rsidP="00C47B2E">
      <w:pPr>
        <w:pStyle w:val="Footer"/>
      </w:pPr>
    </w:p>
  </w:endnote>
  <w:endnote w:type="continuationSeparator" w:id="0">
    <w:p w14:paraId="1716EC03" w14:textId="77777777" w:rsidR="007C3842" w:rsidRPr="00C47B2E" w:rsidRDefault="007C3842" w:rsidP="00C47B2E">
      <w:pPr>
        <w:pStyle w:val="Footer"/>
      </w:pPr>
    </w:p>
  </w:endnote>
  <w:endnote w:type="continuationNotice" w:id="1">
    <w:p w14:paraId="052196D5" w14:textId="77777777" w:rsidR="007C3842" w:rsidRPr="00C47B2E" w:rsidRDefault="007C3842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63A9" w14:textId="48785E62" w:rsidR="00D94B05" w:rsidRPr="00336715" w:rsidRDefault="00336715" w:rsidP="00336715">
    <w:pPr>
      <w:pStyle w:val="Footer"/>
      <w:tabs>
        <w:tab w:val="right" w:pos="9598"/>
        <w:tab w:val="right" w:pos="9638"/>
      </w:tabs>
      <w:rPr>
        <w:sz w:val="18"/>
      </w:rPr>
    </w:pPr>
    <w:r w:rsidRPr="00336715">
      <w:rPr>
        <w:b/>
        <w:sz w:val="18"/>
      </w:rPr>
      <w:fldChar w:fldCharType="begin"/>
    </w:r>
    <w:r w:rsidRPr="00336715">
      <w:rPr>
        <w:b/>
        <w:sz w:val="18"/>
      </w:rPr>
      <w:instrText xml:space="preserve"> PAGE  \* MERGEFORMAT </w:instrText>
    </w:r>
    <w:r w:rsidRPr="00336715">
      <w:rPr>
        <w:b/>
        <w:sz w:val="18"/>
      </w:rPr>
      <w:fldChar w:fldCharType="separate"/>
    </w:r>
    <w:r w:rsidRPr="00336715">
      <w:rPr>
        <w:b/>
        <w:noProof/>
        <w:sz w:val="18"/>
      </w:rPr>
      <w:t>2</w:t>
    </w:r>
    <w:r w:rsidRPr="0033671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F94F" w14:textId="37CCBFC8" w:rsidR="00D94B05" w:rsidRPr="00336715" w:rsidRDefault="00336715" w:rsidP="00336715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336715">
      <w:rPr>
        <w:sz w:val="18"/>
      </w:rPr>
      <w:fldChar w:fldCharType="begin"/>
    </w:r>
    <w:r w:rsidRPr="00336715">
      <w:rPr>
        <w:sz w:val="18"/>
      </w:rPr>
      <w:instrText xml:space="preserve"> PAGE  \* MERGEFORMAT </w:instrText>
    </w:r>
    <w:r w:rsidRPr="00336715">
      <w:rPr>
        <w:sz w:val="18"/>
      </w:rPr>
      <w:fldChar w:fldCharType="separate"/>
    </w:r>
    <w:r w:rsidRPr="00336715">
      <w:rPr>
        <w:noProof/>
        <w:sz w:val="18"/>
      </w:rPr>
      <w:t>3</w:t>
    </w:r>
    <w:r w:rsidRPr="0033671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F2E1" w14:textId="77777777" w:rsidR="00D94B05" w:rsidRPr="00336715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7FAC0474" wp14:editId="0533DF4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314B" w14:textId="77777777" w:rsidR="007C3842" w:rsidRPr="00C47B2E" w:rsidRDefault="007C3842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8EF9EDC" w14:textId="77777777" w:rsidR="007C3842" w:rsidRPr="00C47B2E" w:rsidRDefault="007C3842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2AA0787" w14:textId="77777777" w:rsidR="007C3842" w:rsidRPr="00C47B2E" w:rsidRDefault="007C3842" w:rsidP="00C47B2E">
      <w:pPr>
        <w:pStyle w:val="Footer"/>
      </w:pPr>
    </w:p>
  </w:footnote>
  <w:footnote w:id="2">
    <w:p w14:paraId="2D56D40E" w14:textId="1CDDCD0C" w:rsidR="00C149FB" w:rsidRPr="00C149FB" w:rsidRDefault="00C149FB" w:rsidP="000F0F64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0F0F64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6CAE" w14:textId="72C4AE58" w:rsidR="00336715" w:rsidRPr="00336715" w:rsidRDefault="00453B1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7718D">
      <w:t>ST/SG/AC.10/C.3/2022/42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9C28" w14:textId="79ECD3E7" w:rsidR="00D94B05" w:rsidRPr="00336715" w:rsidRDefault="00453B11" w:rsidP="0033671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7718D">
      <w:t>ST/SG/AC.10/C.3/2022/42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15"/>
    <w:rsid w:val="00046E92"/>
    <w:rsid w:val="00063C90"/>
    <w:rsid w:val="0007718D"/>
    <w:rsid w:val="000F0920"/>
    <w:rsid w:val="000F0F64"/>
    <w:rsid w:val="00101B98"/>
    <w:rsid w:val="001514D1"/>
    <w:rsid w:val="001D42D7"/>
    <w:rsid w:val="001D4542"/>
    <w:rsid w:val="00247E2C"/>
    <w:rsid w:val="002A32CB"/>
    <w:rsid w:val="002D5B2C"/>
    <w:rsid w:val="002D6C53"/>
    <w:rsid w:val="002F5595"/>
    <w:rsid w:val="00334F6A"/>
    <w:rsid w:val="00336715"/>
    <w:rsid w:val="00342AC8"/>
    <w:rsid w:val="00343302"/>
    <w:rsid w:val="00356BEF"/>
    <w:rsid w:val="003979DE"/>
    <w:rsid w:val="003B4550"/>
    <w:rsid w:val="003C0667"/>
    <w:rsid w:val="003D2A18"/>
    <w:rsid w:val="00402CC3"/>
    <w:rsid w:val="00413386"/>
    <w:rsid w:val="00453B11"/>
    <w:rsid w:val="00461253"/>
    <w:rsid w:val="004858F5"/>
    <w:rsid w:val="004A2814"/>
    <w:rsid w:val="004C0622"/>
    <w:rsid w:val="004D4059"/>
    <w:rsid w:val="004D61DE"/>
    <w:rsid w:val="005042C2"/>
    <w:rsid w:val="00585182"/>
    <w:rsid w:val="005E716E"/>
    <w:rsid w:val="00621AB7"/>
    <w:rsid w:val="00635DDE"/>
    <w:rsid w:val="006476E1"/>
    <w:rsid w:val="006604DF"/>
    <w:rsid w:val="00671529"/>
    <w:rsid w:val="0070489D"/>
    <w:rsid w:val="007268F9"/>
    <w:rsid w:val="00750282"/>
    <w:rsid w:val="00760C1C"/>
    <w:rsid w:val="00764440"/>
    <w:rsid w:val="0077101B"/>
    <w:rsid w:val="007C3842"/>
    <w:rsid w:val="007C52B0"/>
    <w:rsid w:val="007C6033"/>
    <w:rsid w:val="007D60B4"/>
    <w:rsid w:val="007E1535"/>
    <w:rsid w:val="007F3492"/>
    <w:rsid w:val="008147C8"/>
    <w:rsid w:val="0081753A"/>
    <w:rsid w:val="00857D23"/>
    <w:rsid w:val="00857D97"/>
    <w:rsid w:val="00872415"/>
    <w:rsid w:val="00875A89"/>
    <w:rsid w:val="008A0C7A"/>
    <w:rsid w:val="008F5773"/>
    <w:rsid w:val="00934330"/>
    <w:rsid w:val="009411B4"/>
    <w:rsid w:val="00946F1D"/>
    <w:rsid w:val="009C2962"/>
    <w:rsid w:val="009D0139"/>
    <w:rsid w:val="009D717D"/>
    <w:rsid w:val="009F5CDC"/>
    <w:rsid w:val="00A072D7"/>
    <w:rsid w:val="00A421EC"/>
    <w:rsid w:val="00A775CF"/>
    <w:rsid w:val="00AB3F2B"/>
    <w:rsid w:val="00AD1A9C"/>
    <w:rsid w:val="00AF5DE1"/>
    <w:rsid w:val="00B06045"/>
    <w:rsid w:val="00B206DD"/>
    <w:rsid w:val="00B52EF4"/>
    <w:rsid w:val="00B777AD"/>
    <w:rsid w:val="00C03015"/>
    <w:rsid w:val="00C0358D"/>
    <w:rsid w:val="00C149FB"/>
    <w:rsid w:val="00C332B0"/>
    <w:rsid w:val="00C35A27"/>
    <w:rsid w:val="00C47B2E"/>
    <w:rsid w:val="00D110BB"/>
    <w:rsid w:val="00D406A9"/>
    <w:rsid w:val="00D63CD2"/>
    <w:rsid w:val="00D77B0F"/>
    <w:rsid w:val="00D87DC2"/>
    <w:rsid w:val="00D94B05"/>
    <w:rsid w:val="00E02C2B"/>
    <w:rsid w:val="00E21C27"/>
    <w:rsid w:val="00E26BCF"/>
    <w:rsid w:val="00E52109"/>
    <w:rsid w:val="00E75317"/>
    <w:rsid w:val="00E9398A"/>
    <w:rsid w:val="00EC0CE6"/>
    <w:rsid w:val="00EC13C6"/>
    <w:rsid w:val="00EC7C1D"/>
    <w:rsid w:val="00ED6C48"/>
    <w:rsid w:val="00EE3045"/>
    <w:rsid w:val="00EF5A50"/>
    <w:rsid w:val="00F10034"/>
    <w:rsid w:val="00F65F5D"/>
    <w:rsid w:val="00F75D18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FC8B3"/>
  <w15:docId w15:val="{02D518EA-6E88-456A-9D85-1301A08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C149FB"/>
    <w:rPr>
      <w:b/>
      <w:sz w:val="28"/>
    </w:rPr>
  </w:style>
  <w:style w:type="character" w:customStyle="1" w:styleId="SingleTxtGChar">
    <w:name w:val="_ Single Txt_G Char"/>
    <w:link w:val="SingleTxtG"/>
    <w:rsid w:val="00C149FB"/>
  </w:style>
  <w:style w:type="character" w:customStyle="1" w:styleId="H1GChar">
    <w:name w:val="_ H_1_G Char"/>
    <w:link w:val="H1G"/>
    <w:locked/>
    <w:rsid w:val="00C149F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3F444-65C7-41D7-A2C9-B400ED090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76C0C-6F6A-40FA-A482-724A6A185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73161-C5F3-4F99-B174-C8592052C0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49</TotalTime>
  <Pages>2</Pages>
  <Words>672</Words>
  <Characters>3338</Characters>
  <Application>Microsoft Office Word</Application>
  <DocSecurity>0</DocSecurity>
  <Lines>63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ST/SG/AC.10/C.3/2022/42</dc:title>
  <dc:subject/>
  <dc:creator>Laurence BERTHET</dc:creator>
  <cp:lastModifiedBy>Laurence Berthet</cp:lastModifiedBy>
  <cp:revision>38</cp:revision>
  <cp:lastPrinted>2022-04-12T12:24:00Z</cp:lastPrinted>
  <dcterms:created xsi:type="dcterms:W3CDTF">2022-04-04T13:59:00Z</dcterms:created>
  <dcterms:modified xsi:type="dcterms:W3CDTF">2022-04-12T12:29:00Z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